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heme="minorEastAsia" w:hAnsiTheme="minorEastAsia" w:eastAsiaTheme="minorEastAsia" w:cstheme="minorEastAsia"/>
        </w:rPr>
      </w:pPr>
      <w:bookmarkStart w:id="0" w:name="_Toc281574833"/>
    </w:p>
    <w:p>
      <w:pPr>
        <w:pStyle w:val="3"/>
        <w:jc w:val="center"/>
        <w:rPr>
          <w:rFonts w:hint="eastAsia" w:hAnsi="宋体"/>
          <w:b/>
          <w:spacing w:val="-17"/>
          <w:sz w:val="44"/>
          <w:szCs w:val="44"/>
          <w:highlight w:val="none"/>
          <w:lang w:val="en-US" w:eastAsia="zh-CN"/>
        </w:rPr>
      </w:pPr>
      <w:r>
        <w:rPr>
          <w:rFonts w:hint="eastAsia" w:hAnsi="宋体"/>
          <w:b/>
          <w:spacing w:val="-17"/>
          <w:sz w:val="44"/>
          <w:szCs w:val="44"/>
          <w:highlight w:val="none"/>
          <w:lang w:val="en-US" w:eastAsia="zh-CN"/>
        </w:rPr>
        <w:t>博爱县林业发展服务中心</w:t>
      </w:r>
    </w:p>
    <w:p>
      <w:pPr>
        <w:pStyle w:val="3"/>
        <w:jc w:val="center"/>
        <w:rPr>
          <w:rFonts w:hint="eastAsia" w:ascii="宋体" w:hAnsi="宋体" w:cs="宋体"/>
          <w:b/>
          <w:bCs/>
          <w:sz w:val="44"/>
          <w:szCs w:val="44"/>
        </w:rPr>
      </w:pPr>
      <w:r>
        <w:rPr>
          <w:rFonts w:hint="eastAsia" w:hAnsi="宋体"/>
          <w:b/>
          <w:spacing w:val="-17"/>
          <w:sz w:val="44"/>
          <w:szCs w:val="44"/>
          <w:highlight w:val="none"/>
          <w:lang w:val="en-US" w:eastAsia="zh-CN"/>
        </w:rPr>
        <w:t xml:space="preserve">2023年森林资源调查管理工作采购项目 </w:t>
      </w:r>
    </w:p>
    <w:p>
      <w:pPr>
        <w:spacing w:line="360" w:lineRule="auto"/>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 xml:space="preserve"> </w:t>
      </w:r>
    </w:p>
    <w:p>
      <w:pPr>
        <w:spacing w:line="360" w:lineRule="auto"/>
        <w:jc w:val="center"/>
        <w:rPr>
          <w:rFonts w:asciiTheme="majorEastAsia" w:hAnsiTheme="majorEastAsia" w:eastAsiaTheme="majorEastAsia" w:cstheme="majorEastAsia"/>
          <w:b/>
          <w:bCs/>
          <w:sz w:val="44"/>
          <w:szCs w:val="44"/>
        </w:rPr>
      </w:pPr>
    </w:p>
    <w:p>
      <w:pPr>
        <w:spacing w:line="360" w:lineRule="auto"/>
        <w:jc w:val="center"/>
      </w:pPr>
      <w:r>
        <w:rPr>
          <w:rFonts w:hint="eastAsia" w:asciiTheme="majorEastAsia" w:hAnsiTheme="majorEastAsia" w:eastAsiaTheme="majorEastAsia" w:cstheme="majorEastAsia"/>
          <w:b/>
          <w:bCs/>
          <w:sz w:val="44"/>
          <w:szCs w:val="44"/>
        </w:rPr>
        <w:t xml:space="preserve"> </w:t>
      </w:r>
    </w:p>
    <w:p>
      <w:pPr>
        <w:spacing w:line="360" w:lineRule="auto"/>
        <w:jc w:val="center"/>
        <w:rPr>
          <w:rFonts w:asciiTheme="minorEastAsia" w:hAnsiTheme="minorEastAsia" w:eastAsiaTheme="minorEastAsia" w:cstheme="minorEastAsia"/>
          <w:b/>
          <w:sz w:val="120"/>
          <w:szCs w:val="120"/>
        </w:rPr>
      </w:pPr>
      <w:r>
        <w:rPr>
          <w:rFonts w:hint="eastAsia" w:asciiTheme="minorEastAsia" w:hAnsiTheme="minorEastAsia" w:eastAsiaTheme="minorEastAsia" w:cstheme="minorEastAsia"/>
          <w:b/>
          <w:sz w:val="120"/>
          <w:szCs w:val="120"/>
        </w:rPr>
        <w:t>招 标 文 件</w:t>
      </w:r>
    </w:p>
    <w:p>
      <w:pPr>
        <w:spacing w:line="360" w:lineRule="auto"/>
        <w:jc w:val="center"/>
        <w:rPr>
          <w:rFonts w:asciiTheme="minorEastAsia" w:hAnsiTheme="minorEastAsia" w:eastAsiaTheme="minorEastAsia" w:cstheme="minorEastAsia"/>
          <w:b/>
          <w:bCs/>
          <w:color w:val="FF0000"/>
          <w:sz w:val="36"/>
          <w:szCs w:val="36"/>
        </w:rPr>
      </w:pPr>
      <w:r>
        <w:rPr>
          <w:rFonts w:hint="eastAsia" w:asciiTheme="minorEastAsia" w:hAnsiTheme="minorEastAsia" w:eastAsiaTheme="minorEastAsia" w:cstheme="minorEastAsia"/>
          <w:b/>
          <w:bCs/>
          <w:sz w:val="36"/>
          <w:szCs w:val="36"/>
        </w:rPr>
        <w:t>采购编号：</w:t>
      </w:r>
      <w:r>
        <w:rPr>
          <w:rFonts w:hint="eastAsia" w:asciiTheme="minorEastAsia" w:hAnsiTheme="minorEastAsia" w:eastAsiaTheme="minorEastAsia" w:cstheme="minorEastAsia"/>
          <w:b/>
          <w:bCs/>
          <w:color w:val="auto"/>
          <w:sz w:val="36"/>
          <w:szCs w:val="36"/>
        </w:rPr>
        <w:t>博政采购〔</w:t>
      </w:r>
      <w:r>
        <w:rPr>
          <w:rFonts w:hint="eastAsia" w:asciiTheme="minorEastAsia" w:hAnsiTheme="minorEastAsia" w:eastAsiaTheme="minorEastAsia" w:cstheme="minorEastAsia"/>
          <w:b/>
          <w:bCs/>
          <w:color w:val="auto"/>
          <w:sz w:val="36"/>
          <w:szCs w:val="36"/>
          <w:lang w:val="en-US" w:eastAsia="zh-CN"/>
        </w:rPr>
        <w:t>2023</w:t>
      </w:r>
      <w:r>
        <w:rPr>
          <w:rFonts w:hint="eastAsia" w:asciiTheme="minorEastAsia" w:hAnsiTheme="minorEastAsia" w:eastAsiaTheme="minorEastAsia" w:cstheme="minorEastAsia"/>
          <w:b/>
          <w:bCs/>
          <w:color w:val="auto"/>
          <w:sz w:val="36"/>
          <w:szCs w:val="36"/>
        </w:rPr>
        <w:t>〕</w:t>
      </w:r>
      <w:r>
        <w:rPr>
          <w:rFonts w:hint="eastAsia" w:asciiTheme="minorEastAsia" w:hAnsiTheme="minorEastAsia" w:eastAsiaTheme="minorEastAsia" w:cstheme="minorEastAsia"/>
          <w:b/>
          <w:bCs/>
          <w:color w:val="auto"/>
          <w:sz w:val="36"/>
          <w:szCs w:val="36"/>
          <w:lang w:val="en-US" w:eastAsia="zh-CN"/>
        </w:rPr>
        <w:t>82</w:t>
      </w:r>
      <w:r>
        <w:rPr>
          <w:rFonts w:hint="eastAsia" w:asciiTheme="minorEastAsia" w:hAnsiTheme="minorEastAsia" w:eastAsiaTheme="minorEastAsia" w:cstheme="minorEastAsia"/>
          <w:b/>
          <w:bCs/>
          <w:color w:val="auto"/>
          <w:sz w:val="36"/>
          <w:szCs w:val="36"/>
        </w:rPr>
        <w:t>号</w:t>
      </w:r>
    </w:p>
    <w:p>
      <w:pPr>
        <w:rPr>
          <w:rFonts w:hint="eastAsia" w:asciiTheme="minorEastAsia" w:hAnsiTheme="minorEastAsia" w:eastAsiaTheme="minorEastAsia" w:cstheme="minorEastAsia"/>
          <w:sz w:val="30"/>
          <w:lang w:eastAsia="zh-CN"/>
        </w:rPr>
      </w:pPr>
    </w:p>
    <w:p>
      <w:pPr>
        <w:rPr>
          <w:rFonts w:asciiTheme="minorEastAsia" w:hAnsiTheme="minorEastAsia" w:eastAsiaTheme="minorEastAsia" w:cstheme="minorEastAsia"/>
        </w:rPr>
      </w:pPr>
    </w:p>
    <w:p>
      <w:pPr>
        <w:pStyle w:val="3"/>
        <w:rPr>
          <w:rFonts w:asciiTheme="minorEastAsia" w:hAnsiTheme="minorEastAsia" w:eastAsiaTheme="minorEastAsia" w:cstheme="minorEastAsia"/>
        </w:rPr>
      </w:pPr>
    </w:p>
    <w:p>
      <w:pPr>
        <w:pStyle w:val="4"/>
        <w:rPr>
          <w:rFonts w:asciiTheme="minorEastAsia" w:hAnsiTheme="minorEastAsia" w:eastAsiaTheme="minorEastAsia" w:cstheme="minorEastAsia"/>
        </w:rPr>
      </w:pPr>
    </w:p>
    <w:p>
      <w:pPr>
        <w:pStyle w:val="3"/>
        <w:rPr>
          <w:rFonts w:asciiTheme="minorEastAsia" w:hAnsiTheme="minorEastAsia" w:eastAsiaTheme="minorEastAsia" w:cstheme="minorEastAsia"/>
        </w:rPr>
      </w:pPr>
    </w:p>
    <w:p>
      <w:pPr>
        <w:pStyle w:val="3"/>
        <w:rPr>
          <w:rFonts w:asciiTheme="minorEastAsia" w:hAnsiTheme="minorEastAsia" w:eastAsiaTheme="minorEastAsia" w:cstheme="minorEastAsia"/>
        </w:rPr>
      </w:pPr>
    </w:p>
    <w:p>
      <w:pPr>
        <w:pStyle w:val="3"/>
        <w:rPr>
          <w:rFonts w:asciiTheme="minorEastAsia" w:hAnsiTheme="minorEastAsia" w:eastAsiaTheme="minorEastAsia" w:cstheme="minorEastAsia"/>
        </w:rPr>
      </w:pPr>
    </w:p>
    <w:p>
      <w:pPr>
        <w:pStyle w:val="3"/>
      </w:pPr>
    </w:p>
    <w:p>
      <w:pPr>
        <w:ind w:firstLine="1928" w:firstLineChars="600"/>
        <w:rPr>
          <w:rFonts w:hint="default"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采 购 人：</w:t>
      </w:r>
      <w:r>
        <w:rPr>
          <w:rFonts w:hint="eastAsia" w:asciiTheme="minorEastAsia" w:hAnsiTheme="minorEastAsia" w:eastAsiaTheme="minorEastAsia" w:cstheme="minorEastAsia"/>
          <w:b/>
          <w:bCs/>
          <w:sz w:val="32"/>
          <w:szCs w:val="32"/>
          <w:lang w:eastAsia="zh-CN"/>
        </w:rPr>
        <w:t>博爱县林业发展服务中心</w:t>
      </w:r>
      <w:r>
        <w:rPr>
          <w:rFonts w:hint="eastAsia" w:asciiTheme="minorEastAsia" w:hAnsiTheme="minorEastAsia" w:eastAsiaTheme="minorEastAsia" w:cstheme="minorEastAsia"/>
          <w:b/>
          <w:bCs/>
          <w:sz w:val="32"/>
          <w:szCs w:val="32"/>
        </w:rPr>
        <w:t xml:space="preserve"> </w:t>
      </w:r>
    </w:p>
    <w:p>
      <w:pPr>
        <w:ind w:firstLine="1928" w:firstLineChars="600"/>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rPr>
        <w:t>代理机构：</w:t>
      </w:r>
      <w:r>
        <w:rPr>
          <w:rFonts w:hint="eastAsia" w:asciiTheme="minorEastAsia" w:hAnsiTheme="minorEastAsia" w:eastAsiaTheme="minorEastAsia" w:cstheme="minorEastAsia"/>
          <w:b/>
          <w:bCs/>
          <w:sz w:val="32"/>
          <w:szCs w:val="32"/>
          <w:lang w:eastAsia="zh-CN"/>
        </w:rPr>
        <w:t>中常诚凯工程管理有限公司</w:t>
      </w:r>
    </w:p>
    <w:p>
      <w:pPr>
        <w:ind w:firstLine="1928" w:firstLineChars="600"/>
        <w:rPr>
          <w:rFonts w:asciiTheme="minorEastAsia" w:hAnsiTheme="minorEastAsia" w:eastAsiaTheme="minorEastAsia" w:cstheme="minorEastAsia"/>
          <w:b/>
          <w:bCs/>
          <w:sz w:val="32"/>
          <w:szCs w:val="32"/>
        </w:rPr>
        <w:sectPr>
          <w:headerReference r:id="rId5" w:type="first"/>
          <w:footerReference r:id="rId8" w:type="first"/>
          <w:headerReference r:id="rId3" w:type="default"/>
          <w:footerReference r:id="rId6" w:type="default"/>
          <w:headerReference r:id="rId4" w:type="even"/>
          <w:footerReference r:id="rId7" w:type="even"/>
          <w:pgSz w:w="11907" w:h="16840"/>
          <w:pgMar w:top="597" w:right="1116" w:bottom="1417" w:left="1331" w:header="624" w:footer="998" w:gutter="0"/>
          <w:pgNumType w:fmt="numberInDash" w:start="1"/>
          <w:cols w:space="720" w:num="1"/>
          <w:titlePg/>
          <w:docGrid w:type="lines" w:linePitch="380" w:charSpace="0"/>
        </w:sectPr>
      </w:pPr>
      <w:r>
        <w:rPr>
          <w:rFonts w:hint="eastAsia" w:asciiTheme="minorEastAsia" w:hAnsiTheme="minorEastAsia" w:eastAsiaTheme="minorEastAsia" w:cstheme="minorEastAsia"/>
          <w:b/>
          <w:bCs/>
          <w:sz w:val="32"/>
          <w:szCs w:val="32"/>
        </w:rPr>
        <w:t>日    期：202</w:t>
      </w:r>
      <w:r>
        <w:rPr>
          <w:rFonts w:hint="eastAsia" w:asciiTheme="minorEastAsia" w:hAnsiTheme="minorEastAsia" w:eastAsiaTheme="minorEastAsia" w:cstheme="minorEastAsia"/>
          <w:b/>
          <w:bCs/>
          <w:sz w:val="32"/>
          <w:szCs w:val="32"/>
          <w:lang w:val="en-US" w:eastAsia="zh-CN"/>
        </w:rPr>
        <w:t>3</w:t>
      </w:r>
      <w:r>
        <w:rPr>
          <w:rFonts w:hint="eastAsia" w:asciiTheme="minorEastAsia" w:hAnsiTheme="minorEastAsia" w:eastAsiaTheme="minorEastAsia" w:cstheme="minorEastAsia"/>
          <w:b/>
          <w:bCs/>
          <w:sz w:val="32"/>
          <w:szCs w:val="32"/>
        </w:rPr>
        <w:t>年</w:t>
      </w:r>
      <w:r>
        <w:rPr>
          <w:rFonts w:hint="eastAsia" w:asciiTheme="minorEastAsia" w:hAnsiTheme="minorEastAsia" w:eastAsiaTheme="minorEastAsia" w:cstheme="minorEastAsia"/>
          <w:b/>
          <w:bCs/>
          <w:sz w:val="32"/>
          <w:szCs w:val="32"/>
          <w:lang w:val="en-US" w:eastAsia="zh-CN"/>
        </w:rPr>
        <w:t>8</w:t>
      </w:r>
      <w:r>
        <w:rPr>
          <w:rFonts w:hint="eastAsia" w:asciiTheme="minorEastAsia" w:hAnsiTheme="minorEastAsia" w:eastAsiaTheme="minorEastAsia" w:cstheme="minorEastAsia"/>
          <w:b/>
          <w:bCs/>
          <w:sz w:val="32"/>
          <w:szCs w:val="32"/>
        </w:rPr>
        <w:t>月</w:t>
      </w:r>
    </w:p>
    <w:p>
      <w:pPr>
        <w:jc w:val="center"/>
        <w:rPr>
          <w:rFonts w:asciiTheme="minorEastAsia" w:hAnsiTheme="minorEastAsia" w:eastAsiaTheme="minorEastAsia" w:cstheme="minorEastAsia"/>
          <w:b/>
          <w:bCs/>
          <w:sz w:val="32"/>
          <w:szCs w:val="32"/>
        </w:rPr>
      </w:pPr>
    </w:p>
    <w:p>
      <w:pPr>
        <w:jc w:val="center"/>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目   录</w:t>
      </w:r>
    </w:p>
    <w:p>
      <w:pPr>
        <w:pStyle w:val="22"/>
        <w:tabs>
          <w:tab w:val="right" w:leader="dot" w:pos="9880"/>
        </w:tabs>
        <w:spacing w:line="360" w:lineRule="auto"/>
        <w:rPr>
          <w:rFonts w:hint="eastAsia" w:ascii="宋体" w:hAnsi="宋体" w:eastAsia="宋体" w:cs="宋体"/>
          <w:sz w:val="24"/>
          <w:szCs w:val="24"/>
        </w:rPr>
      </w:pPr>
      <w:r>
        <w:rPr>
          <w:rFonts w:hint="eastAsia" w:ascii="宋体" w:hAnsi="宋体" w:eastAsia="宋体" w:cs="宋体"/>
          <w:b/>
          <w:bCs/>
          <w:sz w:val="24"/>
          <w:szCs w:val="24"/>
          <w:lang w:val="zh-CN"/>
        </w:rPr>
        <w:fldChar w:fldCharType="begin"/>
      </w:r>
      <w:r>
        <w:rPr>
          <w:rFonts w:hint="eastAsia" w:ascii="宋体" w:hAnsi="宋体" w:eastAsia="宋体" w:cs="宋体"/>
          <w:b/>
          <w:bCs/>
          <w:sz w:val="24"/>
          <w:szCs w:val="24"/>
          <w:lang w:val="zh-CN"/>
        </w:rPr>
        <w:instrText xml:space="preserve"> TOC \o "1-3" \h \z \u </w:instrText>
      </w:r>
      <w:r>
        <w:rPr>
          <w:rFonts w:hint="eastAsia" w:ascii="宋体" w:hAnsi="宋体" w:eastAsia="宋体" w:cs="宋体"/>
          <w:b/>
          <w:bCs/>
          <w:sz w:val="24"/>
          <w:szCs w:val="24"/>
          <w:lang w:val="zh-CN"/>
        </w:rPr>
        <w:fldChar w:fldCharType="separate"/>
      </w: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_Toc21487 </w:instrText>
      </w:r>
      <w:r>
        <w:rPr>
          <w:rFonts w:hint="eastAsia" w:ascii="宋体" w:hAnsi="宋体" w:eastAsia="宋体" w:cs="宋体"/>
          <w:bCs/>
          <w:sz w:val="24"/>
          <w:szCs w:val="24"/>
          <w:lang w:val="zh-CN"/>
        </w:rPr>
        <w:fldChar w:fldCharType="separate"/>
      </w:r>
      <w:r>
        <w:rPr>
          <w:rFonts w:hint="eastAsia" w:ascii="宋体" w:hAnsi="宋体" w:eastAsia="宋体" w:cs="宋体"/>
          <w:sz w:val="24"/>
          <w:szCs w:val="24"/>
        </w:rPr>
        <w:t>重要事项提示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_Toc21487 \h </w:instrText>
      </w:r>
      <w:r>
        <w:rPr>
          <w:rFonts w:hint="eastAsia" w:ascii="宋体" w:hAnsi="宋体" w:eastAsia="宋体" w:cs="宋体"/>
          <w:sz w:val="24"/>
          <w:szCs w:val="24"/>
        </w:rPr>
        <w:fldChar w:fldCharType="separate"/>
      </w:r>
      <w:r>
        <w:rPr>
          <w:rFonts w:hint="eastAsia" w:ascii="宋体" w:hAnsi="宋体" w:eastAsia="宋体" w:cs="宋体"/>
          <w:sz w:val="24"/>
          <w:szCs w:val="24"/>
        </w:rPr>
        <w:t>- 3 -</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22"/>
        <w:tabs>
          <w:tab w:val="right" w:leader="dot" w:pos="9880"/>
        </w:tabs>
        <w:spacing w:line="360" w:lineRule="auto"/>
        <w:rPr>
          <w:rFonts w:hint="eastAsia" w:ascii="宋体" w:hAnsi="宋体" w:eastAsia="宋体" w:cs="宋体"/>
          <w:sz w:val="24"/>
          <w:szCs w:val="24"/>
        </w:rPr>
      </w:pPr>
      <w:r>
        <w:rPr>
          <w:rFonts w:hint="eastAsia" w:ascii="宋体" w:hAnsi="宋体" w:eastAsia="宋体" w:cs="宋体"/>
          <w:bCs/>
          <w:caps/>
          <w:sz w:val="24"/>
          <w:szCs w:val="24"/>
          <w:lang w:val="zh-CN"/>
        </w:rPr>
        <w:fldChar w:fldCharType="begin"/>
      </w:r>
      <w:r>
        <w:rPr>
          <w:rFonts w:hint="eastAsia" w:ascii="宋体" w:hAnsi="宋体" w:eastAsia="宋体" w:cs="宋体"/>
          <w:bCs/>
          <w:caps/>
          <w:sz w:val="24"/>
          <w:szCs w:val="24"/>
          <w:lang w:val="zh-CN"/>
        </w:rPr>
        <w:instrText xml:space="preserve"> HYPERLINK \l _Toc16378 </w:instrText>
      </w:r>
      <w:r>
        <w:rPr>
          <w:rFonts w:hint="eastAsia" w:ascii="宋体" w:hAnsi="宋体" w:eastAsia="宋体" w:cs="宋体"/>
          <w:bCs/>
          <w:caps/>
          <w:sz w:val="24"/>
          <w:szCs w:val="24"/>
          <w:lang w:val="zh-CN"/>
        </w:rPr>
        <w:fldChar w:fldCharType="separate"/>
      </w:r>
      <w:r>
        <w:rPr>
          <w:rFonts w:hint="eastAsia" w:ascii="宋体" w:hAnsi="宋体" w:eastAsia="宋体" w:cs="宋体"/>
          <w:sz w:val="24"/>
          <w:szCs w:val="24"/>
        </w:rPr>
        <w:t>第一章 招标公告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_Toc16378 \h </w:instrText>
      </w:r>
      <w:r>
        <w:rPr>
          <w:rFonts w:hint="eastAsia" w:ascii="宋体" w:hAnsi="宋体" w:eastAsia="宋体" w:cs="宋体"/>
          <w:sz w:val="24"/>
          <w:szCs w:val="24"/>
        </w:rPr>
        <w:fldChar w:fldCharType="separate"/>
      </w:r>
      <w:r>
        <w:rPr>
          <w:rFonts w:hint="eastAsia" w:ascii="宋体" w:hAnsi="宋体" w:eastAsia="宋体" w:cs="宋体"/>
          <w:sz w:val="24"/>
          <w:szCs w:val="24"/>
        </w:rPr>
        <w:t>- 5 -</w:t>
      </w:r>
      <w:r>
        <w:rPr>
          <w:rFonts w:hint="eastAsia" w:ascii="宋体" w:hAnsi="宋体" w:eastAsia="宋体" w:cs="宋体"/>
          <w:sz w:val="24"/>
          <w:szCs w:val="24"/>
        </w:rPr>
        <w:fldChar w:fldCharType="end"/>
      </w:r>
      <w:r>
        <w:rPr>
          <w:rFonts w:hint="eastAsia" w:ascii="宋体" w:hAnsi="宋体" w:eastAsia="宋体" w:cs="宋体"/>
          <w:bCs/>
          <w:caps/>
          <w:sz w:val="24"/>
          <w:szCs w:val="24"/>
          <w:lang w:val="zh-CN"/>
        </w:rPr>
        <w:fldChar w:fldCharType="end"/>
      </w:r>
    </w:p>
    <w:p>
      <w:pPr>
        <w:pStyle w:val="22"/>
        <w:tabs>
          <w:tab w:val="right" w:leader="dot" w:pos="9880"/>
        </w:tabs>
        <w:spacing w:line="360" w:lineRule="auto"/>
        <w:rPr>
          <w:rFonts w:hint="eastAsia" w:ascii="宋体" w:hAnsi="宋体" w:eastAsia="宋体" w:cs="宋体"/>
          <w:sz w:val="24"/>
          <w:szCs w:val="24"/>
        </w:rPr>
      </w:pPr>
      <w:r>
        <w:rPr>
          <w:rFonts w:hint="eastAsia" w:ascii="宋体" w:hAnsi="宋体" w:eastAsia="宋体" w:cs="宋体"/>
          <w:bCs/>
          <w:caps/>
          <w:sz w:val="24"/>
          <w:szCs w:val="24"/>
          <w:lang w:val="zh-CN"/>
        </w:rPr>
        <w:fldChar w:fldCharType="begin"/>
      </w:r>
      <w:r>
        <w:rPr>
          <w:rFonts w:hint="eastAsia" w:ascii="宋体" w:hAnsi="宋体" w:eastAsia="宋体" w:cs="宋体"/>
          <w:bCs/>
          <w:caps/>
          <w:sz w:val="24"/>
          <w:szCs w:val="24"/>
          <w:lang w:val="zh-CN"/>
        </w:rPr>
        <w:instrText xml:space="preserve"> HYPERLINK \l _Toc15241 </w:instrText>
      </w:r>
      <w:r>
        <w:rPr>
          <w:rFonts w:hint="eastAsia" w:ascii="宋体" w:hAnsi="宋体" w:eastAsia="宋体" w:cs="宋体"/>
          <w:bCs/>
          <w:caps/>
          <w:sz w:val="24"/>
          <w:szCs w:val="24"/>
          <w:lang w:val="zh-CN"/>
        </w:rPr>
        <w:fldChar w:fldCharType="separate"/>
      </w:r>
      <w:r>
        <w:rPr>
          <w:rFonts w:hint="eastAsia" w:ascii="宋体" w:hAnsi="宋体" w:eastAsia="宋体" w:cs="宋体"/>
          <w:sz w:val="24"/>
          <w:szCs w:val="24"/>
        </w:rPr>
        <w:t>第二章  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_Toc15241 \h </w:instrText>
      </w:r>
      <w:r>
        <w:rPr>
          <w:rFonts w:hint="eastAsia" w:ascii="宋体" w:hAnsi="宋体" w:eastAsia="宋体" w:cs="宋体"/>
          <w:sz w:val="24"/>
          <w:szCs w:val="24"/>
        </w:rPr>
        <w:fldChar w:fldCharType="separate"/>
      </w:r>
      <w:r>
        <w:rPr>
          <w:rFonts w:hint="eastAsia" w:ascii="宋体" w:hAnsi="宋体" w:eastAsia="宋体" w:cs="宋体"/>
          <w:sz w:val="24"/>
          <w:szCs w:val="24"/>
        </w:rPr>
        <w:t>- 8 -</w:t>
      </w:r>
      <w:r>
        <w:rPr>
          <w:rFonts w:hint="eastAsia" w:ascii="宋体" w:hAnsi="宋体" w:eastAsia="宋体" w:cs="宋体"/>
          <w:sz w:val="24"/>
          <w:szCs w:val="24"/>
        </w:rPr>
        <w:fldChar w:fldCharType="end"/>
      </w:r>
      <w:r>
        <w:rPr>
          <w:rFonts w:hint="eastAsia" w:ascii="宋体" w:hAnsi="宋体" w:eastAsia="宋体" w:cs="宋体"/>
          <w:bCs/>
          <w:caps/>
          <w:sz w:val="24"/>
          <w:szCs w:val="24"/>
          <w:lang w:val="zh-CN"/>
        </w:rPr>
        <w:fldChar w:fldCharType="end"/>
      </w:r>
    </w:p>
    <w:p>
      <w:pPr>
        <w:pStyle w:val="22"/>
        <w:tabs>
          <w:tab w:val="right" w:leader="dot" w:pos="9880"/>
        </w:tabs>
        <w:spacing w:line="360" w:lineRule="auto"/>
        <w:rPr>
          <w:rFonts w:hint="eastAsia" w:ascii="宋体" w:hAnsi="宋体" w:eastAsia="宋体" w:cs="宋体"/>
          <w:sz w:val="24"/>
          <w:szCs w:val="24"/>
        </w:rPr>
      </w:pPr>
      <w:r>
        <w:rPr>
          <w:rFonts w:hint="eastAsia" w:ascii="宋体" w:hAnsi="宋体" w:eastAsia="宋体" w:cs="宋体"/>
          <w:bCs/>
          <w:caps/>
          <w:sz w:val="24"/>
          <w:szCs w:val="24"/>
          <w:lang w:val="zh-CN"/>
        </w:rPr>
        <w:fldChar w:fldCharType="begin"/>
      </w:r>
      <w:r>
        <w:rPr>
          <w:rFonts w:hint="eastAsia" w:ascii="宋体" w:hAnsi="宋体" w:eastAsia="宋体" w:cs="宋体"/>
          <w:bCs/>
          <w:caps/>
          <w:sz w:val="24"/>
          <w:szCs w:val="24"/>
          <w:lang w:val="zh-CN"/>
        </w:rPr>
        <w:instrText xml:space="preserve"> HYPERLINK \l _Toc1250 </w:instrText>
      </w:r>
      <w:r>
        <w:rPr>
          <w:rFonts w:hint="eastAsia" w:ascii="宋体" w:hAnsi="宋体" w:eastAsia="宋体" w:cs="宋体"/>
          <w:bCs/>
          <w:caps/>
          <w:sz w:val="24"/>
          <w:szCs w:val="24"/>
          <w:lang w:val="zh-CN"/>
        </w:rPr>
        <w:fldChar w:fldCharType="separate"/>
      </w:r>
      <w:r>
        <w:rPr>
          <w:rFonts w:hint="eastAsia" w:ascii="宋体" w:hAnsi="宋体" w:eastAsia="宋体" w:cs="宋体"/>
          <w:sz w:val="24"/>
          <w:szCs w:val="24"/>
        </w:rPr>
        <w:t>第三章 评标办法（综合评分法）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_Toc1250 \h </w:instrText>
      </w:r>
      <w:r>
        <w:rPr>
          <w:rFonts w:hint="eastAsia" w:ascii="宋体" w:hAnsi="宋体" w:eastAsia="宋体" w:cs="宋体"/>
          <w:sz w:val="24"/>
          <w:szCs w:val="24"/>
        </w:rPr>
        <w:fldChar w:fldCharType="separate"/>
      </w:r>
      <w:r>
        <w:rPr>
          <w:rFonts w:hint="eastAsia" w:ascii="宋体" w:hAnsi="宋体" w:eastAsia="宋体" w:cs="宋体"/>
          <w:sz w:val="24"/>
          <w:szCs w:val="24"/>
        </w:rPr>
        <w:t>- 26 -</w:t>
      </w:r>
      <w:r>
        <w:rPr>
          <w:rFonts w:hint="eastAsia" w:ascii="宋体" w:hAnsi="宋体" w:eastAsia="宋体" w:cs="宋体"/>
          <w:sz w:val="24"/>
          <w:szCs w:val="24"/>
        </w:rPr>
        <w:fldChar w:fldCharType="end"/>
      </w:r>
      <w:r>
        <w:rPr>
          <w:rFonts w:hint="eastAsia" w:ascii="宋体" w:hAnsi="宋体" w:eastAsia="宋体" w:cs="宋体"/>
          <w:bCs/>
          <w:caps/>
          <w:sz w:val="24"/>
          <w:szCs w:val="24"/>
          <w:lang w:val="zh-CN"/>
        </w:rPr>
        <w:fldChar w:fldCharType="end"/>
      </w:r>
    </w:p>
    <w:p>
      <w:pPr>
        <w:pStyle w:val="22"/>
        <w:tabs>
          <w:tab w:val="right" w:leader="dot" w:pos="9880"/>
        </w:tabs>
        <w:spacing w:line="360" w:lineRule="auto"/>
        <w:rPr>
          <w:rFonts w:hint="eastAsia" w:ascii="宋体" w:hAnsi="宋体" w:eastAsia="宋体" w:cs="宋体"/>
          <w:sz w:val="24"/>
          <w:szCs w:val="24"/>
        </w:rPr>
      </w:pPr>
      <w:r>
        <w:rPr>
          <w:rFonts w:hint="eastAsia" w:ascii="宋体" w:hAnsi="宋体" w:eastAsia="宋体" w:cs="宋体"/>
          <w:bCs/>
          <w:caps/>
          <w:sz w:val="24"/>
          <w:szCs w:val="24"/>
          <w:lang w:val="zh-CN"/>
        </w:rPr>
        <w:fldChar w:fldCharType="begin"/>
      </w:r>
      <w:r>
        <w:rPr>
          <w:rFonts w:hint="eastAsia" w:ascii="宋体" w:hAnsi="宋体" w:eastAsia="宋体" w:cs="宋体"/>
          <w:bCs/>
          <w:caps/>
          <w:sz w:val="24"/>
          <w:szCs w:val="24"/>
          <w:lang w:val="zh-CN"/>
        </w:rPr>
        <w:instrText xml:space="preserve"> HYPERLINK \l _Toc19372 </w:instrText>
      </w:r>
      <w:r>
        <w:rPr>
          <w:rFonts w:hint="eastAsia" w:ascii="宋体" w:hAnsi="宋体" w:eastAsia="宋体" w:cs="宋体"/>
          <w:bCs/>
          <w:caps/>
          <w:sz w:val="24"/>
          <w:szCs w:val="24"/>
          <w:lang w:val="zh-CN"/>
        </w:rPr>
        <w:fldChar w:fldCharType="separate"/>
      </w:r>
      <w:r>
        <w:rPr>
          <w:rFonts w:hint="eastAsia" w:ascii="宋体" w:hAnsi="宋体" w:eastAsia="宋体" w:cs="宋体"/>
          <w:sz w:val="24"/>
          <w:szCs w:val="24"/>
        </w:rPr>
        <w:t>第四章 合同条款及格式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_Toc19372 \h </w:instrText>
      </w:r>
      <w:r>
        <w:rPr>
          <w:rFonts w:hint="eastAsia" w:ascii="宋体" w:hAnsi="宋体" w:eastAsia="宋体" w:cs="宋体"/>
          <w:sz w:val="24"/>
          <w:szCs w:val="24"/>
        </w:rPr>
        <w:fldChar w:fldCharType="separate"/>
      </w:r>
      <w:r>
        <w:rPr>
          <w:rFonts w:hint="eastAsia" w:ascii="宋体" w:hAnsi="宋体" w:eastAsia="宋体" w:cs="宋体"/>
          <w:sz w:val="24"/>
          <w:szCs w:val="24"/>
        </w:rPr>
        <w:t>- 32 -</w:t>
      </w:r>
      <w:r>
        <w:rPr>
          <w:rFonts w:hint="eastAsia" w:ascii="宋体" w:hAnsi="宋体" w:eastAsia="宋体" w:cs="宋体"/>
          <w:sz w:val="24"/>
          <w:szCs w:val="24"/>
        </w:rPr>
        <w:fldChar w:fldCharType="end"/>
      </w:r>
      <w:r>
        <w:rPr>
          <w:rFonts w:hint="eastAsia" w:ascii="宋体" w:hAnsi="宋体" w:eastAsia="宋体" w:cs="宋体"/>
          <w:bCs/>
          <w:caps/>
          <w:sz w:val="24"/>
          <w:szCs w:val="24"/>
          <w:lang w:val="zh-CN"/>
        </w:rPr>
        <w:fldChar w:fldCharType="end"/>
      </w:r>
    </w:p>
    <w:p>
      <w:pPr>
        <w:pStyle w:val="22"/>
        <w:tabs>
          <w:tab w:val="right" w:leader="dot" w:pos="9880"/>
        </w:tabs>
        <w:spacing w:line="360" w:lineRule="auto"/>
        <w:rPr>
          <w:rFonts w:hint="eastAsia" w:ascii="宋体" w:hAnsi="宋体" w:eastAsia="宋体" w:cs="宋体"/>
          <w:sz w:val="24"/>
          <w:szCs w:val="24"/>
        </w:rPr>
      </w:pPr>
      <w:r>
        <w:rPr>
          <w:rFonts w:hint="eastAsia" w:ascii="宋体" w:hAnsi="宋体" w:eastAsia="宋体" w:cs="宋体"/>
          <w:bCs/>
          <w:caps/>
          <w:sz w:val="24"/>
          <w:szCs w:val="24"/>
          <w:lang w:val="zh-CN"/>
        </w:rPr>
        <w:fldChar w:fldCharType="begin"/>
      </w:r>
      <w:r>
        <w:rPr>
          <w:rFonts w:hint="eastAsia" w:ascii="宋体" w:hAnsi="宋体" w:eastAsia="宋体" w:cs="宋体"/>
          <w:bCs/>
          <w:caps/>
          <w:sz w:val="24"/>
          <w:szCs w:val="24"/>
          <w:lang w:val="zh-CN"/>
        </w:rPr>
        <w:instrText xml:space="preserve"> HYPERLINK \l _Toc25654 </w:instrText>
      </w:r>
      <w:r>
        <w:rPr>
          <w:rFonts w:hint="eastAsia" w:ascii="宋体" w:hAnsi="宋体" w:eastAsia="宋体" w:cs="宋体"/>
          <w:bCs/>
          <w:caps/>
          <w:sz w:val="24"/>
          <w:szCs w:val="24"/>
          <w:lang w:val="zh-CN"/>
        </w:rPr>
        <w:fldChar w:fldCharType="separate"/>
      </w:r>
      <w:r>
        <w:rPr>
          <w:rFonts w:hint="eastAsia" w:ascii="宋体" w:hAnsi="宋体" w:eastAsia="宋体" w:cs="宋体"/>
          <w:sz w:val="24"/>
          <w:szCs w:val="24"/>
        </w:rPr>
        <w:t>第五章</w:t>
      </w:r>
      <w:r>
        <w:rPr>
          <w:rFonts w:hint="eastAsia" w:ascii="宋体" w:hAnsi="宋体" w:eastAsia="宋体" w:cs="宋体"/>
          <w:sz w:val="24"/>
          <w:szCs w:val="24"/>
          <w:lang w:val="en-US" w:eastAsia="zh-CN"/>
        </w:rPr>
        <w:t xml:space="preserve">  采购</w:t>
      </w:r>
      <w:r>
        <w:rPr>
          <w:rFonts w:hint="eastAsia" w:ascii="宋体" w:hAnsi="宋体" w:eastAsia="宋体" w:cs="宋体"/>
          <w:sz w:val="24"/>
          <w:szCs w:val="24"/>
        </w:rPr>
        <w:t>内容及</w:t>
      </w:r>
      <w:r>
        <w:rPr>
          <w:rFonts w:hint="eastAsia" w:ascii="宋体" w:hAnsi="宋体" w:eastAsia="宋体" w:cs="宋体"/>
          <w:sz w:val="24"/>
          <w:szCs w:val="24"/>
          <w:lang w:val="en-US" w:eastAsia="zh-CN"/>
        </w:rPr>
        <w:t>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_Toc25654 \h </w:instrText>
      </w:r>
      <w:r>
        <w:rPr>
          <w:rFonts w:hint="eastAsia" w:ascii="宋体" w:hAnsi="宋体" w:eastAsia="宋体" w:cs="宋体"/>
          <w:sz w:val="24"/>
          <w:szCs w:val="24"/>
        </w:rPr>
        <w:fldChar w:fldCharType="separate"/>
      </w:r>
      <w:r>
        <w:rPr>
          <w:rFonts w:hint="eastAsia" w:ascii="宋体" w:hAnsi="宋体" w:eastAsia="宋体" w:cs="宋体"/>
          <w:sz w:val="24"/>
          <w:szCs w:val="24"/>
        </w:rPr>
        <w:t>- 34 -</w:t>
      </w:r>
      <w:r>
        <w:rPr>
          <w:rFonts w:hint="eastAsia" w:ascii="宋体" w:hAnsi="宋体" w:eastAsia="宋体" w:cs="宋体"/>
          <w:sz w:val="24"/>
          <w:szCs w:val="24"/>
        </w:rPr>
        <w:fldChar w:fldCharType="end"/>
      </w:r>
      <w:r>
        <w:rPr>
          <w:rFonts w:hint="eastAsia" w:ascii="宋体" w:hAnsi="宋体" w:eastAsia="宋体" w:cs="宋体"/>
          <w:bCs/>
          <w:caps/>
          <w:sz w:val="24"/>
          <w:szCs w:val="24"/>
          <w:lang w:val="zh-CN"/>
        </w:rPr>
        <w:fldChar w:fldCharType="end"/>
      </w:r>
    </w:p>
    <w:p>
      <w:pPr>
        <w:pStyle w:val="22"/>
        <w:tabs>
          <w:tab w:val="right" w:leader="dot" w:pos="9880"/>
        </w:tabs>
        <w:spacing w:line="360" w:lineRule="auto"/>
        <w:rPr>
          <w:rFonts w:hint="eastAsia" w:ascii="宋体" w:hAnsi="宋体" w:eastAsia="宋体" w:cs="宋体"/>
          <w:sz w:val="24"/>
          <w:szCs w:val="24"/>
        </w:rPr>
      </w:pPr>
      <w:r>
        <w:rPr>
          <w:rFonts w:hint="eastAsia" w:ascii="宋体" w:hAnsi="宋体" w:eastAsia="宋体" w:cs="宋体"/>
          <w:bCs/>
          <w:caps/>
          <w:sz w:val="24"/>
          <w:szCs w:val="24"/>
          <w:lang w:val="zh-CN"/>
        </w:rPr>
        <w:fldChar w:fldCharType="begin"/>
      </w:r>
      <w:r>
        <w:rPr>
          <w:rFonts w:hint="eastAsia" w:ascii="宋体" w:hAnsi="宋体" w:eastAsia="宋体" w:cs="宋体"/>
          <w:bCs/>
          <w:caps/>
          <w:sz w:val="24"/>
          <w:szCs w:val="24"/>
          <w:lang w:val="zh-CN"/>
        </w:rPr>
        <w:instrText xml:space="preserve"> HYPERLINK \l _Toc22478 </w:instrText>
      </w:r>
      <w:r>
        <w:rPr>
          <w:rFonts w:hint="eastAsia" w:ascii="宋体" w:hAnsi="宋体" w:eastAsia="宋体" w:cs="宋体"/>
          <w:bCs/>
          <w:caps/>
          <w:sz w:val="24"/>
          <w:szCs w:val="24"/>
          <w:lang w:val="zh-CN"/>
        </w:rPr>
        <w:fldChar w:fldCharType="separate"/>
      </w:r>
      <w:r>
        <w:rPr>
          <w:rFonts w:hint="eastAsia" w:ascii="宋体" w:hAnsi="宋体" w:eastAsia="宋体" w:cs="宋体"/>
          <w:sz w:val="24"/>
          <w:szCs w:val="24"/>
        </w:rPr>
        <w:t>第六章 质疑与投诉</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_Toc22478 \h </w:instrText>
      </w:r>
      <w:r>
        <w:rPr>
          <w:rFonts w:hint="eastAsia" w:ascii="宋体" w:hAnsi="宋体" w:eastAsia="宋体" w:cs="宋体"/>
          <w:sz w:val="24"/>
          <w:szCs w:val="24"/>
        </w:rPr>
        <w:fldChar w:fldCharType="separate"/>
      </w:r>
      <w:r>
        <w:rPr>
          <w:rFonts w:hint="eastAsia" w:ascii="宋体" w:hAnsi="宋体" w:eastAsia="宋体" w:cs="宋体"/>
          <w:sz w:val="24"/>
          <w:szCs w:val="24"/>
        </w:rPr>
        <w:t>- 40 -</w:t>
      </w:r>
      <w:r>
        <w:rPr>
          <w:rFonts w:hint="eastAsia" w:ascii="宋体" w:hAnsi="宋体" w:eastAsia="宋体" w:cs="宋体"/>
          <w:sz w:val="24"/>
          <w:szCs w:val="24"/>
        </w:rPr>
        <w:fldChar w:fldCharType="end"/>
      </w:r>
      <w:r>
        <w:rPr>
          <w:rFonts w:hint="eastAsia" w:ascii="宋体" w:hAnsi="宋体" w:eastAsia="宋体" w:cs="宋体"/>
          <w:bCs/>
          <w:caps/>
          <w:sz w:val="24"/>
          <w:szCs w:val="24"/>
          <w:lang w:val="zh-CN"/>
        </w:rPr>
        <w:fldChar w:fldCharType="end"/>
      </w:r>
    </w:p>
    <w:p>
      <w:pPr>
        <w:pStyle w:val="22"/>
        <w:tabs>
          <w:tab w:val="right" w:leader="dot" w:pos="9880"/>
        </w:tabs>
        <w:spacing w:line="360" w:lineRule="auto"/>
        <w:rPr>
          <w:rFonts w:hint="eastAsia" w:ascii="宋体" w:hAnsi="宋体" w:eastAsia="宋体" w:cs="宋体"/>
          <w:sz w:val="24"/>
          <w:szCs w:val="24"/>
        </w:rPr>
      </w:pPr>
      <w:r>
        <w:rPr>
          <w:rFonts w:hint="eastAsia" w:ascii="宋体" w:hAnsi="宋体" w:eastAsia="宋体" w:cs="宋体"/>
          <w:bCs/>
          <w:caps/>
          <w:sz w:val="24"/>
          <w:szCs w:val="24"/>
          <w:lang w:val="zh-CN"/>
        </w:rPr>
        <w:fldChar w:fldCharType="begin"/>
      </w:r>
      <w:r>
        <w:rPr>
          <w:rFonts w:hint="eastAsia" w:ascii="宋体" w:hAnsi="宋体" w:eastAsia="宋体" w:cs="宋体"/>
          <w:bCs/>
          <w:caps/>
          <w:sz w:val="24"/>
          <w:szCs w:val="24"/>
          <w:lang w:val="zh-CN"/>
        </w:rPr>
        <w:instrText xml:space="preserve"> HYPERLINK \l _Toc848 </w:instrText>
      </w:r>
      <w:r>
        <w:rPr>
          <w:rFonts w:hint="eastAsia" w:ascii="宋体" w:hAnsi="宋体" w:eastAsia="宋体" w:cs="宋体"/>
          <w:bCs/>
          <w:caps/>
          <w:sz w:val="24"/>
          <w:szCs w:val="24"/>
          <w:lang w:val="zh-CN"/>
        </w:rPr>
        <w:fldChar w:fldCharType="separate"/>
      </w:r>
      <w:r>
        <w:rPr>
          <w:rFonts w:hint="eastAsia" w:ascii="宋体" w:hAnsi="宋体" w:eastAsia="宋体" w:cs="宋体"/>
          <w:sz w:val="24"/>
          <w:szCs w:val="24"/>
        </w:rPr>
        <w:t>第七章 履约验收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_Toc848 \h </w:instrText>
      </w:r>
      <w:r>
        <w:rPr>
          <w:rFonts w:hint="eastAsia" w:ascii="宋体" w:hAnsi="宋体" w:eastAsia="宋体" w:cs="宋体"/>
          <w:sz w:val="24"/>
          <w:szCs w:val="24"/>
        </w:rPr>
        <w:fldChar w:fldCharType="separate"/>
      </w:r>
      <w:r>
        <w:rPr>
          <w:rFonts w:hint="eastAsia" w:ascii="宋体" w:hAnsi="宋体" w:eastAsia="宋体" w:cs="宋体"/>
          <w:sz w:val="24"/>
          <w:szCs w:val="24"/>
        </w:rPr>
        <w:t>- 42 -</w:t>
      </w:r>
      <w:r>
        <w:rPr>
          <w:rFonts w:hint="eastAsia" w:ascii="宋体" w:hAnsi="宋体" w:eastAsia="宋体" w:cs="宋体"/>
          <w:sz w:val="24"/>
          <w:szCs w:val="24"/>
        </w:rPr>
        <w:fldChar w:fldCharType="end"/>
      </w:r>
      <w:r>
        <w:rPr>
          <w:rFonts w:hint="eastAsia" w:ascii="宋体" w:hAnsi="宋体" w:eastAsia="宋体" w:cs="宋体"/>
          <w:bCs/>
          <w:caps/>
          <w:sz w:val="24"/>
          <w:szCs w:val="24"/>
          <w:lang w:val="zh-CN"/>
        </w:rPr>
        <w:fldChar w:fldCharType="end"/>
      </w:r>
    </w:p>
    <w:p>
      <w:pPr>
        <w:pStyle w:val="22"/>
        <w:tabs>
          <w:tab w:val="right" w:leader="dot" w:pos="9880"/>
        </w:tabs>
        <w:spacing w:line="360" w:lineRule="auto"/>
        <w:rPr>
          <w:rFonts w:hint="eastAsia" w:ascii="宋体" w:hAnsi="宋体" w:eastAsia="宋体" w:cs="宋体"/>
          <w:sz w:val="24"/>
          <w:szCs w:val="24"/>
        </w:rPr>
      </w:pPr>
      <w:r>
        <w:rPr>
          <w:rFonts w:hint="eastAsia" w:ascii="宋体" w:hAnsi="宋体" w:eastAsia="宋体" w:cs="宋体"/>
          <w:bCs/>
          <w:caps/>
          <w:sz w:val="24"/>
          <w:szCs w:val="24"/>
          <w:lang w:val="zh-CN"/>
        </w:rPr>
        <w:fldChar w:fldCharType="begin"/>
      </w:r>
      <w:r>
        <w:rPr>
          <w:rFonts w:hint="eastAsia" w:ascii="宋体" w:hAnsi="宋体" w:eastAsia="宋体" w:cs="宋体"/>
          <w:bCs/>
          <w:caps/>
          <w:sz w:val="24"/>
          <w:szCs w:val="24"/>
          <w:lang w:val="zh-CN"/>
        </w:rPr>
        <w:instrText xml:space="preserve"> HYPERLINK \l _Toc29719 </w:instrText>
      </w:r>
      <w:r>
        <w:rPr>
          <w:rFonts w:hint="eastAsia" w:ascii="宋体" w:hAnsi="宋体" w:eastAsia="宋体" w:cs="宋体"/>
          <w:bCs/>
          <w:caps/>
          <w:sz w:val="24"/>
          <w:szCs w:val="24"/>
          <w:lang w:val="zh-CN"/>
        </w:rPr>
        <w:fldChar w:fldCharType="separate"/>
      </w:r>
      <w:r>
        <w:rPr>
          <w:rFonts w:hint="eastAsia" w:ascii="宋体" w:hAnsi="宋体" w:eastAsia="宋体" w:cs="宋体"/>
          <w:sz w:val="24"/>
          <w:szCs w:val="24"/>
        </w:rPr>
        <w:t>第八章  投标文件格式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_Toc29719 \h </w:instrText>
      </w:r>
      <w:r>
        <w:rPr>
          <w:rFonts w:hint="eastAsia" w:ascii="宋体" w:hAnsi="宋体" w:eastAsia="宋体" w:cs="宋体"/>
          <w:sz w:val="24"/>
          <w:szCs w:val="24"/>
        </w:rPr>
        <w:fldChar w:fldCharType="separate"/>
      </w:r>
      <w:r>
        <w:rPr>
          <w:rFonts w:hint="eastAsia" w:ascii="宋体" w:hAnsi="宋体" w:eastAsia="宋体" w:cs="宋体"/>
          <w:sz w:val="24"/>
          <w:szCs w:val="24"/>
        </w:rPr>
        <w:t>- 43 -</w:t>
      </w:r>
      <w:r>
        <w:rPr>
          <w:rFonts w:hint="eastAsia" w:ascii="宋体" w:hAnsi="宋体" w:eastAsia="宋体" w:cs="宋体"/>
          <w:sz w:val="24"/>
          <w:szCs w:val="24"/>
        </w:rPr>
        <w:fldChar w:fldCharType="end"/>
      </w:r>
      <w:r>
        <w:rPr>
          <w:rFonts w:hint="eastAsia" w:ascii="宋体" w:hAnsi="宋体" w:eastAsia="宋体" w:cs="宋体"/>
          <w:bCs/>
          <w:caps/>
          <w:sz w:val="24"/>
          <w:szCs w:val="24"/>
          <w:lang w:val="zh-CN"/>
        </w:rPr>
        <w:fldChar w:fldCharType="end"/>
      </w:r>
    </w:p>
    <w:p>
      <w:pPr>
        <w:spacing w:line="360" w:lineRule="auto"/>
        <w:ind w:right="-273" w:rightChars="-130"/>
        <w:rPr>
          <w:rFonts w:asciiTheme="minorEastAsia" w:hAnsiTheme="minorEastAsia" w:eastAsiaTheme="minorEastAsia" w:cstheme="minorEastAsia"/>
          <w:bCs/>
        </w:rPr>
      </w:pPr>
      <w:r>
        <w:rPr>
          <w:rFonts w:hint="eastAsia" w:ascii="宋体" w:hAnsi="宋体" w:eastAsia="宋体" w:cs="宋体"/>
          <w:bCs/>
          <w:caps/>
          <w:sz w:val="24"/>
          <w:szCs w:val="24"/>
          <w:lang w:val="zh-CN"/>
        </w:rPr>
        <w:fldChar w:fldCharType="end"/>
      </w:r>
    </w:p>
    <w:p>
      <w:pPr>
        <w:bidi w:val="0"/>
      </w:pPr>
    </w:p>
    <w:p>
      <w:pPr>
        <w:bidi w:val="0"/>
      </w:pPr>
    </w:p>
    <w:p>
      <w:pPr>
        <w:bidi w:val="0"/>
      </w:pPr>
    </w:p>
    <w:p>
      <w:pPr>
        <w:bidi w:val="0"/>
      </w:pPr>
    </w:p>
    <w:p>
      <w:pPr>
        <w:rPr>
          <w:rFonts w:hint="eastAsia"/>
        </w:rPr>
      </w:pPr>
      <w:r>
        <w:rPr>
          <w:rFonts w:hint="eastAsia"/>
        </w:rPr>
        <w:br w:type="page"/>
      </w:r>
    </w:p>
    <w:p>
      <w:pPr>
        <w:pStyle w:val="9"/>
        <w:spacing w:after="0" w:afterAutospacing="0"/>
        <w:rPr>
          <w:rFonts w:ascii="宋体" w:hAnsi="宋体" w:cs="宋体"/>
        </w:rPr>
      </w:pPr>
      <w:bookmarkStart w:id="1" w:name="_Toc21487"/>
      <w:r>
        <w:rPr>
          <w:rFonts w:hint="eastAsia"/>
        </w:rPr>
        <w:t>重要事项提示</w:t>
      </w:r>
      <w:bookmarkEnd w:id="1"/>
    </w:p>
    <w:p>
      <w:pPr>
        <w:spacing w:beforeAutospacing="0" w:line="360" w:lineRule="auto"/>
        <w:rPr>
          <w:rFonts w:ascii="宋体" w:hAnsi="宋体" w:cs="宋体"/>
          <w:sz w:val="24"/>
        </w:rPr>
      </w:pPr>
      <w:r>
        <w:rPr>
          <w:rFonts w:hint="eastAsia" w:ascii="宋体" w:hAnsi="宋体" w:cs="宋体"/>
          <w:sz w:val="24"/>
        </w:rPr>
        <w:t>各潜在投标人：</w:t>
      </w:r>
    </w:p>
    <w:p>
      <w:pPr>
        <w:spacing w:line="360" w:lineRule="auto"/>
        <w:ind w:firstLine="480" w:firstLineChars="200"/>
        <w:rPr>
          <w:rFonts w:ascii="宋体" w:hAnsi="宋体" w:cs="宋体"/>
          <w:sz w:val="24"/>
        </w:rPr>
      </w:pPr>
      <w:r>
        <w:rPr>
          <w:rFonts w:hint="eastAsia" w:ascii="宋体" w:hAnsi="宋体" w:cs="宋体"/>
          <w:sz w:val="24"/>
        </w:rPr>
        <w:t>以下环节是此采购文件中需要重点关注的环节，对以下内容的忽视，可能是影响贵公司中标的重要因素。请在编制响应文件参与政府采购时高度重视。</w:t>
      </w:r>
    </w:p>
    <w:p>
      <w:pPr>
        <w:spacing w:line="360" w:lineRule="auto"/>
        <w:ind w:firstLine="480" w:firstLineChars="200"/>
        <w:rPr>
          <w:rFonts w:ascii="宋体" w:hAnsi="宋体" w:cs="宋体"/>
          <w:sz w:val="24"/>
        </w:rPr>
      </w:pPr>
      <w:r>
        <w:rPr>
          <w:rFonts w:hint="eastAsia" w:ascii="宋体" w:hAnsi="宋体" w:cs="宋体"/>
          <w:sz w:val="24"/>
        </w:rPr>
        <w:t>1、采购文件应通过焦作市公共资源交易中心网站会员系统进行网上下载；未使用</w:t>
      </w:r>
      <w:r>
        <w:rPr>
          <w:rFonts w:hint="eastAsia" w:ascii="宋体" w:hAnsi="宋体"/>
          <w:bCs/>
          <w:kern w:val="0"/>
          <w:sz w:val="24"/>
        </w:rPr>
        <w:t>企业CA密匙</w:t>
      </w:r>
      <w:r>
        <w:rPr>
          <w:rFonts w:hint="eastAsia" w:ascii="宋体" w:hAnsi="宋体" w:cs="宋体"/>
          <w:sz w:val="24"/>
        </w:rPr>
        <w:t>登录焦作市公共资源交易中心网站会员系统进行网上下载文件的，投标视为无效；</w:t>
      </w:r>
    </w:p>
    <w:p>
      <w:pPr>
        <w:pStyle w:val="24"/>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80" w:firstLineChars="200"/>
        <w:jc w:val="both"/>
        <w:textAlignment w:val="auto"/>
      </w:pPr>
      <w:r>
        <w:rPr>
          <w:rFonts w:hint="eastAsia"/>
        </w:rPr>
        <w:t>2、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http://122.112.246.33/BidOpening/bidopeninghallaction/hall/login ），按要求解密投标文件。因文件未及时上传导致投标失败的责任由投标人自行承担，具体要求详见招标文件。 平台统一技术服务电话：400-998-0000，服务 QQ：4008503300，服务时间：周一至周日8：00-17：30。</w:t>
      </w:r>
    </w:p>
    <w:p>
      <w:pPr>
        <w:pStyle w:val="24"/>
        <w:spacing w:before="0" w:beforeAutospacing="0" w:after="0" w:afterAutospacing="0" w:line="360" w:lineRule="auto"/>
        <w:ind w:firstLine="480" w:firstLineChars="200"/>
        <w:jc w:val="both"/>
      </w:pPr>
      <w:r>
        <w:rPr>
          <w:rFonts w:hint="eastAsia"/>
        </w:rPr>
        <w:t>投标人无需到现场参加开标会议，无需到达现场提交原件资料。投标人应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pPr>
        <w:pStyle w:val="24"/>
        <w:numPr>
          <w:ilvl w:val="0"/>
          <w:numId w:val="2"/>
        </w:numPr>
        <w:spacing w:before="0" w:beforeAutospacing="0" w:after="0" w:afterAutospacing="0" w:line="360" w:lineRule="auto"/>
        <w:ind w:firstLine="480" w:firstLineChars="200"/>
        <w:jc w:val="both"/>
      </w:pPr>
      <w:r>
        <w:rPr>
          <w:rFonts w:hint="eastAsia"/>
        </w:rPr>
        <w:t>有下列情形之一的，将作为自动放弃、无效投标或废标处理：</w:t>
      </w:r>
    </w:p>
    <w:p>
      <w:pPr>
        <w:widowControl/>
        <w:spacing w:line="360" w:lineRule="auto"/>
        <w:ind w:firstLine="480" w:firstLineChars="200"/>
        <w:rPr>
          <w:rFonts w:ascii="宋体" w:hAnsi="宋体"/>
          <w:kern w:val="0"/>
          <w:sz w:val="24"/>
        </w:rPr>
      </w:pPr>
      <w:r>
        <w:rPr>
          <w:rFonts w:hint="eastAsia" w:ascii="宋体" w:hAnsi="宋体"/>
          <w:kern w:val="0"/>
          <w:sz w:val="24"/>
        </w:rPr>
        <w:t>3.1未按招标文件明示的规定签字或盖章的；</w:t>
      </w:r>
    </w:p>
    <w:p>
      <w:pPr>
        <w:widowControl/>
        <w:spacing w:line="360" w:lineRule="auto"/>
        <w:ind w:firstLine="480" w:firstLineChars="200"/>
        <w:rPr>
          <w:rFonts w:ascii="宋体" w:hAnsi="宋体"/>
          <w:kern w:val="0"/>
          <w:sz w:val="24"/>
        </w:rPr>
      </w:pPr>
      <w:r>
        <w:rPr>
          <w:rFonts w:hint="eastAsia" w:ascii="宋体" w:hAnsi="宋体"/>
          <w:kern w:val="0"/>
          <w:sz w:val="24"/>
        </w:rPr>
        <w:t>3.2投</w:t>
      </w:r>
      <w:r>
        <w:rPr>
          <w:rFonts w:hint="eastAsia" w:ascii="宋体" w:hAnsi="宋体"/>
          <w:color w:val="auto"/>
          <w:kern w:val="0"/>
          <w:sz w:val="24"/>
        </w:rPr>
        <w:t>标</w:t>
      </w:r>
      <w:r>
        <w:rPr>
          <w:rFonts w:hint="eastAsia" w:ascii="宋体" w:hAnsi="宋体"/>
          <w:color w:val="auto"/>
          <w:kern w:val="0"/>
          <w:sz w:val="24"/>
          <w:highlight w:val="none"/>
        </w:rPr>
        <w:t>文件的关键内容（投标报价、服务</w:t>
      </w:r>
      <w:r>
        <w:rPr>
          <w:rFonts w:hint="eastAsia" w:ascii="宋体" w:hAnsi="宋体" w:cs="宋体"/>
          <w:color w:val="auto"/>
          <w:kern w:val="0"/>
          <w:sz w:val="24"/>
          <w:highlight w:val="none"/>
        </w:rPr>
        <w:t>期</w:t>
      </w:r>
      <w:r>
        <w:rPr>
          <w:rFonts w:hint="eastAsia" w:ascii="宋体" w:hAnsi="宋体"/>
          <w:color w:val="auto"/>
          <w:kern w:val="0"/>
          <w:sz w:val="24"/>
          <w:highlight w:val="none"/>
        </w:rPr>
        <w:t>、质量</w:t>
      </w:r>
      <w:r>
        <w:rPr>
          <w:rFonts w:hint="eastAsia" w:ascii="宋体" w:hAnsi="宋体"/>
          <w:color w:val="auto"/>
          <w:kern w:val="0"/>
          <w:sz w:val="24"/>
          <w:highlight w:val="none"/>
          <w:lang w:val="en-US" w:eastAsia="zh-CN"/>
        </w:rPr>
        <w:t>标准</w:t>
      </w:r>
      <w:r>
        <w:rPr>
          <w:rFonts w:hint="eastAsia" w:ascii="宋体" w:hAnsi="宋体"/>
          <w:color w:val="auto"/>
          <w:kern w:val="0"/>
          <w:sz w:val="24"/>
          <w:highlight w:val="none"/>
        </w:rPr>
        <w:t>等）未填写或</w:t>
      </w:r>
      <w:r>
        <w:rPr>
          <w:rFonts w:hint="eastAsia" w:ascii="宋体" w:hAnsi="宋体"/>
          <w:color w:val="auto"/>
          <w:kern w:val="0"/>
          <w:sz w:val="24"/>
        </w:rPr>
        <w:t>填写字迹</w:t>
      </w:r>
      <w:r>
        <w:rPr>
          <w:rFonts w:hint="eastAsia" w:ascii="宋体" w:hAnsi="宋体"/>
          <w:kern w:val="0"/>
          <w:sz w:val="24"/>
        </w:rPr>
        <w:t>模糊无法辨认的；</w:t>
      </w:r>
    </w:p>
    <w:p>
      <w:pPr>
        <w:widowControl/>
        <w:spacing w:line="360" w:lineRule="auto"/>
        <w:ind w:firstLine="480" w:firstLineChars="200"/>
        <w:rPr>
          <w:rFonts w:ascii="宋体" w:hAnsi="宋体"/>
          <w:kern w:val="0"/>
          <w:sz w:val="24"/>
        </w:rPr>
      </w:pPr>
      <w:r>
        <w:rPr>
          <w:rFonts w:hint="eastAsia" w:ascii="宋体" w:hAnsi="宋体"/>
          <w:kern w:val="0"/>
          <w:sz w:val="24"/>
        </w:rPr>
        <w:t>3.3采购报价超出控制价的；</w:t>
      </w:r>
    </w:p>
    <w:p>
      <w:pPr>
        <w:widowControl/>
        <w:spacing w:line="360" w:lineRule="auto"/>
        <w:ind w:firstLine="480" w:firstLineChars="200"/>
        <w:rPr>
          <w:rFonts w:ascii="宋体" w:hAnsi="宋体"/>
          <w:kern w:val="0"/>
          <w:sz w:val="24"/>
        </w:rPr>
      </w:pPr>
      <w:r>
        <w:rPr>
          <w:rFonts w:hint="eastAsia" w:ascii="宋体" w:hAnsi="宋体"/>
          <w:kern w:val="0"/>
          <w:sz w:val="24"/>
        </w:rPr>
        <w:t>3.4投标文件中对同一项目有两个或多个报价，且未声明哪一个有效的；</w:t>
      </w:r>
    </w:p>
    <w:p>
      <w:pPr>
        <w:widowControl/>
        <w:spacing w:line="360" w:lineRule="auto"/>
        <w:ind w:firstLine="480" w:firstLineChars="200"/>
        <w:rPr>
          <w:rFonts w:ascii="宋体" w:hAnsi="宋体"/>
          <w:kern w:val="0"/>
          <w:sz w:val="24"/>
        </w:rPr>
      </w:pPr>
      <w:r>
        <w:rPr>
          <w:rFonts w:hint="eastAsia" w:ascii="宋体" w:hAnsi="宋体"/>
          <w:kern w:val="0"/>
          <w:sz w:val="24"/>
        </w:rPr>
        <w:t>3.5投标文件中附有采购人不能接受的条件的；</w:t>
      </w:r>
    </w:p>
    <w:p>
      <w:pPr>
        <w:widowControl/>
        <w:spacing w:line="360" w:lineRule="auto"/>
        <w:ind w:firstLine="480" w:firstLineChars="200"/>
        <w:rPr>
          <w:rFonts w:hint="eastAsia" w:ascii="宋体" w:hAnsi="宋体"/>
          <w:kern w:val="0"/>
          <w:sz w:val="24"/>
          <w:highlight w:val="none"/>
          <w:lang w:eastAsia="zh-CN"/>
        </w:rPr>
      </w:pPr>
      <w:r>
        <w:rPr>
          <w:rFonts w:hint="eastAsia" w:ascii="宋体" w:hAnsi="宋体"/>
          <w:kern w:val="0"/>
          <w:sz w:val="24"/>
        </w:rPr>
        <w:t>3.</w:t>
      </w:r>
      <w:r>
        <w:rPr>
          <w:rFonts w:hint="eastAsia" w:ascii="宋体" w:hAnsi="宋体"/>
          <w:kern w:val="0"/>
          <w:sz w:val="24"/>
          <w:lang w:val="en-US" w:eastAsia="zh-CN"/>
        </w:rPr>
        <w:t>6</w:t>
      </w:r>
      <w:r>
        <w:rPr>
          <w:rFonts w:hint="eastAsia" w:ascii="宋体" w:hAnsi="宋体"/>
          <w:kern w:val="0"/>
          <w:sz w:val="24"/>
        </w:rPr>
        <w:t>.评标过程中，如因两个或两个以上投标人在同一台计算或同一个IP上传投标文件，而被不见面开标</w:t>
      </w:r>
      <w:r>
        <w:rPr>
          <w:rFonts w:hint="eastAsia" w:ascii="宋体" w:hAnsi="宋体"/>
          <w:kern w:val="0"/>
          <w:sz w:val="24"/>
          <w:highlight w:val="none"/>
        </w:rPr>
        <w:t>系统提示为“投标文件制作机器码一致”的，则视其投标无效</w:t>
      </w:r>
      <w:r>
        <w:rPr>
          <w:rFonts w:hint="eastAsia" w:ascii="宋体" w:hAnsi="宋体"/>
          <w:kern w:val="0"/>
          <w:sz w:val="24"/>
          <w:highlight w:val="none"/>
          <w:lang w:eastAsia="zh-CN"/>
        </w:rPr>
        <w:t>；</w:t>
      </w:r>
    </w:p>
    <w:p>
      <w:pPr>
        <w:widowControl/>
        <w:spacing w:line="360" w:lineRule="auto"/>
        <w:ind w:firstLine="480" w:firstLineChars="200"/>
        <w:rPr>
          <w:rFonts w:hint="eastAsia" w:ascii="宋体" w:hAnsi="宋体" w:cs="Times New Roman"/>
          <w:kern w:val="0"/>
          <w:sz w:val="24"/>
          <w:lang w:val="en-US" w:eastAsia="zh-CN"/>
        </w:rPr>
      </w:pPr>
      <w:r>
        <w:rPr>
          <w:rFonts w:hint="eastAsia" w:ascii="宋体" w:hAnsi="宋体" w:cs="Times New Roman"/>
          <w:kern w:val="0"/>
          <w:sz w:val="24"/>
          <w:lang w:val="en-US" w:eastAsia="zh-CN"/>
        </w:rPr>
        <w:t xml:space="preserve"> </w:t>
      </w:r>
      <w:r>
        <w:rPr>
          <w:rFonts w:hint="eastAsia" w:ascii="宋体" w:hAnsi="宋体" w:cs="Times New Roman"/>
          <w:kern w:val="0"/>
          <w:sz w:val="24"/>
        </w:rPr>
        <w:t>3.</w:t>
      </w:r>
      <w:r>
        <w:rPr>
          <w:rFonts w:hint="eastAsia" w:ascii="宋体" w:hAnsi="宋体" w:cs="Times New Roman"/>
          <w:kern w:val="0"/>
          <w:sz w:val="24"/>
          <w:lang w:val="en-US" w:eastAsia="zh-CN"/>
        </w:rPr>
        <w:t>7</w:t>
      </w:r>
      <w:r>
        <w:rPr>
          <w:rFonts w:hint="eastAsia" w:ascii="宋体" w:hAnsi="宋体" w:cs="Times New Roman"/>
          <w:kern w:val="0"/>
          <w:sz w:val="24"/>
        </w:rPr>
        <w:t>在评标过程中，评标委员会发现投标单位的报价明显低于其它采购报价，使得其采购报价可能低于其个别成本的，应当要求该投标人作出书面说明并提供相关证明材料。投标人不能合理说明或者不能提供相关证明材料的，由评标委员会认定该投标人以低于成本报价竞标的</w:t>
      </w:r>
      <w:r>
        <w:rPr>
          <w:rFonts w:hint="eastAsia" w:ascii="宋体" w:hAnsi="宋体" w:cs="Times New Roman"/>
          <w:kern w:val="0"/>
          <w:sz w:val="24"/>
          <w:lang w:eastAsia="zh-CN"/>
        </w:rPr>
        <w:t>；</w:t>
      </w:r>
      <w:r>
        <w:rPr>
          <w:rFonts w:hint="eastAsia" w:ascii="宋体" w:hAnsi="宋体" w:cs="Times New Roman"/>
          <w:kern w:val="0"/>
          <w:sz w:val="24"/>
          <w:lang w:val="en-US" w:eastAsia="zh-CN"/>
        </w:rPr>
        <w:t xml:space="preserve">  </w:t>
      </w:r>
    </w:p>
    <w:p>
      <w:pPr>
        <w:widowControl/>
        <w:spacing w:line="360" w:lineRule="auto"/>
        <w:ind w:firstLine="480" w:firstLineChars="200"/>
        <w:rPr>
          <w:rFonts w:hint="eastAsia" w:ascii="宋体" w:hAnsi="宋体" w:eastAsia="宋体"/>
          <w:kern w:val="0"/>
          <w:sz w:val="24"/>
          <w:lang w:val="en-US" w:eastAsia="zh-CN"/>
        </w:rPr>
      </w:pPr>
      <w:r>
        <w:rPr>
          <w:rFonts w:hint="eastAsia" w:ascii="宋体" w:hAnsi="宋体" w:cs="Times New Roman"/>
          <w:kern w:val="0"/>
          <w:sz w:val="24"/>
          <w:lang w:val="en-US" w:eastAsia="zh-CN"/>
        </w:rPr>
        <w:t xml:space="preserve"> </w:t>
      </w:r>
      <w:r>
        <w:rPr>
          <w:rFonts w:hint="eastAsia" w:ascii="宋体" w:hAnsi="宋体" w:cs="Times New Roman"/>
          <w:kern w:val="0"/>
          <w:sz w:val="24"/>
        </w:rPr>
        <w:t>3.</w:t>
      </w:r>
      <w:r>
        <w:rPr>
          <w:rFonts w:hint="eastAsia" w:ascii="宋体" w:hAnsi="宋体" w:cs="Times New Roman"/>
          <w:kern w:val="0"/>
          <w:sz w:val="24"/>
          <w:lang w:val="en-US" w:eastAsia="zh-CN"/>
        </w:rPr>
        <w:t>8</w:t>
      </w:r>
      <w:r>
        <w:rPr>
          <w:rFonts w:hint="eastAsia" w:ascii="宋体" w:hAnsi="宋体"/>
          <w:kern w:val="0"/>
          <w:sz w:val="24"/>
          <w:highlight w:val="none"/>
        </w:rPr>
        <w:t>投标文件有明显不符合</w:t>
      </w:r>
      <w:r>
        <w:rPr>
          <w:rFonts w:hint="eastAsia" w:ascii="宋体" w:hAnsi="宋体"/>
          <w:kern w:val="0"/>
          <w:sz w:val="24"/>
          <w:highlight w:val="none"/>
          <w:lang w:val="en-US" w:eastAsia="zh-CN"/>
        </w:rPr>
        <w:t>招标</w:t>
      </w:r>
      <w:r>
        <w:rPr>
          <w:rFonts w:hint="eastAsia" w:ascii="宋体" w:hAnsi="宋体"/>
          <w:kern w:val="0"/>
          <w:sz w:val="24"/>
          <w:highlight w:val="none"/>
        </w:rPr>
        <w:t>文件其它要求和有关法律法</w:t>
      </w:r>
      <w:r>
        <w:rPr>
          <w:rFonts w:hint="eastAsia" w:ascii="宋体" w:hAnsi="宋体"/>
          <w:kern w:val="0"/>
          <w:sz w:val="24"/>
        </w:rPr>
        <w:t>规的</w:t>
      </w:r>
      <w:r>
        <w:rPr>
          <w:rFonts w:hint="eastAsia" w:ascii="宋体" w:hAnsi="宋体"/>
          <w:kern w:val="0"/>
          <w:sz w:val="24"/>
          <w:lang w:val="en-US" w:eastAsia="zh-CN"/>
        </w:rPr>
        <w:t>.</w:t>
      </w:r>
    </w:p>
    <w:p>
      <w:pPr>
        <w:pStyle w:val="42"/>
        <w:numPr>
          <w:ilvl w:val="0"/>
          <w:numId w:val="0"/>
        </w:numPr>
        <w:tabs>
          <w:tab w:val="clear" w:pos="432"/>
        </w:tabs>
        <w:ind w:leftChars="0"/>
        <w:jc w:val="both"/>
        <w:rPr>
          <w:rFonts w:hint="default"/>
          <w:lang w:val="en-US" w:eastAsia="zh-CN"/>
        </w:rPr>
      </w:pPr>
    </w:p>
    <w:p>
      <w:pPr>
        <w:bidi w:val="0"/>
      </w:pPr>
    </w:p>
    <w:p>
      <w:pPr>
        <w:bidi w:val="0"/>
      </w:pPr>
    </w:p>
    <w:p>
      <w:pPr>
        <w:rPr>
          <w:rFonts w:ascii="宋体" w:hAnsi="宋体" w:cs="宋体"/>
          <w:b/>
          <w:bCs/>
          <w:sz w:val="32"/>
          <w:szCs w:val="32"/>
        </w:rPr>
      </w:pPr>
    </w:p>
    <w:p>
      <w:pPr>
        <w:jc w:val="center"/>
        <w:rPr>
          <w:rFonts w:asciiTheme="minorEastAsia" w:hAnsiTheme="minorEastAsia" w:eastAsiaTheme="minorEastAsia" w:cstheme="minorEastAsia"/>
          <w:b/>
          <w:bCs/>
          <w:sz w:val="32"/>
          <w:szCs w:val="32"/>
        </w:rPr>
      </w:pPr>
    </w:p>
    <w:p>
      <w:pPr>
        <w:bidi w:val="0"/>
      </w:pPr>
    </w:p>
    <w:p>
      <w:pPr>
        <w:rPr>
          <w:rFonts w:eastAsiaTheme="minorEastAsia"/>
        </w:rPr>
      </w:pPr>
    </w:p>
    <w:p>
      <w:pPr>
        <w:bidi w:val="0"/>
      </w:pPr>
    </w:p>
    <w:p/>
    <w:p>
      <w:pPr>
        <w:pStyle w:val="42"/>
        <w:numPr>
          <w:ilvl w:val="0"/>
          <w:numId w:val="0"/>
        </w:numPr>
        <w:tabs>
          <w:tab w:val="clear" w:pos="432"/>
        </w:tabs>
        <w:ind w:leftChars="0"/>
        <w:jc w:val="both"/>
      </w:pPr>
    </w:p>
    <w:p>
      <w:pPr>
        <w:pStyle w:val="43"/>
      </w:pPr>
    </w:p>
    <w:p>
      <w:r>
        <w:rPr>
          <w:rFonts w:hint="eastAsia" w:asciiTheme="minorEastAsia" w:hAnsiTheme="minorEastAsia" w:eastAsiaTheme="minorEastAsia" w:cstheme="minorEastAsia"/>
          <w:bCs/>
        </w:rPr>
        <w:br w:type="page"/>
      </w:r>
    </w:p>
    <w:p>
      <w:pPr>
        <w:pStyle w:val="9"/>
        <w:numPr>
          <w:ilvl w:val="0"/>
          <w:numId w:val="3"/>
        </w:numPr>
        <w:bidi w:val="0"/>
        <w:spacing w:after="0" w:afterAutospacing="0"/>
      </w:pPr>
      <w:r>
        <w:rPr>
          <w:rFonts w:hint="eastAsia"/>
          <w:lang w:val="en-US" w:eastAsia="zh-CN"/>
        </w:rPr>
        <w:t xml:space="preserve"> </w:t>
      </w:r>
      <w:bookmarkStart w:id="2" w:name="_Toc16378"/>
      <w:r>
        <w:rPr>
          <w:rFonts w:hint="eastAsia"/>
        </w:rPr>
        <w:t>招标公告</w:t>
      </w:r>
      <w:bookmarkEnd w:id="2"/>
    </w:p>
    <w:p>
      <w:pPr>
        <w:spacing w:beforeAutospacing="0" w:after="383" w:afterLines="100" w:afterAutospacing="0"/>
        <w:jc w:val="center"/>
        <w:rPr>
          <w:rFonts w:hint="eastAsia" w:asciiTheme="minorEastAsia" w:hAnsiTheme="minorEastAsia" w:eastAsiaTheme="minorEastAsia" w:cstheme="minorEastAsia"/>
          <w:b/>
          <w:bCs/>
          <w:kern w:val="2"/>
          <w:sz w:val="32"/>
          <w:szCs w:val="32"/>
          <w:lang w:val="en-US" w:eastAsia="zh-CN" w:bidi="ar-SA"/>
        </w:rPr>
      </w:pPr>
      <w:r>
        <w:rPr>
          <w:rFonts w:hint="eastAsia" w:asciiTheme="minorEastAsia" w:hAnsiTheme="minorEastAsia" w:eastAsiaTheme="minorEastAsia" w:cstheme="minorEastAsia"/>
          <w:b/>
          <w:bCs/>
          <w:kern w:val="2"/>
          <w:sz w:val="32"/>
          <w:szCs w:val="32"/>
          <w:lang w:val="en-US" w:eastAsia="zh-CN" w:bidi="ar-SA"/>
        </w:rPr>
        <w:t>博爱县林业发展服务中心2023年森林资源调查管理工作采购项目</w:t>
      </w:r>
    </w:p>
    <w:tbl>
      <w:tblPr>
        <w:tblStyle w:val="27"/>
        <w:tblW w:w="91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08" w:type="dxa"/>
            <w:noWrap w:val="0"/>
            <w:vAlign w:val="top"/>
          </w:tcPr>
          <w:p>
            <w:pPr>
              <w:pStyle w:val="5"/>
              <w:keepNext w:val="0"/>
              <w:keepLines w:val="0"/>
              <w:pageBreakBefore w:val="0"/>
              <w:kinsoku/>
              <w:wordWrap/>
              <w:overflowPunct/>
              <w:topLinePunct w:val="0"/>
              <w:bidi w:val="0"/>
              <w:spacing w:beforeAutospacing="0" w:line="440" w:lineRule="exact"/>
              <w:ind w:firstLine="480"/>
              <w:textAlignment w:val="auto"/>
              <w:rPr>
                <w:rFonts w:ascii="宋体" w:hAnsi="宋体" w:cs="宋体"/>
                <w:color w:val="auto"/>
                <w:sz w:val="24"/>
              </w:rPr>
            </w:pPr>
            <w:r>
              <w:rPr>
                <w:rFonts w:hint="eastAsia" w:ascii="宋体" w:hAnsi="宋体" w:cs="宋体"/>
                <w:color w:val="auto"/>
                <w:sz w:val="24"/>
                <w:lang w:eastAsia="zh-CN"/>
              </w:rPr>
              <w:t>项</w:t>
            </w:r>
            <w:r>
              <w:rPr>
                <w:rFonts w:hint="eastAsia" w:ascii="宋体" w:hAnsi="宋体" w:cs="宋体"/>
                <w:color w:val="auto"/>
                <w:sz w:val="24"/>
              </w:rPr>
              <w:t>目</w:t>
            </w:r>
            <w:r>
              <w:rPr>
                <w:rFonts w:hint="eastAsia" w:ascii="宋体" w:hAnsi="宋体" w:cs="宋体"/>
                <w:color w:val="auto"/>
                <w:sz w:val="24"/>
                <w:lang w:val="en-US" w:eastAsia="zh-CN"/>
              </w:rPr>
              <w:t>概况</w:t>
            </w:r>
            <w:r>
              <w:rPr>
                <w:rFonts w:hint="eastAsia" w:ascii="宋体" w:hAnsi="宋体" w:cs="宋体"/>
                <w:color w:val="auto"/>
                <w:sz w:val="24"/>
              </w:rPr>
              <w:t>：</w:t>
            </w:r>
            <w:r>
              <w:rPr>
                <w:rFonts w:hint="eastAsia"/>
                <w:color w:val="auto"/>
                <w:sz w:val="24"/>
                <w:lang w:val="en-US" w:eastAsia="zh-CN"/>
              </w:rPr>
              <w:t>博爱县林业发展服务中心2023年森林资源调查管理工作采购项目</w:t>
            </w:r>
            <w:r>
              <w:rPr>
                <w:rFonts w:hint="eastAsia" w:ascii="宋体" w:hAnsi="宋体" w:cs="宋体"/>
                <w:color w:val="auto"/>
                <w:sz w:val="24"/>
              </w:rPr>
              <w:t>的潜在投标人应在焦作市公共资源交易中心网站获取采购文件，</w:t>
            </w:r>
            <w:r>
              <w:rPr>
                <w:rFonts w:hint="eastAsia" w:ascii="宋体" w:hAnsi="宋体" w:cs="宋体"/>
                <w:b w:val="0"/>
                <w:bCs w:val="0"/>
                <w:color w:val="auto"/>
                <w:sz w:val="24"/>
              </w:rPr>
              <w:t>并</w:t>
            </w:r>
            <w:r>
              <w:rPr>
                <w:rFonts w:hint="eastAsia" w:ascii="宋体" w:hAnsi="宋体" w:cs="宋体"/>
                <w:b w:val="0"/>
                <w:bCs w:val="0"/>
                <w:color w:val="auto"/>
                <w:sz w:val="24"/>
                <w:u w:val="single"/>
              </w:rPr>
              <w:t>于</w:t>
            </w:r>
            <w:r>
              <w:rPr>
                <w:rFonts w:hint="eastAsia" w:ascii="宋体" w:hAnsi="宋体" w:cs="宋体"/>
                <w:b/>
                <w:bCs/>
                <w:color w:val="auto"/>
                <w:kern w:val="0"/>
                <w:sz w:val="24"/>
                <w:u w:val="single"/>
              </w:rPr>
              <w:t>202</w:t>
            </w:r>
            <w:r>
              <w:rPr>
                <w:rFonts w:hint="eastAsia" w:ascii="宋体" w:hAnsi="宋体" w:cs="宋体"/>
                <w:b/>
                <w:bCs/>
                <w:color w:val="auto"/>
                <w:kern w:val="0"/>
                <w:sz w:val="24"/>
                <w:u w:val="single"/>
                <w:lang w:val="en-US" w:eastAsia="zh-CN"/>
              </w:rPr>
              <w:t>3</w:t>
            </w:r>
            <w:r>
              <w:rPr>
                <w:rFonts w:hint="eastAsia" w:ascii="宋体" w:hAnsi="宋体" w:cs="宋体"/>
                <w:b/>
                <w:bCs/>
                <w:color w:val="auto"/>
                <w:kern w:val="0"/>
                <w:sz w:val="24"/>
                <w:u w:val="single"/>
              </w:rPr>
              <w:t>年</w:t>
            </w:r>
            <w:r>
              <w:rPr>
                <w:rFonts w:hint="eastAsia" w:ascii="宋体" w:hAnsi="宋体" w:cs="宋体"/>
                <w:b/>
                <w:bCs/>
                <w:color w:val="auto"/>
                <w:kern w:val="0"/>
                <w:sz w:val="24"/>
                <w:u w:val="single"/>
                <w:lang w:val="en-US" w:eastAsia="zh-CN"/>
              </w:rPr>
              <w:t>9</w:t>
            </w:r>
            <w:r>
              <w:rPr>
                <w:rFonts w:hint="eastAsia" w:ascii="宋体" w:hAnsi="宋体" w:cs="宋体"/>
                <w:b/>
                <w:bCs/>
                <w:color w:val="auto"/>
                <w:kern w:val="0"/>
                <w:sz w:val="24"/>
                <w:u w:val="single"/>
              </w:rPr>
              <w:t>月</w:t>
            </w:r>
            <w:r>
              <w:rPr>
                <w:rFonts w:hint="eastAsia" w:ascii="宋体" w:hAnsi="宋体" w:cs="宋体"/>
                <w:b/>
                <w:bCs/>
                <w:color w:val="auto"/>
                <w:kern w:val="0"/>
                <w:sz w:val="24"/>
                <w:u w:val="single"/>
                <w:lang w:val="en-US" w:eastAsia="zh-CN"/>
              </w:rPr>
              <w:t>20</w:t>
            </w:r>
            <w:r>
              <w:rPr>
                <w:rFonts w:hint="eastAsia" w:ascii="宋体" w:hAnsi="宋体" w:cs="宋体"/>
                <w:b/>
                <w:bCs/>
                <w:color w:val="auto"/>
                <w:kern w:val="0"/>
                <w:sz w:val="24"/>
                <w:u w:val="single"/>
              </w:rPr>
              <w:t>日上午</w:t>
            </w:r>
            <w:r>
              <w:rPr>
                <w:rFonts w:hint="eastAsia" w:ascii="宋体" w:hAnsi="宋体" w:cs="宋体"/>
                <w:b/>
                <w:bCs/>
                <w:color w:val="auto"/>
                <w:kern w:val="0"/>
                <w:sz w:val="24"/>
                <w:u w:val="single"/>
                <w:lang w:val="en-US" w:eastAsia="zh-CN"/>
              </w:rPr>
              <w:t>9时00</w:t>
            </w:r>
            <w:r>
              <w:rPr>
                <w:rFonts w:hint="eastAsia" w:ascii="宋体" w:hAnsi="宋体" w:cs="宋体"/>
                <w:b/>
                <w:bCs/>
                <w:color w:val="auto"/>
                <w:kern w:val="0"/>
                <w:sz w:val="24"/>
                <w:u w:val="single"/>
              </w:rPr>
              <w:t>分</w:t>
            </w:r>
            <w:r>
              <w:rPr>
                <w:rFonts w:hint="eastAsia" w:ascii="宋体" w:hAnsi="宋体" w:cs="宋体"/>
                <w:b/>
                <w:bCs/>
                <w:color w:val="auto"/>
                <w:sz w:val="24"/>
                <w:u w:val="single"/>
              </w:rPr>
              <w:t>（北京时间）</w:t>
            </w:r>
            <w:r>
              <w:rPr>
                <w:rFonts w:hint="eastAsia" w:ascii="宋体" w:hAnsi="宋体" w:cs="宋体"/>
                <w:b/>
                <w:bCs/>
                <w:color w:val="auto"/>
                <w:sz w:val="24"/>
              </w:rPr>
              <w:t>前提交投标文件。</w:t>
            </w:r>
          </w:p>
        </w:tc>
      </w:tr>
    </w:tbl>
    <w:p>
      <w:pPr>
        <w:pStyle w:val="49"/>
        <w:keepNext w:val="0"/>
        <w:keepLines w:val="0"/>
        <w:pageBreakBefore w:val="0"/>
        <w:kinsoku/>
        <w:wordWrap/>
        <w:overflowPunct/>
        <w:topLinePunct w:val="0"/>
        <w:bidi w:val="0"/>
        <w:spacing w:line="288" w:lineRule="auto"/>
        <w:ind w:left="0" w:firstLine="0"/>
        <w:textAlignment w:val="auto"/>
        <w:rPr>
          <w:b/>
          <w:bCs/>
          <w:color w:val="auto"/>
          <w:sz w:val="24"/>
          <w:lang w:eastAsia="zh-CN"/>
        </w:rPr>
      </w:pPr>
      <w:r>
        <w:rPr>
          <w:rFonts w:hint="eastAsia"/>
          <w:b/>
          <w:bCs/>
          <w:color w:val="auto"/>
          <w:sz w:val="24"/>
          <w:lang w:eastAsia="zh-CN"/>
        </w:rPr>
        <w:t>一、项目基本情况</w:t>
      </w:r>
    </w:p>
    <w:p>
      <w:pPr>
        <w:pStyle w:val="49"/>
        <w:keepNext w:val="0"/>
        <w:keepLines w:val="0"/>
        <w:pageBreakBefore w:val="0"/>
        <w:kinsoku/>
        <w:wordWrap/>
        <w:overflowPunct/>
        <w:topLinePunct w:val="0"/>
        <w:bidi w:val="0"/>
        <w:spacing w:line="288" w:lineRule="auto"/>
        <w:ind w:left="0" w:firstLine="480" w:firstLineChars="200"/>
        <w:textAlignment w:val="auto"/>
        <w:rPr>
          <w:color w:val="auto"/>
          <w:sz w:val="24"/>
          <w:lang w:eastAsia="zh-CN"/>
        </w:rPr>
      </w:pPr>
      <w:r>
        <w:rPr>
          <w:rFonts w:hint="eastAsia"/>
          <w:color w:val="auto"/>
          <w:sz w:val="24"/>
          <w:lang w:eastAsia="zh-CN"/>
        </w:rPr>
        <w:t>采购编号：博政采购〔202</w:t>
      </w:r>
      <w:r>
        <w:rPr>
          <w:rFonts w:hint="eastAsia"/>
          <w:color w:val="auto"/>
          <w:sz w:val="24"/>
          <w:lang w:val="en-US" w:eastAsia="zh-CN"/>
        </w:rPr>
        <w:t>3</w:t>
      </w:r>
      <w:r>
        <w:rPr>
          <w:rFonts w:hint="eastAsia"/>
          <w:color w:val="auto"/>
          <w:sz w:val="24"/>
          <w:highlight w:val="none"/>
          <w:lang w:eastAsia="zh-CN"/>
        </w:rPr>
        <w:t>〕</w:t>
      </w:r>
      <w:r>
        <w:rPr>
          <w:rFonts w:hint="eastAsia"/>
          <w:color w:val="auto"/>
          <w:sz w:val="24"/>
          <w:highlight w:val="none"/>
          <w:lang w:val="en-US" w:eastAsia="zh-CN"/>
        </w:rPr>
        <w:t>82</w:t>
      </w:r>
      <w:r>
        <w:rPr>
          <w:rFonts w:hint="eastAsia"/>
          <w:color w:val="auto"/>
          <w:sz w:val="24"/>
          <w:highlight w:val="none"/>
          <w:lang w:eastAsia="zh-CN"/>
        </w:rPr>
        <w:t>号</w:t>
      </w:r>
    </w:p>
    <w:p>
      <w:pPr>
        <w:pStyle w:val="49"/>
        <w:keepNext w:val="0"/>
        <w:keepLines w:val="0"/>
        <w:pageBreakBefore w:val="0"/>
        <w:kinsoku/>
        <w:wordWrap/>
        <w:overflowPunct/>
        <w:topLinePunct w:val="0"/>
        <w:bidi w:val="0"/>
        <w:spacing w:line="288" w:lineRule="auto"/>
        <w:ind w:left="0" w:firstLine="480" w:firstLineChars="200"/>
        <w:textAlignment w:val="auto"/>
        <w:rPr>
          <w:rFonts w:hint="eastAsia" w:ascii="宋体" w:hAnsi="宋体" w:eastAsia="宋体" w:cs="宋体"/>
          <w:color w:val="auto"/>
          <w:kern w:val="0"/>
          <w:sz w:val="24"/>
          <w:szCs w:val="24"/>
          <w:highlight w:val="red"/>
          <w:lang w:val="en-US" w:eastAsia="zh-CN" w:bidi="ar-SA"/>
        </w:rPr>
      </w:pPr>
      <w:r>
        <w:rPr>
          <w:rFonts w:hint="eastAsia"/>
          <w:color w:val="auto"/>
          <w:sz w:val="24"/>
          <w:lang w:eastAsia="zh-CN"/>
        </w:rPr>
        <w:t>项目名称：</w:t>
      </w:r>
      <w:r>
        <w:rPr>
          <w:rFonts w:hint="eastAsia"/>
          <w:color w:val="auto"/>
          <w:sz w:val="24"/>
          <w:lang w:val="en-US" w:eastAsia="zh-CN"/>
        </w:rPr>
        <w:t>博爱县林业发展服务中心2023年森林资源调查管理工作采购项目</w:t>
      </w:r>
    </w:p>
    <w:p>
      <w:pPr>
        <w:pStyle w:val="49"/>
        <w:keepNext w:val="0"/>
        <w:keepLines w:val="0"/>
        <w:pageBreakBefore w:val="0"/>
        <w:kinsoku/>
        <w:wordWrap/>
        <w:overflowPunct/>
        <w:topLinePunct w:val="0"/>
        <w:bidi w:val="0"/>
        <w:spacing w:line="288" w:lineRule="auto"/>
        <w:ind w:left="0"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采购方式：公开招标</w:t>
      </w:r>
    </w:p>
    <w:p>
      <w:pPr>
        <w:keepNext w:val="0"/>
        <w:keepLines w:val="0"/>
        <w:pageBreakBefore w:val="0"/>
        <w:widowControl/>
        <w:kinsoku/>
        <w:wordWrap/>
        <w:overflowPunct/>
        <w:topLinePunct w:val="0"/>
        <w:bidi w:val="0"/>
        <w:spacing w:line="288" w:lineRule="auto"/>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预算金额：</w:t>
      </w:r>
      <w:r>
        <w:rPr>
          <w:rFonts w:hint="eastAsia" w:ascii="宋体" w:hAnsi="宋体" w:cs="宋体"/>
          <w:color w:val="auto"/>
          <w:kern w:val="0"/>
          <w:sz w:val="24"/>
          <w:szCs w:val="24"/>
          <w:highlight w:val="none"/>
          <w:lang w:val="en-US" w:eastAsia="zh-CN" w:bidi="ar-SA"/>
        </w:rPr>
        <w:t>2100000.00</w:t>
      </w:r>
      <w:r>
        <w:rPr>
          <w:rFonts w:hint="eastAsia" w:ascii="宋体" w:hAnsi="宋体" w:eastAsia="宋体" w:cs="宋体"/>
          <w:color w:val="auto"/>
          <w:kern w:val="0"/>
          <w:sz w:val="24"/>
          <w:szCs w:val="24"/>
          <w:highlight w:val="none"/>
          <w:lang w:val="en-US" w:eastAsia="zh-CN" w:bidi="ar-SA"/>
        </w:rPr>
        <w:t>元。</w:t>
      </w:r>
    </w:p>
    <w:p>
      <w:pPr>
        <w:pStyle w:val="2"/>
        <w:keepNext w:val="0"/>
        <w:keepLines w:val="0"/>
        <w:pageBreakBefore w:val="0"/>
        <w:kinsoku/>
        <w:wordWrap/>
        <w:overflowPunct/>
        <w:topLinePunct w:val="0"/>
        <w:bidi w:val="0"/>
        <w:spacing w:line="288"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资金来源：财政资金</w:t>
      </w:r>
    </w:p>
    <w:p>
      <w:pPr>
        <w:keepNext w:val="0"/>
        <w:keepLines w:val="0"/>
        <w:pageBreakBefore w:val="0"/>
        <w:widowControl/>
        <w:kinsoku/>
        <w:wordWrap/>
        <w:overflowPunct/>
        <w:topLinePunct w:val="0"/>
        <w:bidi w:val="0"/>
        <w:spacing w:line="288"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采购内容：</w:t>
      </w:r>
      <w:r>
        <w:rPr>
          <w:rFonts w:hint="eastAsia" w:ascii="宋体" w:hAnsi="宋体" w:cs="宋体"/>
          <w:color w:val="auto"/>
          <w:kern w:val="0"/>
          <w:sz w:val="24"/>
          <w:highlight w:val="none"/>
          <w:lang w:val="en-US" w:eastAsia="zh-CN"/>
        </w:rPr>
        <w:t>在博爱县国土总面积范围内完成：1、新一轮林地保护利用规划（2021-2035年）工作。2、第二次森林资源普查。3、2023年度林草、草原、湿地图斑监测和样地调查工作，形成工作成果材料，并配合采购人完成相关主管部门审核。</w:t>
      </w:r>
    </w:p>
    <w:p>
      <w:pPr>
        <w:keepNext w:val="0"/>
        <w:keepLines w:val="0"/>
        <w:pageBreakBefore w:val="0"/>
        <w:widowControl/>
        <w:kinsoku/>
        <w:wordWrap/>
        <w:overflowPunct/>
        <w:topLinePunct w:val="0"/>
        <w:bidi w:val="0"/>
        <w:spacing w:line="288" w:lineRule="auto"/>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lang w:val="en-US" w:eastAsia="zh-CN"/>
        </w:rPr>
        <w:t>合同履行期限（服务期）</w:t>
      </w:r>
      <w:r>
        <w:rPr>
          <w:rFonts w:hint="eastAsia" w:ascii="宋体" w:hAnsi="宋体" w:cs="宋体"/>
          <w:color w:val="auto"/>
          <w:kern w:val="0"/>
          <w:sz w:val="24"/>
        </w:rPr>
        <w:t>：</w:t>
      </w:r>
      <w:r>
        <w:rPr>
          <w:rFonts w:hint="eastAsia" w:ascii="宋体" w:hAnsi="宋体" w:cs="宋体"/>
          <w:color w:val="auto"/>
          <w:kern w:val="0"/>
          <w:sz w:val="24"/>
          <w:lang w:eastAsia="zh-CN"/>
        </w:rPr>
        <w:t>自合同签订之日起</w:t>
      </w:r>
      <w:r>
        <w:rPr>
          <w:rFonts w:hint="eastAsia" w:ascii="宋体" w:hAnsi="宋体" w:cs="宋体"/>
          <w:color w:val="auto"/>
          <w:kern w:val="0"/>
          <w:sz w:val="24"/>
          <w:lang w:val="en-US" w:eastAsia="zh-CN"/>
        </w:rPr>
        <w:t>30日历天。</w:t>
      </w:r>
    </w:p>
    <w:p>
      <w:pPr>
        <w:keepNext w:val="0"/>
        <w:keepLines w:val="0"/>
        <w:pageBreakBefore w:val="0"/>
        <w:widowControl/>
        <w:kinsoku/>
        <w:wordWrap/>
        <w:overflowPunct/>
        <w:topLinePunct w:val="0"/>
        <w:bidi w:val="0"/>
        <w:spacing w:line="288" w:lineRule="auto"/>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质量标准：</w:t>
      </w:r>
      <w:r>
        <w:rPr>
          <w:rFonts w:hint="eastAsia" w:ascii="宋体" w:hAnsi="宋体" w:cs="宋体"/>
          <w:color w:val="auto"/>
          <w:kern w:val="0"/>
          <w:sz w:val="24"/>
          <w:lang w:val="en-US" w:eastAsia="zh-CN"/>
        </w:rPr>
        <w:t>符合国家质量验收合格标准，并通过采购人验收。</w:t>
      </w:r>
    </w:p>
    <w:p>
      <w:pPr>
        <w:keepNext w:val="0"/>
        <w:keepLines w:val="0"/>
        <w:pageBreakBefore w:val="0"/>
        <w:kinsoku/>
        <w:wordWrap/>
        <w:overflowPunct/>
        <w:topLinePunct w:val="0"/>
        <w:bidi w:val="0"/>
        <w:adjustRightInd w:val="0"/>
        <w:snapToGrid w:val="0"/>
        <w:spacing w:line="288" w:lineRule="auto"/>
        <w:textAlignment w:val="auto"/>
        <w:rPr>
          <w:rFonts w:ascii="宋体" w:hAnsi="宋体" w:cs="宋体"/>
          <w:color w:val="auto"/>
          <w:kern w:val="0"/>
          <w:sz w:val="24"/>
        </w:rPr>
      </w:pPr>
      <w:r>
        <w:rPr>
          <w:rFonts w:hint="eastAsia" w:ascii="宋体" w:hAnsi="宋体" w:cs="宋体"/>
          <w:b/>
          <w:bCs/>
          <w:color w:val="auto"/>
          <w:kern w:val="0"/>
          <w:sz w:val="24"/>
        </w:rPr>
        <w:t>二、申请人资格要求：</w:t>
      </w:r>
    </w:p>
    <w:p>
      <w:pPr>
        <w:keepNext w:val="0"/>
        <w:keepLines w:val="0"/>
        <w:pageBreakBefore w:val="0"/>
        <w:widowControl/>
        <w:kinsoku/>
        <w:wordWrap/>
        <w:overflowPunct/>
        <w:topLinePunct w:val="0"/>
        <w:bidi w:val="0"/>
        <w:spacing w:line="288" w:lineRule="auto"/>
        <w:ind w:firstLine="480" w:firstLineChars="200"/>
        <w:jc w:val="left"/>
        <w:textAlignment w:val="auto"/>
        <w:rPr>
          <w:rFonts w:ascii="宋体" w:hAnsi="宋体" w:cs="宋体"/>
          <w:color w:val="auto"/>
          <w:sz w:val="24"/>
          <w:highlight w:val="none"/>
          <w:shd w:val="clear" w:color="auto" w:fill="FFFFFF"/>
        </w:rPr>
      </w:pPr>
      <w:r>
        <w:rPr>
          <w:rFonts w:hint="eastAsia" w:ascii="宋体" w:hAnsi="宋体" w:cs="宋体"/>
          <w:color w:val="auto"/>
          <w:sz w:val="24"/>
          <w:shd w:val="clear" w:color="auto" w:fill="FFFFFF"/>
        </w:rPr>
        <w:t>1、符合《中华人民共和国政府采购</w:t>
      </w:r>
      <w:r>
        <w:rPr>
          <w:rFonts w:hint="eastAsia" w:ascii="宋体" w:hAnsi="宋体" w:cs="宋体"/>
          <w:color w:val="auto"/>
          <w:sz w:val="24"/>
          <w:highlight w:val="none"/>
          <w:shd w:val="clear" w:color="auto" w:fill="FFFFFF"/>
        </w:rPr>
        <w:t>法》第二十二条之规定；</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sz w:val="24"/>
          <w:highlight w:val="none"/>
          <w:shd w:val="clear" w:color="auto" w:fill="FFFFFF"/>
        </w:rPr>
        <w:t>2、落实政府采购政策需满足的资格要求：</w:t>
      </w:r>
      <w:r>
        <w:rPr>
          <w:rFonts w:hint="eastAsia" w:ascii="宋体" w:hAnsi="宋体" w:eastAsia="宋体" w:cs="宋体"/>
          <w:color w:val="auto"/>
          <w:kern w:val="0"/>
          <w:sz w:val="24"/>
          <w:szCs w:val="24"/>
          <w:highlight w:val="none"/>
        </w:rPr>
        <w:t>促进政府强制采购节能产品及环境标志产品优先采购，</w:t>
      </w:r>
      <w:r>
        <w:rPr>
          <w:rFonts w:hint="eastAsia" w:ascii="宋体" w:hAnsi="宋体" w:eastAsia="宋体" w:cs="宋体"/>
          <w:color w:val="auto"/>
          <w:kern w:val="0"/>
          <w:sz w:val="24"/>
          <w:szCs w:val="24"/>
          <w:highlight w:val="none"/>
          <w:lang w:val="en-US" w:eastAsia="zh-CN"/>
        </w:rPr>
        <w:t>该项目全额面向中小企业采购，需要提供中小企业声明函</w:t>
      </w:r>
      <w:r>
        <w:rPr>
          <w:rFonts w:hint="eastAsia" w:ascii="宋体" w:hAnsi="宋体" w:eastAsia="宋体" w:cs="宋体"/>
          <w:color w:val="auto"/>
          <w:kern w:val="0"/>
          <w:sz w:val="24"/>
          <w:szCs w:val="24"/>
          <w:highlight w:val="none"/>
          <w:lang w:eastAsia="zh-CN"/>
        </w:rPr>
        <w:t>；</w:t>
      </w:r>
    </w:p>
    <w:p>
      <w:pPr>
        <w:keepNext w:val="0"/>
        <w:keepLines w:val="0"/>
        <w:pageBreakBefore w:val="0"/>
        <w:widowControl/>
        <w:kinsoku/>
        <w:wordWrap/>
        <w:overflowPunct/>
        <w:topLinePunct w:val="0"/>
        <w:bidi w:val="0"/>
        <w:spacing w:line="288" w:lineRule="auto"/>
        <w:ind w:firstLine="480" w:firstLineChars="200"/>
        <w:jc w:val="left"/>
        <w:textAlignment w:val="auto"/>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3、本项目的特定资格要求：</w:t>
      </w:r>
    </w:p>
    <w:p>
      <w:pPr>
        <w:keepNext w:val="0"/>
        <w:keepLines w:val="0"/>
        <w:pageBreakBefore w:val="0"/>
        <w:widowControl/>
        <w:kinsoku/>
        <w:wordWrap/>
        <w:overflowPunct/>
        <w:topLinePunct w:val="0"/>
        <w:bidi w:val="0"/>
        <w:spacing w:line="288" w:lineRule="auto"/>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3.1</w:t>
      </w:r>
      <w:r>
        <w:rPr>
          <w:rFonts w:hint="eastAsia" w:ascii="宋体" w:hAnsi="宋体" w:cs="宋体"/>
          <w:color w:val="auto"/>
          <w:kern w:val="0"/>
          <w:sz w:val="24"/>
          <w:szCs w:val="24"/>
          <w:highlight w:val="none"/>
          <w:shd w:val="clear" w:color="auto" w:fill="FFFFFF"/>
          <w:lang w:val="en-US" w:eastAsia="zh-CN" w:bidi="ar-SA"/>
        </w:rPr>
        <w:t>投标人</w:t>
      </w:r>
      <w:r>
        <w:rPr>
          <w:rFonts w:hint="eastAsia" w:ascii="宋体" w:hAnsi="宋体" w:eastAsia="宋体" w:cs="宋体"/>
          <w:color w:val="auto"/>
          <w:kern w:val="0"/>
          <w:sz w:val="24"/>
          <w:szCs w:val="24"/>
          <w:highlight w:val="none"/>
          <w:shd w:val="clear" w:color="auto" w:fill="FFFFFF"/>
          <w:lang w:val="en-US" w:eastAsia="zh-CN" w:bidi="ar-SA"/>
        </w:rPr>
        <w:t>应具有林业调查规划设计丙级</w:t>
      </w:r>
      <w:r>
        <w:rPr>
          <w:rFonts w:hint="eastAsia" w:ascii="宋体" w:hAnsi="宋体" w:cs="宋体"/>
          <w:color w:val="auto"/>
          <w:kern w:val="0"/>
          <w:sz w:val="24"/>
          <w:szCs w:val="24"/>
          <w:highlight w:val="none"/>
          <w:shd w:val="clear" w:color="auto" w:fill="FFFFFF"/>
          <w:lang w:val="en-US" w:eastAsia="zh-CN" w:bidi="ar-SA"/>
        </w:rPr>
        <w:t>及</w:t>
      </w:r>
      <w:r>
        <w:rPr>
          <w:rFonts w:hint="eastAsia" w:ascii="宋体" w:hAnsi="宋体" w:eastAsia="宋体" w:cs="宋体"/>
          <w:color w:val="auto"/>
          <w:kern w:val="0"/>
          <w:sz w:val="24"/>
          <w:szCs w:val="24"/>
          <w:highlight w:val="none"/>
          <w:shd w:val="clear" w:color="auto" w:fill="FFFFFF"/>
          <w:lang w:val="en-US" w:eastAsia="zh-CN" w:bidi="ar-SA"/>
        </w:rPr>
        <w:t>以上资质。</w:t>
      </w:r>
    </w:p>
    <w:p>
      <w:pPr>
        <w:keepNext w:val="0"/>
        <w:keepLines w:val="0"/>
        <w:pageBreakBefore w:val="0"/>
        <w:widowControl/>
        <w:kinsoku/>
        <w:wordWrap/>
        <w:overflowPunct/>
        <w:topLinePunct w:val="0"/>
        <w:bidi w:val="0"/>
        <w:spacing w:line="288" w:lineRule="auto"/>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3.2拟派项目负责人需具备林业专业中级</w:t>
      </w:r>
      <w:r>
        <w:rPr>
          <w:rFonts w:hint="eastAsia" w:ascii="宋体" w:hAnsi="宋体" w:cs="宋体"/>
          <w:color w:val="auto"/>
          <w:kern w:val="0"/>
          <w:sz w:val="24"/>
          <w:szCs w:val="24"/>
          <w:highlight w:val="none"/>
          <w:shd w:val="clear" w:color="auto" w:fill="FFFFFF"/>
          <w:lang w:val="en-US" w:eastAsia="zh-CN" w:bidi="ar-SA"/>
        </w:rPr>
        <w:t>及</w:t>
      </w:r>
      <w:r>
        <w:rPr>
          <w:rFonts w:hint="eastAsia" w:ascii="宋体" w:hAnsi="宋体" w:eastAsia="宋体" w:cs="宋体"/>
          <w:color w:val="auto"/>
          <w:kern w:val="0"/>
          <w:sz w:val="24"/>
          <w:szCs w:val="24"/>
          <w:highlight w:val="none"/>
          <w:shd w:val="clear" w:color="auto" w:fill="FFFFFF"/>
          <w:lang w:val="en-US" w:eastAsia="zh-CN" w:bidi="ar-SA"/>
        </w:rPr>
        <w:t>以上技术职称，提供与本单位签订的劳动合同和为其缴纳2023年1月1日以来内任意连续三个月社保证明材料。</w:t>
      </w:r>
    </w:p>
    <w:p>
      <w:pPr>
        <w:keepNext w:val="0"/>
        <w:keepLines w:val="0"/>
        <w:pageBreakBefore w:val="0"/>
        <w:widowControl/>
        <w:kinsoku/>
        <w:wordWrap/>
        <w:overflowPunct/>
        <w:topLinePunct w:val="0"/>
        <w:bidi w:val="0"/>
        <w:spacing w:line="288" w:lineRule="auto"/>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3.</w:t>
      </w:r>
      <w:r>
        <w:rPr>
          <w:rFonts w:hint="eastAsia" w:ascii="宋体" w:hAnsi="宋体" w:cs="宋体"/>
          <w:color w:val="auto"/>
          <w:kern w:val="0"/>
          <w:sz w:val="24"/>
          <w:szCs w:val="24"/>
          <w:highlight w:val="none"/>
          <w:shd w:val="clear" w:color="auto" w:fill="FFFFFF"/>
          <w:lang w:val="en-US" w:eastAsia="zh-CN" w:bidi="ar-SA"/>
        </w:rPr>
        <w:t>3</w:t>
      </w:r>
      <w:r>
        <w:rPr>
          <w:rFonts w:hint="eastAsia" w:ascii="宋体" w:hAnsi="宋体" w:eastAsia="宋体" w:cs="宋体"/>
          <w:color w:val="auto"/>
          <w:kern w:val="0"/>
          <w:sz w:val="24"/>
          <w:szCs w:val="24"/>
          <w:highlight w:val="none"/>
          <w:shd w:val="clear" w:color="auto" w:fill="FFFFFF"/>
          <w:lang w:val="en-US" w:eastAsia="zh-CN" w:bidi="ar-SA"/>
        </w:rPr>
        <w:t>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投标人，拒绝参与政府采购活动，同时对信用信息查询记录和证据进行打印存档；</w:t>
      </w:r>
    </w:p>
    <w:p>
      <w:pPr>
        <w:keepNext w:val="0"/>
        <w:keepLines w:val="0"/>
        <w:pageBreakBefore w:val="0"/>
        <w:widowControl/>
        <w:kinsoku/>
        <w:wordWrap/>
        <w:overflowPunct/>
        <w:topLinePunct w:val="0"/>
        <w:bidi w:val="0"/>
        <w:spacing w:line="288" w:lineRule="auto"/>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3.3本项目不接受联合体投标。</w:t>
      </w:r>
    </w:p>
    <w:p>
      <w:pPr>
        <w:keepNext w:val="0"/>
        <w:keepLines w:val="0"/>
        <w:pageBreakBefore w:val="0"/>
        <w:widowControl/>
        <w:kinsoku/>
        <w:wordWrap/>
        <w:overflowPunct/>
        <w:topLinePunct w:val="0"/>
        <w:bidi w:val="0"/>
        <w:spacing w:line="288" w:lineRule="auto"/>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3.4资格审查方式：资格后审。</w:t>
      </w:r>
    </w:p>
    <w:p>
      <w:pPr>
        <w:keepNext w:val="0"/>
        <w:keepLines w:val="0"/>
        <w:pageBreakBefore w:val="0"/>
        <w:widowControl/>
        <w:kinsoku/>
        <w:wordWrap/>
        <w:overflowPunct/>
        <w:topLinePunct w:val="0"/>
        <w:bidi w:val="0"/>
        <w:spacing w:line="288" w:lineRule="auto"/>
        <w:jc w:val="left"/>
        <w:textAlignment w:val="auto"/>
        <w:rPr>
          <w:rFonts w:ascii="宋体" w:hAnsi="宋体" w:cs="宋体"/>
          <w:b/>
          <w:bCs/>
          <w:color w:val="auto"/>
          <w:kern w:val="0"/>
          <w:sz w:val="24"/>
        </w:rPr>
      </w:pPr>
      <w:r>
        <w:rPr>
          <w:rFonts w:hint="eastAsia" w:ascii="宋体" w:hAnsi="宋体" w:cs="宋体"/>
          <w:b/>
          <w:bCs/>
          <w:color w:val="auto"/>
          <w:kern w:val="0"/>
          <w:sz w:val="24"/>
        </w:rPr>
        <w:t>三、获取采购文件</w:t>
      </w:r>
    </w:p>
    <w:p>
      <w:pPr>
        <w:pStyle w:val="24"/>
        <w:keepNext w:val="0"/>
        <w:keepLines w:val="0"/>
        <w:pageBreakBefore w:val="0"/>
        <w:shd w:val="clear" w:color="auto" w:fill="FFFFFF"/>
        <w:kinsoku/>
        <w:wordWrap/>
        <w:overflowPunct/>
        <w:topLinePunct w:val="0"/>
        <w:autoSpaceDE w:val="0"/>
        <w:bidi w:val="0"/>
        <w:spacing w:before="0" w:beforeAutospacing="0" w:after="0" w:afterAutospacing="0" w:line="288" w:lineRule="auto"/>
        <w:ind w:firstLine="482" w:firstLineChars="200"/>
        <w:textAlignment w:val="auto"/>
        <w:rPr>
          <w:color w:val="auto"/>
        </w:rPr>
      </w:pPr>
      <w:r>
        <w:rPr>
          <w:rFonts w:hint="eastAsia"/>
          <w:b/>
          <w:bCs/>
          <w:color w:val="auto"/>
        </w:rPr>
        <w:t>1.时间：</w:t>
      </w:r>
      <w:r>
        <w:rPr>
          <w:rFonts w:hint="eastAsia"/>
          <w:b/>
          <w:bCs/>
          <w:color w:val="auto"/>
          <w:u w:val="single"/>
        </w:rPr>
        <w:t>202</w:t>
      </w:r>
      <w:r>
        <w:rPr>
          <w:rFonts w:hint="eastAsia"/>
          <w:b/>
          <w:bCs/>
          <w:color w:val="auto"/>
          <w:u w:val="single"/>
          <w:lang w:val="en-US" w:eastAsia="zh-CN"/>
        </w:rPr>
        <w:t>3</w:t>
      </w:r>
      <w:r>
        <w:rPr>
          <w:rFonts w:hint="eastAsia"/>
          <w:b/>
          <w:bCs/>
          <w:color w:val="auto"/>
          <w:u w:val="single"/>
        </w:rPr>
        <w:t>年</w:t>
      </w:r>
      <w:r>
        <w:rPr>
          <w:rFonts w:hint="eastAsia"/>
          <w:b/>
          <w:bCs/>
          <w:color w:val="auto"/>
          <w:u w:val="single"/>
          <w:lang w:val="en-US" w:eastAsia="zh-CN"/>
        </w:rPr>
        <w:t>8</w:t>
      </w:r>
      <w:r>
        <w:rPr>
          <w:rFonts w:hint="eastAsia"/>
          <w:b/>
          <w:bCs/>
          <w:color w:val="auto"/>
          <w:u w:val="single"/>
        </w:rPr>
        <w:t>月</w:t>
      </w:r>
      <w:r>
        <w:rPr>
          <w:rFonts w:hint="eastAsia"/>
          <w:b/>
          <w:bCs/>
          <w:color w:val="auto"/>
          <w:u w:val="single"/>
          <w:lang w:val="en-US" w:eastAsia="zh-CN"/>
        </w:rPr>
        <w:t>31</w:t>
      </w:r>
      <w:r>
        <w:rPr>
          <w:rFonts w:hint="eastAsia"/>
          <w:b/>
          <w:bCs/>
          <w:color w:val="auto"/>
          <w:u w:val="single"/>
        </w:rPr>
        <w:t>日至202</w:t>
      </w:r>
      <w:r>
        <w:rPr>
          <w:rFonts w:hint="eastAsia"/>
          <w:b/>
          <w:bCs/>
          <w:color w:val="auto"/>
          <w:u w:val="single"/>
          <w:lang w:val="en-US" w:eastAsia="zh-CN"/>
        </w:rPr>
        <w:t>3</w:t>
      </w:r>
      <w:r>
        <w:rPr>
          <w:rFonts w:hint="eastAsia"/>
          <w:b/>
          <w:bCs/>
          <w:color w:val="auto"/>
          <w:u w:val="single"/>
        </w:rPr>
        <w:t>年</w:t>
      </w:r>
      <w:r>
        <w:rPr>
          <w:rFonts w:hint="eastAsia"/>
          <w:b/>
          <w:bCs/>
          <w:color w:val="auto"/>
          <w:u w:val="single"/>
          <w:lang w:val="en-US" w:eastAsia="zh-CN"/>
        </w:rPr>
        <w:t>9</w:t>
      </w:r>
      <w:r>
        <w:rPr>
          <w:rFonts w:hint="eastAsia"/>
          <w:b/>
          <w:bCs/>
          <w:color w:val="auto"/>
          <w:u w:val="single"/>
        </w:rPr>
        <w:t>月</w:t>
      </w:r>
      <w:r>
        <w:rPr>
          <w:rFonts w:hint="eastAsia"/>
          <w:b/>
          <w:bCs/>
          <w:color w:val="auto"/>
          <w:u w:val="single"/>
          <w:lang w:val="en-US" w:eastAsia="zh-CN"/>
        </w:rPr>
        <w:t>6</w:t>
      </w:r>
      <w:r>
        <w:rPr>
          <w:rFonts w:hint="eastAsia"/>
          <w:b/>
          <w:bCs/>
          <w:color w:val="auto"/>
          <w:u w:val="single"/>
        </w:rPr>
        <w:t>日（北</w:t>
      </w:r>
      <w:r>
        <w:rPr>
          <w:rFonts w:hint="eastAsia"/>
          <w:b/>
          <w:bCs/>
          <w:color w:val="auto"/>
        </w:rPr>
        <w:t>京时间）；</w:t>
      </w:r>
      <w:r>
        <w:rPr>
          <w:rFonts w:hint="eastAsia"/>
          <w:color w:val="auto"/>
        </w:rPr>
        <w:br w:type="textWrapping"/>
      </w:r>
      <w:r>
        <w:rPr>
          <w:rFonts w:hint="eastAsia"/>
          <w:color w:val="auto"/>
        </w:rPr>
        <w:t>  2.地点：</w:t>
      </w:r>
      <w:r>
        <w:rPr>
          <w:rFonts w:hint="eastAsia"/>
          <w:color w:val="auto"/>
          <w:shd w:val="clear" w:color="auto" w:fill="FFFFFF"/>
        </w:rPr>
        <w:t>凡有意参加投标者，请登陆焦作市公共资源交易中心网站会员系统进行网上下载。（联系电话：0391-3568920，QQ：232850725、361532918（群）；</w:t>
      </w:r>
    </w:p>
    <w:p>
      <w:pPr>
        <w:pStyle w:val="24"/>
        <w:keepNext w:val="0"/>
        <w:keepLines w:val="0"/>
        <w:pageBreakBefore w:val="0"/>
        <w:shd w:val="clear" w:color="auto" w:fill="FFFFFF"/>
        <w:kinsoku/>
        <w:wordWrap/>
        <w:overflowPunct/>
        <w:topLinePunct w:val="0"/>
        <w:autoSpaceDE w:val="0"/>
        <w:bidi w:val="0"/>
        <w:spacing w:before="0" w:beforeAutospacing="0" w:after="0" w:afterAutospacing="0" w:line="288" w:lineRule="auto"/>
        <w:textAlignment w:val="auto"/>
        <w:rPr>
          <w:color w:val="auto"/>
        </w:rPr>
      </w:pPr>
      <w:r>
        <w:rPr>
          <w:rFonts w:hint="eastAsia"/>
          <w:color w:val="auto"/>
        </w:rPr>
        <w:t>  3.方式：网上下载；</w:t>
      </w:r>
    </w:p>
    <w:p>
      <w:pPr>
        <w:keepNext w:val="0"/>
        <w:keepLines w:val="0"/>
        <w:pageBreakBefore w:val="0"/>
        <w:kinsoku/>
        <w:wordWrap/>
        <w:overflowPunct/>
        <w:topLinePunct w:val="0"/>
        <w:bidi w:val="0"/>
        <w:adjustRightInd w:val="0"/>
        <w:snapToGrid w:val="0"/>
        <w:spacing w:line="288" w:lineRule="auto"/>
        <w:textAlignment w:val="auto"/>
        <w:rPr>
          <w:rFonts w:ascii="宋体" w:hAnsi="宋体" w:cs="宋体"/>
          <w:b/>
          <w:color w:val="auto"/>
          <w:kern w:val="0"/>
          <w:sz w:val="24"/>
        </w:rPr>
      </w:pPr>
      <w:r>
        <w:rPr>
          <w:rFonts w:hint="eastAsia" w:ascii="宋体" w:hAnsi="宋体" w:cs="宋体"/>
          <w:b/>
          <w:color w:val="auto"/>
          <w:kern w:val="0"/>
          <w:sz w:val="24"/>
        </w:rPr>
        <w:t>四、投标文件提交</w:t>
      </w:r>
    </w:p>
    <w:p>
      <w:pPr>
        <w:keepNext w:val="0"/>
        <w:keepLines w:val="0"/>
        <w:pageBreakBefore w:val="0"/>
        <w:kinsoku/>
        <w:wordWrap/>
        <w:overflowPunct/>
        <w:topLinePunct w:val="0"/>
        <w:bidi w:val="0"/>
        <w:adjustRightInd w:val="0"/>
        <w:snapToGrid w:val="0"/>
        <w:spacing w:line="288" w:lineRule="auto"/>
        <w:ind w:firstLine="482" w:firstLineChars="200"/>
        <w:textAlignment w:val="auto"/>
        <w:rPr>
          <w:rFonts w:ascii="宋体" w:hAnsi="宋体" w:cs="宋体"/>
          <w:b/>
          <w:bCs/>
          <w:color w:val="auto"/>
          <w:kern w:val="0"/>
          <w:sz w:val="24"/>
        </w:rPr>
      </w:pPr>
      <w:r>
        <w:rPr>
          <w:rFonts w:hint="eastAsia" w:ascii="宋体" w:hAnsi="宋体" w:cs="宋体"/>
          <w:b/>
          <w:bCs/>
          <w:color w:val="auto"/>
          <w:kern w:val="0"/>
          <w:sz w:val="24"/>
        </w:rPr>
        <w:t>1.截止时间：</w:t>
      </w:r>
      <w:r>
        <w:rPr>
          <w:rFonts w:hint="eastAsia" w:ascii="宋体" w:hAnsi="宋体" w:cs="宋体"/>
          <w:b/>
          <w:bCs/>
          <w:color w:val="auto"/>
          <w:kern w:val="0"/>
          <w:sz w:val="24"/>
          <w:u w:val="single"/>
        </w:rPr>
        <w:t>202</w:t>
      </w:r>
      <w:r>
        <w:rPr>
          <w:rFonts w:hint="eastAsia" w:ascii="宋体" w:hAnsi="宋体" w:cs="宋体"/>
          <w:b/>
          <w:bCs/>
          <w:color w:val="auto"/>
          <w:kern w:val="0"/>
          <w:sz w:val="24"/>
          <w:u w:val="single"/>
          <w:lang w:val="en-US" w:eastAsia="zh-CN"/>
        </w:rPr>
        <w:t>3</w:t>
      </w:r>
      <w:r>
        <w:rPr>
          <w:rFonts w:hint="eastAsia" w:ascii="宋体" w:hAnsi="宋体" w:cs="宋体"/>
          <w:b/>
          <w:bCs/>
          <w:color w:val="auto"/>
          <w:kern w:val="0"/>
          <w:sz w:val="24"/>
          <w:u w:val="single"/>
        </w:rPr>
        <w:t>年</w:t>
      </w:r>
      <w:r>
        <w:rPr>
          <w:rFonts w:hint="eastAsia" w:ascii="宋体" w:hAnsi="宋体" w:cs="宋体"/>
          <w:b/>
          <w:bCs/>
          <w:color w:val="auto"/>
          <w:kern w:val="0"/>
          <w:sz w:val="24"/>
          <w:u w:val="single"/>
          <w:lang w:val="en-US" w:eastAsia="zh-CN"/>
        </w:rPr>
        <w:t>9</w:t>
      </w:r>
      <w:r>
        <w:rPr>
          <w:rFonts w:hint="eastAsia" w:ascii="宋体" w:hAnsi="宋体" w:cs="宋体"/>
          <w:b/>
          <w:bCs/>
          <w:color w:val="auto"/>
          <w:kern w:val="0"/>
          <w:sz w:val="24"/>
          <w:u w:val="single"/>
        </w:rPr>
        <w:t>月</w:t>
      </w:r>
      <w:r>
        <w:rPr>
          <w:rFonts w:hint="eastAsia" w:ascii="宋体" w:hAnsi="宋体" w:cs="宋体"/>
          <w:b/>
          <w:bCs/>
          <w:color w:val="auto"/>
          <w:kern w:val="0"/>
          <w:sz w:val="24"/>
          <w:u w:val="single"/>
          <w:lang w:val="en-US" w:eastAsia="zh-CN"/>
        </w:rPr>
        <w:t>20</w:t>
      </w:r>
      <w:r>
        <w:rPr>
          <w:rFonts w:hint="eastAsia" w:ascii="宋体" w:hAnsi="宋体" w:cs="宋体"/>
          <w:b/>
          <w:bCs/>
          <w:color w:val="auto"/>
          <w:kern w:val="0"/>
          <w:sz w:val="24"/>
          <w:u w:val="single"/>
        </w:rPr>
        <w:t>日上午</w:t>
      </w:r>
      <w:r>
        <w:rPr>
          <w:rFonts w:hint="eastAsia" w:ascii="宋体" w:hAnsi="宋体" w:cs="宋体"/>
          <w:b/>
          <w:bCs/>
          <w:color w:val="auto"/>
          <w:kern w:val="0"/>
          <w:sz w:val="24"/>
          <w:u w:val="single"/>
          <w:lang w:val="en-US" w:eastAsia="zh-CN"/>
        </w:rPr>
        <w:t>9时00</w:t>
      </w:r>
      <w:r>
        <w:rPr>
          <w:rFonts w:hint="eastAsia" w:ascii="宋体" w:hAnsi="宋体" w:cs="宋体"/>
          <w:b/>
          <w:bCs/>
          <w:color w:val="auto"/>
          <w:kern w:val="0"/>
          <w:sz w:val="24"/>
          <w:u w:val="single"/>
        </w:rPr>
        <w:t>分（北京时间）；</w:t>
      </w:r>
    </w:p>
    <w:p>
      <w:pPr>
        <w:keepNext w:val="0"/>
        <w:keepLines w:val="0"/>
        <w:pageBreakBefore w:val="0"/>
        <w:kinsoku/>
        <w:wordWrap/>
        <w:overflowPunct/>
        <w:topLinePunct w:val="0"/>
        <w:bidi w:val="0"/>
        <w:adjustRightInd w:val="0"/>
        <w:snapToGrid w:val="0"/>
        <w:spacing w:line="288" w:lineRule="auto"/>
        <w:ind w:firstLine="480" w:firstLineChars="200"/>
        <w:textAlignment w:val="auto"/>
        <w:rPr>
          <w:rFonts w:ascii="宋体" w:hAnsi="宋体" w:cs="宋体"/>
          <w:color w:val="auto"/>
          <w:kern w:val="0"/>
          <w:sz w:val="24"/>
        </w:rPr>
      </w:pPr>
      <w:r>
        <w:rPr>
          <w:rFonts w:hint="eastAsia" w:ascii="宋体" w:hAnsi="宋体" w:cs="宋体"/>
          <w:color w:val="auto"/>
          <w:kern w:val="0"/>
          <w:sz w:val="24"/>
        </w:rPr>
        <w:t>2.地点：博爱县公共资源交易中心二楼不见面开标</w:t>
      </w:r>
      <w:r>
        <w:rPr>
          <w:rFonts w:hint="eastAsia" w:ascii="宋体" w:hAnsi="宋体" w:cs="宋体"/>
          <w:color w:val="auto"/>
          <w:kern w:val="0"/>
          <w:sz w:val="24"/>
          <w:lang w:val="en-US" w:eastAsia="zh-CN"/>
        </w:rPr>
        <w:t>一</w:t>
      </w:r>
      <w:r>
        <w:rPr>
          <w:rFonts w:hint="eastAsia" w:ascii="宋体" w:hAnsi="宋体" w:cs="宋体"/>
          <w:color w:val="auto"/>
          <w:kern w:val="0"/>
          <w:sz w:val="24"/>
        </w:rPr>
        <w:t>室；</w:t>
      </w:r>
    </w:p>
    <w:p>
      <w:pPr>
        <w:keepNext w:val="0"/>
        <w:keepLines w:val="0"/>
        <w:pageBreakBefore w:val="0"/>
        <w:kinsoku/>
        <w:wordWrap/>
        <w:overflowPunct/>
        <w:topLinePunct w:val="0"/>
        <w:bidi w:val="0"/>
        <w:adjustRightInd w:val="0"/>
        <w:snapToGrid w:val="0"/>
        <w:spacing w:line="288" w:lineRule="auto"/>
        <w:textAlignment w:val="auto"/>
        <w:rPr>
          <w:rFonts w:ascii="宋体" w:hAnsi="宋体" w:cs="宋体"/>
          <w:b/>
          <w:color w:val="auto"/>
          <w:kern w:val="0"/>
          <w:sz w:val="24"/>
        </w:rPr>
      </w:pPr>
      <w:r>
        <w:rPr>
          <w:rFonts w:hint="eastAsia" w:ascii="宋体" w:hAnsi="宋体" w:cs="宋体"/>
          <w:b/>
          <w:color w:val="auto"/>
          <w:kern w:val="0"/>
          <w:sz w:val="24"/>
        </w:rPr>
        <w:t>五、开启</w:t>
      </w:r>
    </w:p>
    <w:p>
      <w:pPr>
        <w:keepNext w:val="0"/>
        <w:keepLines w:val="0"/>
        <w:pageBreakBefore w:val="0"/>
        <w:kinsoku/>
        <w:wordWrap/>
        <w:overflowPunct/>
        <w:topLinePunct w:val="0"/>
        <w:bidi w:val="0"/>
        <w:adjustRightInd w:val="0"/>
        <w:snapToGrid w:val="0"/>
        <w:spacing w:line="288" w:lineRule="auto"/>
        <w:ind w:firstLine="482" w:firstLineChars="200"/>
        <w:textAlignment w:val="auto"/>
        <w:rPr>
          <w:rFonts w:ascii="宋体" w:hAnsi="宋体" w:cs="宋体"/>
          <w:b/>
          <w:bCs/>
          <w:color w:val="auto"/>
          <w:kern w:val="0"/>
          <w:sz w:val="24"/>
        </w:rPr>
      </w:pPr>
      <w:r>
        <w:rPr>
          <w:rFonts w:hint="eastAsia" w:ascii="宋体" w:hAnsi="宋体" w:cs="宋体"/>
          <w:b/>
          <w:bCs/>
          <w:color w:val="auto"/>
          <w:kern w:val="0"/>
          <w:sz w:val="24"/>
        </w:rPr>
        <w:t>1.时间：</w:t>
      </w:r>
      <w:r>
        <w:rPr>
          <w:rFonts w:hint="eastAsia" w:ascii="宋体" w:hAnsi="宋体" w:cs="宋体"/>
          <w:b/>
          <w:bCs/>
          <w:color w:val="auto"/>
          <w:kern w:val="0"/>
          <w:sz w:val="24"/>
          <w:u w:val="single"/>
        </w:rPr>
        <w:t>202</w:t>
      </w:r>
      <w:r>
        <w:rPr>
          <w:rFonts w:hint="eastAsia" w:ascii="宋体" w:hAnsi="宋体" w:cs="宋体"/>
          <w:b/>
          <w:bCs/>
          <w:color w:val="auto"/>
          <w:kern w:val="0"/>
          <w:sz w:val="24"/>
          <w:u w:val="single"/>
          <w:lang w:val="en-US" w:eastAsia="zh-CN"/>
        </w:rPr>
        <w:t>3</w:t>
      </w:r>
      <w:r>
        <w:rPr>
          <w:rFonts w:hint="eastAsia" w:ascii="宋体" w:hAnsi="宋体" w:cs="宋体"/>
          <w:b/>
          <w:bCs/>
          <w:color w:val="auto"/>
          <w:kern w:val="0"/>
          <w:sz w:val="24"/>
          <w:u w:val="single"/>
        </w:rPr>
        <w:t>年</w:t>
      </w:r>
      <w:r>
        <w:rPr>
          <w:rFonts w:hint="eastAsia" w:ascii="宋体" w:hAnsi="宋体" w:cs="宋体"/>
          <w:b/>
          <w:bCs/>
          <w:color w:val="auto"/>
          <w:kern w:val="0"/>
          <w:sz w:val="24"/>
          <w:u w:val="single"/>
          <w:lang w:val="en-US" w:eastAsia="zh-CN"/>
        </w:rPr>
        <w:t>9</w:t>
      </w:r>
      <w:r>
        <w:rPr>
          <w:rFonts w:hint="eastAsia" w:ascii="宋体" w:hAnsi="宋体" w:cs="宋体"/>
          <w:b/>
          <w:bCs/>
          <w:color w:val="auto"/>
          <w:kern w:val="0"/>
          <w:sz w:val="24"/>
          <w:u w:val="single"/>
        </w:rPr>
        <w:t>月</w:t>
      </w:r>
      <w:r>
        <w:rPr>
          <w:rFonts w:hint="eastAsia" w:ascii="宋体" w:hAnsi="宋体" w:cs="宋体"/>
          <w:b/>
          <w:bCs/>
          <w:color w:val="auto"/>
          <w:kern w:val="0"/>
          <w:sz w:val="24"/>
          <w:u w:val="single"/>
          <w:lang w:val="en-US" w:eastAsia="zh-CN"/>
        </w:rPr>
        <w:t>20</w:t>
      </w:r>
      <w:r>
        <w:rPr>
          <w:rFonts w:hint="eastAsia" w:ascii="宋体" w:hAnsi="宋体" w:cs="宋体"/>
          <w:b/>
          <w:bCs/>
          <w:color w:val="auto"/>
          <w:kern w:val="0"/>
          <w:sz w:val="24"/>
          <w:u w:val="single"/>
        </w:rPr>
        <w:t>日上午</w:t>
      </w:r>
      <w:r>
        <w:rPr>
          <w:rFonts w:hint="eastAsia" w:ascii="宋体" w:hAnsi="宋体" w:cs="宋体"/>
          <w:b/>
          <w:bCs/>
          <w:color w:val="auto"/>
          <w:kern w:val="0"/>
          <w:sz w:val="24"/>
          <w:u w:val="single"/>
          <w:lang w:val="en-US" w:eastAsia="zh-CN"/>
        </w:rPr>
        <w:t>9时00</w:t>
      </w:r>
      <w:r>
        <w:rPr>
          <w:rFonts w:hint="eastAsia" w:ascii="宋体" w:hAnsi="宋体" w:cs="宋体"/>
          <w:b/>
          <w:bCs/>
          <w:color w:val="auto"/>
          <w:kern w:val="0"/>
          <w:sz w:val="24"/>
          <w:u w:val="single"/>
        </w:rPr>
        <w:t>分（北京时间</w:t>
      </w:r>
      <w:r>
        <w:rPr>
          <w:rFonts w:hint="eastAsia" w:ascii="宋体" w:hAnsi="宋体" w:cs="宋体"/>
          <w:b/>
          <w:bCs/>
          <w:color w:val="auto"/>
          <w:kern w:val="0"/>
          <w:sz w:val="24"/>
        </w:rPr>
        <w:t>）；</w:t>
      </w:r>
    </w:p>
    <w:p>
      <w:pPr>
        <w:keepNext w:val="0"/>
        <w:keepLines w:val="0"/>
        <w:pageBreakBefore w:val="0"/>
        <w:kinsoku/>
        <w:wordWrap/>
        <w:overflowPunct/>
        <w:topLinePunct w:val="0"/>
        <w:bidi w:val="0"/>
        <w:adjustRightInd w:val="0"/>
        <w:snapToGrid w:val="0"/>
        <w:spacing w:line="288" w:lineRule="auto"/>
        <w:ind w:firstLine="480" w:firstLineChars="200"/>
        <w:textAlignment w:val="auto"/>
        <w:rPr>
          <w:rFonts w:ascii="宋体" w:hAnsi="宋体" w:cs="宋体"/>
          <w:color w:val="auto"/>
          <w:kern w:val="0"/>
          <w:sz w:val="24"/>
        </w:rPr>
      </w:pPr>
      <w:r>
        <w:rPr>
          <w:rFonts w:hint="eastAsia" w:ascii="宋体" w:hAnsi="宋体" w:cs="宋体"/>
          <w:color w:val="auto"/>
          <w:kern w:val="0"/>
          <w:sz w:val="24"/>
        </w:rPr>
        <w:t>2.地点：博爱县公共资源交易中心二楼不见面开标</w:t>
      </w:r>
      <w:r>
        <w:rPr>
          <w:rFonts w:hint="eastAsia" w:ascii="宋体" w:hAnsi="宋体" w:cs="宋体"/>
          <w:color w:val="auto"/>
          <w:kern w:val="0"/>
          <w:sz w:val="24"/>
          <w:lang w:val="en-US" w:eastAsia="zh-CN"/>
        </w:rPr>
        <w:t>一</w:t>
      </w:r>
      <w:r>
        <w:rPr>
          <w:rFonts w:hint="eastAsia" w:ascii="宋体" w:hAnsi="宋体" w:cs="宋体"/>
          <w:color w:val="auto"/>
          <w:kern w:val="0"/>
          <w:sz w:val="24"/>
        </w:rPr>
        <w:t>室；</w:t>
      </w:r>
    </w:p>
    <w:p>
      <w:pPr>
        <w:keepNext w:val="0"/>
        <w:keepLines w:val="0"/>
        <w:pageBreakBefore w:val="0"/>
        <w:kinsoku/>
        <w:wordWrap/>
        <w:overflowPunct/>
        <w:topLinePunct w:val="0"/>
        <w:bidi w:val="0"/>
        <w:adjustRightInd w:val="0"/>
        <w:snapToGrid w:val="0"/>
        <w:spacing w:line="288" w:lineRule="auto"/>
        <w:textAlignment w:val="auto"/>
        <w:rPr>
          <w:rFonts w:ascii="宋体" w:hAnsi="宋体" w:cs="宋体"/>
          <w:b/>
          <w:bCs/>
          <w:color w:val="auto"/>
          <w:sz w:val="24"/>
        </w:rPr>
      </w:pPr>
      <w:r>
        <w:rPr>
          <w:rFonts w:hint="eastAsia" w:ascii="宋体" w:hAnsi="宋体" w:cs="宋体"/>
          <w:b/>
          <w:bCs/>
          <w:color w:val="auto"/>
          <w:sz w:val="24"/>
        </w:rPr>
        <w:t>六、公告期限</w:t>
      </w:r>
    </w:p>
    <w:p>
      <w:pPr>
        <w:keepNext w:val="0"/>
        <w:keepLines w:val="0"/>
        <w:pageBreakBefore w:val="0"/>
        <w:kinsoku/>
        <w:wordWrap/>
        <w:overflowPunct/>
        <w:topLinePunct w:val="0"/>
        <w:bidi w:val="0"/>
        <w:adjustRightInd w:val="0"/>
        <w:snapToGrid w:val="0"/>
        <w:spacing w:line="288" w:lineRule="auto"/>
        <w:ind w:firstLine="480" w:firstLineChars="200"/>
        <w:textAlignment w:val="auto"/>
        <w:rPr>
          <w:rFonts w:ascii="宋体" w:hAnsi="宋体" w:cs="宋体"/>
          <w:color w:val="auto"/>
          <w:kern w:val="0"/>
          <w:sz w:val="24"/>
        </w:rPr>
      </w:pPr>
      <w:r>
        <w:rPr>
          <w:rFonts w:hint="eastAsia" w:ascii="宋体" w:hAnsi="宋体" w:cs="宋体"/>
          <w:color w:val="auto"/>
          <w:sz w:val="24"/>
        </w:rPr>
        <w:t>自本公告发布之</w:t>
      </w:r>
      <w:r>
        <w:rPr>
          <w:rFonts w:hint="eastAsia" w:ascii="宋体" w:hAnsi="宋体" w:cs="宋体"/>
          <w:color w:val="auto"/>
          <w:kern w:val="0"/>
          <w:sz w:val="24"/>
        </w:rPr>
        <w:t>日起5个工作日。</w:t>
      </w:r>
    </w:p>
    <w:p>
      <w:pPr>
        <w:keepNext w:val="0"/>
        <w:keepLines w:val="0"/>
        <w:pageBreakBefore w:val="0"/>
        <w:kinsoku/>
        <w:wordWrap/>
        <w:overflowPunct/>
        <w:topLinePunct w:val="0"/>
        <w:bidi w:val="0"/>
        <w:adjustRightInd w:val="0"/>
        <w:snapToGrid w:val="0"/>
        <w:spacing w:line="288" w:lineRule="auto"/>
        <w:textAlignment w:val="auto"/>
        <w:rPr>
          <w:rFonts w:hint="eastAsia" w:ascii="宋体" w:hAnsi="宋体" w:cs="宋体"/>
          <w:b/>
          <w:bCs/>
          <w:color w:val="auto"/>
          <w:sz w:val="24"/>
        </w:rPr>
      </w:pPr>
      <w:r>
        <w:rPr>
          <w:rFonts w:hint="eastAsia" w:ascii="宋体" w:hAnsi="宋体" w:cs="宋体"/>
          <w:b/>
          <w:bCs/>
          <w:color w:val="auto"/>
          <w:sz w:val="24"/>
          <w:lang w:val="en-US" w:eastAsia="zh-CN"/>
        </w:rPr>
        <w:t>七、</w:t>
      </w:r>
      <w:r>
        <w:rPr>
          <w:rFonts w:hint="eastAsia" w:ascii="宋体" w:hAnsi="宋体" w:cs="宋体"/>
          <w:b/>
          <w:bCs/>
          <w:color w:val="auto"/>
          <w:sz w:val="24"/>
        </w:rPr>
        <w:t>其他补充事宜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b w:val="0"/>
          <w:bCs w:val="0"/>
        </w:rPr>
      </w:pPr>
      <w:r>
        <w:rPr>
          <w:rFonts w:hint="eastAsia" w:ascii="宋体" w:hAnsi="宋体" w:cs="宋体"/>
          <w:b w:val="0"/>
          <w:bCs w:val="0"/>
          <w:color w:val="auto"/>
          <w:sz w:val="24"/>
        </w:rPr>
        <w:t>1.本次本公告在中国招标投标公共服务平台、河南省政府采购网、焦作市政府采购网、焦作市公共资源交易中心网、博爱县人民政府网、博爱县公共资源交易中心网http://www.baxggzyjyzx.cn/上发布</w:t>
      </w:r>
      <w:bookmarkStart w:id="358" w:name="_GoBack"/>
      <w:bookmarkEnd w:id="358"/>
      <w:r>
        <w:rPr>
          <w:rFonts w:hint="eastAsia" w:ascii="宋体" w:hAnsi="宋体" w:cs="宋体"/>
          <w:b w:val="0"/>
          <w:bCs w:val="0"/>
          <w:color w:val="auto"/>
          <w:sz w:val="24"/>
        </w:rPr>
        <w:t>。</w:t>
      </w:r>
    </w:p>
    <w:p>
      <w:pPr>
        <w:pStyle w:val="24"/>
        <w:keepNext w:val="0"/>
        <w:keepLines w:val="0"/>
        <w:pageBreakBefore w:val="0"/>
        <w:kinsoku/>
        <w:wordWrap/>
        <w:overflowPunct/>
        <w:topLinePunct w:val="0"/>
        <w:bidi w:val="0"/>
        <w:spacing w:beforeAutospacing="0" w:afterAutospacing="0" w:line="360" w:lineRule="auto"/>
        <w:ind w:firstLine="468" w:firstLineChars="195"/>
        <w:jc w:val="both"/>
        <w:textAlignment w:val="auto"/>
        <w:rPr>
          <w:color w:val="auto"/>
        </w:rPr>
      </w:pPr>
      <w:r>
        <w:rPr>
          <w:rFonts w:hint="eastAsia"/>
          <w:color w:val="auto"/>
        </w:rPr>
        <w:t>2.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按要求解密投标文件。因文件未及时上传导致投标失败的责任由投标人自行承担，具体要求详见招标文件。平台统一技术服务电话：400-998-0000，服务QQ：4008503300，服务时间：周一至周日8：00-17：30。</w:t>
      </w:r>
    </w:p>
    <w:p>
      <w:pPr>
        <w:pStyle w:val="24"/>
        <w:keepNext w:val="0"/>
        <w:keepLines w:val="0"/>
        <w:pageBreakBefore w:val="0"/>
        <w:kinsoku/>
        <w:wordWrap/>
        <w:overflowPunct/>
        <w:topLinePunct w:val="0"/>
        <w:bidi w:val="0"/>
        <w:spacing w:beforeAutospacing="0" w:afterAutospacing="0" w:line="288" w:lineRule="auto"/>
        <w:ind w:firstLine="468" w:firstLineChars="195"/>
        <w:jc w:val="both"/>
        <w:textAlignment w:val="auto"/>
        <w:rPr>
          <w:color w:val="auto"/>
        </w:rPr>
      </w:pPr>
      <w:r>
        <w:rPr>
          <w:rFonts w:hint="eastAsia"/>
          <w:color w:val="auto"/>
        </w:rPr>
        <w:t>3.投标人无需到现场参加开标会议，无需到达现场提交原件资料。投标人应当在投标截止前，登录远程开标大厅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pPr>
        <w:keepNext w:val="0"/>
        <w:keepLines w:val="0"/>
        <w:pageBreakBefore w:val="0"/>
        <w:kinsoku/>
        <w:wordWrap/>
        <w:overflowPunct/>
        <w:topLinePunct w:val="0"/>
        <w:bidi w:val="0"/>
        <w:adjustRightInd w:val="0"/>
        <w:snapToGrid w:val="0"/>
        <w:spacing w:line="288" w:lineRule="auto"/>
        <w:textAlignment w:val="auto"/>
        <w:rPr>
          <w:rFonts w:ascii="宋体" w:hAnsi="宋体" w:cs="宋体"/>
          <w:b/>
          <w:color w:val="auto"/>
          <w:kern w:val="0"/>
          <w:sz w:val="24"/>
        </w:rPr>
      </w:pPr>
      <w:r>
        <w:rPr>
          <w:rFonts w:hint="eastAsia" w:ascii="宋体" w:hAnsi="宋体" w:cs="宋体"/>
          <w:b/>
          <w:color w:val="auto"/>
          <w:kern w:val="0"/>
          <w:sz w:val="24"/>
        </w:rPr>
        <w:t>八、</w:t>
      </w:r>
      <w:r>
        <w:rPr>
          <w:rFonts w:hint="eastAsia" w:ascii="宋体" w:hAnsi="宋体" w:cs="宋体"/>
          <w:b/>
          <w:color w:val="auto"/>
          <w:sz w:val="24"/>
          <w:shd w:val="clear" w:color="auto" w:fill="FFFFFF"/>
        </w:rPr>
        <w:t>凡对本次采购提出询问，请按以下方式联系</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1.采购人信息：</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采购人：</w:t>
      </w:r>
      <w:r>
        <w:rPr>
          <w:rFonts w:hint="eastAsia" w:ascii="宋体" w:hAnsi="宋体" w:eastAsia="宋体" w:cs="宋体"/>
          <w:sz w:val="24"/>
          <w:szCs w:val="24"/>
          <w:lang w:eastAsia="zh-CN"/>
        </w:rPr>
        <w:t>博爱县林业发展服务中心</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址：博爱县葵城路</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联系人：</w:t>
      </w:r>
      <w:r>
        <w:rPr>
          <w:rFonts w:hint="eastAsia" w:ascii="宋体" w:hAnsi="宋体" w:cs="宋体"/>
          <w:sz w:val="24"/>
          <w:szCs w:val="24"/>
          <w:lang w:eastAsia="zh-CN"/>
        </w:rPr>
        <w:t>常</w:t>
      </w:r>
      <w:r>
        <w:rPr>
          <w:rFonts w:hint="eastAsia" w:ascii="宋体" w:hAnsi="宋体" w:eastAsia="宋体" w:cs="宋体"/>
          <w:sz w:val="24"/>
          <w:szCs w:val="24"/>
          <w:lang w:eastAsia="zh-CN"/>
        </w:rPr>
        <w:t>先生</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电话：</w:t>
      </w:r>
      <w:r>
        <w:rPr>
          <w:rFonts w:hint="eastAsia" w:ascii="宋体" w:hAnsi="宋体" w:cs="宋体"/>
          <w:sz w:val="24"/>
          <w:szCs w:val="24"/>
          <w:lang w:val="en-US" w:eastAsia="zh-CN"/>
        </w:rPr>
        <w:t>15738591333</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2.采购代理机构信息：</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名称：中常诚凯工程管理有限公司</w:t>
      </w:r>
    </w:p>
    <w:p>
      <w:pPr>
        <w:keepNext w:val="0"/>
        <w:keepLines w:val="0"/>
        <w:pageBreakBefore w:val="0"/>
        <w:kinsoku/>
        <w:wordWrap/>
        <w:overflowPunct/>
        <w:topLinePunct w:val="0"/>
        <w:bidi w:val="0"/>
        <w:adjustRightInd w:val="0"/>
        <w:snapToGrid w:val="0"/>
        <w:spacing w:line="288"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地址：</w:t>
      </w:r>
      <w:r>
        <w:rPr>
          <w:rFonts w:hint="eastAsia" w:ascii="宋体" w:hAnsi="宋体" w:eastAsia="宋体" w:cs="宋体"/>
          <w:color w:val="auto"/>
          <w:sz w:val="24"/>
          <w:lang w:val="en-US" w:eastAsia="zh-CN"/>
        </w:rPr>
        <w:t>焦作市山阳区东苑路东城商务9号楼</w:t>
      </w:r>
    </w:p>
    <w:p>
      <w:pPr>
        <w:keepNext w:val="0"/>
        <w:keepLines w:val="0"/>
        <w:pageBreakBefore w:val="0"/>
        <w:kinsoku/>
        <w:wordWrap/>
        <w:overflowPunct/>
        <w:topLinePunct w:val="0"/>
        <w:bidi w:val="0"/>
        <w:adjustRightInd w:val="0"/>
        <w:snapToGrid w:val="0"/>
        <w:spacing w:line="288"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联系人：张先生</w:t>
      </w:r>
    </w:p>
    <w:p>
      <w:pPr>
        <w:keepNext w:val="0"/>
        <w:keepLines w:val="0"/>
        <w:pageBreakBefore w:val="0"/>
        <w:kinsoku/>
        <w:wordWrap/>
        <w:overflowPunct/>
        <w:topLinePunct w:val="0"/>
        <w:bidi w:val="0"/>
        <w:adjustRightInd w:val="0"/>
        <w:snapToGrid w:val="0"/>
        <w:spacing w:line="288"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联系方式:</w:t>
      </w:r>
      <w:r>
        <w:rPr>
          <w:rFonts w:hint="eastAsia" w:ascii="宋体" w:hAnsi="宋体" w:eastAsia="宋体" w:cs="宋体"/>
          <w:color w:val="auto"/>
          <w:sz w:val="24"/>
          <w:lang w:val="en-US" w:eastAsia="zh-CN"/>
        </w:rPr>
        <w:t>15738591617</w:t>
      </w:r>
    </w:p>
    <w:p>
      <w:pPr>
        <w:keepNext w:val="0"/>
        <w:keepLines w:val="0"/>
        <w:pageBreakBefore w:val="0"/>
        <w:kinsoku/>
        <w:wordWrap/>
        <w:overflowPunct/>
        <w:topLinePunct w:val="0"/>
        <w:bidi w:val="0"/>
        <w:adjustRightInd w:val="0"/>
        <w:snapToGrid w:val="0"/>
        <w:spacing w:line="288" w:lineRule="auto"/>
        <w:ind w:firstLine="480" w:firstLineChars="200"/>
        <w:textAlignment w:val="auto"/>
        <w:rPr>
          <w:rFonts w:ascii="宋体" w:hAnsi="宋体" w:cs="宋体"/>
          <w:color w:val="auto"/>
          <w:sz w:val="24"/>
        </w:rPr>
      </w:pPr>
      <w:r>
        <w:rPr>
          <w:rFonts w:hint="eastAsia" w:ascii="宋体" w:hAnsi="宋体" w:cs="宋体"/>
          <w:color w:val="auto"/>
          <w:sz w:val="24"/>
        </w:rPr>
        <w:t>3.项目联系方式</w:t>
      </w:r>
    </w:p>
    <w:p>
      <w:pPr>
        <w:pStyle w:val="24"/>
        <w:keepNext w:val="0"/>
        <w:keepLines w:val="0"/>
        <w:pageBreakBefore w:val="0"/>
        <w:widowControl/>
        <w:suppressLineNumbers w:val="0"/>
        <w:kinsoku/>
        <w:wordWrap/>
        <w:overflowPunct/>
        <w:topLinePunct w:val="0"/>
        <w:bidi w:val="0"/>
        <w:spacing w:before="0" w:beforeAutospacing="0" w:after="0" w:afterAutospacing="0" w:line="288" w:lineRule="auto"/>
        <w:ind w:left="0" w:right="0" w:firstLine="480" w:firstLineChars="200"/>
        <w:jc w:val="left"/>
        <w:textAlignment w:val="auto"/>
        <w:rPr>
          <w:rFonts w:hint="eastAsia" w:ascii="宋体" w:hAnsi="宋体" w:eastAsia="宋体" w:cs="宋体"/>
          <w:color w:val="auto"/>
          <w:sz w:val="24"/>
          <w:lang w:eastAsia="zh-CN"/>
        </w:rPr>
      </w:pPr>
      <w:r>
        <w:rPr>
          <w:rFonts w:hint="eastAsia" w:ascii="宋体" w:hAnsi="宋体" w:cs="宋体"/>
          <w:color w:val="auto"/>
          <w:sz w:val="24"/>
        </w:rPr>
        <w:t>项目联系人：</w:t>
      </w:r>
      <w:r>
        <w:rPr>
          <w:rFonts w:hint="eastAsia" w:cs="宋体"/>
          <w:color w:val="auto"/>
          <w:sz w:val="24"/>
          <w:szCs w:val="24"/>
          <w:lang w:val="en-US" w:eastAsia="zh-CN"/>
        </w:rPr>
        <w:t>张</w:t>
      </w:r>
      <w:r>
        <w:rPr>
          <w:rFonts w:hint="eastAsia" w:ascii="宋体" w:hAnsi="宋体" w:eastAsia="宋体" w:cs="宋体"/>
          <w:color w:val="auto"/>
          <w:sz w:val="24"/>
          <w:szCs w:val="24"/>
        </w:rPr>
        <w:t>先生</w:t>
      </w:r>
      <w:r>
        <w:rPr>
          <w:rFonts w:hint="eastAsia" w:ascii="宋体" w:hAnsi="宋体" w:cs="宋体"/>
          <w:color w:val="auto"/>
          <w:kern w:val="0"/>
          <w:sz w:val="24"/>
          <w:lang w:val="en-US" w:eastAsia="zh-CN"/>
        </w:rPr>
        <w:t xml:space="preserve"> </w:t>
      </w:r>
    </w:p>
    <w:p>
      <w:pPr>
        <w:keepNext w:val="0"/>
        <w:keepLines w:val="0"/>
        <w:pageBreakBefore w:val="0"/>
        <w:kinsoku/>
        <w:wordWrap/>
        <w:overflowPunct/>
        <w:topLinePunct w:val="0"/>
        <w:bidi w:val="0"/>
        <w:adjustRightInd w:val="0"/>
        <w:snapToGrid w:val="0"/>
        <w:spacing w:line="288" w:lineRule="auto"/>
        <w:ind w:firstLine="480" w:firstLineChars="200"/>
        <w:textAlignment w:val="auto"/>
        <w:rPr>
          <w:rFonts w:hint="default" w:ascii="宋体" w:hAnsi="宋体" w:eastAsia="宋体" w:cs="宋体"/>
          <w:color w:val="auto"/>
          <w:kern w:val="0"/>
          <w:sz w:val="24"/>
          <w:lang w:val="en-US" w:eastAsia="zh-CN"/>
        </w:rPr>
      </w:pPr>
      <w:r>
        <w:rPr>
          <w:rFonts w:hint="eastAsia" w:ascii="宋体" w:hAnsi="宋体" w:cs="宋体"/>
          <w:color w:val="auto"/>
          <w:sz w:val="24"/>
        </w:rPr>
        <w:t>电话：</w:t>
      </w:r>
      <w:r>
        <w:rPr>
          <w:rFonts w:hint="eastAsia" w:ascii="宋体" w:hAnsi="宋体" w:cs="宋体"/>
          <w:color w:val="auto"/>
          <w:kern w:val="0"/>
          <w:sz w:val="24"/>
          <w:lang w:val="en-US" w:eastAsia="zh-CN"/>
        </w:rPr>
        <w:t>15738591617</w:t>
      </w:r>
    </w:p>
    <w:p>
      <w:pPr>
        <w:keepNext w:val="0"/>
        <w:keepLines w:val="0"/>
        <w:pageBreakBefore w:val="0"/>
        <w:widowControl/>
        <w:kinsoku/>
        <w:wordWrap/>
        <w:overflowPunct/>
        <w:topLinePunct w:val="0"/>
        <w:bidi w:val="0"/>
        <w:spacing w:line="288" w:lineRule="auto"/>
        <w:ind w:left="2940" w:firstLine="420"/>
        <w:textAlignment w:val="auto"/>
        <w:rPr>
          <w:rFonts w:ascii="宋体" w:hAnsi="宋体" w:cs="宋体"/>
          <w:color w:val="auto"/>
          <w:sz w:val="24"/>
        </w:rPr>
      </w:pPr>
    </w:p>
    <w:p>
      <w:pPr>
        <w:keepNext w:val="0"/>
        <w:keepLines w:val="0"/>
        <w:pageBreakBefore w:val="0"/>
        <w:widowControl/>
        <w:kinsoku/>
        <w:wordWrap/>
        <w:overflowPunct/>
        <w:topLinePunct w:val="0"/>
        <w:bidi w:val="0"/>
        <w:spacing w:line="288" w:lineRule="auto"/>
        <w:ind w:left="2940" w:firstLine="420"/>
        <w:textAlignment w:val="auto"/>
        <w:rPr>
          <w:rFonts w:ascii="宋体" w:hAnsi="宋体" w:cs="宋体"/>
          <w:color w:val="auto"/>
          <w:sz w:val="24"/>
        </w:rPr>
      </w:pPr>
    </w:p>
    <w:p>
      <w:pPr>
        <w:keepNext w:val="0"/>
        <w:keepLines w:val="0"/>
        <w:pageBreakBefore w:val="0"/>
        <w:widowControl/>
        <w:kinsoku/>
        <w:wordWrap/>
        <w:overflowPunct/>
        <w:topLinePunct w:val="0"/>
        <w:bidi w:val="0"/>
        <w:spacing w:line="288" w:lineRule="auto"/>
        <w:ind w:left="2940" w:firstLine="420"/>
        <w:textAlignment w:val="auto"/>
        <w:rPr>
          <w:rFonts w:ascii="宋体" w:hAnsi="宋体" w:cs="宋体"/>
          <w:color w:val="auto"/>
          <w:sz w:val="24"/>
        </w:rPr>
      </w:pPr>
    </w:p>
    <w:p>
      <w:pPr>
        <w:keepNext w:val="0"/>
        <w:keepLines w:val="0"/>
        <w:pageBreakBefore w:val="0"/>
        <w:widowControl/>
        <w:kinsoku/>
        <w:wordWrap/>
        <w:overflowPunct/>
        <w:topLinePunct w:val="0"/>
        <w:bidi w:val="0"/>
        <w:spacing w:line="288" w:lineRule="auto"/>
        <w:ind w:left="2940" w:firstLine="420"/>
        <w:jc w:val="right"/>
        <w:textAlignment w:val="auto"/>
        <w:rPr>
          <w:rFonts w:ascii="宋体" w:hAnsi="宋体" w:cs="宋体"/>
          <w:color w:val="auto"/>
          <w:sz w:val="24"/>
          <w:shd w:val="clear" w:color="auto" w:fill="FFFFFF"/>
        </w:rPr>
      </w:pPr>
      <w:r>
        <w:rPr>
          <w:rFonts w:hint="eastAsia" w:ascii="宋体" w:hAnsi="宋体" w:cs="宋体"/>
          <w:color w:val="auto"/>
          <w:sz w:val="24"/>
        </w:rPr>
        <w:t>采购人：</w:t>
      </w:r>
      <w:r>
        <w:rPr>
          <w:rFonts w:hint="eastAsia" w:ascii="宋体" w:hAnsi="宋体" w:cs="宋体"/>
          <w:color w:val="auto"/>
          <w:kern w:val="0"/>
          <w:sz w:val="24"/>
          <w:lang w:eastAsia="zh-CN"/>
        </w:rPr>
        <w:t>博爱县林业发展服务中心</w:t>
      </w:r>
    </w:p>
    <w:p>
      <w:pPr>
        <w:keepNext w:val="0"/>
        <w:keepLines w:val="0"/>
        <w:pageBreakBefore w:val="0"/>
        <w:widowControl/>
        <w:kinsoku/>
        <w:wordWrap/>
        <w:overflowPunct/>
        <w:topLinePunct w:val="0"/>
        <w:bidi w:val="0"/>
        <w:spacing w:line="288" w:lineRule="auto"/>
        <w:ind w:firstLine="2880" w:firstLineChars="1200"/>
        <w:jc w:val="right"/>
        <w:textAlignment w:val="auto"/>
        <w:rPr>
          <w:rFonts w:hint="eastAsia" w:ascii="宋体" w:hAnsi="宋体" w:eastAsia="宋体" w:cs="宋体"/>
          <w:color w:val="auto"/>
          <w:sz w:val="24"/>
          <w:shd w:val="clear" w:color="auto" w:fill="FFFFFF"/>
          <w:lang w:eastAsia="zh-CN"/>
        </w:rPr>
      </w:pPr>
      <w:r>
        <w:rPr>
          <w:rFonts w:hint="eastAsia" w:ascii="宋体" w:hAnsi="宋体" w:cs="宋体"/>
          <w:color w:val="auto"/>
          <w:sz w:val="24"/>
          <w:shd w:val="clear" w:color="auto" w:fill="FFFFFF"/>
        </w:rPr>
        <w:t>采购代理机构：</w:t>
      </w:r>
      <w:r>
        <w:rPr>
          <w:rFonts w:hint="eastAsia" w:ascii="宋体" w:hAnsi="宋体" w:cs="宋体"/>
          <w:color w:val="auto"/>
          <w:sz w:val="24"/>
          <w:shd w:val="clear" w:color="auto" w:fill="FFFFFF"/>
          <w:lang w:eastAsia="zh-CN"/>
        </w:rPr>
        <w:t>中常诚凯工程管理有限公司</w:t>
      </w:r>
    </w:p>
    <w:p>
      <w:pPr>
        <w:pStyle w:val="3"/>
        <w:keepNext w:val="0"/>
        <w:keepLines w:val="0"/>
        <w:pageBreakBefore w:val="0"/>
        <w:kinsoku/>
        <w:wordWrap/>
        <w:overflowPunct/>
        <w:topLinePunct w:val="0"/>
        <w:bidi w:val="0"/>
        <w:spacing w:line="288" w:lineRule="auto"/>
        <w:ind w:firstLine="3360" w:firstLineChars="1400"/>
        <w:jc w:val="right"/>
        <w:textAlignment w:val="auto"/>
        <w:rPr>
          <w:rFonts w:asciiTheme="minorEastAsia" w:hAnsiTheme="minorEastAsia" w:eastAsiaTheme="minorEastAsia" w:cstheme="minorEastAsia"/>
          <w:b/>
          <w:color w:val="auto"/>
          <w:sz w:val="32"/>
          <w:szCs w:val="32"/>
        </w:rPr>
      </w:pPr>
      <w:r>
        <w:rPr>
          <w:rFonts w:hint="eastAsia" w:ascii="宋体" w:hAnsi="宋体" w:cs="宋体"/>
          <w:color w:val="auto"/>
          <w:sz w:val="24"/>
        </w:rPr>
        <w:t>发布时间：202</w:t>
      </w:r>
      <w:r>
        <w:rPr>
          <w:rFonts w:hint="eastAsia" w:ascii="宋体" w:hAnsi="宋体" w:cs="宋体"/>
          <w:color w:val="auto"/>
          <w:sz w:val="24"/>
          <w:lang w:val="en-US" w:eastAsia="zh-CN"/>
        </w:rPr>
        <w:t>3</w:t>
      </w:r>
      <w:r>
        <w:rPr>
          <w:rFonts w:hint="eastAsia" w:ascii="宋体" w:hAnsi="宋体" w:cs="宋体"/>
          <w:color w:val="auto"/>
          <w:sz w:val="24"/>
        </w:rPr>
        <w:t>年</w:t>
      </w:r>
      <w:r>
        <w:rPr>
          <w:rFonts w:hint="eastAsia" w:ascii="宋体" w:hAnsi="宋体" w:cs="宋体"/>
          <w:color w:val="auto"/>
          <w:sz w:val="24"/>
          <w:lang w:val="en-US" w:eastAsia="zh-CN"/>
        </w:rPr>
        <w:t>8</w:t>
      </w:r>
      <w:r>
        <w:rPr>
          <w:rFonts w:hint="eastAsia" w:ascii="宋体" w:hAnsi="宋体" w:cs="宋体"/>
          <w:color w:val="auto"/>
          <w:sz w:val="24"/>
        </w:rPr>
        <w:t>月</w:t>
      </w:r>
      <w:r>
        <w:rPr>
          <w:rFonts w:hint="eastAsia" w:ascii="宋体" w:hAnsi="宋体" w:cs="宋体"/>
          <w:color w:val="auto"/>
          <w:sz w:val="24"/>
          <w:lang w:val="en-US" w:eastAsia="zh-CN"/>
        </w:rPr>
        <w:t>30</w:t>
      </w:r>
      <w:r>
        <w:rPr>
          <w:rFonts w:hint="eastAsia" w:ascii="宋体" w:hAnsi="宋体" w:cs="宋体"/>
          <w:color w:val="auto"/>
          <w:sz w:val="24"/>
        </w:rPr>
        <w:t>日</w:t>
      </w:r>
    </w:p>
    <w:p>
      <w:pPr>
        <w:pStyle w:val="4"/>
        <w:rPr>
          <w:rFonts w:asciiTheme="minorEastAsia" w:hAnsiTheme="minorEastAsia" w:eastAsiaTheme="minorEastAsia" w:cstheme="minorEastAsia"/>
          <w:b/>
          <w:color w:val="auto"/>
          <w:sz w:val="32"/>
          <w:szCs w:val="32"/>
        </w:rPr>
      </w:pPr>
    </w:p>
    <w:p>
      <w:pPr>
        <w:pStyle w:val="3"/>
        <w:rPr>
          <w:rFonts w:asciiTheme="minorEastAsia" w:hAnsiTheme="minorEastAsia" w:eastAsiaTheme="minorEastAsia" w:cstheme="minorEastAsia"/>
          <w:b/>
          <w:color w:val="auto"/>
          <w:sz w:val="32"/>
          <w:szCs w:val="32"/>
        </w:rPr>
      </w:pPr>
    </w:p>
    <w:p>
      <w:pPr>
        <w:pStyle w:val="4"/>
        <w:rPr>
          <w:rFonts w:asciiTheme="minorEastAsia" w:hAnsiTheme="minorEastAsia" w:eastAsiaTheme="minorEastAsia" w:cstheme="minorEastAsia"/>
          <w:b/>
          <w:color w:val="auto"/>
          <w:sz w:val="32"/>
          <w:szCs w:val="32"/>
        </w:rPr>
      </w:pPr>
    </w:p>
    <w:p>
      <w:pPr>
        <w:bidi w:val="0"/>
        <w:rPr>
          <w:rFonts w:hint="eastAsia"/>
        </w:rPr>
      </w:pPr>
    </w:p>
    <w:p>
      <w:pPr>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br w:type="page"/>
      </w:r>
    </w:p>
    <w:p>
      <w:pPr>
        <w:pStyle w:val="9"/>
        <w:bidi w:val="0"/>
        <w:spacing w:after="0" w:afterAutospacing="0"/>
      </w:pPr>
      <w:bookmarkStart w:id="3" w:name="_Toc15241"/>
      <w:r>
        <w:rPr>
          <w:rFonts w:hint="eastAsia"/>
        </w:rPr>
        <w:t>第二章  投标人须知</w:t>
      </w:r>
      <w:bookmarkEnd w:id="3"/>
    </w:p>
    <w:bookmarkEnd w:id="0"/>
    <w:p>
      <w:pPr>
        <w:pStyle w:val="10"/>
        <w:bidi w:val="0"/>
      </w:pPr>
      <w:bookmarkStart w:id="4" w:name="_Toc403122491"/>
      <w:bookmarkStart w:id="5" w:name="_Toc23082"/>
      <w:bookmarkStart w:id="6" w:name="_Toc9048"/>
      <w:bookmarkStart w:id="7" w:name="_Toc426369479"/>
      <w:bookmarkStart w:id="8" w:name="_Toc23576"/>
      <w:bookmarkStart w:id="9" w:name="_Toc17093"/>
      <w:bookmarkStart w:id="10" w:name="_Toc426369491"/>
      <w:bookmarkStart w:id="11" w:name="_Toc403122503"/>
      <w:bookmarkStart w:id="12" w:name="_Toc26894"/>
      <w:r>
        <w:rPr>
          <w:rFonts w:hint="eastAsia"/>
        </w:rPr>
        <w:t>1. 总则</w:t>
      </w:r>
      <w:bookmarkEnd w:id="4"/>
      <w:bookmarkEnd w:id="5"/>
      <w:bookmarkEnd w:id="6"/>
      <w:bookmarkEnd w:id="7"/>
      <w:bookmarkEnd w:id="8"/>
      <w:bookmarkEnd w:id="9"/>
    </w:p>
    <w:p>
      <w:pPr>
        <w:spacing w:line="360" w:lineRule="auto"/>
        <w:ind w:firstLine="482" w:firstLineChars="200"/>
        <w:rPr>
          <w:rFonts w:hint="eastAsia" w:ascii="宋体" w:hAnsi="宋体" w:eastAsia="宋体" w:cs="宋体"/>
          <w:b/>
          <w:bCs/>
          <w:color w:val="auto"/>
          <w:sz w:val="24"/>
          <w:szCs w:val="24"/>
        </w:rPr>
      </w:pPr>
      <w:bookmarkStart w:id="13" w:name="_Toc403122492"/>
      <w:bookmarkStart w:id="14" w:name="_Toc279599771"/>
      <w:bookmarkStart w:id="15" w:name="_Toc426369480"/>
      <w:bookmarkStart w:id="16" w:name="_Toc274249575"/>
      <w:r>
        <w:rPr>
          <w:rFonts w:hint="eastAsia" w:ascii="宋体" w:hAnsi="宋体" w:eastAsia="宋体" w:cs="宋体"/>
          <w:b/>
          <w:bCs/>
          <w:color w:val="auto"/>
          <w:sz w:val="24"/>
          <w:szCs w:val="24"/>
        </w:rPr>
        <w:t>1.1 项目概况</w:t>
      </w:r>
      <w:bookmarkEnd w:id="13"/>
      <w:bookmarkEnd w:id="14"/>
      <w:bookmarkEnd w:id="15"/>
      <w:bookmarkEnd w:id="16"/>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 根据</w:t>
      </w:r>
      <w:r>
        <w:rPr>
          <w:rFonts w:hint="eastAsia" w:ascii="宋体" w:hAnsi="宋体" w:eastAsia="宋体" w:cs="宋体"/>
          <w:bCs/>
          <w:color w:val="auto"/>
          <w:sz w:val="24"/>
          <w:szCs w:val="24"/>
        </w:rPr>
        <w:t>《中华人民共和国政府采购法》</w:t>
      </w:r>
      <w:r>
        <w:rPr>
          <w:rFonts w:hint="eastAsia" w:ascii="宋体" w:hAnsi="宋体" w:eastAsia="宋体" w:cs="宋体"/>
          <w:color w:val="auto"/>
          <w:sz w:val="24"/>
          <w:szCs w:val="24"/>
        </w:rPr>
        <w:t xml:space="preserve">等有关法律、法规和规章的规定，本招标项目已具备招标条件，现对本招标项目进行公开招标。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 本招标项目采购人：见投标人须知前附表。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1.1.3 本招标项目采购代理机构：见投标人须知前附表。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1.1.4 本招标项目名称：见投标人须知前附表。 </w:t>
      </w:r>
    </w:p>
    <w:p>
      <w:pPr>
        <w:spacing w:line="360" w:lineRule="auto"/>
        <w:ind w:firstLine="482" w:firstLineChars="200"/>
        <w:rPr>
          <w:rFonts w:hint="eastAsia" w:ascii="宋体" w:hAnsi="宋体" w:eastAsia="宋体" w:cs="宋体"/>
          <w:b/>
          <w:bCs/>
          <w:color w:val="auto"/>
          <w:sz w:val="24"/>
          <w:szCs w:val="24"/>
        </w:rPr>
      </w:pPr>
      <w:bookmarkStart w:id="17" w:name="_Toc279599772"/>
      <w:bookmarkStart w:id="18" w:name="_Toc274249576"/>
      <w:bookmarkStart w:id="19" w:name="_Toc426369481"/>
      <w:bookmarkStart w:id="20" w:name="_Toc403122493"/>
      <w:r>
        <w:rPr>
          <w:rFonts w:hint="eastAsia" w:ascii="宋体" w:hAnsi="宋体" w:eastAsia="宋体" w:cs="宋体"/>
          <w:b/>
          <w:bCs/>
          <w:color w:val="auto"/>
          <w:sz w:val="24"/>
          <w:szCs w:val="24"/>
        </w:rPr>
        <w:t>1.2 资金来源和落实情况</w:t>
      </w:r>
      <w:bookmarkEnd w:id="17"/>
      <w:bookmarkEnd w:id="18"/>
      <w:bookmarkEnd w:id="19"/>
      <w:bookmarkEnd w:id="20"/>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1.2.1 本招标项目的资金来源：见投标人须知前附表。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1.2.2 本招标项目的资金落实情况：见投标人须知前附表。 </w:t>
      </w:r>
    </w:p>
    <w:p>
      <w:pPr>
        <w:spacing w:line="360" w:lineRule="auto"/>
        <w:ind w:firstLine="482" w:firstLineChars="200"/>
        <w:rPr>
          <w:rFonts w:hint="eastAsia" w:ascii="宋体" w:hAnsi="宋体" w:eastAsia="宋体" w:cs="宋体"/>
          <w:b/>
          <w:bCs/>
          <w:color w:val="auto"/>
          <w:sz w:val="24"/>
          <w:szCs w:val="24"/>
        </w:rPr>
      </w:pPr>
      <w:bookmarkStart w:id="21" w:name="_Toc274249577"/>
      <w:bookmarkStart w:id="22" w:name="_Toc403122494"/>
      <w:bookmarkStart w:id="23" w:name="_Toc426369482"/>
      <w:bookmarkStart w:id="24" w:name="_Toc279599773"/>
      <w:r>
        <w:rPr>
          <w:rFonts w:hint="eastAsia" w:ascii="宋体" w:hAnsi="宋体" w:eastAsia="宋体" w:cs="宋体"/>
          <w:b/>
          <w:bCs/>
          <w:color w:val="auto"/>
          <w:sz w:val="24"/>
          <w:szCs w:val="24"/>
        </w:rPr>
        <w:t>1.3 采购内容、服务期和质量</w:t>
      </w:r>
      <w:bookmarkEnd w:id="21"/>
      <w:bookmarkEnd w:id="22"/>
      <w:bookmarkEnd w:id="23"/>
      <w:bookmarkEnd w:id="24"/>
      <w:r>
        <w:rPr>
          <w:rFonts w:hint="eastAsia" w:ascii="宋体" w:hAnsi="宋体" w:eastAsia="宋体" w:cs="宋体"/>
          <w:b/>
          <w:bCs/>
          <w:color w:val="auto"/>
          <w:sz w:val="24"/>
          <w:szCs w:val="24"/>
        </w:rPr>
        <w:t>标准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1.3.1 本次招标采购内容：见投标人须知前附表。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1.3.2 本次招标的</w:t>
      </w:r>
      <w:r>
        <w:rPr>
          <w:rFonts w:hint="eastAsia" w:ascii="宋体" w:hAnsi="宋体" w:eastAsia="宋体" w:cs="宋体"/>
          <w:color w:val="auto"/>
          <w:sz w:val="24"/>
          <w:szCs w:val="24"/>
          <w:lang w:val="en-US" w:eastAsia="zh-CN"/>
        </w:rPr>
        <w:t>服务期</w:t>
      </w:r>
      <w:r>
        <w:rPr>
          <w:rFonts w:hint="eastAsia" w:ascii="宋体" w:hAnsi="宋体" w:eastAsia="宋体" w:cs="宋体"/>
          <w:color w:val="auto"/>
          <w:sz w:val="24"/>
          <w:szCs w:val="24"/>
        </w:rPr>
        <w:t xml:space="preserve">：见投标人须知前附表。 </w:t>
      </w:r>
    </w:p>
    <w:p>
      <w:pPr>
        <w:tabs>
          <w:tab w:val="right" w:pos="9040"/>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1.3.3 本次招标的质量</w:t>
      </w:r>
      <w:r>
        <w:rPr>
          <w:rFonts w:hint="eastAsia" w:ascii="宋体" w:hAnsi="宋体" w:eastAsia="宋体" w:cs="宋体"/>
          <w:color w:val="auto"/>
          <w:sz w:val="24"/>
          <w:szCs w:val="24"/>
          <w:lang w:val="en-US" w:eastAsia="zh-CN"/>
        </w:rPr>
        <w:t>标准</w:t>
      </w:r>
      <w:r>
        <w:rPr>
          <w:rFonts w:hint="eastAsia" w:ascii="宋体" w:hAnsi="宋体" w:eastAsia="宋体" w:cs="宋体"/>
          <w:color w:val="auto"/>
          <w:sz w:val="24"/>
          <w:szCs w:val="24"/>
        </w:rPr>
        <w:t xml:space="preserve">：见投标人须知前附表。 </w:t>
      </w:r>
      <w:r>
        <w:rPr>
          <w:rFonts w:hint="eastAsia" w:ascii="宋体" w:hAnsi="宋体" w:eastAsia="宋体" w:cs="宋体"/>
          <w:color w:val="auto"/>
          <w:sz w:val="24"/>
          <w:szCs w:val="24"/>
        </w:rPr>
        <w:tab/>
      </w:r>
    </w:p>
    <w:p>
      <w:pPr>
        <w:spacing w:line="360" w:lineRule="auto"/>
        <w:ind w:firstLine="482" w:firstLineChars="200"/>
        <w:rPr>
          <w:rFonts w:hint="eastAsia" w:ascii="宋体" w:hAnsi="宋体" w:eastAsia="宋体" w:cs="宋体"/>
          <w:b/>
          <w:bCs/>
          <w:color w:val="auto"/>
          <w:sz w:val="24"/>
          <w:szCs w:val="24"/>
        </w:rPr>
      </w:pPr>
      <w:bookmarkStart w:id="25" w:name="_Toc426369483"/>
      <w:bookmarkStart w:id="26" w:name="_Toc279599774"/>
      <w:bookmarkStart w:id="27" w:name="_Toc274249578"/>
      <w:bookmarkStart w:id="28" w:name="_Toc403122495"/>
      <w:r>
        <w:rPr>
          <w:rFonts w:hint="eastAsia" w:ascii="宋体" w:hAnsi="宋体" w:eastAsia="宋体" w:cs="宋体"/>
          <w:b/>
          <w:bCs/>
          <w:color w:val="auto"/>
          <w:sz w:val="24"/>
          <w:szCs w:val="24"/>
        </w:rPr>
        <w:t>1.4 投标人资格要求</w:t>
      </w:r>
      <w:bookmarkEnd w:id="25"/>
      <w:bookmarkEnd w:id="26"/>
      <w:bookmarkEnd w:id="27"/>
      <w:bookmarkEnd w:id="28"/>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1.4.1 投标人应具备承担本招标项目的资质条件。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（1）投标人资质条件：见投标人须知前附表； </w:t>
      </w:r>
    </w:p>
    <w:p>
      <w:pPr>
        <w:spacing w:line="360" w:lineRule="auto"/>
        <w:ind w:firstLine="480" w:firstLineChars="200"/>
        <w:rPr>
          <w:rFonts w:hint="eastAsia" w:ascii="宋体" w:hAnsi="宋体" w:eastAsia="宋体" w:cs="宋体"/>
          <w:color w:val="auto"/>
          <w:sz w:val="24"/>
          <w:szCs w:val="24"/>
        </w:rPr>
      </w:pPr>
      <w:bookmarkStart w:id="29" w:name="_Toc279599775"/>
      <w:bookmarkStart w:id="30" w:name="_Toc403122496"/>
      <w:bookmarkStart w:id="31" w:name="_Toc274249579"/>
      <w:r>
        <w:rPr>
          <w:rFonts w:hint="eastAsia" w:ascii="宋体" w:hAnsi="宋体" w:eastAsia="宋体" w:cs="宋体"/>
          <w:color w:val="auto"/>
          <w:sz w:val="24"/>
          <w:szCs w:val="24"/>
        </w:rPr>
        <w:t>1.4.2 本次招标不接受联合体投标。</w:t>
      </w:r>
    </w:p>
    <w:p>
      <w:pPr>
        <w:spacing w:line="360" w:lineRule="auto"/>
        <w:ind w:firstLine="482" w:firstLineChars="200"/>
        <w:rPr>
          <w:rFonts w:hint="eastAsia" w:ascii="宋体" w:hAnsi="宋体" w:eastAsia="宋体" w:cs="宋体"/>
          <w:b/>
          <w:bCs/>
          <w:color w:val="auto"/>
          <w:sz w:val="24"/>
          <w:szCs w:val="24"/>
        </w:rPr>
      </w:pPr>
      <w:bookmarkStart w:id="32" w:name="_Toc426369484"/>
      <w:r>
        <w:rPr>
          <w:rFonts w:hint="eastAsia" w:ascii="宋体" w:hAnsi="宋体" w:eastAsia="宋体" w:cs="宋体"/>
          <w:b/>
          <w:bCs/>
          <w:color w:val="auto"/>
          <w:sz w:val="24"/>
          <w:szCs w:val="24"/>
        </w:rPr>
        <w:t>1.5 费用承担</w:t>
      </w:r>
      <w:bookmarkEnd w:id="29"/>
      <w:bookmarkEnd w:id="30"/>
      <w:bookmarkEnd w:id="31"/>
      <w:bookmarkEnd w:id="32"/>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投标人准备和参加投标活动发生的费用自理。 </w:t>
      </w:r>
    </w:p>
    <w:p>
      <w:pPr>
        <w:spacing w:line="360" w:lineRule="auto"/>
        <w:ind w:firstLine="482" w:firstLineChars="200"/>
        <w:rPr>
          <w:rFonts w:hint="eastAsia" w:ascii="宋体" w:hAnsi="宋体" w:eastAsia="宋体" w:cs="宋体"/>
          <w:b/>
          <w:bCs/>
          <w:color w:val="auto"/>
          <w:sz w:val="24"/>
          <w:szCs w:val="24"/>
        </w:rPr>
      </w:pPr>
      <w:bookmarkStart w:id="33" w:name="_Toc426369485"/>
      <w:bookmarkStart w:id="34" w:name="_Toc403122497"/>
      <w:r>
        <w:rPr>
          <w:rFonts w:hint="eastAsia" w:ascii="宋体" w:hAnsi="宋体" w:eastAsia="宋体" w:cs="宋体"/>
          <w:b/>
          <w:bCs/>
          <w:color w:val="auto"/>
          <w:sz w:val="24"/>
          <w:szCs w:val="24"/>
        </w:rPr>
        <w:t>1.6 保密</w:t>
      </w:r>
      <w:bookmarkEnd w:id="33"/>
      <w:bookmarkEnd w:id="34"/>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参与招标投标活动的各方应对招标文件和投标文件中的商业和技术等秘密保密，违者应对由此造成的后果承担法律责任。</w:t>
      </w:r>
    </w:p>
    <w:p>
      <w:pPr>
        <w:spacing w:line="360" w:lineRule="auto"/>
        <w:ind w:firstLine="482" w:firstLineChars="200"/>
        <w:rPr>
          <w:rFonts w:hint="eastAsia" w:ascii="宋体" w:hAnsi="宋体" w:eastAsia="宋体" w:cs="宋体"/>
          <w:b/>
          <w:bCs/>
          <w:color w:val="auto"/>
          <w:sz w:val="24"/>
          <w:szCs w:val="24"/>
        </w:rPr>
      </w:pPr>
      <w:bookmarkStart w:id="35" w:name="_Toc426369486"/>
      <w:bookmarkStart w:id="36" w:name="_Toc274249581"/>
      <w:bookmarkStart w:id="37" w:name="_Toc279599777"/>
      <w:bookmarkStart w:id="38" w:name="_Toc403122498"/>
      <w:r>
        <w:rPr>
          <w:rFonts w:hint="eastAsia" w:ascii="宋体" w:hAnsi="宋体" w:eastAsia="宋体" w:cs="宋体"/>
          <w:b/>
          <w:bCs/>
          <w:color w:val="auto"/>
          <w:sz w:val="24"/>
          <w:szCs w:val="24"/>
        </w:rPr>
        <w:t>1.7 语言文字</w:t>
      </w:r>
      <w:bookmarkEnd w:id="35"/>
      <w:bookmarkEnd w:id="36"/>
      <w:bookmarkEnd w:id="37"/>
      <w:bookmarkEnd w:id="38"/>
      <w:r>
        <w:rPr>
          <w:rFonts w:hint="eastAsia" w:ascii="宋体" w:hAnsi="宋体" w:eastAsia="宋体" w:cs="宋体"/>
          <w:b/>
          <w:bCs/>
          <w:color w:val="auto"/>
          <w:sz w:val="24"/>
          <w:szCs w:val="24"/>
        </w:rPr>
        <w:t xml:space="preserve">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1.7.1 采购文件以及投标人与采购人、采购代理机构就有关投标事宜的所有来往函电均应使用简体中文书写。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bookmarkStart w:id="39" w:name="_Toc18685"/>
      <w:r>
        <w:rPr>
          <w:rFonts w:hint="eastAsia" w:ascii="宋体" w:hAnsi="宋体" w:eastAsia="宋体" w:cs="宋体"/>
          <w:color w:val="auto"/>
          <w:sz w:val="24"/>
          <w:szCs w:val="24"/>
        </w:rPr>
        <w:t>1.7.2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bookmarkEnd w:id="39"/>
      <w:bookmarkStart w:id="40" w:name="_Toc426369487"/>
      <w:bookmarkStart w:id="41" w:name="_Toc403122499"/>
    </w:p>
    <w:p>
      <w:pPr>
        <w:spacing w:line="360" w:lineRule="auto"/>
        <w:ind w:firstLine="482" w:firstLineChars="200"/>
        <w:rPr>
          <w:rFonts w:hint="eastAsia" w:ascii="宋体" w:hAnsi="宋体" w:eastAsia="宋体" w:cs="宋体"/>
          <w:b/>
          <w:bCs/>
          <w:color w:val="auto"/>
          <w:sz w:val="24"/>
          <w:szCs w:val="24"/>
        </w:rPr>
      </w:pPr>
      <w:bookmarkStart w:id="42" w:name="_Toc13161"/>
      <w:r>
        <w:rPr>
          <w:rFonts w:hint="eastAsia" w:ascii="宋体" w:hAnsi="宋体" w:eastAsia="宋体" w:cs="宋体"/>
          <w:b/>
          <w:bCs/>
          <w:color w:val="auto"/>
          <w:sz w:val="24"/>
          <w:szCs w:val="24"/>
        </w:rPr>
        <w:t>1.8 计量单位</w:t>
      </w:r>
      <w:bookmarkEnd w:id="40"/>
      <w:bookmarkEnd w:id="41"/>
      <w:bookmarkEnd w:id="42"/>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1.8.1关于投标计量单位，采购文件已有明确规定的，使用采购文件规定的计量单位；采购文件没有规定的，应采用中华人民共和国法定计量单位。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1.8.2本响应性文件所表述的时间均为北京时间。</w:t>
      </w:r>
    </w:p>
    <w:p>
      <w:pPr>
        <w:spacing w:line="360" w:lineRule="auto"/>
        <w:ind w:firstLine="482" w:firstLineChars="200"/>
        <w:rPr>
          <w:rFonts w:hint="eastAsia" w:ascii="宋体" w:hAnsi="宋体" w:eastAsia="宋体" w:cs="宋体"/>
          <w:b/>
          <w:bCs/>
          <w:color w:val="auto"/>
          <w:sz w:val="24"/>
          <w:szCs w:val="24"/>
        </w:rPr>
      </w:pPr>
      <w:bookmarkStart w:id="43" w:name="_Toc279599779"/>
      <w:bookmarkStart w:id="44" w:name="_Toc274249583"/>
      <w:bookmarkStart w:id="45" w:name="_Toc403122500"/>
      <w:bookmarkStart w:id="46" w:name="_Toc426369488"/>
      <w:r>
        <w:rPr>
          <w:rFonts w:hint="eastAsia" w:ascii="宋体" w:hAnsi="宋体" w:eastAsia="宋体" w:cs="宋体"/>
          <w:b/>
          <w:bCs/>
          <w:color w:val="auto"/>
          <w:sz w:val="24"/>
          <w:szCs w:val="24"/>
        </w:rPr>
        <w:t>1.9 踏勘现场</w:t>
      </w:r>
      <w:bookmarkEnd w:id="43"/>
      <w:bookmarkEnd w:id="44"/>
      <w:bookmarkEnd w:id="45"/>
      <w:bookmarkEnd w:id="46"/>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1.9.1  由于项目特殊性，本次招标需投标人自行勘查。 </w:t>
      </w:r>
    </w:p>
    <w:p>
      <w:pPr>
        <w:spacing w:line="360" w:lineRule="auto"/>
        <w:ind w:firstLine="482" w:firstLineChars="200"/>
        <w:rPr>
          <w:rFonts w:hint="eastAsia" w:ascii="宋体" w:hAnsi="宋体" w:eastAsia="宋体" w:cs="宋体"/>
          <w:b/>
          <w:bCs/>
          <w:color w:val="auto"/>
          <w:sz w:val="24"/>
          <w:szCs w:val="24"/>
        </w:rPr>
      </w:pPr>
      <w:bookmarkStart w:id="47" w:name="_Toc274249584"/>
      <w:bookmarkStart w:id="48" w:name="_Toc279599780"/>
      <w:bookmarkStart w:id="49" w:name="_Toc426369489"/>
      <w:bookmarkStart w:id="50" w:name="_Toc403122501"/>
      <w:r>
        <w:rPr>
          <w:rFonts w:hint="eastAsia" w:ascii="宋体" w:hAnsi="宋体" w:eastAsia="宋体" w:cs="宋体"/>
          <w:b/>
          <w:bCs/>
          <w:color w:val="auto"/>
          <w:sz w:val="24"/>
          <w:szCs w:val="24"/>
        </w:rPr>
        <w:t>1.10 投标预备会</w:t>
      </w:r>
      <w:bookmarkEnd w:id="47"/>
      <w:bookmarkEnd w:id="48"/>
      <w:bookmarkEnd w:id="49"/>
      <w:bookmarkEnd w:id="50"/>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1.10.1 本次招标不召开投标预备会。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1.10.2 投标人应在投标人须知前附表规定的时间前，以书面形式将提出的问题送达招标代理人。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1.10.3 采购人在投标人须知前附表规定的时间内，将对投标人所提问题的澄清，以书面方式通知所有已领取招标文件的投标人。该澄清内容为招标文件的组成部分。 </w:t>
      </w:r>
    </w:p>
    <w:p>
      <w:pPr>
        <w:spacing w:line="360" w:lineRule="auto"/>
        <w:ind w:firstLine="482" w:firstLineChars="200"/>
        <w:rPr>
          <w:rFonts w:hint="eastAsia" w:ascii="宋体" w:hAnsi="宋体" w:eastAsia="宋体" w:cs="宋体"/>
          <w:b/>
          <w:bCs/>
          <w:sz w:val="24"/>
          <w:szCs w:val="24"/>
        </w:rPr>
      </w:pPr>
      <w:bookmarkStart w:id="51" w:name="_Toc279599781"/>
      <w:bookmarkStart w:id="52" w:name="_Toc403122502"/>
      <w:bookmarkStart w:id="53" w:name="_Toc426369490"/>
      <w:bookmarkStart w:id="54" w:name="_Toc274249585"/>
      <w:r>
        <w:rPr>
          <w:rFonts w:hint="eastAsia" w:ascii="宋体" w:hAnsi="宋体" w:eastAsia="宋体" w:cs="宋体"/>
          <w:b/>
          <w:bCs/>
          <w:color w:val="auto"/>
          <w:sz w:val="24"/>
          <w:szCs w:val="24"/>
        </w:rPr>
        <w:t>1.11 分包</w:t>
      </w:r>
      <w:bookmarkEnd w:id="51"/>
      <w:bookmarkEnd w:id="52"/>
      <w:bookmarkEnd w:id="53"/>
      <w:bookmarkEnd w:id="54"/>
    </w:p>
    <w:p>
      <w:pPr>
        <w:spacing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本次招标项目不允许分包。 </w:t>
      </w:r>
    </w:p>
    <w:p>
      <w:pPr>
        <w:pStyle w:val="10"/>
        <w:bidi w:val="0"/>
        <w:spacing w:before="0" w:beforeAutospacing="0" w:after="0" w:afterAutospacing="0" w:line="360" w:lineRule="auto"/>
        <w:rPr>
          <w:rFonts w:hint="eastAsia" w:ascii="宋体" w:hAnsi="宋体" w:eastAsia="宋体" w:cs="宋体"/>
          <w:sz w:val="24"/>
          <w:szCs w:val="24"/>
        </w:rPr>
      </w:pPr>
      <w:bookmarkStart w:id="55" w:name="_Toc9121"/>
      <w:bookmarkStart w:id="56" w:name="_Toc28663"/>
      <w:bookmarkStart w:id="57" w:name="_Toc12227"/>
      <w:r>
        <w:rPr>
          <w:rFonts w:hint="eastAsia" w:ascii="宋体" w:hAnsi="宋体" w:eastAsia="宋体" w:cs="宋体"/>
          <w:sz w:val="24"/>
          <w:szCs w:val="24"/>
        </w:rPr>
        <w:t>2. 招标文件</w:t>
      </w:r>
      <w:bookmarkEnd w:id="10"/>
      <w:bookmarkEnd w:id="11"/>
      <w:bookmarkEnd w:id="12"/>
      <w:bookmarkEnd w:id="55"/>
      <w:bookmarkEnd w:id="56"/>
      <w:bookmarkEnd w:id="57"/>
    </w:p>
    <w:p>
      <w:pPr>
        <w:spacing w:beforeAutospacing="0" w:line="360" w:lineRule="auto"/>
        <w:ind w:firstLine="482" w:firstLineChars="200"/>
        <w:rPr>
          <w:rFonts w:hint="eastAsia" w:ascii="宋体" w:hAnsi="宋体" w:eastAsia="宋体" w:cs="宋体"/>
          <w:b/>
          <w:bCs/>
          <w:sz w:val="24"/>
          <w:szCs w:val="24"/>
        </w:rPr>
      </w:pPr>
      <w:bookmarkStart w:id="58" w:name="_Toc403122504"/>
      <w:bookmarkStart w:id="59" w:name="_Toc279599783"/>
      <w:bookmarkStart w:id="60" w:name="_Toc426369492"/>
      <w:bookmarkStart w:id="61" w:name="_Toc274249587"/>
      <w:r>
        <w:rPr>
          <w:rFonts w:hint="eastAsia" w:ascii="宋体" w:hAnsi="宋体" w:eastAsia="宋体" w:cs="宋体"/>
          <w:b/>
          <w:bCs/>
          <w:sz w:val="24"/>
          <w:szCs w:val="24"/>
        </w:rPr>
        <w:t>2.1 招标文件的组成</w:t>
      </w:r>
      <w:bookmarkEnd w:id="58"/>
      <w:bookmarkEnd w:id="59"/>
      <w:bookmarkEnd w:id="60"/>
      <w:bookmarkEnd w:id="61"/>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本招标文件包括：</w:t>
      </w:r>
    </w:p>
    <w:p>
      <w:pPr>
        <w:numPr>
          <w:ilvl w:val="0"/>
          <w:numId w:val="0"/>
        </w:numPr>
        <w:tabs>
          <w:tab w:val="left" w:pos="525"/>
          <w:tab w:val="left" w:pos="630"/>
        </w:tabs>
        <w:spacing w:line="360" w:lineRule="auto"/>
        <w:ind w:left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招标公告；</w:t>
      </w:r>
    </w:p>
    <w:p>
      <w:pPr>
        <w:numPr>
          <w:ilvl w:val="0"/>
          <w:numId w:val="0"/>
        </w:numPr>
        <w:tabs>
          <w:tab w:val="left" w:pos="525"/>
          <w:tab w:val="left" w:pos="630"/>
        </w:tabs>
        <w:spacing w:line="360" w:lineRule="auto"/>
        <w:ind w:left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投标人须知；</w:t>
      </w:r>
    </w:p>
    <w:p>
      <w:pPr>
        <w:numPr>
          <w:ilvl w:val="0"/>
          <w:numId w:val="0"/>
        </w:numPr>
        <w:tabs>
          <w:tab w:val="left" w:pos="525"/>
          <w:tab w:val="left" w:pos="63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评标办法（综合评分法）；</w:t>
      </w:r>
    </w:p>
    <w:p>
      <w:pPr>
        <w:numPr>
          <w:ilvl w:val="0"/>
          <w:numId w:val="0"/>
        </w:numPr>
        <w:tabs>
          <w:tab w:val="left" w:pos="525"/>
          <w:tab w:val="left" w:pos="630"/>
        </w:tabs>
        <w:spacing w:line="360" w:lineRule="auto"/>
        <w:ind w:left="420" w:leftChars="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合同条款及格式；</w:t>
      </w:r>
    </w:p>
    <w:p>
      <w:pPr>
        <w:numPr>
          <w:ilvl w:val="0"/>
          <w:numId w:val="0"/>
        </w:numPr>
        <w:tabs>
          <w:tab w:val="left" w:pos="525"/>
          <w:tab w:val="left" w:pos="630"/>
        </w:tabs>
        <w:spacing w:line="360" w:lineRule="auto"/>
        <w:ind w:left="420" w:leftChars="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采购需求及参数；</w:t>
      </w:r>
    </w:p>
    <w:p>
      <w:pPr>
        <w:numPr>
          <w:ilvl w:val="0"/>
          <w:numId w:val="0"/>
        </w:numPr>
        <w:tabs>
          <w:tab w:val="left" w:pos="525"/>
          <w:tab w:val="left" w:pos="630"/>
        </w:tabs>
        <w:spacing w:line="360" w:lineRule="auto"/>
        <w:ind w:left="420"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6）质疑与投诉</w:t>
      </w:r>
    </w:p>
    <w:p>
      <w:pPr>
        <w:numPr>
          <w:ilvl w:val="0"/>
          <w:numId w:val="0"/>
        </w:numPr>
        <w:tabs>
          <w:tab w:val="left" w:pos="525"/>
          <w:tab w:val="left" w:pos="630"/>
        </w:tabs>
        <w:spacing w:line="360" w:lineRule="auto"/>
        <w:ind w:left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（7）履约验收</w:t>
      </w:r>
    </w:p>
    <w:p>
      <w:pPr>
        <w:numPr>
          <w:ilvl w:val="0"/>
          <w:numId w:val="0"/>
        </w:numPr>
        <w:tabs>
          <w:tab w:val="left" w:pos="525"/>
          <w:tab w:val="left" w:pos="630"/>
        </w:tabs>
        <w:spacing w:line="360" w:lineRule="auto"/>
        <w:ind w:left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）投标文件格式；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根据本章第1.10款、第2.2款和第2.3款对招标文件所作的澄清、修改，构成招标文件的组成部分。 </w:t>
      </w:r>
    </w:p>
    <w:p>
      <w:pPr>
        <w:spacing w:line="360" w:lineRule="auto"/>
        <w:ind w:firstLine="482" w:firstLineChars="200"/>
        <w:rPr>
          <w:rFonts w:hint="eastAsia" w:ascii="宋体" w:hAnsi="宋体" w:eastAsia="宋体" w:cs="宋体"/>
          <w:b/>
          <w:bCs/>
          <w:sz w:val="24"/>
          <w:szCs w:val="24"/>
        </w:rPr>
      </w:pPr>
      <w:bookmarkStart w:id="62" w:name="_Toc426369493"/>
      <w:bookmarkStart w:id="63" w:name="_Toc274249588"/>
      <w:bookmarkStart w:id="64" w:name="_Toc279599784"/>
      <w:bookmarkStart w:id="65" w:name="_Toc403122505"/>
      <w:r>
        <w:rPr>
          <w:rFonts w:hint="eastAsia" w:ascii="宋体" w:hAnsi="宋体" w:eastAsia="宋体" w:cs="宋体"/>
          <w:b/>
          <w:bCs/>
          <w:sz w:val="24"/>
          <w:szCs w:val="24"/>
        </w:rPr>
        <w:t>2.2 招标文件的澄清</w:t>
      </w:r>
      <w:bookmarkEnd w:id="62"/>
      <w:bookmarkEnd w:id="63"/>
      <w:bookmarkEnd w:id="64"/>
      <w:bookmarkEnd w:id="65"/>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2.2.1 投标人应仔细阅读和检查招标文件的全部内容。如发现缺页或附件不全，应及时向采购人提出，以便补齐。如有疑问，应在投标人须知前附表规定的时间前以书面形式（包括信函、电报、传真等可以有形地表现所载内容的形式，下同），要求采购人对招标文件予以澄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2.2.2 招标文件的澄清将在投标人须知前附表规定的投标截止时间15天前以书面形式发给所有购买招标文件的投标人，但不指明澄清问题的来源。如果澄清发出的时间距投标截止时间不足15天，相应延长投标截止时间。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2.2.3 投标人在收到澄清后，应在投标人须知前附表规定的时间内以书面形式通知采购人，确认已收到该澄清。 </w:t>
      </w:r>
    </w:p>
    <w:p>
      <w:pPr>
        <w:spacing w:line="360" w:lineRule="auto"/>
        <w:ind w:firstLine="482" w:firstLineChars="200"/>
        <w:rPr>
          <w:rFonts w:hint="eastAsia" w:ascii="宋体" w:hAnsi="宋体" w:eastAsia="宋体" w:cs="宋体"/>
          <w:b/>
          <w:bCs/>
          <w:sz w:val="24"/>
          <w:szCs w:val="24"/>
        </w:rPr>
      </w:pPr>
      <w:bookmarkStart w:id="66" w:name="_Toc274249589"/>
      <w:bookmarkStart w:id="67" w:name="_Toc426369494"/>
      <w:bookmarkStart w:id="68" w:name="_Toc403122506"/>
      <w:bookmarkStart w:id="69" w:name="_Toc279599785"/>
      <w:r>
        <w:rPr>
          <w:rFonts w:hint="eastAsia" w:ascii="宋体" w:hAnsi="宋体" w:eastAsia="宋体" w:cs="宋体"/>
          <w:b/>
          <w:bCs/>
          <w:sz w:val="24"/>
          <w:szCs w:val="24"/>
        </w:rPr>
        <w:t>2.3 招标文件的修改</w:t>
      </w:r>
      <w:bookmarkEnd w:id="66"/>
      <w:bookmarkEnd w:id="67"/>
      <w:bookmarkEnd w:id="68"/>
      <w:bookmarkEnd w:id="69"/>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2.3.1 在投标截止时间15天前，采购人可以书面形式修改招标文件，并通知所有已购买招标文件的投标人。如果修改招标文件的时间距投标截止时间不足15天，相应延长投标截止时间。</w:t>
      </w:r>
    </w:p>
    <w:p>
      <w:pPr>
        <w:spacing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2.3.2 投标人收到修改内容后，应在投标人须知前附表规定的时间内以书面形式通知采购人，确认已收到该修改。 </w:t>
      </w:r>
      <w:bookmarkStart w:id="70" w:name="_Toc426369495"/>
      <w:bookmarkStart w:id="71" w:name="_Toc23265"/>
      <w:bookmarkStart w:id="72" w:name="_Toc403122507"/>
    </w:p>
    <w:p>
      <w:pPr>
        <w:pStyle w:val="10"/>
        <w:bidi w:val="0"/>
        <w:spacing w:before="0" w:beforeAutospacing="0" w:after="0" w:afterAutospacing="0"/>
      </w:pPr>
      <w:bookmarkStart w:id="73" w:name="_Toc22914"/>
      <w:bookmarkStart w:id="74" w:name="_Toc13865"/>
      <w:bookmarkStart w:id="75" w:name="_Toc22412"/>
      <w:r>
        <w:rPr>
          <w:rFonts w:hint="eastAsia"/>
        </w:rPr>
        <w:t>3. 投标文件</w:t>
      </w:r>
      <w:bookmarkEnd w:id="70"/>
      <w:bookmarkEnd w:id="71"/>
      <w:bookmarkEnd w:id="72"/>
      <w:bookmarkEnd w:id="73"/>
      <w:bookmarkEnd w:id="74"/>
      <w:bookmarkEnd w:id="75"/>
    </w:p>
    <w:p>
      <w:pPr>
        <w:spacing w:beforeAutospacing="0" w:line="500" w:lineRule="exact"/>
        <w:ind w:firstLine="482" w:firstLineChars="200"/>
        <w:rPr>
          <w:rFonts w:asciiTheme="minorEastAsia" w:hAnsiTheme="minorEastAsia" w:eastAsiaTheme="minorEastAsia" w:cstheme="minorEastAsia"/>
          <w:b/>
          <w:bCs/>
          <w:sz w:val="24"/>
        </w:rPr>
      </w:pPr>
      <w:bookmarkStart w:id="76" w:name="_Toc403122508"/>
      <w:bookmarkStart w:id="77" w:name="_Toc426369496"/>
      <w:bookmarkStart w:id="78" w:name="_Toc279599787"/>
      <w:bookmarkStart w:id="79" w:name="_Toc274249591"/>
      <w:r>
        <w:rPr>
          <w:rFonts w:hint="eastAsia" w:asciiTheme="minorEastAsia" w:hAnsiTheme="minorEastAsia" w:eastAsiaTheme="minorEastAsia" w:cstheme="minorEastAsia"/>
          <w:b/>
          <w:bCs/>
          <w:sz w:val="24"/>
        </w:rPr>
        <w:t>3.1 投标文件的组成</w:t>
      </w:r>
      <w:bookmarkEnd w:id="76"/>
      <w:bookmarkEnd w:id="77"/>
      <w:bookmarkEnd w:id="78"/>
      <w:bookmarkEnd w:id="7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3.1.1 投标文件应包括下列内容：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bookmarkStart w:id="80" w:name="_Toc403122509"/>
      <w:bookmarkStart w:id="81" w:name="_Toc426369497"/>
      <w:bookmarkStart w:id="82" w:name="_Toc274249592"/>
      <w:bookmarkStart w:id="83" w:name="_Toc279599788"/>
      <w:r>
        <w:rPr>
          <w:rFonts w:hint="eastAsia" w:ascii="宋体" w:hAnsi="宋体" w:eastAsia="宋体" w:cs="宋体"/>
          <w:sz w:val="24"/>
          <w:szCs w:val="24"/>
        </w:rPr>
        <w:t>一</w:t>
      </w:r>
      <w:r>
        <w:rPr>
          <w:rFonts w:hint="eastAsia" w:ascii="宋体" w:hAnsi="宋体" w:eastAsia="宋体" w:cs="宋体"/>
          <w:sz w:val="24"/>
          <w:szCs w:val="24"/>
          <w:highlight w:val="none"/>
        </w:rPr>
        <w:t>、投标函及开标一览表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（一）投标函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（二）开标一览表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二、法定代表人身份证明书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三、授权委托书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四、项目</w:t>
      </w:r>
      <w:r>
        <w:rPr>
          <w:rFonts w:hint="eastAsia" w:ascii="宋体" w:hAnsi="宋体" w:eastAsia="宋体" w:cs="宋体"/>
          <w:sz w:val="24"/>
          <w:szCs w:val="24"/>
          <w:highlight w:val="none"/>
          <w:lang w:val="en-US" w:eastAsia="zh-CN"/>
        </w:rPr>
        <w:t>总体</w:t>
      </w:r>
      <w:r>
        <w:rPr>
          <w:rFonts w:hint="eastAsia" w:ascii="宋体" w:hAnsi="宋体" w:eastAsia="宋体" w:cs="宋体"/>
          <w:sz w:val="24"/>
          <w:szCs w:val="24"/>
          <w:highlight w:val="none"/>
        </w:rPr>
        <w:t>实施方案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五、</w:t>
      </w:r>
      <w:r>
        <w:rPr>
          <w:rFonts w:hint="eastAsia" w:ascii="宋体" w:hAnsi="宋体" w:eastAsia="宋体" w:cs="宋体"/>
          <w:sz w:val="24"/>
          <w:szCs w:val="24"/>
          <w:highlight w:val="none"/>
          <w:lang w:eastAsia="zh-CN"/>
        </w:rPr>
        <w:t>政府采购供应商资格信用承诺函</w:t>
      </w:r>
    </w:p>
    <w:p>
      <w:pPr>
        <w:pStyle w:val="2"/>
        <w:spacing w:line="360" w:lineRule="auto"/>
        <w:ind w:firstLine="480" w:firstLineChars="200"/>
        <w:rPr>
          <w:rFonts w:hint="eastAsia"/>
          <w:highlight w:val="none"/>
          <w:lang w:eastAsia="zh-CN"/>
        </w:rPr>
      </w:pPr>
      <w:r>
        <w:rPr>
          <w:rFonts w:hint="eastAsia" w:ascii="宋体" w:hAnsi="宋体" w:eastAsia="宋体" w:cs="宋体"/>
          <w:sz w:val="24"/>
          <w:szCs w:val="24"/>
          <w:highlight w:val="none"/>
          <w:lang w:eastAsia="zh-CN"/>
        </w:rPr>
        <w:t>六、</w:t>
      </w:r>
      <w:r>
        <w:rPr>
          <w:rFonts w:hint="eastAsia" w:ascii="宋体" w:hAnsi="宋体" w:eastAsia="宋体" w:cs="宋体"/>
          <w:sz w:val="24"/>
          <w:szCs w:val="24"/>
          <w:highlight w:val="none"/>
          <w:lang w:val="en-US" w:eastAsia="zh-CN"/>
        </w:rPr>
        <w:t>拟派项目负责人证明资料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七</w:t>
      </w:r>
      <w:r>
        <w:rPr>
          <w:rFonts w:hint="eastAsia" w:ascii="宋体" w:hAnsi="宋体" w:eastAsia="宋体" w:cs="宋体"/>
          <w:sz w:val="24"/>
          <w:szCs w:val="24"/>
          <w:highlight w:val="none"/>
        </w:rPr>
        <w:t>、投标人服务承诺和优惠承诺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八</w:t>
      </w:r>
      <w:r>
        <w:rPr>
          <w:rFonts w:hint="eastAsia" w:ascii="宋体" w:hAnsi="宋体" w:eastAsia="宋体" w:cs="宋体"/>
          <w:sz w:val="24"/>
          <w:szCs w:val="24"/>
          <w:highlight w:val="none"/>
        </w:rPr>
        <w:t>、中小企业声明函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九</w:t>
      </w:r>
      <w:r>
        <w:rPr>
          <w:rFonts w:hint="eastAsia" w:ascii="宋体" w:hAnsi="宋体" w:eastAsia="宋体" w:cs="宋体"/>
          <w:sz w:val="24"/>
          <w:szCs w:val="24"/>
          <w:highlight w:val="none"/>
        </w:rPr>
        <w:t>、残疾人福利性单位声明函（如有）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十</w:t>
      </w:r>
      <w:r>
        <w:rPr>
          <w:rFonts w:hint="eastAsia" w:ascii="宋体" w:hAnsi="宋体" w:eastAsia="宋体" w:cs="宋体"/>
          <w:sz w:val="24"/>
          <w:szCs w:val="24"/>
        </w:rPr>
        <w:t>、招标文件要求的或投标人认为需要加以说明的其他内容。</w:t>
      </w:r>
    </w:p>
    <w:p>
      <w:pPr>
        <w:widowControl/>
        <w:spacing w:line="360" w:lineRule="auto"/>
        <w:ind w:firstLine="482" w:firstLineChars="200"/>
        <w:jc w:val="left"/>
        <w:rPr>
          <w:rFonts w:ascii="宋体" w:hAnsi="宋体" w:cs="宋体"/>
          <w:b/>
          <w:bCs/>
          <w:sz w:val="24"/>
          <w:highlight w:val="none"/>
        </w:rPr>
      </w:pPr>
      <w:r>
        <w:rPr>
          <w:rFonts w:hint="eastAsia" w:ascii="宋体" w:hAnsi="宋体" w:cs="宋体"/>
          <w:b/>
          <w:bCs/>
          <w:sz w:val="24"/>
          <w:highlight w:val="none"/>
        </w:rPr>
        <w:t>注：1、符合《政府采购法》第二十二条规定的资格条件，按照采购文件约定提供资格承诺，不再提供资质资料，主要包括</w:t>
      </w:r>
      <w:r>
        <w:rPr>
          <w:rFonts w:hint="eastAsia" w:ascii="宋体" w:hAnsi="宋体" w:cs="宋体"/>
          <w:b/>
          <w:bCs/>
          <w:sz w:val="24"/>
          <w:highlight w:val="none"/>
          <w:lang w:eastAsia="zh-CN"/>
        </w:rPr>
        <w:t>投标人</w:t>
      </w:r>
      <w:r>
        <w:rPr>
          <w:rFonts w:hint="eastAsia" w:ascii="宋体" w:hAnsi="宋体" w:cs="宋体"/>
          <w:b/>
          <w:bCs/>
          <w:sz w:val="24"/>
          <w:highlight w:val="none"/>
        </w:rPr>
        <w:t>在响应文件中无需再提供营业执照、</w:t>
      </w:r>
      <w:r>
        <w:rPr>
          <w:rFonts w:hint="eastAsia" w:ascii="宋体" w:hAnsi="宋体" w:cs="宋体"/>
          <w:b/>
          <w:bCs/>
          <w:sz w:val="24"/>
          <w:highlight w:val="none"/>
          <w:lang w:val="en-US" w:eastAsia="zh-CN"/>
        </w:rPr>
        <w:t>林业调查规划设计丙级及以上资质、</w:t>
      </w:r>
      <w:r>
        <w:rPr>
          <w:rFonts w:hint="eastAsia" w:ascii="宋体" w:hAnsi="宋体" w:cs="宋体"/>
          <w:b/>
          <w:bCs/>
          <w:sz w:val="24"/>
          <w:highlight w:val="none"/>
        </w:rPr>
        <w:t>财务状况报告、依法缴纳税收和社会保障资金、具有履行合同所必须的设备和专业技术能力、参加政府采购活动前三年内</w:t>
      </w:r>
      <w:r>
        <w:rPr>
          <w:rFonts w:hint="eastAsia" w:ascii="宋体" w:hAnsi="宋体" w:cs="宋体"/>
          <w:b/>
          <w:bCs/>
          <w:sz w:val="24"/>
          <w:highlight w:val="none"/>
          <w:lang w:eastAsia="zh-CN"/>
        </w:rPr>
        <w:t>在</w:t>
      </w:r>
      <w:r>
        <w:rPr>
          <w:rFonts w:hint="eastAsia" w:ascii="宋体" w:hAnsi="宋体" w:cs="宋体"/>
          <w:b/>
          <w:bCs/>
          <w:sz w:val="24"/>
          <w:highlight w:val="none"/>
        </w:rPr>
        <w:t>经营活动中没有重大违法</w:t>
      </w:r>
      <w:r>
        <w:rPr>
          <w:rFonts w:hint="eastAsia" w:ascii="宋体" w:hAnsi="宋体" w:cs="宋体"/>
          <w:b/>
          <w:bCs/>
          <w:sz w:val="24"/>
          <w:highlight w:val="none"/>
          <w:lang w:eastAsia="zh-CN"/>
        </w:rPr>
        <w:t>记录</w:t>
      </w:r>
      <w:r>
        <w:rPr>
          <w:rFonts w:hint="eastAsia" w:ascii="宋体" w:hAnsi="宋体" w:cs="宋体"/>
          <w:b/>
          <w:bCs/>
          <w:sz w:val="24"/>
          <w:highlight w:val="none"/>
        </w:rPr>
        <w:t>相关证明材料。</w:t>
      </w:r>
    </w:p>
    <w:p>
      <w:pPr>
        <w:widowControl/>
        <w:spacing w:line="360" w:lineRule="auto"/>
        <w:ind w:firstLine="482" w:firstLineChars="200"/>
        <w:jc w:val="left"/>
        <w:rPr>
          <w:rFonts w:ascii="宋体" w:hAnsi="宋体" w:cs="宋体"/>
          <w:b/>
          <w:bCs/>
          <w:sz w:val="24"/>
          <w:highlight w:val="none"/>
        </w:rPr>
      </w:pPr>
      <w:r>
        <w:rPr>
          <w:rFonts w:hint="eastAsia" w:ascii="宋体" w:hAnsi="宋体" w:cs="宋体"/>
          <w:b/>
          <w:bCs/>
          <w:sz w:val="24"/>
          <w:highlight w:val="none"/>
        </w:rPr>
        <w:t>2、</w:t>
      </w:r>
      <w:r>
        <w:rPr>
          <w:rFonts w:hint="eastAsia" w:ascii="宋体" w:hAnsi="宋体" w:cs="宋体"/>
          <w:b/>
          <w:bCs/>
          <w:sz w:val="24"/>
          <w:highlight w:val="none"/>
          <w:lang w:eastAsia="zh-CN"/>
        </w:rPr>
        <w:t>投标人</w:t>
      </w:r>
      <w:r>
        <w:rPr>
          <w:rFonts w:hint="eastAsia" w:ascii="宋体" w:hAnsi="宋体" w:cs="宋体"/>
          <w:b/>
          <w:bCs/>
          <w:sz w:val="24"/>
          <w:highlight w:val="none"/>
        </w:rPr>
        <w:t>应当遵循诚实信用原则，不得作虚假承诺。</w:t>
      </w:r>
      <w:r>
        <w:rPr>
          <w:rFonts w:hint="eastAsia" w:ascii="宋体" w:hAnsi="宋体" w:cs="宋体"/>
          <w:b/>
          <w:bCs/>
          <w:sz w:val="24"/>
          <w:highlight w:val="none"/>
          <w:lang w:eastAsia="zh-CN"/>
        </w:rPr>
        <w:t>投标人</w:t>
      </w:r>
      <w:r>
        <w:rPr>
          <w:rFonts w:hint="eastAsia" w:ascii="宋体" w:hAnsi="宋体" w:cs="宋体"/>
          <w:b/>
          <w:bCs/>
          <w:sz w:val="24"/>
          <w:highlight w:val="none"/>
        </w:rPr>
        <w:t>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pPr>
        <w:widowControl/>
        <w:spacing w:line="360" w:lineRule="auto"/>
        <w:ind w:firstLine="482" w:firstLineChars="200"/>
        <w:jc w:val="left"/>
        <w:rPr>
          <w:rFonts w:ascii="宋体" w:hAnsi="宋体" w:cs="宋体"/>
          <w:b/>
          <w:bCs/>
          <w:sz w:val="24"/>
          <w:highlight w:val="none"/>
        </w:rPr>
      </w:pPr>
      <w:r>
        <w:rPr>
          <w:rFonts w:hint="eastAsia" w:ascii="宋体" w:hAnsi="宋体" w:cs="宋体"/>
          <w:b/>
          <w:bCs/>
          <w:sz w:val="24"/>
          <w:highlight w:val="none"/>
        </w:rPr>
        <w:t>3、中标人在签订合同前需向采购人提供资格证明材料，资格证明材料包括：营业执照、财务状况报告、依法缴纳税收和社会保障资金、具有履行合同所必须的设备和专业技术能力、参加政府采购活动前三年内在经营活动中没有重大违法</w:t>
      </w:r>
      <w:r>
        <w:rPr>
          <w:rFonts w:hint="eastAsia" w:ascii="宋体" w:hAnsi="宋体" w:cs="宋体"/>
          <w:b/>
          <w:bCs/>
          <w:sz w:val="24"/>
          <w:highlight w:val="none"/>
          <w:lang w:eastAsia="zh-CN"/>
        </w:rPr>
        <w:t>记录</w:t>
      </w:r>
      <w:r>
        <w:rPr>
          <w:rFonts w:hint="eastAsia" w:ascii="宋体" w:hAnsi="宋体" w:cs="宋体"/>
          <w:b/>
          <w:bCs/>
          <w:sz w:val="24"/>
          <w:highlight w:val="none"/>
        </w:rPr>
        <w:t>相关证明材料。</w:t>
      </w:r>
    </w:p>
    <w:p>
      <w:pPr>
        <w:spacing w:line="500" w:lineRule="exact"/>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3.2 投标报价</w:t>
      </w:r>
      <w:bookmarkEnd w:id="80"/>
      <w:bookmarkEnd w:id="81"/>
      <w:bookmarkEnd w:id="82"/>
      <w:bookmarkEnd w:id="83"/>
    </w:p>
    <w:p>
      <w:pPr>
        <w:spacing w:line="360" w:lineRule="auto"/>
        <w:ind w:firstLine="480" w:firstLineChars="200"/>
        <w:jc w:val="both"/>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rPr>
        <w:t>3.2.1投标报价包括：投标人的投标</w:t>
      </w:r>
      <w:r>
        <w:rPr>
          <w:rFonts w:hint="eastAsia" w:asciiTheme="minorEastAsia" w:hAnsiTheme="minorEastAsia" w:eastAsiaTheme="minorEastAsia" w:cstheme="minorEastAsia"/>
          <w:sz w:val="24"/>
          <w:szCs w:val="24"/>
          <w:highlight w:val="none"/>
        </w:rPr>
        <w:t>报价应包括</w:t>
      </w:r>
      <w:r>
        <w:rPr>
          <w:rFonts w:hint="eastAsia" w:asciiTheme="minorEastAsia" w:hAnsiTheme="minorEastAsia" w:eastAsiaTheme="minorEastAsia" w:cstheme="minorEastAsia"/>
          <w:sz w:val="24"/>
          <w:szCs w:val="24"/>
          <w:highlight w:val="none"/>
          <w:lang w:val="en-US" w:eastAsia="zh-CN"/>
        </w:rPr>
        <w:t>服务、</w:t>
      </w:r>
      <w:r>
        <w:rPr>
          <w:rFonts w:hint="eastAsia" w:asciiTheme="minorEastAsia" w:hAnsiTheme="minorEastAsia" w:eastAsiaTheme="minorEastAsia" w:cstheme="minorEastAsia"/>
          <w:sz w:val="24"/>
          <w:szCs w:val="24"/>
          <w:highlight w:val="none"/>
        </w:rPr>
        <w:t>设备、材料、管理、利润、税金、政策性规费</w:t>
      </w:r>
      <w:r>
        <w:rPr>
          <w:rFonts w:hint="eastAsia" w:asciiTheme="minorEastAsia" w:hAnsiTheme="minorEastAsia" w:eastAsiaTheme="minorEastAsia" w:cstheme="minorEastAsia"/>
          <w:sz w:val="24"/>
          <w:szCs w:val="24"/>
          <w:highlight w:val="none"/>
          <w:lang w:val="en-US" w:eastAsia="zh-CN"/>
        </w:rPr>
        <w:t>等应由</w:t>
      </w:r>
      <w:r>
        <w:rPr>
          <w:rFonts w:hint="eastAsia" w:asciiTheme="minorEastAsia" w:hAnsiTheme="minorEastAsia" w:eastAsiaTheme="minorEastAsia" w:cstheme="minorEastAsia"/>
          <w:sz w:val="24"/>
          <w:szCs w:val="24"/>
          <w:highlight w:val="none"/>
        </w:rPr>
        <w:t>承包人承担的义务、责任和风险等全部费用。投标人所报的投标价在</w:t>
      </w:r>
      <w:r>
        <w:rPr>
          <w:rFonts w:hint="eastAsia" w:asciiTheme="minorEastAsia" w:hAnsiTheme="minorEastAsia" w:eastAsiaTheme="minorEastAsia" w:cstheme="minorEastAsia"/>
          <w:sz w:val="24"/>
          <w:szCs w:val="24"/>
          <w:highlight w:val="none"/>
          <w:lang w:val="en-US" w:eastAsia="zh-CN"/>
        </w:rPr>
        <w:t>投标</w:t>
      </w:r>
      <w:r>
        <w:rPr>
          <w:rFonts w:hint="eastAsia" w:asciiTheme="minorEastAsia" w:hAnsiTheme="minorEastAsia" w:eastAsiaTheme="minorEastAsia" w:cstheme="minorEastAsia"/>
          <w:sz w:val="24"/>
          <w:szCs w:val="24"/>
          <w:highlight w:val="none"/>
        </w:rPr>
        <w:t>有效期内是固定不变的，投标人不得以任何理由予以变更。</w:t>
      </w:r>
    </w:p>
    <w:p>
      <w:pPr>
        <w:spacing w:line="360" w:lineRule="auto"/>
        <w:ind w:firstLine="480" w:firstLineChars="200"/>
        <w:jc w:val="both"/>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3.2.2投标报价在中标后不得修改。</w:t>
      </w:r>
    </w:p>
    <w:p>
      <w:pPr>
        <w:spacing w:line="360" w:lineRule="auto"/>
        <w:ind w:firstLine="480" w:firstLineChars="200"/>
        <w:jc w:val="both"/>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3.2.3投标人只能提出一个不变价格，采购人不接受任何选择价。</w:t>
      </w:r>
    </w:p>
    <w:p>
      <w:pPr>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3.2.4投标人必须对招标范围内的所有服务投标。</w:t>
      </w:r>
    </w:p>
    <w:p>
      <w:pPr>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3.2.5全部报价均应以人民币为计量币种，并以人民币进行结算。</w:t>
      </w:r>
    </w:p>
    <w:p>
      <w:pPr>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3.2.6投标报价原则是各投标人依据自身实力、管理水平，结合企业所在地区的人工工资标准，在确保项目质量，确保项目成本的基础上，自主报价、自负盈亏。</w:t>
      </w:r>
    </w:p>
    <w:p>
      <w:pPr>
        <w:widowControl/>
        <w:spacing w:line="360" w:lineRule="auto"/>
        <w:ind w:firstLine="480" w:firstLineChars="2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 w:val="24"/>
          <w:szCs w:val="24"/>
        </w:rPr>
        <w:t>3.2.7若投标函中的内容与投标一览表内容不一致时，以投标一览表内容为准。若投标一览表中的大写金额和小写金额不一致的，以大写金额为准；总价金额与单价金额不一致的，以单价金额为准，但单价金额小数点有明显错误的除外；对不同文字文本投标文件的解释发生异议的，以中文文本为准。</w:t>
      </w:r>
    </w:p>
    <w:p>
      <w:pPr>
        <w:spacing w:line="360" w:lineRule="auto"/>
        <w:ind w:firstLine="482" w:firstLineChars="200"/>
        <w:rPr>
          <w:rFonts w:hint="eastAsia" w:ascii="宋体" w:hAnsi="宋体" w:eastAsia="宋体" w:cs="宋体"/>
          <w:b/>
          <w:bCs/>
          <w:sz w:val="24"/>
          <w:szCs w:val="24"/>
        </w:rPr>
      </w:pPr>
      <w:bookmarkStart w:id="84" w:name="_Toc274249593"/>
      <w:bookmarkStart w:id="85" w:name="_Toc403122510"/>
      <w:bookmarkStart w:id="86" w:name="_Toc426369498"/>
      <w:bookmarkStart w:id="87" w:name="_Toc279599789"/>
      <w:r>
        <w:rPr>
          <w:rFonts w:hint="eastAsia" w:ascii="宋体" w:hAnsi="宋体" w:eastAsia="宋体" w:cs="宋体"/>
          <w:b/>
          <w:bCs/>
          <w:sz w:val="24"/>
          <w:szCs w:val="24"/>
        </w:rPr>
        <w:t>3.3 投标有效期</w:t>
      </w:r>
      <w:bookmarkEnd w:id="84"/>
      <w:bookmarkEnd w:id="85"/>
      <w:bookmarkEnd w:id="86"/>
      <w:bookmarkEnd w:id="87"/>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3.3.1在投标人须知前附表规定的投标有效期内，投标人不得要求撤销或修改其投标文件。 </w:t>
      </w:r>
    </w:p>
    <w:p>
      <w:pPr>
        <w:spacing w:line="360" w:lineRule="auto"/>
        <w:ind w:firstLine="482" w:firstLineChars="200"/>
        <w:rPr>
          <w:rFonts w:hint="eastAsia" w:ascii="宋体" w:hAnsi="宋体" w:eastAsia="宋体" w:cs="宋体"/>
          <w:b/>
          <w:bCs/>
          <w:sz w:val="24"/>
          <w:szCs w:val="24"/>
        </w:rPr>
      </w:pPr>
      <w:bookmarkStart w:id="88" w:name="_Toc426369501"/>
      <w:bookmarkStart w:id="89" w:name="_Toc279599791"/>
      <w:bookmarkStart w:id="90" w:name="_Toc403122512"/>
      <w:bookmarkStart w:id="91" w:name="_Toc274249595"/>
      <w:r>
        <w:rPr>
          <w:rFonts w:hint="eastAsia" w:ascii="宋体" w:hAnsi="宋体" w:eastAsia="宋体" w:cs="宋体"/>
          <w:b/>
          <w:bCs/>
          <w:sz w:val="24"/>
          <w:szCs w:val="24"/>
        </w:rPr>
        <w:t>3.5 资格审查资料</w:t>
      </w:r>
      <w:bookmarkEnd w:id="88"/>
      <w:bookmarkEnd w:id="89"/>
      <w:bookmarkEnd w:id="90"/>
      <w:bookmarkEnd w:id="91"/>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3.5.1</w:t>
      </w:r>
      <w:r>
        <w:rPr>
          <w:rFonts w:hint="eastAsia" w:ascii="宋体" w:hAnsi="宋体" w:eastAsia="宋体" w:cs="宋体"/>
          <w:kern w:val="0"/>
          <w:sz w:val="24"/>
          <w:szCs w:val="24"/>
        </w:rPr>
        <w:t>依据“投标人须知前附表”中的要求提交相应的资格证明文件，作为投标文件的一部分，以证明其有资格进行投标和有能力履行合同</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3.5.2招标文件规定的投标人资格条件。</w:t>
      </w:r>
    </w:p>
    <w:p>
      <w:pPr>
        <w:spacing w:line="360" w:lineRule="auto"/>
        <w:ind w:firstLine="482" w:firstLineChars="200"/>
        <w:rPr>
          <w:rFonts w:hint="eastAsia" w:ascii="宋体" w:hAnsi="宋体" w:eastAsia="宋体" w:cs="宋体"/>
          <w:b/>
          <w:bCs/>
          <w:sz w:val="24"/>
          <w:szCs w:val="24"/>
        </w:rPr>
      </w:pPr>
      <w:bookmarkStart w:id="92" w:name="_Toc274249596"/>
      <w:bookmarkStart w:id="93" w:name="_Toc426369502"/>
      <w:bookmarkStart w:id="94" w:name="_Toc403122513"/>
      <w:bookmarkStart w:id="95" w:name="_Toc279599792"/>
      <w:r>
        <w:rPr>
          <w:rFonts w:hint="eastAsia" w:ascii="宋体" w:hAnsi="宋体" w:eastAsia="宋体" w:cs="宋体"/>
          <w:b/>
          <w:bCs/>
          <w:sz w:val="24"/>
          <w:szCs w:val="24"/>
        </w:rPr>
        <w:t>3.6 备选投标方案</w:t>
      </w:r>
      <w:bookmarkEnd w:id="92"/>
      <w:bookmarkEnd w:id="93"/>
      <w:bookmarkEnd w:id="94"/>
      <w:bookmarkEnd w:id="95"/>
    </w:p>
    <w:p>
      <w:pPr>
        <w:tabs>
          <w:tab w:val="left" w:pos="357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投标人不得递交备选投标方案。</w:t>
      </w:r>
    </w:p>
    <w:p>
      <w:pPr>
        <w:spacing w:line="360" w:lineRule="auto"/>
        <w:ind w:firstLine="482" w:firstLineChars="200"/>
        <w:rPr>
          <w:rFonts w:hint="eastAsia" w:ascii="宋体" w:hAnsi="宋体" w:eastAsia="宋体" w:cs="宋体"/>
          <w:b/>
          <w:bCs/>
          <w:sz w:val="24"/>
          <w:szCs w:val="24"/>
        </w:rPr>
      </w:pPr>
      <w:bookmarkStart w:id="96" w:name="_Toc279599793"/>
      <w:bookmarkStart w:id="97" w:name="_Toc426369503"/>
      <w:bookmarkStart w:id="98" w:name="_Toc274249597"/>
      <w:bookmarkStart w:id="99" w:name="_Toc403122514"/>
      <w:r>
        <w:rPr>
          <w:rFonts w:hint="eastAsia" w:ascii="宋体" w:hAnsi="宋体" w:eastAsia="宋体" w:cs="宋体"/>
          <w:b/>
          <w:bCs/>
          <w:sz w:val="24"/>
          <w:szCs w:val="24"/>
        </w:rPr>
        <w:t>3.7 投标文件的编制</w:t>
      </w:r>
      <w:bookmarkEnd w:id="96"/>
      <w:bookmarkEnd w:id="97"/>
      <w:bookmarkEnd w:id="98"/>
      <w:bookmarkEnd w:id="99"/>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3.7.1 投标文件应按招标文件中要求</w:t>
      </w:r>
      <w:r>
        <w:rPr>
          <w:rFonts w:hint="eastAsia" w:ascii="宋体" w:hAnsi="宋体" w:eastAsia="宋体" w:cs="宋体"/>
          <w:kern w:val="0"/>
          <w:sz w:val="24"/>
          <w:szCs w:val="24"/>
        </w:rPr>
        <w:t>使用焦作市公共资源交易系统投标文件制作专用工具软件编制</w:t>
      </w:r>
      <w:r>
        <w:rPr>
          <w:rFonts w:hint="eastAsia" w:ascii="宋体" w:hAnsi="宋体" w:eastAsia="宋体" w:cs="宋体"/>
          <w:sz w:val="24"/>
          <w:szCs w:val="24"/>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3.7.2 投标文件应当对招标文件有关服务期、投标有效期、质量</w:t>
      </w:r>
      <w:r>
        <w:rPr>
          <w:rFonts w:hint="eastAsia" w:ascii="宋体" w:hAnsi="宋体" w:eastAsia="宋体" w:cs="宋体"/>
          <w:sz w:val="24"/>
          <w:szCs w:val="24"/>
          <w:lang w:val="en-US" w:eastAsia="zh-CN"/>
        </w:rPr>
        <w:t>标准</w:t>
      </w:r>
      <w:r>
        <w:rPr>
          <w:rFonts w:hint="eastAsia" w:ascii="宋体" w:hAnsi="宋体" w:eastAsia="宋体" w:cs="宋体"/>
          <w:sz w:val="24"/>
          <w:szCs w:val="24"/>
        </w:rPr>
        <w:t>、采购要求及服务内容、等实质性内容作出响应。</w:t>
      </w:r>
    </w:p>
    <w:p>
      <w:pPr>
        <w:autoSpaceDE w:val="0"/>
        <w:autoSpaceDN w:val="0"/>
        <w:adjustRightInd w:val="0"/>
        <w:spacing w:afterAutospacing="0" w:line="360" w:lineRule="auto"/>
        <w:ind w:firstLine="480" w:firstLineChars="200"/>
        <w:jc w:val="left"/>
        <w:rPr>
          <w:rFonts w:asciiTheme="minorEastAsia" w:hAnsiTheme="minorEastAsia" w:eastAsiaTheme="minorEastAsia" w:cstheme="minorEastAsia"/>
          <w:szCs w:val="21"/>
        </w:rPr>
      </w:pPr>
      <w:r>
        <w:rPr>
          <w:rFonts w:hint="eastAsia" w:ascii="宋体" w:hAnsi="宋体" w:eastAsia="宋体" w:cs="宋体"/>
          <w:sz w:val="24"/>
          <w:szCs w:val="24"/>
        </w:rPr>
        <w:t xml:space="preserve">3.7.3 </w:t>
      </w:r>
      <w:r>
        <w:rPr>
          <w:rFonts w:hint="eastAsia" w:ascii="宋体" w:hAnsi="宋体" w:eastAsia="宋体" w:cs="宋体"/>
          <w:kern w:val="0"/>
          <w:sz w:val="24"/>
          <w:szCs w:val="24"/>
        </w:rPr>
        <w:t>本项目采用电子开评标方式，潜在投标人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按要求解密投标文件。因文件未及时上传导致投标失败的责任由投标人自行承担。</w:t>
      </w:r>
    </w:p>
    <w:p>
      <w:pPr>
        <w:pStyle w:val="10"/>
        <w:bidi w:val="0"/>
        <w:spacing w:before="0" w:beforeAutospacing="0" w:after="0" w:afterAutospacing="0"/>
      </w:pPr>
      <w:bookmarkStart w:id="100" w:name="_Toc403122515"/>
      <w:bookmarkStart w:id="101" w:name="_Toc31809"/>
      <w:bookmarkStart w:id="102" w:name="_Toc30100"/>
      <w:bookmarkStart w:id="103" w:name="_Toc426369504"/>
      <w:bookmarkStart w:id="104" w:name="_Toc26998"/>
      <w:bookmarkStart w:id="105" w:name="_Toc15890"/>
      <w:r>
        <w:rPr>
          <w:rFonts w:hint="eastAsia"/>
        </w:rPr>
        <w:t>4. 投标</w:t>
      </w:r>
      <w:bookmarkEnd w:id="100"/>
      <w:bookmarkEnd w:id="101"/>
      <w:bookmarkEnd w:id="102"/>
      <w:bookmarkEnd w:id="103"/>
      <w:bookmarkEnd w:id="104"/>
      <w:bookmarkEnd w:id="105"/>
    </w:p>
    <w:p>
      <w:pPr>
        <w:spacing w:beforeAutospacing="0" w:line="360" w:lineRule="auto"/>
        <w:ind w:firstLine="482" w:firstLineChars="200"/>
        <w:rPr>
          <w:rFonts w:hint="eastAsia" w:asciiTheme="minorEastAsia" w:hAnsiTheme="minorEastAsia" w:eastAsiaTheme="minorEastAsia" w:cstheme="minorEastAsia"/>
          <w:b/>
          <w:bCs/>
          <w:sz w:val="24"/>
          <w:szCs w:val="24"/>
        </w:rPr>
      </w:pPr>
      <w:bookmarkStart w:id="106" w:name="_Toc403122516"/>
      <w:bookmarkStart w:id="107" w:name="_Toc426369505"/>
      <w:bookmarkStart w:id="108" w:name="_Toc279599795"/>
      <w:bookmarkStart w:id="109" w:name="_Toc274249599"/>
      <w:r>
        <w:rPr>
          <w:rFonts w:hint="eastAsia" w:asciiTheme="minorEastAsia" w:hAnsiTheme="minorEastAsia" w:eastAsiaTheme="minorEastAsia" w:cstheme="minorEastAsia"/>
          <w:b/>
          <w:bCs/>
          <w:sz w:val="24"/>
          <w:szCs w:val="24"/>
        </w:rPr>
        <w:t>4.1 投标文件的密封和标记</w:t>
      </w:r>
      <w:bookmarkEnd w:id="106"/>
      <w:bookmarkEnd w:id="107"/>
      <w:bookmarkEnd w:id="108"/>
      <w:bookmarkEnd w:id="109"/>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4.1.1.本项目采用</w:t>
      </w:r>
      <w:r>
        <w:rPr>
          <w:rFonts w:hint="eastAsia" w:asciiTheme="minorEastAsia" w:hAnsiTheme="minorEastAsia" w:eastAsiaTheme="minorEastAsia" w:cstheme="minorEastAsia"/>
          <w:kern w:val="0"/>
          <w:sz w:val="24"/>
          <w:szCs w:val="24"/>
          <w:lang w:val="zh-CN"/>
        </w:rPr>
        <w:t>网上上传的电子投标文件</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val="zh-CN"/>
        </w:rPr>
        <w:t>应使用数字证书认证并加密。</w:t>
      </w:r>
    </w:p>
    <w:p>
      <w:pPr>
        <w:spacing w:line="360" w:lineRule="auto"/>
        <w:ind w:firstLine="482" w:firstLineChars="200"/>
        <w:rPr>
          <w:rFonts w:hint="eastAsia" w:asciiTheme="minorEastAsia" w:hAnsiTheme="minorEastAsia" w:eastAsiaTheme="minorEastAsia" w:cstheme="minorEastAsia"/>
          <w:b/>
          <w:bCs/>
          <w:sz w:val="24"/>
          <w:szCs w:val="24"/>
        </w:rPr>
      </w:pPr>
      <w:bookmarkStart w:id="110" w:name="_Toc274249600"/>
      <w:bookmarkStart w:id="111" w:name="_Toc279599796"/>
      <w:bookmarkStart w:id="112" w:name="_Toc403122517"/>
      <w:bookmarkStart w:id="113" w:name="_Toc426369506"/>
      <w:r>
        <w:rPr>
          <w:rFonts w:hint="eastAsia" w:asciiTheme="minorEastAsia" w:hAnsiTheme="minorEastAsia" w:eastAsiaTheme="minorEastAsia" w:cstheme="minorEastAsia"/>
          <w:b/>
          <w:bCs/>
          <w:sz w:val="24"/>
          <w:szCs w:val="24"/>
        </w:rPr>
        <w:t>4.2 投标文件的递交</w:t>
      </w:r>
      <w:bookmarkEnd w:id="110"/>
      <w:bookmarkEnd w:id="111"/>
      <w:bookmarkEnd w:id="112"/>
      <w:bookmarkEnd w:id="113"/>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rPr>
        <w:t>4.2.1</w:t>
      </w:r>
      <w:r>
        <w:rPr>
          <w:rFonts w:hint="eastAsia" w:asciiTheme="minorEastAsia" w:hAnsiTheme="minorEastAsia" w:eastAsiaTheme="minorEastAsia" w:cstheme="minorEastAsia"/>
          <w:kern w:val="0"/>
          <w:sz w:val="24"/>
          <w:szCs w:val="24"/>
          <w:lang w:val="zh-CN"/>
        </w:rPr>
        <w:t>所有投标文件必须在本招标文件中规定的投标截止时间之前</w:t>
      </w:r>
      <w:r>
        <w:rPr>
          <w:rFonts w:hint="eastAsia" w:asciiTheme="minorEastAsia" w:hAnsiTheme="minorEastAsia" w:eastAsiaTheme="minorEastAsia" w:cstheme="minorEastAsia"/>
          <w:kern w:val="0"/>
          <w:sz w:val="24"/>
          <w:szCs w:val="24"/>
        </w:rPr>
        <w:t>提前上传，按要求</w:t>
      </w:r>
      <w:r>
        <w:rPr>
          <w:rFonts w:hint="eastAsia" w:asciiTheme="minorEastAsia" w:hAnsiTheme="minorEastAsia" w:eastAsiaTheme="minorEastAsia" w:cstheme="minorEastAsia"/>
          <w:sz w:val="24"/>
          <w:szCs w:val="24"/>
        </w:rPr>
        <w:t>解密文件等，解密时间为投标截止时后30分钟内，</w:t>
      </w:r>
      <w:r>
        <w:rPr>
          <w:rFonts w:hint="eastAsia" w:asciiTheme="minorEastAsia" w:hAnsiTheme="minorEastAsia" w:eastAsiaTheme="minorEastAsia" w:cstheme="minorEastAsia"/>
          <w:kern w:val="0"/>
          <w:sz w:val="24"/>
          <w:szCs w:val="24"/>
        </w:rPr>
        <w:t>不能按时上传、解密者视为自动放弃投标。</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rPr>
        <w:t>4.2.</w:t>
      </w:r>
      <w:r>
        <w:rPr>
          <w:rFonts w:hint="eastAsia" w:asciiTheme="minorEastAsia" w:hAnsiTheme="minorEastAsia" w:eastAsiaTheme="minorEastAsia" w:cstheme="minorEastAsia"/>
          <w:kern w:val="0"/>
          <w:sz w:val="24"/>
          <w:szCs w:val="24"/>
          <w:lang w:val="zh-CN"/>
        </w:rPr>
        <w:t>2.采购人拒绝接收在投标文件递交截止时间后上传的投标文件。</w:t>
      </w:r>
      <w:bookmarkStart w:id="114" w:name="_Hlt26954754"/>
      <w:bookmarkEnd w:id="114"/>
      <w:bookmarkStart w:id="115" w:name="_Hlt26954862"/>
      <w:bookmarkEnd w:id="115"/>
    </w:p>
    <w:p>
      <w:pPr>
        <w:spacing w:line="360" w:lineRule="auto"/>
        <w:ind w:firstLine="482" w:firstLineChars="200"/>
        <w:rPr>
          <w:rFonts w:hint="eastAsia" w:asciiTheme="minorEastAsia" w:hAnsiTheme="minorEastAsia" w:eastAsiaTheme="minorEastAsia" w:cstheme="minorEastAsia"/>
          <w:b/>
          <w:bCs/>
          <w:sz w:val="24"/>
          <w:szCs w:val="24"/>
        </w:rPr>
      </w:pPr>
      <w:bookmarkStart w:id="116" w:name="_Toc403122518"/>
      <w:bookmarkStart w:id="117" w:name="_Toc279599797"/>
      <w:bookmarkStart w:id="118" w:name="_Toc426369507"/>
      <w:bookmarkStart w:id="119" w:name="_Toc274249601"/>
      <w:r>
        <w:rPr>
          <w:rFonts w:hint="eastAsia" w:asciiTheme="minorEastAsia" w:hAnsiTheme="minorEastAsia" w:eastAsiaTheme="minorEastAsia" w:cstheme="minorEastAsia"/>
          <w:b/>
          <w:bCs/>
          <w:sz w:val="24"/>
          <w:szCs w:val="24"/>
        </w:rPr>
        <w:t>4.3 投标文件的修改与撤回</w:t>
      </w:r>
      <w:bookmarkEnd w:id="116"/>
      <w:bookmarkEnd w:id="117"/>
      <w:bookmarkEnd w:id="118"/>
      <w:bookmarkEnd w:id="119"/>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4.3.1 在本章第 2.2.2 项规定的投标截止时间前，投标人可以修改或撤回已递交的投标文件。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4.3.2 投标人修改或撤回已递交投标文件的书面通知应按照本章第 3.7.3 项的要求签字盖章。 </w:t>
      </w:r>
    </w:p>
    <w:p>
      <w:pPr>
        <w:spacing w:line="360" w:lineRule="auto"/>
        <w:ind w:firstLine="48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 w:val="24"/>
          <w:szCs w:val="24"/>
        </w:rPr>
        <w:t>4.3.3 修改的内容为投标文件的组成部分。修改的投标文件应按照本章第 3 条、第 4 条规定进行编制、密封、标记和递交，并标明“修改”字样。</w:t>
      </w:r>
    </w:p>
    <w:p>
      <w:pPr>
        <w:pStyle w:val="10"/>
        <w:bidi w:val="0"/>
      </w:pPr>
      <w:bookmarkStart w:id="120" w:name="_Toc5457"/>
      <w:bookmarkStart w:id="121" w:name="_Toc18170"/>
      <w:bookmarkStart w:id="122" w:name="_Toc426369508"/>
      <w:bookmarkStart w:id="123" w:name="_Toc403122519"/>
      <w:bookmarkStart w:id="124" w:name="_Toc32449"/>
      <w:bookmarkStart w:id="125" w:name="_Toc12877"/>
      <w:r>
        <w:rPr>
          <w:rFonts w:hint="eastAsia"/>
        </w:rPr>
        <w:t>5. 开标</w:t>
      </w:r>
      <w:bookmarkEnd w:id="120"/>
      <w:bookmarkEnd w:id="121"/>
      <w:bookmarkEnd w:id="122"/>
      <w:bookmarkEnd w:id="123"/>
      <w:bookmarkEnd w:id="124"/>
      <w:bookmarkEnd w:id="125"/>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5.1.1</w:t>
      </w:r>
      <w:r>
        <w:rPr>
          <w:rFonts w:hint="eastAsia" w:asciiTheme="minorEastAsia" w:hAnsiTheme="minorEastAsia" w:eastAsiaTheme="minorEastAsia" w:cstheme="minorEastAsia"/>
          <w:sz w:val="24"/>
          <w:szCs w:val="24"/>
        </w:rPr>
        <w:t>采购人在规定的投标截止时间（开标时间）和投标人须知前附表规定的地点公开开标。本项目采用“远程不见面”的开标方式,载明远程开标大厅网址（http://122.112.246.33/BidOpening/bidopeninghallaction/hall/login ）。投标人无需到现场参加开标会议，无需到达现场提交原件资料。投标人应当投标截止前，登录远程开标大厅，在线准时参加开标活动并进行文件解密、答疑澄清等。在规定时间内投标文件未解密的投标人，视为放弃投标。</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所有投标文件必须在本招标文件中规定的投标截止时间之前提前上传投标文件，按要求解密投标文件，不能按时上传、解密者视为自动放弃投标。</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5.1.2投标人不足3家的，不得开标。</w:t>
      </w:r>
    </w:p>
    <w:p>
      <w:pPr>
        <w:spacing w:line="360" w:lineRule="auto"/>
        <w:ind w:firstLine="482" w:firstLineChars="200"/>
        <w:rPr>
          <w:rFonts w:asciiTheme="minorEastAsia" w:hAnsiTheme="minorEastAsia" w:eastAsiaTheme="minorEastAsia" w:cstheme="minorEastAsia"/>
          <w:b/>
          <w:bCs/>
          <w:sz w:val="24"/>
          <w:szCs w:val="24"/>
        </w:rPr>
      </w:pPr>
      <w:bookmarkStart w:id="126" w:name="_Toc426369509"/>
      <w:bookmarkStart w:id="127" w:name="_Toc279599799"/>
      <w:bookmarkStart w:id="128" w:name="_Toc403122520"/>
      <w:bookmarkStart w:id="129" w:name="_Toc274249603"/>
      <w:r>
        <w:rPr>
          <w:rFonts w:hint="eastAsia" w:asciiTheme="minorEastAsia" w:hAnsiTheme="minorEastAsia" w:eastAsiaTheme="minorEastAsia" w:cstheme="minorEastAsia"/>
          <w:b/>
          <w:bCs/>
          <w:sz w:val="24"/>
          <w:szCs w:val="24"/>
        </w:rPr>
        <w:t>5.2 开标时间和地点</w:t>
      </w:r>
      <w:bookmarkEnd w:id="126"/>
      <w:bookmarkEnd w:id="127"/>
      <w:bookmarkEnd w:id="128"/>
      <w:bookmarkEnd w:id="129"/>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采购人在本章第2.2.2项规定的投标截止时间（开标时间）和投标人须知前附表规定的地点公开开标。</w:t>
      </w:r>
    </w:p>
    <w:p>
      <w:pPr>
        <w:spacing w:line="360" w:lineRule="auto"/>
        <w:ind w:firstLine="482" w:firstLineChars="200"/>
        <w:rPr>
          <w:rFonts w:asciiTheme="minorEastAsia" w:hAnsiTheme="minorEastAsia" w:eastAsiaTheme="minorEastAsia" w:cstheme="minorEastAsia"/>
          <w:b/>
          <w:bCs/>
          <w:sz w:val="24"/>
          <w:szCs w:val="24"/>
        </w:rPr>
      </w:pPr>
      <w:bookmarkStart w:id="130" w:name="_Toc426369510"/>
      <w:bookmarkStart w:id="131" w:name="_Toc403122521"/>
      <w:bookmarkStart w:id="132" w:name="_Toc279599800"/>
      <w:bookmarkStart w:id="133" w:name="_Toc274249604"/>
      <w:r>
        <w:rPr>
          <w:rFonts w:hint="eastAsia" w:asciiTheme="minorEastAsia" w:hAnsiTheme="minorEastAsia" w:eastAsiaTheme="minorEastAsia" w:cstheme="minorEastAsia"/>
          <w:b/>
          <w:bCs/>
          <w:sz w:val="24"/>
          <w:szCs w:val="24"/>
        </w:rPr>
        <w:t>5.3开标程序</w:t>
      </w:r>
      <w:bookmarkEnd w:id="130"/>
      <w:bookmarkEnd w:id="131"/>
      <w:bookmarkEnd w:id="132"/>
      <w:bookmarkEnd w:id="133"/>
    </w:p>
    <w:p>
      <w:pPr>
        <w:spacing w:line="360" w:lineRule="auto"/>
        <w:ind w:firstLine="480" w:firstLineChars="200"/>
        <w:rPr>
          <w:rFonts w:asciiTheme="minorEastAsia" w:hAnsiTheme="minorEastAsia" w:eastAsiaTheme="minorEastAsia" w:cstheme="minorEastAsia"/>
          <w:sz w:val="24"/>
          <w:szCs w:val="24"/>
          <w:lang w:val="zh-CN"/>
        </w:rPr>
      </w:pPr>
      <w:bookmarkStart w:id="134" w:name="_Toc426369511"/>
      <w:r>
        <w:rPr>
          <w:rFonts w:hint="eastAsia" w:asciiTheme="minorEastAsia" w:hAnsiTheme="minorEastAsia" w:eastAsiaTheme="minorEastAsia" w:cstheme="minorEastAsia"/>
          <w:sz w:val="24"/>
          <w:szCs w:val="24"/>
        </w:rPr>
        <w:t>5.3</w:t>
      </w:r>
      <w:r>
        <w:rPr>
          <w:rFonts w:hint="eastAsia" w:asciiTheme="minorEastAsia" w:hAnsiTheme="minorEastAsia" w:eastAsiaTheme="minorEastAsia" w:cstheme="minorEastAsia"/>
          <w:sz w:val="24"/>
          <w:szCs w:val="24"/>
          <w:lang w:val="zh-CN"/>
        </w:rPr>
        <w:t>.1本</w:t>
      </w: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sz w:val="24"/>
          <w:szCs w:val="24"/>
          <w:lang w:val="zh-CN"/>
        </w:rPr>
        <w:t>采用电子开标。投标截止时间到达后，各投标人对电子投标文件进行解密。解密完成后各投标人的电子投标文件的实质性内容将自动显示在网页中。投标人在投标截止时间前未上传电子投标文件的将被视为放弃投标。</w:t>
      </w:r>
    </w:p>
    <w:p>
      <w:pPr>
        <w:spacing w:line="360" w:lineRule="auto"/>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主持人按下列程序进行开标：</w:t>
      </w:r>
    </w:p>
    <w:p>
      <w:pPr>
        <w:spacing w:line="360" w:lineRule="auto"/>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(l）宣布投标截止时间已到，不再接收投标文件；</w:t>
      </w:r>
    </w:p>
    <w:p>
      <w:pPr>
        <w:spacing w:line="360" w:lineRule="auto"/>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zh-CN"/>
        </w:rPr>
        <w:t>）宣布开标人、唱标人、记录人、监标人等有关人员姓名；</w:t>
      </w:r>
    </w:p>
    <w:p>
      <w:pPr>
        <w:spacing w:line="360" w:lineRule="auto"/>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zh-CN"/>
        </w:rPr>
        <w:t>）电子投标文件解密；</w:t>
      </w:r>
    </w:p>
    <w:p>
      <w:pPr>
        <w:spacing w:line="360" w:lineRule="auto"/>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val="zh-CN"/>
        </w:rPr>
        <w:t>）宣布投标文件开标顺序，电子唱标并记录在案；</w:t>
      </w:r>
    </w:p>
    <w:p>
      <w:pPr>
        <w:spacing w:line="360" w:lineRule="auto"/>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val="zh-CN"/>
        </w:rPr>
        <w:t>）投标人代表、采购人、监标人等有关人员在开标记录上签字确认；</w:t>
      </w:r>
    </w:p>
    <w:p>
      <w:pPr>
        <w:spacing w:line="360" w:lineRule="auto"/>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lang w:val="zh-CN"/>
        </w:rPr>
        <w:t>）开标结束。</w:t>
      </w:r>
    </w:p>
    <w:p>
      <w:pPr>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5.4开标异议</w:t>
      </w:r>
      <w:bookmarkEnd w:id="134"/>
    </w:p>
    <w:p>
      <w:pPr>
        <w:spacing w:line="360" w:lineRule="auto"/>
        <w:ind w:firstLine="480" w:firstLineChars="200"/>
        <w:rPr>
          <w:rFonts w:asciiTheme="minorEastAsia" w:hAnsiTheme="minorEastAsia" w:eastAsiaTheme="minorEastAsia" w:cstheme="minorEastAsia"/>
          <w:sz w:val="24"/>
          <w:szCs w:val="24"/>
          <w:lang w:val="zh-CN"/>
        </w:rPr>
      </w:pPr>
      <w:bookmarkStart w:id="135" w:name="_Toc426369512"/>
      <w:bookmarkStart w:id="136" w:name="_Toc21662"/>
      <w:bookmarkStart w:id="137" w:name="_Toc403122522"/>
      <w:bookmarkStart w:id="138" w:name="_Toc12881"/>
      <w:r>
        <w:rPr>
          <w:rFonts w:hint="eastAsia" w:asciiTheme="minorEastAsia" w:hAnsiTheme="minorEastAsia" w:eastAsiaTheme="minorEastAsia" w:cstheme="minorEastAsia"/>
          <w:sz w:val="24"/>
          <w:szCs w:val="24"/>
        </w:rPr>
        <w:t>5.4.1</w:t>
      </w:r>
      <w:r>
        <w:rPr>
          <w:rFonts w:hint="eastAsia" w:asciiTheme="minorEastAsia" w:hAnsiTheme="minorEastAsia" w:eastAsiaTheme="minorEastAsia" w:cstheme="minorEastAsia"/>
          <w:sz w:val="24"/>
          <w:szCs w:val="24"/>
          <w:lang w:val="zh-CN"/>
        </w:rPr>
        <w:t>投标人对开标有异议的，应当在开标现场提出（</w:t>
      </w:r>
      <w:bookmarkStart w:id="139" w:name="_Toc12998"/>
      <w:r>
        <w:rPr>
          <w:rFonts w:hint="eastAsia" w:asciiTheme="minorEastAsia" w:hAnsiTheme="minorEastAsia" w:eastAsiaTheme="minorEastAsia" w:cstheme="minorEastAsia"/>
          <w:sz w:val="24"/>
          <w:szCs w:val="24"/>
          <w:lang w:val="zh-CN"/>
        </w:rPr>
        <w:t>语音异议</w:t>
      </w:r>
      <w:bookmarkEnd w:id="139"/>
      <w:r>
        <w:rPr>
          <w:rFonts w:hint="eastAsia" w:asciiTheme="minorEastAsia" w:hAnsiTheme="minorEastAsia" w:eastAsiaTheme="minorEastAsia" w:cstheme="minorEastAsia"/>
          <w:sz w:val="24"/>
          <w:szCs w:val="24"/>
          <w:lang w:val="zh-CN"/>
        </w:rPr>
        <w:t>、</w:t>
      </w:r>
      <w:bookmarkStart w:id="140" w:name="_Toc20745"/>
      <w:r>
        <w:rPr>
          <w:rFonts w:hint="eastAsia" w:asciiTheme="minorEastAsia" w:hAnsiTheme="minorEastAsia" w:eastAsiaTheme="minorEastAsia" w:cstheme="minorEastAsia"/>
          <w:sz w:val="24"/>
          <w:szCs w:val="24"/>
          <w:lang w:val="zh-CN"/>
        </w:rPr>
        <w:t>文字异议</w:t>
      </w:r>
      <w:bookmarkEnd w:id="140"/>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szCs w:val="24"/>
        </w:rPr>
        <w:t>采购人</w:t>
      </w:r>
      <w:r>
        <w:rPr>
          <w:rFonts w:hint="eastAsia" w:asciiTheme="minorEastAsia" w:hAnsiTheme="minorEastAsia" w:eastAsiaTheme="minorEastAsia" w:cstheme="minorEastAsia"/>
          <w:sz w:val="24"/>
          <w:szCs w:val="24"/>
          <w:lang w:val="zh-CN"/>
        </w:rPr>
        <w:t>当场作出答复，并制作记录。</w:t>
      </w:r>
    </w:p>
    <w:p>
      <w:pPr>
        <w:spacing w:line="360" w:lineRule="auto"/>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5.4.2</w:t>
      </w:r>
      <w:r>
        <w:rPr>
          <w:rFonts w:hint="eastAsia" w:asciiTheme="minorEastAsia" w:hAnsiTheme="minorEastAsia" w:eastAsiaTheme="minorEastAsia" w:cstheme="minorEastAsia"/>
          <w:sz w:val="24"/>
          <w:szCs w:val="24"/>
          <w:lang w:val="zh-CN"/>
        </w:rPr>
        <w:t>开标异常处理</w:t>
      </w:r>
    </w:p>
    <w:p>
      <w:pPr>
        <w:spacing w:line="360" w:lineRule="auto"/>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当出现以下情况时，应对未开标的项目中止电子开标，对原有资料及信息作出妥善保密处理，并在恢复正常后及时安排时间开标：</w:t>
      </w:r>
    </w:p>
    <w:p>
      <w:pPr>
        <w:spacing w:line="360" w:lineRule="auto"/>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val="zh-CN"/>
        </w:rPr>
        <w:t>）系统服务器发生故障，无法访问或无法使用系统；</w:t>
      </w:r>
    </w:p>
    <w:p>
      <w:pPr>
        <w:spacing w:line="360" w:lineRule="auto"/>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zh-CN"/>
        </w:rPr>
        <w:t>系统的软件或数据库出现错误，不能进行正常操作；</w:t>
      </w:r>
    </w:p>
    <w:p>
      <w:pPr>
        <w:spacing w:line="360" w:lineRule="auto"/>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val="zh-CN"/>
        </w:rPr>
        <w:t>）系统发现有安全漏洞，有潜在的泄密危险；</w:t>
      </w:r>
    </w:p>
    <w:p>
      <w:pPr>
        <w:spacing w:line="360" w:lineRule="auto"/>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val="zh-CN"/>
        </w:rPr>
        <w:t>）出现断电事故且短时间内无法恢复供电；</w:t>
      </w:r>
    </w:p>
    <w:p>
      <w:pPr>
        <w:spacing w:line="360" w:lineRule="auto"/>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val="zh-CN"/>
        </w:rPr>
        <w:t>其他无法保证招投标过程正常进行的情形；</w:t>
      </w:r>
    </w:p>
    <w:p>
      <w:pPr>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5.</w:t>
      </w:r>
      <w:bookmarkStart w:id="141" w:name="_Toc9927"/>
      <w:bookmarkStart w:id="142" w:name="_Toc13445"/>
      <w:r>
        <w:rPr>
          <w:rFonts w:hint="eastAsia" w:asciiTheme="minorEastAsia" w:hAnsiTheme="minorEastAsia" w:eastAsiaTheme="minorEastAsia" w:cstheme="minorEastAsia"/>
          <w:b/>
          <w:bCs/>
          <w:sz w:val="24"/>
          <w:szCs w:val="24"/>
        </w:rPr>
        <w:t>5.资格审查工作</w:t>
      </w:r>
      <w:bookmarkEnd w:id="141"/>
      <w:bookmarkEnd w:id="142"/>
    </w:p>
    <w:p>
      <w:pPr>
        <w:spacing w:afterAutospacing="0" w:line="360" w:lineRule="auto"/>
        <w:ind w:firstLine="480" w:firstLineChars="200"/>
        <w:rPr>
          <w:rFonts w:asciiTheme="minorEastAsia" w:hAnsiTheme="minorEastAsia" w:eastAsiaTheme="minorEastAsia" w:cstheme="minorEastAsia"/>
          <w:szCs w:val="21"/>
        </w:rPr>
      </w:pPr>
      <w:bookmarkStart w:id="143" w:name="_Toc18803"/>
      <w:bookmarkStart w:id="144" w:name="_Toc18888"/>
      <w:bookmarkStart w:id="145" w:name="_Toc22488"/>
      <w:bookmarkStart w:id="146" w:name="_Toc25275"/>
      <w:bookmarkStart w:id="147" w:name="_Toc18806"/>
      <w:bookmarkStart w:id="148" w:name="_Toc25448"/>
      <w:bookmarkStart w:id="149" w:name="_Toc15919"/>
      <w:r>
        <w:rPr>
          <w:rFonts w:hint="eastAsia" w:asciiTheme="minorEastAsia" w:hAnsiTheme="minorEastAsia" w:eastAsiaTheme="minorEastAsia" w:cstheme="minorEastAsia"/>
          <w:sz w:val="24"/>
          <w:szCs w:val="24"/>
          <w:lang w:val="zh-CN"/>
        </w:rPr>
        <w:t>采购人或代理机构根据有关法律法规和招标文件的规定，对投标人的资格进行审查，审查每个投标人提交的资格证明材料是否齐全、完整、合法、有效。资格性审查通过不足3家的，将不再进行下一步评审。</w:t>
      </w:r>
      <w:bookmarkEnd w:id="143"/>
      <w:bookmarkEnd w:id="144"/>
      <w:bookmarkEnd w:id="145"/>
      <w:bookmarkEnd w:id="146"/>
      <w:bookmarkEnd w:id="147"/>
      <w:bookmarkEnd w:id="148"/>
      <w:bookmarkEnd w:id="149"/>
    </w:p>
    <w:p>
      <w:pPr>
        <w:pStyle w:val="10"/>
        <w:bidi w:val="0"/>
        <w:spacing w:before="0" w:beforeAutospacing="0" w:after="0" w:afterAutospacing="0"/>
      </w:pPr>
      <w:bookmarkStart w:id="150" w:name="_Toc6889"/>
      <w:bookmarkStart w:id="151" w:name="_Toc23017"/>
      <w:r>
        <w:rPr>
          <w:rFonts w:hint="eastAsia"/>
        </w:rPr>
        <w:t>6.评标</w:t>
      </w:r>
      <w:bookmarkEnd w:id="135"/>
      <w:bookmarkEnd w:id="136"/>
      <w:bookmarkEnd w:id="137"/>
      <w:bookmarkEnd w:id="138"/>
      <w:bookmarkEnd w:id="150"/>
      <w:bookmarkEnd w:id="151"/>
    </w:p>
    <w:p>
      <w:pPr>
        <w:spacing w:beforeAutospacing="0" w:line="360" w:lineRule="auto"/>
        <w:ind w:firstLine="482" w:firstLineChars="200"/>
        <w:rPr>
          <w:rFonts w:hint="eastAsia" w:ascii="宋体" w:hAnsi="宋体" w:eastAsia="宋体" w:cs="宋体"/>
          <w:b/>
          <w:bCs/>
          <w:sz w:val="24"/>
          <w:szCs w:val="24"/>
        </w:rPr>
      </w:pPr>
      <w:bookmarkStart w:id="152" w:name="_Toc279599802"/>
      <w:bookmarkStart w:id="153" w:name="_Toc274249606"/>
      <w:bookmarkStart w:id="154" w:name="_Toc426369513"/>
      <w:bookmarkStart w:id="155" w:name="_Toc403122523"/>
      <w:r>
        <w:rPr>
          <w:rFonts w:hint="eastAsia" w:ascii="宋体" w:hAnsi="宋体" w:eastAsia="宋体" w:cs="宋体"/>
          <w:b/>
          <w:bCs/>
          <w:sz w:val="24"/>
          <w:szCs w:val="24"/>
        </w:rPr>
        <w:t>6.1 评标委员会</w:t>
      </w:r>
      <w:bookmarkEnd w:id="152"/>
      <w:bookmarkEnd w:id="153"/>
      <w:bookmarkEnd w:id="154"/>
      <w:bookmarkEnd w:id="155"/>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6.1.1  评标由采购人依法组建的评标委员会负责。评标委员会由采购人代表和评审专家组成。评标委员会成员人数以及评审专家的确定方式见投标人须知前附表。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6.1.2  评标委员会成员有下列情形之一的，应当回避：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（1）采购人或投标人的主要负责人的近亲属；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（2）项目主管部门或者行政监督部门的人员；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（3）与投标人有经济利益关系，可能影响对投标公正评审的；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（4）曾因在招标、评标以及其他与招标投标有关活动中从事违法行为而受过行政处罚或刑事处罚的。 </w:t>
      </w:r>
    </w:p>
    <w:p>
      <w:pPr>
        <w:spacing w:line="360" w:lineRule="auto"/>
        <w:ind w:firstLine="482" w:firstLineChars="200"/>
        <w:rPr>
          <w:rFonts w:hint="eastAsia" w:ascii="宋体" w:hAnsi="宋体" w:eastAsia="宋体" w:cs="宋体"/>
          <w:b/>
          <w:bCs/>
          <w:sz w:val="24"/>
          <w:szCs w:val="24"/>
        </w:rPr>
      </w:pPr>
      <w:bookmarkStart w:id="156" w:name="_Toc274249607"/>
      <w:bookmarkStart w:id="157" w:name="_Toc426369514"/>
      <w:bookmarkStart w:id="158" w:name="_Toc279599803"/>
      <w:bookmarkStart w:id="159" w:name="_Toc403122524"/>
      <w:r>
        <w:rPr>
          <w:rFonts w:hint="eastAsia" w:ascii="宋体" w:hAnsi="宋体" w:eastAsia="宋体" w:cs="宋体"/>
          <w:b/>
          <w:bCs/>
          <w:sz w:val="24"/>
          <w:szCs w:val="24"/>
        </w:rPr>
        <w:t>6.2 评标原则</w:t>
      </w:r>
      <w:bookmarkEnd w:id="156"/>
      <w:bookmarkEnd w:id="157"/>
      <w:bookmarkEnd w:id="158"/>
      <w:bookmarkEnd w:id="159"/>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评标活动遵循公平、公正、科学和择优的原则。 </w:t>
      </w:r>
    </w:p>
    <w:p>
      <w:pPr>
        <w:spacing w:line="360" w:lineRule="auto"/>
        <w:ind w:firstLine="482" w:firstLineChars="200"/>
        <w:rPr>
          <w:rFonts w:hint="eastAsia" w:ascii="宋体" w:hAnsi="宋体" w:eastAsia="宋体" w:cs="宋体"/>
          <w:sz w:val="24"/>
          <w:szCs w:val="24"/>
        </w:rPr>
      </w:pPr>
      <w:bookmarkStart w:id="160" w:name="_Toc274249608"/>
      <w:bookmarkStart w:id="161" w:name="_Toc426369515"/>
      <w:bookmarkStart w:id="162" w:name="_Toc279599804"/>
      <w:bookmarkStart w:id="163" w:name="_Toc403122525"/>
      <w:r>
        <w:rPr>
          <w:rFonts w:hint="eastAsia" w:ascii="宋体" w:hAnsi="宋体" w:eastAsia="宋体" w:cs="宋体"/>
          <w:b/>
          <w:bCs/>
          <w:sz w:val="24"/>
          <w:szCs w:val="24"/>
        </w:rPr>
        <w:t>6.3 评标</w:t>
      </w:r>
      <w:bookmarkEnd w:id="160"/>
      <w:bookmarkEnd w:id="161"/>
      <w:bookmarkEnd w:id="162"/>
      <w:bookmarkEnd w:id="163"/>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6.3.1在评审过程中，评标委员会发现投标人有下列情形之一的，视为投标人相互串通投标，按照无效投标处理并依据法律、法规追究其相关责任。具体表现形式如下：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（1）同投标人的投标文件由同一单位或者个人编制；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（2）不同投标人委托同一单位或者个人办理投标事宜；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（3）不同投标人的投标文件载明的项目管理成员或者联系人员为同一人；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（4）不同投标人的投标文件异常一致或者投标报价呈规律性差异；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（5）不同投标人的投标文件相互混装；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（6）有证据证明投标人与采购人、采购代理机构或者其他投标人串通的其他情形；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6.3.2评标委员会应当按照招标文件中规定的评标方法和标准，对符合性审查合格的投标文件进行商务和技术评估，综合比较与评价。招标文件没有规定的评标方法、评审因素和标准，不作为评标依据。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6.3.3评标时，评标委员会各成员应当独立对每个投标人的投标文件进行评价，并汇总每个投标人的得分。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评标完成后，评标委员会应当向采购人提交书面评标报告和中标候选人名单。评标委员会推荐中标候选人的人数见投标人须知前附表。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6.3.3评标委员会负责具体评标事务，并独立履行下列职责：</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（1）审查、评价投标文件是否符合招标文件的实质性要求；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（2）要求投标人对投标文件有关事项作出澄清或者说明；</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（3）对投标文件进行比较和评价；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（4）确定中标候选人名单；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（5）向采购人、采购代理机构或者有关部门报告评标中发现的违法行为。</w:t>
      </w:r>
    </w:p>
    <w:p>
      <w:pPr>
        <w:autoSpaceDE w:val="0"/>
        <w:autoSpaceDN w:val="0"/>
        <w:adjustRightInd w:val="0"/>
        <w:spacing w:line="360" w:lineRule="auto"/>
        <w:ind w:left="237" w:right="-20"/>
        <w:jc w:val="left"/>
        <w:rPr>
          <w:rFonts w:hint="eastAsia" w:ascii="宋体" w:hAnsi="宋体" w:eastAsia="宋体" w:cs="宋体"/>
          <w:b/>
          <w:bCs/>
          <w:spacing w:val="1"/>
          <w:kern w:val="0"/>
          <w:sz w:val="24"/>
          <w:szCs w:val="24"/>
        </w:rPr>
      </w:pPr>
      <w:r>
        <w:rPr>
          <w:rFonts w:hint="eastAsia" w:ascii="宋体" w:hAnsi="宋体" w:eastAsia="宋体" w:cs="宋体"/>
          <w:b/>
          <w:bCs/>
          <w:spacing w:val="1"/>
          <w:kern w:val="0"/>
          <w:sz w:val="24"/>
          <w:szCs w:val="24"/>
        </w:rPr>
        <w:t>6.4 废标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招标采购中，出现下列情形之一的，应予废标：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（1）符合专业条件的投标人或者对招标文件作实质响应的投标人不足三家的；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（2）出现影响采购公正的违法、违规行为的；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（3）投标人的报价均超过了采购预算，采购人不能支付的；</w:t>
      </w:r>
    </w:p>
    <w:p>
      <w:pPr>
        <w:spacing w:afterAutospacing="0" w:line="360" w:lineRule="auto"/>
        <w:ind w:firstLine="480" w:firstLineChars="200"/>
      </w:pPr>
      <w:r>
        <w:rPr>
          <w:rFonts w:hint="eastAsia" w:ascii="宋体" w:hAnsi="宋体" w:eastAsia="宋体" w:cs="宋体"/>
          <w:sz w:val="24"/>
          <w:szCs w:val="24"/>
        </w:rPr>
        <w:t>（4）因重大变故，采购任务取消的。废标后，采购人应当将废标理由通知所有投标人。</w:t>
      </w:r>
    </w:p>
    <w:p>
      <w:pPr>
        <w:pStyle w:val="10"/>
        <w:bidi w:val="0"/>
        <w:spacing w:before="0" w:beforeAutospacing="0" w:after="0" w:afterAutospacing="0"/>
      </w:pPr>
      <w:bookmarkStart w:id="164" w:name="_Toc26569"/>
      <w:bookmarkStart w:id="165" w:name="_Toc426369516"/>
      <w:bookmarkStart w:id="166" w:name="_Toc22968"/>
      <w:bookmarkStart w:id="167" w:name="_Toc403122526"/>
      <w:bookmarkStart w:id="168" w:name="_Toc17811"/>
      <w:bookmarkStart w:id="169" w:name="_Toc8985"/>
      <w:r>
        <w:rPr>
          <w:rFonts w:hint="eastAsia"/>
        </w:rPr>
        <w:t>7. 合同授予</w:t>
      </w:r>
      <w:bookmarkEnd w:id="164"/>
      <w:bookmarkEnd w:id="165"/>
      <w:bookmarkEnd w:id="166"/>
      <w:bookmarkEnd w:id="167"/>
      <w:bookmarkEnd w:id="168"/>
      <w:bookmarkEnd w:id="169"/>
    </w:p>
    <w:p>
      <w:pPr>
        <w:spacing w:beforeAutospacing="0" w:line="360" w:lineRule="auto"/>
        <w:ind w:firstLine="482" w:firstLineChars="200"/>
        <w:rPr>
          <w:rFonts w:asciiTheme="minorEastAsia" w:hAnsiTheme="minorEastAsia" w:eastAsiaTheme="minorEastAsia" w:cstheme="minorEastAsia"/>
          <w:b/>
          <w:bCs/>
          <w:sz w:val="24"/>
          <w:szCs w:val="24"/>
        </w:rPr>
      </w:pPr>
      <w:bookmarkStart w:id="170" w:name="_Toc274249610"/>
      <w:bookmarkStart w:id="171" w:name="_Toc426369517"/>
      <w:bookmarkStart w:id="172" w:name="_Toc403122527"/>
      <w:bookmarkStart w:id="173" w:name="_Toc279599806"/>
      <w:r>
        <w:rPr>
          <w:rFonts w:hint="eastAsia" w:asciiTheme="minorEastAsia" w:hAnsiTheme="minorEastAsia" w:eastAsiaTheme="minorEastAsia" w:cstheme="minorEastAsia"/>
          <w:b/>
          <w:bCs/>
          <w:sz w:val="24"/>
          <w:szCs w:val="24"/>
        </w:rPr>
        <w:t>7.1 定标方式</w:t>
      </w:r>
      <w:bookmarkEnd w:id="170"/>
      <w:bookmarkEnd w:id="171"/>
      <w:bookmarkEnd w:id="172"/>
      <w:bookmarkEnd w:id="173"/>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7.1.1采购人依据评标委员会推荐的中标候选人确定中标人，评标委员会推荐中标人候选人的人数见投标人须知前附表。</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7.1.2 中标或者成交投标人拒绝与采购人签订合同的，采购人可以按照评审报告推荐的中标或者成交候选人名单排序，确定下一候选人为中标或者成交投标人，也可以重新开展政府采购活动。</w:t>
      </w:r>
    </w:p>
    <w:p>
      <w:pPr>
        <w:spacing w:line="360" w:lineRule="auto"/>
        <w:ind w:firstLine="482" w:firstLineChars="200"/>
        <w:rPr>
          <w:rFonts w:asciiTheme="minorEastAsia" w:hAnsiTheme="minorEastAsia" w:eastAsiaTheme="minorEastAsia" w:cstheme="minorEastAsia"/>
          <w:b/>
          <w:bCs/>
          <w:sz w:val="24"/>
          <w:szCs w:val="24"/>
        </w:rPr>
      </w:pPr>
      <w:bookmarkStart w:id="174" w:name="_Toc274249611"/>
      <w:bookmarkStart w:id="175" w:name="_Toc279599807"/>
      <w:bookmarkStart w:id="176" w:name="_Toc403122528"/>
      <w:bookmarkStart w:id="177" w:name="_Toc426369518"/>
      <w:r>
        <w:rPr>
          <w:rFonts w:hint="eastAsia" w:asciiTheme="minorEastAsia" w:hAnsiTheme="minorEastAsia" w:eastAsiaTheme="minorEastAsia" w:cstheme="minorEastAsia"/>
          <w:b/>
          <w:bCs/>
          <w:sz w:val="24"/>
          <w:szCs w:val="24"/>
        </w:rPr>
        <w:t>7.2 中标通知</w:t>
      </w:r>
      <w:bookmarkEnd w:id="174"/>
      <w:bookmarkEnd w:id="175"/>
      <w:bookmarkEnd w:id="176"/>
      <w:bookmarkEnd w:id="177"/>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7.2.1 在本章第3.3款规定的投标有效期内，采购人以书面形式向中标人发出中标通知书，同时将中标结果通知未中标的投标人。</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7.2.2中标人在领取中标通知书后应及时到相关部门办理中标后的备案手续。</w:t>
      </w:r>
    </w:p>
    <w:p>
      <w:pPr>
        <w:spacing w:line="360" w:lineRule="auto"/>
        <w:ind w:firstLine="482" w:firstLineChars="200"/>
        <w:rPr>
          <w:rFonts w:asciiTheme="minorEastAsia" w:hAnsiTheme="minorEastAsia" w:eastAsiaTheme="minorEastAsia" w:cstheme="minorEastAsia"/>
          <w:b/>
          <w:bCs/>
          <w:sz w:val="24"/>
          <w:szCs w:val="24"/>
        </w:rPr>
      </w:pPr>
      <w:bookmarkStart w:id="178" w:name="_Toc311550376"/>
      <w:bookmarkStart w:id="179" w:name="_Toc279599808"/>
      <w:bookmarkStart w:id="180" w:name="_Toc274249612"/>
      <w:bookmarkStart w:id="181" w:name="_Toc403122529"/>
      <w:bookmarkStart w:id="182" w:name="_Toc426369519"/>
      <w:r>
        <w:rPr>
          <w:rFonts w:hint="eastAsia" w:asciiTheme="minorEastAsia" w:hAnsiTheme="minorEastAsia" w:eastAsiaTheme="minorEastAsia" w:cstheme="minorEastAsia"/>
          <w:b/>
          <w:bCs/>
          <w:sz w:val="24"/>
          <w:szCs w:val="24"/>
        </w:rPr>
        <w:t>7.3履约</w:t>
      </w:r>
      <w:bookmarkEnd w:id="178"/>
      <w:bookmarkEnd w:id="179"/>
      <w:bookmarkEnd w:id="180"/>
      <w:r>
        <w:rPr>
          <w:rFonts w:hint="eastAsia" w:asciiTheme="minorEastAsia" w:hAnsiTheme="minorEastAsia" w:eastAsiaTheme="minorEastAsia" w:cstheme="minorEastAsia"/>
          <w:b/>
          <w:bCs/>
          <w:sz w:val="24"/>
          <w:szCs w:val="24"/>
        </w:rPr>
        <w:t>保证金</w:t>
      </w:r>
      <w:bookmarkEnd w:id="181"/>
      <w:bookmarkEnd w:id="182"/>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7.3.1履约保证金：无</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7.3.2投标保证金：无</w:t>
      </w:r>
    </w:p>
    <w:p>
      <w:pPr>
        <w:spacing w:line="360" w:lineRule="auto"/>
        <w:ind w:firstLine="482" w:firstLineChars="200"/>
        <w:rPr>
          <w:rFonts w:asciiTheme="minorEastAsia" w:hAnsiTheme="minorEastAsia" w:eastAsiaTheme="minorEastAsia" w:cstheme="minorEastAsia"/>
          <w:b/>
          <w:bCs/>
          <w:sz w:val="24"/>
          <w:szCs w:val="24"/>
        </w:rPr>
      </w:pPr>
      <w:bookmarkStart w:id="183" w:name="_Toc403122530"/>
      <w:bookmarkStart w:id="184" w:name="_Toc274249613"/>
      <w:bookmarkStart w:id="185" w:name="_Toc279599809"/>
      <w:bookmarkStart w:id="186" w:name="_Toc426369520"/>
      <w:r>
        <w:rPr>
          <w:rFonts w:hint="eastAsia" w:asciiTheme="minorEastAsia" w:hAnsiTheme="minorEastAsia" w:eastAsiaTheme="minorEastAsia" w:cstheme="minorEastAsia"/>
          <w:b/>
          <w:bCs/>
          <w:sz w:val="24"/>
          <w:szCs w:val="24"/>
        </w:rPr>
        <w:t>7.4 签订合同</w:t>
      </w:r>
      <w:bookmarkEnd w:id="183"/>
      <w:bookmarkEnd w:id="184"/>
      <w:bookmarkEnd w:id="185"/>
      <w:bookmarkEnd w:id="186"/>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7.4.1 中标人的投标报价为中标价，中标价即为合同价</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（当中标人的投标报价高于控制价的95%时，该中标人的中标价按控制价的95%执行）。</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采购人和中标人应当自中标通知书发出之日起</w:t>
      </w:r>
      <w:r>
        <w:rPr>
          <w:rFonts w:hint="eastAsia" w:asciiTheme="minorEastAsia" w:hAnsiTheme="minorEastAsia" w:eastAsiaTheme="minorEastAsia" w:cstheme="minorEastAsia"/>
          <w:sz w:val="24"/>
          <w:szCs w:val="24"/>
          <w:highlight w:val="none"/>
          <w:lang w:val="en-US" w:eastAsia="zh-CN"/>
        </w:rPr>
        <w:t>十五日内</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rPr>
        <w:t>根据招标文件和中标人的投标文件订立书面合同。非因不可抗力因素放弃中标的，或排名第一的中标候选人未按规定期限与采购人签订合同的，应赔偿采购人由此造成的损失，损失费的计算方法为该中标候选人的投标价与重新确定的中标人中标价的差额，并处以采购金额千分之五以上千分之十以下罚款，将其列入不良行为记录名单，在1至3年内禁止参加政府采购活动，并予以通报。</w:t>
      </w:r>
    </w:p>
    <w:p>
      <w:pPr>
        <w:spacing w:afterAutospacing="0" w:line="360" w:lineRule="auto"/>
        <w:ind w:firstLine="48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 w:val="24"/>
          <w:szCs w:val="24"/>
        </w:rPr>
        <w:t>7.4.2 发出中标通知书后，采购人无正当理由拒签合同的，给中标人造成损失的，还应当赔偿损失。</w:t>
      </w:r>
    </w:p>
    <w:p>
      <w:pPr>
        <w:pStyle w:val="10"/>
        <w:bidi w:val="0"/>
        <w:spacing w:before="0" w:beforeAutospacing="0" w:after="0" w:afterAutospacing="0"/>
      </w:pPr>
      <w:bookmarkStart w:id="187" w:name="_Toc10541"/>
      <w:bookmarkStart w:id="188" w:name="_Toc10417"/>
      <w:bookmarkStart w:id="189" w:name="_Toc403122531"/>
      <w:bookmarkStart w:id="190" w:name="_Toc426369521"/>
      <w:bookmarkStart w:id="191" w:name="_Toc30009"/>
      <w:bookmarkStart w:id="192" w:name="_Toc24748"/>
      <w:r>
        <w:rPr>
          <w:rFonts w:hint="eastAsia"/>
        </w:rPr>
        <w:t>8. 重新招标</w:t>
      </w:r>
      <w:bookmarkEnd w:id="187"/>
      <w:bookmarkEnd w:id="188"/>
      <w:bookmarkEnd w:id="189"/>
      <w:bookmarkEnd w:id="190"/>
      <w:bookmarkEnd w:id="191"/>
      <w:bookmarkEnd w:id="192"/>
    </w:p>
    <w:p>
      <w:pPr>
        <w:spacing w:beforeAutospacing="0" w:line="360" w:lineRule="auto"/>
        <w:ind w:firstLine="482" w:firstLineChars="200"/>
        <w:rPr>
          <w:rFonts w:asciiTheme="minorEastAsia" w:hAnsiTheme="minorEastAsia" w:eastAsiaTheme="minorEastAsia" w:cstheme="minorEastAsia"/>
          <w:b/>
          <w:bCs/>
          <w:sz w:val="24"/>
          <w:szCs w:val="24"/>
        </w:rPr>
      </w:pPr>
      <w:bookmarkStart w:id="193" w:name="_Toc279599811"/>
      <w:bookmarkStart w:id="194" w:name="_Toc426369522"/>
      <w:bookmarkStart w:id="195" w:name="_Toc403122532"/>
      <w:bookmarkStart w:id="196" w:name="_Toc274249615"/>
      <w:r>
        <w:rPr>
          <w:rFonts w:hint="eastAsia" w:asciiTheme="minorEastAsia" w:hAnsiTheme="minorEastAsia" w:eastAsiaTheme="minorEastAsia" w:cstheme="minorEastAsia"/>
          <w:b/>
          <w:bCs/>
          <w:sz w:val="24"/>
          <w:szCs w:val="24"/>
        </w:rPr>
        <w:t>8.1 重新招标</w:t>
      </w:r>
      <w:bookmarkEnd w:id="193"/>
      <w:bookmarkEnd w:id="194"/>
      <w:bookmarkEnd w:id="195"/>
      <w:bookmarkEnd w:id="196"/>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有下列情形之一的，采购人将重新招标：</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（1）投标截止时间止，投标人少于3个的；</w:t>
      </w:r>
    </w:p>
    <w:p>
      <w:pPr>
        <w:spacing w:afterAutospacing="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（2）经评标委员会评审后否决所有投标的。</w:t>
      </w:r>
    </w:p>
    <w:p>
      <w:pPr>
        <w:pStyle w:val="10"/>
        <w:bidi w:val="0"/>
        <w:spacing w:before="0" w:beforeAutospacing="0" w:after="0" w:afterAutospacing="0"/>
      </w:pPr>
      <w:bookmarkStart w:id="197" w:name="_Toc3760"/>
      <w:bookmarkStart w:id="198" w:name="_Toc27398"/>
      <w:bookmarkStart w:id="199" w:name="_Toc403122533"/>
      <w:bookmarkStart w:id="200" w:name="_Toc426369523"/>
      <w:bookmarkStart w:id="201" w:name="_Toc10372"/>
      <w:bookmarkStart w:id="202" w:name="_Toc4348"/>
      <w:r>
        <w:rPr>
          <w:rFonts w:hint="eastAsia"/>
        </w:rPr>
        <w:t>9. 纪律和监督</w:t>
      </w:r>
      <w:bookmarkEnd w:id="197"/>
      <w:bookmarkEnd w:id="198"/>
      <w:bookmarkEnd w:id="199"/>
      <w:bookmarkEnd w:id="200"/>
      <w:bookmarkEnd w:id="201"/>
      <w:bookmarkEnd w:id="202"/>
    </w:p>
    <w:p>
      <w:pPr>
        <w:spacing w:beforeAutospacing="0" w:line="360" w:lineRule="auto"/>
        <w:ind w:firstLine="482" w:firstLineChars="200"/>
        <w:rPr>
          <w:rFonts w:asciiTheme="minorEastAsia" w:hAnsiTheme="minorEastAsia" w:eastAsiaTheme="minorEastAsia" w:cstheme="minorEastAsia"/>
          <w:b/>
          <w:bCs/>
          <w:sz w:val="24"/>
          <w:szCs w:val="24"/>
        </w:rPr>
      </w:pPr>
      <w:bookmarkStart w:id="203" w:name="_Toc403122534"/>
      <w:bookmarkStart w:id="204" w:name="_Toc426369524"/>
      <w:bookmarkStart w:id="205" w:name="_Toc274249618"/>
      <w:bookmarkStart w:id="206" w:name="_Toc279599814"/>
      <w:r>
        <w:rPr>
          <w:rFonts w:hint="eastAsia" w:asciiTheme="minorEastAsia" w:hAnsiTheme="minorEastAsia" w:eastAsiaTheme="minorEastAsia" w:cstheme="minorEastAsia"/>
          <w:b/>
          <w:bCs/>
          <w:sz w:val="24"/>
          <w:szCs w:val="24"/>
        </w:rPr>
        <w:t>9.1 对采购人的纪律要求</w:t>
      </w:r>
      <w:bookmarkEnd w:id="203"/>
      <w:bookmarkEnd w:id="204"/>
      <w:bookmarkEnd w:id="205"/>
      <w:bookmarkEnd w:id="206"/>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采购人不得泄漏招标投标活动中应当保密的情况和资料，不得与投标人串通损害国家利益、社会公共利益或者他人合法权益。</w:t>
      </w:r>
    </w:p>
    <w:p>
      <w:pPr>
        <w:spacing w:line="360" w:lineRule="auto"/>
        <w:ind w:firstLine="482" w:firstLineChars="200"/>
        <w:rPr>
          <w:rFonts w:asciiTheme="minorEastAsia" w:hAnsiTheme="minorEastAsia" w:eastAsiaTheme="minorEastAsia" w:cstheme="minorEastAsia"/>
          <w:b/>
          <w:bCs/>
          <w:sz w:val="24"/>
          <w:szCs w:val="24"/>
        </w:rPr>
      </w:pPr>
      <w:bookmarkStart w:id="207" w:name="_Toc403122535"/>
      <w:bookmarkStart w:id="208" w:name="_Toc279599815"/>
      <w:bookmarkStart w:id="209" w:name="_Toc426369525"/>
      <w:bookmarkStart w:id="210" w:name="_Toc274249619"/>
      <w:r>
        <w:rPr>
          <w:rFonts w:hint="eastAsia" w:asciiTheme="minorEastAsia" w:hAnsiTheme="minorEastAsia" w:eastAsiaTheme="minorEastAsia" w:cstheme="minorEastAsia"/>
          <w:b/>
          <w:bCs/>
          <w:sz w:val="24"/>
          <w:szCs w:val="24"/>
        </w:rPr>
        <w:t>9.2 对投标人的纪律要求</w:t>
      </w:r>
      <w:bookmarkEnd w:id="207"/>
      <w:bookmarkEnd w:id="208"/>
      <w:bookmarkEnd w:id="209"/>
      <w:bookmarkEnd w:id="210"/>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投标人不得相互串通投标或者与采购人串通投标，不得向采购人或者评标委员会成员行贿谋取中标，不得以他人名义投标或者以其他方式弄虚作假骗取中标；投标人不得以任何方式干扰、影响评标工作。</w:t>
      </w:r>
    </w:p>
    <w:p>
      <w:pPr>
        <w:spacing w:line="360" w:lineRule="auto"/>
        <w:ind w:firstLine="482" w:firstLineChars="200"/>
        <w:rPr>
          <w:rFonts w:asciiTheme="minorEastAsia" w:hAnsiTheme="minorEastAsia" w:eastAsiaTheme="minorEastAsia" w:cstheme="minorEastAsia"/>
          <w:b/>
          <w:bCs/>
          <w:sz w:val="24"/>
          <w:szCs w:val="24"/>
        </w:rPr>
      </w:pPr>
      <w:bookmarkStart w:id="211" w:name="_Toc279599816"/>
      <w:bookmarkStart w:id="212" w:name="_Toc426369526"/>
      <w:bookmarkStart w:id="213" w:name="_Toc403122536"/>
      <w:bookmarkStart w:id="214" w:name="_Toc274249620"/>
      <w:r>
        <w:rPr>
          <w:rFonts w:hint="eastAsia" w:asciiTheme="minorEastAsia" w:hAnsiTheme="minorEastAsia" w:eastAsiaTheme="minorEastAsia" w:cstheme="minorEastAsia"/>
          <w:b/>
          <w:bCs/>
          <w:sz w:val="24"/>
          <w:szCs w:val="24"/>
        </w:rPr>
        <w:t>9.3 对评标委员会成员的纪律要求</w:t>
      </w:r>
      <w:bookmarkEnd w:id="211"/>
      <w:bookmarkEnd w:id="212"/>
      <w:bookmarkEnd w:id="213"/>
      <w:bookmarkEnd w:id="214"/>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360" w:lineRule="auto"/>
        <w:ind w:firstLine="482" w:firstLineChars="200"/>
        <w:rPr>
          <w:rFonts w:asciiTheme="minorEastAsia" w:hAnsiTheme="minorEastAsia" w:eastAsiaTheme="minorEastAsia" w:cstheme="minorEastAsia"/>
          <w:b/>
          <w:bCs/>
          <w:sz w:val="24"/>
          <w:szCs w:val="24"/>
        </w:rPr>
      </w:pPr>
      <w:bookmarkStart w:id="215" w:name="_Toc274249621"/>
      <w:bookmarkStart w:id="216" w:name="_Toc403122537"/>
      <w:bookmarkStart w:id="217" w:name="_Toc426369527"/>
      <w:bookmarkStart w:id="218" w:name="_Toc279599817"/>
      <w:r>
        <w:rPr>
          <w:rFonts w:hint="eastAsia" w:asciiTheme="minorEastAsia" w:hAnsiTheme="minorEastAsia" w:eastAsiaTheme="minorEastAsia" w:cstheme="minorEastAsia"/>
          <w:b/>
          <w:bCs/>
          <w:sz w:val="24"/>
          <w:szCs w:val="24"/>
        </w:rPr>
        <w:t>9.4 对与评标活动有关的工作人员的纪律要求</w:t>
      </w:r>
      <w:bookmarkEnd w:id="215"/>
      <w:bookmarkEnd w:id="216"/>
      <w:bookmarkEnd w:id="217"/>
      <w:bookmarkEnd w:id="218"/>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360" w:lineRule="auto"/>
        <w:ind w:firstLine="482" w:firstLineChars="200"/>
        <w:rPr>
          <w:rFonts w:asciiTheme="minorEastAsia" w:hAnsiTheme="minorEastAsia" w:eastAsiaTheme="minorEastAsia" w:cstheme="minorEastAsia"/>
          <w:b/>
          <w:bCs/>
          <w:sz w:val="24"/>
          <w:szCs w:val="24"/>
        </w:rPr>
      </w:pPr>
      <w:bookmarkStart w:id="219" w:name="_Toc279599818"/>
      <w:bookmarkStart w:id="220" w:name="_Toc426369528"/>
      <w:bookmarkStart w:id="221" w:name="_Toc403122538"/>
      <w:bookmarkStart w:id="222" w:name="_Toc274249622"/>
      <w:r>
        <w:rPr>
          <w:rFonts w:hint="eastAsia" w:asciiTheme="minorEastAsia" w:hAnsiTheme="minorEastAsia" w:eastAsiaTheme="minorEastAsia" w:cstheme="minorEastAsia"/>
          <w:b/>
          <w:bCs/>
          <w:sz w:val="24"/>
          <w:szCs w:val="24"/>
        </w:rPr>
        <w:t>9.5 投诉</w:t>
      </w:r>
      <w:bookmarkEnd w:id="219"/>
      <w:bookmarkEnd w:id="220"/>
      <w:bookmarkEnd w:id="221"/>
      <w:bookmarkEnd w:id="222"/>
    </w:p>
    <w:p>
      <w:pPr>
        <w:spacing w:afterAutospacing="0" w:line="360" w:lineRule="auto"/>
        <w:ind w:firstLine="48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 w:val="24"/>
          <w:szCs w:val="24"/>
        </w:rPr>
        <w:t>投标人和其他利害关系人认为本次招标活动违反法律、法规和规章规定的，有权向有关行政监督部门投诉。</w:t>
      </w:r>
    </w:p>
    <w:p>
      <w:pPr>
        <w:pStyle w:val="10"/>
        <w:bidi w:val="0"/>
        <w:spacing w:before="0" w:beforeAutospacing="0" w:after="0" w:afterAutospacing="0"/>
      </w:pPr>
      <w:bookmarkStart w:id="223" w:name="_Toc10880"/>
      <w:bookmarkStart w:id="224" w:name="_Toc403122539"/>
      <w:bookmarkStart w:id="225" w:name="_Toc25080"/>
      <w:bookmarkStart w:id="226" w:name="_Toc426369529"/>
      <w:bookmarkStart w:id="227" w:name="_Toc13281"/>
      <w:bookmarkStart w:id="228" w:name="_Toc26529"/>
      <w:r>
        <w:rPr>
          <w:rFonts w:hint="eastAsia"/>
        </w:rPr>
        <w:t>10. 需要补充的其他内容</w:t>
      </w:r>
      <w:bookmarkEnd w:id="223"/>
      <w:bookmarkEnd w:id="224"/>
      <w:bookmarkEnd w:id="225"/>
      <w:bookmarkEnd w:id="226"/>
      <w:bookmarkEnd w:id="227"/>
      <w:bookmarkEnd w:id="228"/>
    </w:p>
    <w:p>
      <w:pPr>
        <w:keepNext w:val="0"/>
        <w:keepLines w:val="0"/>
        <w:pageBreakBefore w:val="0"/>
        <w:widowControl w:val="0"/>
        <w:kinsoku/>
        <w:wordWrap/>
        <w:overflowPunct/>
        <w:topLinePunct w:val="0"/>
        <w:autoSpaceDE w:val="0"/>
        <w:autoSpaceDN w:val="0"/>
        <w:bidi w:val="0"/>
        <w:adjustRightInd w:val="0"/>
        <w:snapToGrid/>
        <w:spacing w:beforeAutospacing="0" w:line="360" w:lineRule="auto"/>
        <w:ind w:firstLine="482" w:firstLineChars="200"/>
        <w:rPr>
          <w:rFonts w:hint="eastAsia" w:ascii="宋体" w:hAnsi="宋体" w:eastAsia="宋体" w:cs="宋体"/>
          <w:kern w:val="0"/>
          <w:sz w:val="24"/>
          <w:szCs w:val="24"/>
        </w:rPr>
      </w:pPr>
      <w:r>
        <w:rPr>
          <w:rFonts w:hint="eastAsia" w:ascii="宋体" w:hAnsi="宋体" w:eastAsia="宋体" w:cs="宋体"/>
          <w:b/>
          <w:kern w:val="0"/>
          <w:sz w:val="24"/>
          <w:szCs w:val="24"/>
        </w:rPr>
        <w:t>10.1 费用承担</w:t>
      </w:r>
    </w:p>
    <w:p>
      <w:pPr>
        <w:keepNext w:val="0"/>
        <w:keepLines w:val="0"/>
        <w:pageBreakBefore w:val="0"/>
        <w:widowControl w:val="0"/>
        <w:kinsoku/>
        <w:wordWrap/>
        <w:overflowPunct/>
        <w:topLinePunct w:val="0"/>
        <w:autoSpaceDE w:val="0"/>
        <w:autoSpaceDN w:val="0"/>
        <w:bidi w:val="0"/>
        <w:adjustRightInd w:val="0"/>
        <w:snapToGrid/>
        <w:spacing w:line="360" w:lineRule="auto"/>
        <w:ind w:left="17" w:leftChars="8" w:firstLine="480" w:firstLineChars="200"/>
        <w:jc w:val="left"/>
        <w:rPr>
          <w:rFonts w:hint="eastAsia" w:ascii="宋体" w:hAnsi="宋体" w:eastAsia="宋体" w:cs="宋体"/>
          <w:sz w:val="24"/>
          <w:szCs w:val="24"/>
        </w:rPr>
      </w:pPr>
      <w:r>
        <w:rPr>
          <w:rFonts w:hint="eastAsia" w:ascii="宋体" w:hAnsi="宋体" w:eastAsia="宋体" w:cs="宋体"/>
          <w:sz w:val="24"/>
          <w:szCs w:val="24"/>
        </w:rPr>
        <w:t>（1）无论投标结果如何，投标人应自行承担所有参与投标的全部费用，采购人和采购代理机构在任何情况下均无义务和责任承担上述费用。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（2）招标代理服务费由中标人支付。</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（3）投标人与采购人签订合同后，将合同报采购代理机构备案。</w:t>
      </w:r>
    </w:p>
    <w:p>
      <w:pPr>
        <w:pStyle w:val="51"/>
        <w:keepNext w:val="0"/>
        <w:keepLines w:val="0"/>
        <w:pageBreakBefore w:val="0"/>
        <w:widowControl w:val="0"/>
        <w:kinsoku/>
        <w:wordWrap/>
        <w:overflowPunct/>
        <w:topLinePunct w:val="0"/>
        <w:bidi w:val="0"/>
        <w:adjustRightInd w:val="0"/>
        <w:snapToGrid/>
        <w:spacing w:line="360" w:lineRule="auto"/>
        <w:ind w:firstLine="482" w:firstLineChars="200"/>
        <w:rPr>
          <w:rFonts w:asciiTheme="minorEastAsia" w:hAnsiTheme="minorEastAsia" w:eastAsiaTheme="minorEastAsia" w:cstheme="minorEastAsia"/>
          <w:b/>
          <w:bCs/>
          <w:kern w:val="2"/>
          <w:sz w:val="24"/>
        </w:rPr>
      </w:pPr>
      <w:r>
        <w:rPr>
          <w:rFonts w:hint="eastAsia" w:ascii="宋体" w:hAnsi="宋体" w:eastAsia="宋体" w:cs="宋体"/>
          <w:b/>
          <w:bCs/>
          <w:kern w:val="2"/>
          <w:sz w:val="24"/>
          <w:szCs w:val="24"/>
        </w:rPr>
        <w:t>10.2本招标文件未尽事宜，按《中华人民共和国政府采购法》等法律法规的有关规定执行。</w:t>
      </w:r>
    </w:p>
    <w:p>
      <w:pPr>
        <w:pStyle w:val="3"/>
        <w:rPr>
          <w:rFonts w:asciiTheme="minorEastAsia" w:hAnsiTheme="minorEastAsia" w:eastAsiaTheme="minorEastAsia" w:cstheme="minorEastAsia"/>
        </w:rPr>
      </w:pPr>
      <w:r>
        <w:rPr>
          <w:rFonts w:hint="eastAsia" w:asciiTheme="minorEastAsia" w:hAnsiTheme="minorEastAsia" w:eastAsiaTheme="minorEastAsia" w:cstheme="minorEastAsia"/>
        </w:rPr>
        <w:br w:type="page"/>
      </w:r>
    </w:p>
    <w:p>
      <w:pPr>
        <w:pStyle w:val="9"/>
        <w:numPr>
          <w:ilvl w:val="0"/>
          <w:numId w:val="4"/>
        </w:numPr>
        <w:bidi w:val="0"/>
        <w:spacing w:after="0" w:afterAutospacing="0"/>
      </w:pPr>
      <w:bookmarkStart w:id="229" w:name="_Toc28433"/>
      <w:bookmarkStart w:id="230" w:name="_Toc403122540"/>
      <w:bookmarkStart w:id="231" w:name="_Toc426369530"/>
      <w:bookmarkStart w:id="232" w:name="_Toc1250"/>
      <w:r>
        <w:rPr>
          <w:rFonts w:hint="eastAsia"/>
        </w:rPr>
        <w:t>评标办法</w:t>
      </w:r>
      <w:bookmarkEnd w:id="229"/>
      <w:bookmarkEnd w:id="230"/>
      <w:bookmarkEnd w:id="231"/>
      <w:r>
        <w:rPr>
          <w:rFonts w:hint="eastAsia"/>
        </w:rPr>
        <w:t>（综合评分法）</w:t>
      </w:r>
      <w:bookmarkEnd w:id="232"/>
    </w:p>
    <w:p>
      <w:pPr>
        <w:pStyle w:val="10"/>
        <w:numPr>
          <w:ilvl w:val="0"/>
          <w:numId w:val="5"/>
        </w:numPr>
        <w:bidi w:val="0"/>
        <w:spacing w:before="0" w:beforeAutospacing="0" w:after="0" w:afterAutospacing="0"/>
        <w:rPr>
          <w:rFonts w:hint="eastAsia"/>
        </w:rPr>
      </w:pPr>
      <w:bookmarkStart w:id="233" w:name="_Toc29947"/>
      <w:bookmarkStart w:id="234" w:name="_Toc17859"/>
      <w:bookmarkStart w:id="235" w:name="_Toc21885"/>
      <w:bookmarkStart w:id="236" w:name="_Toc30933"/>
      <w:bookmarkStart w:id="237" w:name="_Toc31836"/>
      <w:bookmarkStart w:id="238" w:name="_Toc9561"/>
      <w:bookmarkStart w:id="239" w:name="_Toc446"/>
      <w:bookmarkStart w:id="240" w:name="_Toc16529"/>
      <w:bookmarkStart w:id="241" w:name="_Toc2761070"/>
      <w:r>
        <w:rPr>
          <w:rFonts w:hint="eastAsia"/>
        </w:rPr>
        <w:t>评分办法前附表</w:t>
      </w:r>
      <w:bookmarkEnd w:id="233"/>
      <w:bookmarkEnd w:id="234"/>
      <w:bookmarkEnd w:id="235"/>
      <w:bookmarkEnd w:id="236"/>
      <w:bookmarkEnd w:id="237"/>
      <w:bookmarkEnd w:id="238"/>
      <w:bookmarkEnd w:id="239"/>
    </w:p>
    <w:tbl>
      <w:tblPr>
        <w:tblStyle w:val="27"/>
        <w:tblpPr w:leftFromText="180" w:rightFromText="180" w:vertAnchor="text" w:horzAnchor="page" w:tblpX="1193" w:tblpY="363"/>
        <w:tblOverlap w:val="never"/>
        <w:tblW w:w="494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982"/>
        <w:gridCol w:w="2259"/>
        <w:gridCol w:w="5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exact"/>
        </w:trPr>
        <w:tc>
          <w:tcPr>
            <w:tcW w:w="436" w:type="pct"/>
            <w:vAlign w:val="center"/>
          </w:tcPr>
          <w:p>
            <w:pPr>
              <w:bidi w:val="0"/>
              <w:rPr>
                <w:rFonts w:hint="eastAsia"/>
              </w:rPr>
            </w:pPr>
            <w:r>
              <w:rPr>
                <w:rFonts w:hint="eastAsia"/>
              </w:rPr>
              <w:t>审查主体</w:t>
            </w:r>
          </w:p>
        </w:tc>
        <w:tc>
          <w:tcPr>
            <w:tcW w:w="1624" w:type="pct"/>
            <w:gridSpan w:val="2"/>
            <w:vAlign w:val="center"/>
          </w:tcPr>
          <w:p>
            <w:pPr>
              <w:bidi w:val="0"/>
              <w:jc w:val="center"/>
              <w:rPr>
                <w:rFonts w:hint="eastAsia"/>
              </w:rPr>
            </w:pPr>
            <w:r>
              <w:rPr>
                <w:rFonts w:hint="eastAsia"/>
              </w:rPr>
              <w:t>评审因素</w:t>
            </w:r>
          </w:p>
        </w:tc>
        <w:tc>
          <w:tcPr>
            <w:tcW w:w="2939" w:type="pct"/>
            <w:vAlign w:val="center"/>
          </w:tcPr>
          <w:p>
            <w:pPr>
              <w:bidi w:val="0"/>
              <w:jc w:val="center"/>
              <w:rPr>
                <w:rFonts w:hint="eastAsia"/>
              </w:rPr>
            </w:pPr>
            <w:r>
              <w:rPr>
                <w:rFonts w:hint="eastAsi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exact"/>
        </w:trPr>
        <w:tc>
          <w:tcPr>
            <w:tcW w:w="436" w:type="pct"/>
            <w:vMerge w:val="restart"/>
            <w:vAlign w:val="center"/>
          </w:tcPr>
          <w:p>
            <w:pPr>
              <w:bidi w:val="0"/>
              <w:rPr>
                <w:rFonts w:hint="eastAsia"/>
              </w:rPr>
            </w:pPr>
            <w:r>
              <w:rPr>
                <w:rFonts w:hint="eastAsia"/>
              </w:rPr>
              <w:t>资格审查小组</w:t>
            </w:r>
          </w:p>
        </w:tc>
        <w:tc>
          <w:tcPr>
            <w:tcW w:w="492" w:type="pct"/>
            <w:vMerge w:val="restart"/>
            <w:vAlign w:val="center"/>
          </w:tcPr>
          <w:p>
            <w:pPr>
              <w:bidi w:val="0"/>
              <w:rPr>
                <w:rFonts w:hint="eastAsia"/>
              </w:rPr>
            </w:pPr>
            <w:r>
              <w:rPr>
                <w:rFonts w:hint="eastAsia"/>
              </w:rPr>
              <w:t>一、资格评审标准</w:t>
            </w:r>
          </w:p>
        </w:tc>
        <w:tc>
          <w:tcPr>
            <w:tcW w:w="1132" w:type="pct"/>
            <w:vAlign w:val="center"/>
          </w:tcPr>
          <w:p>
            <w:pPr>
              <w:bidi w:val="0"/>
              <w:rPr>
                <w:rFonts w:hint="eastAsia"/>
              </w:rPr>
            </w:pPr>
            <w:r>
              <w:rPr>
                <w:rFonts w:hint="eastAsia"/>
              </w:rPr>
              <w:t>《中华人民共和国政府采购法》第二十二条规定</w:t>
            </w:r>
          </w:p>
        </w:tc>
        <w:tc>
          <w:tcPr>
            <w:tcW w:w="2939" w:type="pct"/>
            <w:vAlign w:val="center"/>
          </w:tcPr>
          <w:p>
            <w:pPr>
              <w:bidi w:val="0"/>
              <w:rPr>
                <w:rFonts w:hint="eastAsia"/>
              </w:rPr>
            </w:pPr>
            <w:r>
              <w:rPr>
                <w:rFonts w:hint="eastAsia"/>
                <w:highlight w:val="none"/>
                <w:lang w:eastAsia="zh-CN"/>
              </w:rPr>
              <w:t>提供政府采购供应商资格信用承诺函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exact"/>
        </w:trPr>
        <w:tc>
          <w:tcPr>
            <w:tcW w:w="436" w:type="pct"/>
            <w:vMerge w:val="continue"/>
            <w:vAlign w:val="center"/>
          </w:tcPr>
          <w:p>
            <w:pPr>
              <w:bidi w:val="0"/>
              <w:rPr>
                <w:rFonts w:hint="eastAsia"/>
              </w:rPr>
            </w:pPr>
          </w:p>
        </w:tc>
        <w:tc>
          <w:tcPr>
            <w:tcW w:w="492" w:type="pct"/>
            <w:vMerge w:val="continue"/>
            <w:vAlign w:val="center"/>
          </w:tcPr>
          <w:p>
            <w:pPr>
              <w:bidi w:val="0"/>
              <w:rPr>
                <w:rFonts w:hint="eastAsia"/>
              </w:rPr>
            </w:pPr>
          </w:p>
        </w:tc>
        <w:tc>
          <w:tcPr>
            <w:tcW w:w="1132" w:type="pct"/>
            <w:vAlign w:val="center"/>
          </w:tcPr>
          <w:p>
            <w:pPr>
              <w:bidi w:val="0"/>
              <w:rPr>
                <w:rFonts w:hint="eastAsia"/>
                <w:shd w:val="clear" w:fill="FF0000"/>
              </w:rPr>
            </w:pPr>
            <w:r>
              <w:rPr>
                <w:rFonts w:hint="eastAsia"/>
                <w:shd w:val="clear"/>
                <w:lang w:val="en-US" w:eastAsia="zh-CN"/>
              </w:rPr>
              <w:t>具有林业调查规划设计丙级及以上资质</w:t>
            </w:r>
          </w:p>
        </w:tc>
        <w:tc>
          <w:tcPr>
            <w:tcW w:w="2939" w:type="pct"/>
            <w:vAlign w:val="center"/>
          </w:tcPr>
          <w:p>
            <w:pPr>
              <w:bidi w:val="0"/>
              <w:rPr>
                <w:rFonts w:hint="eastAsia"/>
                <w:highlight w:val="red"/>
                <w:lang w:eastAsia="zh-CN"/>
              </w:rPr>
            </w:pPr>
            <w:r>
              <w:rPr>
                <w:rFonts w:hint="eastAsia"/>
                <w:highlight w:val="none"/>
                <w:lang w:eastAsia="zh-CN"/>
              </w:rPr>
              <w:t>提供政府采购供应商资格信用承诺函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exact"/>
        </w:trPr>
        <w:tc>
          <w:tcPr>
            <w:tcW w:w="436" w:type="pct"/>
            <w:vMerge w:val="continue"/>
            <w:vAlign w:val="center"/>
          </w:tcPr>
          <w:p>
            <w:pPr>
              <w:bidi w:val="0"/>
              <w:rPr>
                <w:rFonts w:hint="eastAsia"/>
              </w:rPr>
            </w:pPr>
          </w:p>
        </w:tc>
        <w:tc>
          <w:tcPr>
            <w:tcW w:w="492" w:type="pct"/>
            <w:vMerge w:val="continue"/>
            <w:vAlign w:val="center"/>
          </w:tcPr>
          <w:p>
            <w:pPr>
              <w:bidi w:val="0"/>
              <w:rPr>
                <w:rFonts w:hint="eastAsia"/>
              </w:rPr>
            </w:pPr>
          </w:p>
        </w:tc>
        <w:tc>
          <w:tcPr>
            <w:tcW w:w="1132" w:type="pct"/>
            <w:vAlign w:val="center"/>
          </w:tcPr>
          <w:p>
            <w:pPr>
              <w:bidi w:val="0"/>
              <w:rPr>
                <w:rFonts w:hint="eastAsia"/>
              </w:rPr>
            </w:pPr>
            <w:r>
              <w:rPr>
                <w:rFonts w:hint="eastAsia"/>
              </w:rPr>
              <w:t>法定代表人证明或法人授权委托书</w:t>
            </w:r>
          </w:p>
        </w:tc>
        <w:tc>
          <w:tcPr>
            <w:tcW w:w="2939" w:type="pct"/>
            <w:vAlign w:val="center"/>
          </w:tcPr>
          <w:p>
            <w:pPr>
              <w:bidi w:val="0"/>
              <w:rPr>
                <w:rFonts w:hint="eastAsia"/>
              </w:rPr>
            </w:pPr>
            <w:r>
              <w:rPr>
                <w:rFonts w:hint="eastAsia"/>
              </w:rPr>
              <w:t>法定代表人（负责人）证明或法人授权委托书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trPr>
        <w:tc>
          <w:tcPr>
            <w:tcW w:w="436" w:type="pct"/>
            <w:vMerge w:val="continue"/>
            <w:vAlign w:val="center"/>
          </w:tcPr>
          <w:p>
            <w:pPr>
              <w:bidi w:val="0"/>
              <w:rPr>
                <w:rFonts w:hint="eastAsia"/>
              </w:rPr>
            </w:pPr>
          </w:p>
        </w:tc>
        <w:tc>
          <w:tcPr>
            <w:tcW w:w="492" w:type="pct"/>
            <w:vMerge w:val="continue"/>
            <w:vAlign w:val="center"/>
          </w:tcPr>
          <w:p>
            <w:pPr>
              <w:bidi w:val="0"/>
              <w:rPr>
                <w:rFonts w:hint="eastAsia"/>
              </w:rPr>
            </w:pPr>
          </w:p>
        </w:tc>
        <w:tc>
          <w:tcPr>
            <w:tcW w:w="1132" w:type="pct"/>
            <w:vAlign w:val="center"/>
          </w:tcPr>
          <w:p>
            <w:pPr>
              <w:bidi w:val="0"/>
              <w:rPr>
                <w:rFonts w:hint="eastAsia"/>
                <w:lang w:eastAsia="zh-CN"/>
              </w:rPr>
            </w:pPr>
            <w:r>
              <w:rPr>
                <w:rFonts w:hint="eastAsia"/>
                <w:lang w:eastAsia="zh-CN"/>
              </w:rPr>
              <w:t>中小企业声明函</w:t>
            </w:r>
          </w:p>
        </w:tc>
        <w:tc>
          <w:tcPr>
            <w:tcW w:w="2939" w:type="pct"/>
            <w:vAlign w:val="center"/>
          </w:tcPr>
          <w:p>
            <w:pPr>
              <w:bidi w:val="0"/>
              <w:rPr>
                <w:rFonts w:hint="eastAsia"/>
              </w:rPr>
            </w:pPr>
            <w:r>
              <w:rPr>
                <w:rFonts w:hint="eastAsia"/>
                <w:lang w:eastAsia="zh-CN"/>
              </w:rPr>
              <w:t>本</w:t>
            </w:r>
            <w:r>
              <w:rPr>
                <w:rFonts w:hint="eastAsia"/>
              </w:rPr>
              <w:t>项目全额面向中小企业采购，需要提供中小企业声明函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exact"/>
        </w:trPr>
        <w:tc>
          <w:tcPr>
            <w:tcW w:w="436" w:type="pct"/>
            <w:vMerge w:val="continue"/>
            <w:vAlign w:val="center"/>
          </w:tcPr>
          <w:p>
            <w:pPr>
              <w:bidi w:val="0"/>
              <w:rPr>
                <w:rFonts w:hint="eastAsia"/>
              </w:rPr>
            </w:pPr>
          </w:p>
        </w:tc>
        <w:tc>
          <w:tcPr>
            <w:tcW w:w="492" w:type="pct"/>
            <w:vMerge w:val="continue"/>
            <w:vAlign w:val="center"/>
          </w:tcPr>
          <w:p>
            <w:pPr>
              <w:bidi w:val="0"/>
              <w:rPr>
                <w:rFonts w:hint="eastAsia"/>
              </w:rPr>
            </w:pPr>
          </w:p>
        </w:tc>
        <w:tc>
          <w:tcPr>
            <w:tcW w:w="1132" w:type="pct"/>
            <w:vAlign w:val="center"/>
          </w:tcPr>
          <w:p>
            <w:pPr>
              <w:bidi w:val="0"/>
              <w:rPr>
                <w:rFonts w:hint="eastAsia"/>
                <w:lang w:val="en-US" w:eastAsia="zh-CN"/>
              </w:rPr>
            </w:pPr>
            <w:r>
              <w:rPr>
                <w:rFonts w:hint="eastAsia"/>
                <w:lang w:val="en-US" w:eastAsia="zh-CN"/>
              </w:rPr>
              <w:t>项目负责人要求</w:t>
            </w:r>
          </w:p>
        </w:tc>
        <w:tc>
          <w:tcPr>
            <w:tcW w:w="2939" w:type="pct"/>
            <w:vAlign w:val="center"/>
          </w:tcPr>
          <w:p>
            <w:pPr>
              <w:bidi w:val="0"/>
              <w:rPr>
                <w:rFonts w:hint="eastAsia" w:ascii="宋体" w:hAnsi="宋体" w:eastAsia="宋体" w:cs="宋体"/>
                <w:lang w:val="en-US" w:eastAsia="zh-CN"/>
              </w:rPr>
            </w:pPr>
            <w:r>
              <w:rPr>
                <w:rFonts w:hint="eastAsia" w:ascii="宋体" w:hAnsi="宋体" w:eastAsia="宋体" w:cs="宋体"/>
                <w:lang w:val="en-US" w:eastAsia="zh-CN"/>
              </w:rPr>
              <w:t>拟派项目负责人需具备林业专业中级（含）以上技术职称，提供与本单位签订的劳动合同和为其缴纳2023年1月1日以来内任意连续三个月社保证明材料。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3" w:hRule="atLeast"/>
        </w:trPr>
        <w:tc>
          <w:tcPr>
            <w:tcW w:w="436" w:type="pct"/>
            <w:vMerge w:val="continue"/>
            <w:vAlign w:val="center"/>
          </w:tcPr>
          <w:p>
            <w:pPr>
              <w:bidi w:val="0"/>
              <w:rPr>
                <w:rFonts w:hint="eastAsia"/>
              </w:rPr>
            </w:pPr>
          </w:p>
        </w:tc>
        <w:tc>
          <w:tcPr>
            <w:tcW w:w="492" w:type="pct"/>
            <w:vMerge w:val="continue"/>
            <w:vAlign w:val="center"/>
          </w:tcPr>
          <w:p>
            <w:pPr>
              <w:bidi w:val="0"/>
              <w:rPr>
                <w:rFonts w:hint="eastAsia"/>
              </w:rPr>
            </w:pPr>
          </w:p>
        </w:tc>
        <w:tc>
          <w:tcPr>
            <w:tcW w:w="1132" w:type="pct"/>
            <w:vAlign w:val="center"/>
          </w:tcPr>
          <w:p>
            <w:pPr>
              <w:bidi w:val="0"/>
              <w:rPr>
                <w:rFonts w:hint="eastAsia"/>
              </w:rPr>
            </w:pPr>
            <w:r>
              <w:rPr>
                <w:rFonts w:hint="eastAsia"/>
              </w:rPr>
              <w:t>信誉要求</w:t>
            </w:r>
          </w:p>
        </w:tc>
        <w:tc>
          <w:tcPr>
            <w:tcW w:w="2939" w:type="pct"/>
            <w:vAlign w:val="center"/>
          </w:tcPr>
          <w:p>
            <w:pPr>
              <w:bidi w:val="0"/>
              <w:rPr>
                <w:rFonts w:hint="eastAsia"/>
                <w:lang w:eastAsia="zh-CN"/>
              </w:rPr>
            </w:pPr>
            <w:r>
              <w:rPr>
                <w:rFonts w:hint="eastAsia" w:ascii="宋体" w:hAnsi="宋体" w:eastAsia="宋体" w:cs="宋体"/>
              </w:rPr>
              <w:t>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投标人，拒绝参与政府采购活动</w:t>
            </w:r>
            <w:r>
              <w:rPr>
                <w:rFonts w:hint="eastAsia" w:ascii="宋体" w:hAnsi="宋体" w:eastAsia="宋体" w:cs="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436" w:type="pct"/>
            <w:vMerge w:val="continue"/>
            <w:tcBorders>
              <w:bottom w:val="single" w:color="auto" w:sz="4" w:space="0"/>
            </w:tcBorders>
            <w:vAlign w:val="center"/>
          </w:tcPr>
          <w:p>
            <w:pPr>
              <w:bidi w:val="0"/>
              <w:rPr>
                <w:rFonts w:hint="eastAsia"/>
              </w:rPr>
            </w:pPr>
          </w:p>
        </w:tc>
        <w:tc>
          <w:tcPr>
            <w:tcW w:w="492" w:type="pct"/>
            <w:vMerge w:val="continue"/>
            <w:tcBorders>
              <w:bottom w:val="single" w:color="auto" w:sz="4" w:space="0"/>
            </w:tcBorders>
            <w:vAlign w:val="center"/>
          </w:tcPr>
          <w:p>
            <w:pPr>
              <w:bidi w:val="0"/>
              <w:rPr>
                <w:rFonts w:hint="eastAsia"/>
              </w:rPr>
            </w:pPr>
          </w:p>
        </w:tc>
        <w:tc>
          <w:tcPr>
            <w:tcW w:w="1132" w:type="pct"/>
            <w:tcBorders>
              <w:bottom w:val="single" w:color="auto" w:sz="4" w:space="0"/>
            </w:tcBorders>
            <w:vAlign w:val="center"/>
          </w:tcPr>
          <w:p>
            <w:pPr>
              <w:bidi w:val="0"/>
              <w:rPr>
                <w:rFonts w:hint="eastAsia"/>
              </w:rPr>
            </w:pPr>
            <w:r>
              <w:rPr>
                <w:rFonts w:hint="eastAsia"/>
              </w:rPr>
              <w:t>其他要求</w:t>
            </w:r>
          </w:p>
        </w:tc>
        <w:tc>
          <w:tcPr>
            <w:tcW w:w="2939" w:type="pct"/>
            <w:tcBorders>
              <w:bottom w:val="single" w:color="auto" w:sz="4" w:space="0"/>
            </w:tcBorders>
            <w:vAlign w:val="center"/>
          </w:tcPr>
          <w:p>
            <w:pPr>
              <w:bidi w:val="0"/>
              <w:rPr>
                <w:rFonts w:hint="eastAsia"/>
              </w:rPr>
            </w:pPr>
            <w:r>
              <w:rPr>
                <w:rFonts w:hint="eastAsia"/>
              </w:rPr>
              <w:t>符合招标文件资格要求的其他要求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436" w:type="pct"/>
            <w:vMerge w:val="restart"/>
            <w:tcBorders>
              <w:top w:val="single" w:color="auto" w:sz="4" w:space="0"/>
              <w:left w:val="single" w:color="auto" w:sz="4" w:space="0"/>
              <w:bottom w:val="single" w:color="auto" w:sz="4" w:space="0"/>
              <w:right w:val="single" w:color="auto" w:sz="4" w:space="0"/>
            </w:tcBorders>
            <w:vAlign w:val="center"/>
          </w:tcPr>
          <w:p>
            <w:pPr>
              <w:bidi w:val="0"/>
              <w:rPr>
                <w:rFonts w:hint="eastAsia"/>
              </w:rPr>
            </w:pPr>
            <w:r>
              <w:rPr>
                <w:rFonts w:hint="eastAsia"/>
              </w:rPr>
              <w:t>评标委员会</w:t>
            </w:r>
          </w:p>
        </w:tc>
        <w:tc>
          <w:tcPr>
            <w:tcW w:w="492" w:type="pct"/>
            <w:vMerge w:val="restart"/>
            <w:tcBorders>
              <w:top w:val="single" w:color="auto" w:sz="4" w:space="0"/>
              <w:left w:val="single" w:color="auto" w:sz="4" w:space="0"/>
              <w:bottom w:val="single" w:color="auto" w:sz="4" w:space="0"/>
              <w:right w:val="single" w:color="auto" w:sz="4" w:space="0"/>
            </w:tcBorders>
            <w:vAlign w:val="center"/>
          </w:tcPr>
          <w:p>
            <w:pPr>
              <w:bidi w:val="0"/>
              <w:rPr>
                <w:rFonts w:hint="eastAsia"/>
              </w:rPr>
            </w:pPr>
            <w:r>
              <w:rPr>
                <w:rFonts w:hint="eastAsia"/>
              </w:rPr>
              <w:t>二、形式评审标准</w:t>
            </w:r>
          </w:p>
        </w:tc>
        <w:tc>
          <w:tcPr>
            <w:tcW w:w="1132" w:type="pct"/>
            <w:tcBorders>
              <w:top w:val="single" w:color="auto" w:sz="4" w:space="0"/>
              <w:left w:val="single" w:color="auto" w:sz="4" w:space="0"/>
              <w:bottom w:val="single" w:color="auto" w:sz="4" w:space="0"/>
              <w:right w:val="single" w:color="auto" w:sz="4" w:space="0"/>
            </w:tcBorders>
            <w:vAlign w:val="center"/>
          </w:tcPr>
          <w:p>
            <w:pPr>
              <w:bidi w:val="0"/>
              <w:rPr>
                <w:rFonts w:hint="eastAsia"/>
              </w:rPr>
            </w:pPr>
            <w:r>
              <w:rPr>
                <w:rFonts w:hint="eastAsia"/>
              </w:rPr>
              <w:t>投标人名称</w:t>
            </w:r>
          </w:p>
        </w:tc>
        <w:tc>
          <w:tcPr>
            <w:tcW w:w="2939" w:type="pct"/>
            <w:tcBorders>
              <w:top w:val="single" w:color="auto" w:sz="4" w:space="0"/>
              <w:left w:val="single" w:color="auto" w:sz="4" w:space="0"/>
              <w:bottom w:val="single" w:color="auto" w:sz="4" w:space="0"/>
              <w:right w:val="single" w:color="auto" w:sz="4" w:space="0"/>
            </w:tcBorders>
            <w:vAlign w:val="center"/>
          </w:tcPr>
          <w:p>
            <w:pPr>
              <w:bidi w:val="0"/>
              <w:rPr>
                <w:rFonts w:hint="eastAsia"/>
              </w:rPr>
            </w:pPr>
            <w:r>
              <w:rPr>
                <w:rFonts w:hint="eastAsia"/>
              </w:rPr>
              <w:t>与营业执照等证件一致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6" w:type="pct"/>
            <w:vMerge w:val="continue"/>
            <w:tcBorders>
              <w:top w:val="single" w:color="auto" w:sz="4" w:space="0"/>
              <w:left w:val="single" w:color="auto" w:sz="4" w:space="0"/>
              <w:bottom w:val="single" w:color="auto" w:sz="4" w:space="0"/>
              <w:right w:val="single" w:color="auto" w:sz="4" w:space="0"/>
            </w:tcBorders>
            <w:vAlign w:val="center"/>
          </w:tcPr>
          <w:p>
            <w:pPr>
              <w:bidi w:val="0"/>
              <w:rPr>
                <w:rFonts w:hint="eastAsia"/>
              </w:rPr>
            </w:pPr>
          </w:p>
        </w:tc>
        <w:tc>
          <w:tcPr>
            <w:tcW w:w="492" w:type="pct"/>
            <w:vMerge w:val="continue"/>
            <w:tcBorders>
              <w:top w:val="single" w:color="auto" w:sz="4" w:space="0"/>
              <w:left w:val="single" w:color="auto" w:sz="4" w:space="0"/>
              <w:bottom w:val="single" w:color="auto" w:sz="4" w:space="0"/>
              <w:right w:val="single" w:color="auto" w:sz="4" w:space="0"/>
            </w:tcBorders>
            <w:vAlign w:val="center"/>
          </w:tcPr>
          <w:p>
            <w:pPr>
              <w:bidi w:val="0"/>
              <w:rPr>
                <w:rFonts w:hint="eastAsia"/>
              </w:rPr>
            </w:pPr>
          </w:p>
        </w:tc>
        <w:tc>
          <w:tcPr>
            <w:tcW w:w="1132" w:type="pct"/>
            <w:tcBorders>
              <w:top w:val="single" w:color="auto" w:sz="4" w:space="0"/>
              <w:left w:val="single" w:color="auto" w:sz="4" w:space="0"/>
              <w:bottom w:val="single" w:color="auto" w:sz="4" w:space="0"/>
              <w:right w:val="single" w:color="auto" w:sz="4" w:space="0"/>
            </w:tcBorders>
            <w:vAlign w:val="center"/>
          </w:tcPr>
          <w:p>
            <w:pPr>
              <w:bidi w:val="0"/>
              <w:rPr>
                <w:rFonts w:hint="eastAsia"/>
              </w:rPr>
            </w:pPr>
            <w:r>
              <w:rPr>
                <w:rFonts w:hint="eastAsia"/>
              </w:rPr>
              <w:t>投标函签字盖章</w:t>
            </w:r>
          </w:p>
        </w:tc>
        <w:tc>
          <w:tcPr>
            <w:tcW w:w="2939" w:type="pct"/>
            <w:tcBorders>
              <w:top w:val="single" w:color="auto" w:sz="4" w:space="0"/>
              <w:left w:val="single" w:color="auto" w:sz="4" w:space="0"/>
              <w:bottom w:val="single" w:color="auto" w:sz="4" w:space="0"/>
              <w:right w:val="single" w:color="auto" w:sz="4" w:space="0"/>
            </w:tcBorders>
            <w:vAlign w:val="center"/>
          </w:tcPr>
          <w:p>
            <w:pPr>
              <w:bidi w:val="0"/>
              <w:rPr>
                <w:rFonts w:hint="eastAsia"/>
              </w:rPr>
            </w:pPr>
            <w:r>
              <w:rPr>
                <w:rFonts w:hint="eastAsia"/>
              </w:rPr>
              <w:t>加盖单位公章并有法定代表人或其委托代理人签字或盖章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6" w:type="pct"/>
            <w:vMerge w:val="continue"/>
            <w:tcBorders>
              <w:top w:val="single" w:color="auto" w:sz="4" w:space="0"/>
              <w:left w:val="single" w:color="auto" w:sz="4" w:space="0"/>
              <w:bottom w:val="single" w:color="auto" w:sz="4" w:space="0"/>
              <w:right w:val="single" w:color="auto" w:sz="4" w:space="0"/>
            </w:tcBorders>
            <w:vAlign w:val="center"/>
          </w:tcPr>
          <w:p>
            <w:pPr>
              <w:bidi w:val="0"/>
              <w:rPr>
                <w:rFonts w:hint="eastAsia"/>
              </w:rPr>
            </w:pPr>
          </w:p>
        </w:tc>
        <w:tc>
          <w:tcPr>
            <w:tcW w:w="492" w:type="pct"/>
            <w:vMerge w:val="continue"/>
            <w:tcBorders>
              <w:top w:val="single" w:color="auto" w:sz="4" w:space="0"/>
              <w:left w:val="single" w:color="auto" w:sz="4" w:space="0"/>
              <w:bottom w:val="single" w:color="auto" w:sz="4" w:space="0"/>
              <w:right w:val="single" w:color="auto" w:sz="4" w:space="0"/>
            </w:tcBorders>
            <w:vAlign w:val="center"/>
          </w:tcPr>
          <w:p>
            <w:pPr>
              <w:bidi w:val="0"/>
              <w:rPr>
                <w:rFonts w:hint="eastAsia"/>
              </w:rPr>
            </w:pPr>
          </w:p>
        </w:tc>
        <w:tc>
          <w:tcPr>
            <w:tcW w:w="1132" w:type="pct"/>
            <w:tcBorders>
              <w:top w:val="single" w:color="auto" w:sz="4" w:space="0"/>
              <w:left w:val="single" w:color="auto" w:sz="4" w:space="0"/>
              <w:bottom w:val="single" w:color="auto" w:sz="4" w:space="0"/>
              <w:right w:val="single" w:color="auto" w:sz="4" w:space="0"/>
            </w:tcBorders>
            <w:vAlign w:val="center"/>
          </w:tcPr>
          <w:p>
            <w:pPr>
              <w:bidi w:val="0"/>
              <w:rPr>
                <w:rFonts w:hint="eastAsia"/>
              </w:rPr>
            </w:pPr>
            <w:r>
              <w:rPr>
                <w:rFonts w:hint="eastAsia"/>
              </w:rPr>
              <w:t>投标文件格式</w:t>
            </w:r>
          </w:p>
        </w:tc>
        <w:tc>
          <w:tcPr>
            <w:tcW w:w="2939" w:type="pct"/>
            <w:tcBorders>
              <w:top w:val="single" w:color="auto" w:sz="4" w:space="0"/>
              <w:left w:val="single" w:color="auto" w:sz="4" w:space="0"/>
              <w:bottom w:val="single" w:color="auto" w:sz="4" w:space="0"/>
              <w:right w:val="single" w:color="auto" w:sz="4" w:space="0"/>
            </w:tcBorders>
            <w:vAlign w:val="center"/>
          </w:tcPr>
          <w:p>
            <w:pPr>
              <w:bidi w:val="0"/>
              <w:rPr>
                <w:rFonts w:hint="eastAsia"/>
              </w:rPr>
            </w:pPr>
            <w:r>
              <w:rPr>
                <w:rFonts w:hint="eastAsia"/>
              </w:rPr>
              <w:t>符合招标文件格式要求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6" w:type="pct"/>
            <w:vMerge w:val="continue"/>
            <w:tcBorders>
              <w:top w:val="single" w:color="auto" w:sz="4" w:space="0"/>
              <w:left w:val="single" w:color="auto" w:sz="4" w:space="0"/>
              <w:bottom w:val="single" w:color="auto" w:sz="4" w:space="0"/>
              <w:right w:val="single" w:color="auto" w:sz="4" w:space="0"/>
            </w:tcBorders>
            <w:vAlign w:val="center"/>
          </w:tcPr>
          <w:p>
            <w:pPr>
              <w:bidi w:val="0"/>
              <w:rPr>
                <w:rFonts w:hint="eastAsia"/>
              </w:rPr>
            </w:pPr>
          </w:p>
        </w:tc>
        <w:tc>
          <w:tcPr>
            <w:tcW w:w="492" w:type="pct"/>
            <w:vMerge w:val="continue"/>
            <w:tcBorders>
              <w:top w:val="single" w:color="auto" w:sz="4" w:space="0"/>
              <w:left w:val="single" w:color="auto" w:sz="4" w:space="0"/>
              <w:bottom w:val="single" w:color="auto" w:sz="4" w:space="0"/>
              <w:right w:val="single" w:color="auto" w:sz="4" w:space="0"/>
            </w:tcBorders>
            <w:vAlign w:val="center"/>
          </w:tcPr>
          <w:p>
            <w:pPr>
              <w:bidi w:val="0"/>
              <w:rPr>
                <w:rFonts w:hint="eastAsia"/>
              </w:rPr>
            </w:pPr>
          </w:p>
        </w:tc>
        <w:tc>
          <w:tcPr>
            <w:tcW w:w="1132" w:type="pct"/>
            <w:tcBorders>
              <w:top w:val="single" w:color="auto" w:sz="4" w:space="0"/>
              <w:left w:val="single" w:color="auto" w:sz="4" w:space="0"/>
              <w:bottom w:val="single" w:color="auto" w:sz="4" w:space="0"/>
              <w:right w:val="single" w:color="auto" w:sz="4" w:space="0"/>
            </w:tcBorders>
            <w:vAlign w:val="center"/>
          </w:tcPr>
          <w:p>
            <w:pPr>
              <w:bidi w:val="0"/>
              <w:rPr>
                <w:rFonts w:hint="eastAsia"/>
              </w:rPr>
            </w:pPr>
            <w:r>
              <w:rPr>
                <w:rFonts w:hint="eastAsia"/>
              </w:rPr>
              <w:t>报价唯一</w:t>
            </w:r>
          </w:p>
        </w:tc>
        <w:tc>
          <w:tcPr>
            <w:tcW w:w="2939" w:type="pct"/>
            <w:tcBorders>
              <w:top w:val="single" w:color="auto" w:sz="4" w:space="0"/>
              <w:left w:val="single" w:color="auto" w:sz="4" w:space="0"/>
              <w:bottom w:val="single" w:color="auto" w:sz="4" w:space="0"/>
              <w:right w:val="single" w:color="auto" w:sz="4" w:space="0"/>
            </w:tcBorders>
            <w:vAlign w:val="center"/>
          </w:tcPr>
          <w:p>
            <w:pPr>
              <w:bidi w:val="0"/>
              <w:rPr>
                <w:rFonts w:hint="eastAsia"/>
              </w:rPr>
            </w:pPr>
            <w:r>
              <w:rPr>
                <w:rFonts w:hint="eastAsia"/>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6" w:type="pct"/>
            <w:vMerge w:val="continue"/>
            <w:tcBorders>
              <w:top w:val="single" w:color="auto" w:sz="4" w:space="0"/>
              <w:left w:val="single" w:color="auto" w:sz="4" w:space="0"/>
              <w:bottom w:val="single" w:color="auto" w:sz="4" w:space="0"/>
              <w:right w:val="single" w:color="auto" w:sz="4" w:space="0"/>
            </w:tcBorders>
          </w:tcPr>
          <w:p>
            <w:pPr>
              <w:bidi w:val="0"/>
              <w:rPr>
                <w:rFonts w:hint="eastAsia"/>
              </w:rPr>
            </w:pPr>
          </w:p>
        </w:tc>
        <w:tc>
          <w:tcPr>
            <w:tcW w:w="492" w:type="pct"/>
            <w:vMerge w:val="restart"/>
            <w:tcBorders>
              <w:top w:val="single" w:color="auto" w:sz="4" w:space="0"/>
              <w:left w:val="single" w:color="auto" w:sz="4" w:space="0"/>
              <w:right w:val="single" w:color="auto" w:sz="4" w:space="0"/>
            </w:tcBorders>
          </w:tcPr>
          <w:p>
            <w:pPr>
              <w:bidi w:val="0"/>
              <w:rPr>
                <w:rFonts w:hint="eastAsia"/>
              </w:rPr>
            </w:pPr>
          </w:p>
          <w:p>
            <w:pPr>
              <w:bidi w:val="0"/>
              <w:rPr>
                <w:rFonts w:hint="eastAsia"/>
              </w:rPr>
            </w:pPr>
          </w:p>
          <w:p>
            <w:pPr>
              <w:bidi w:val="0"/>
              <w:rPr>
                <w:rFonts w:hint="eastAsia"/>
              </w:rPr>
            </w:pPr>
            <w:r>
              <w:rPr>
                <w:rFonts w:hint="eastAsia"/>
              </w:rPr>
              <w:t>三、响应性评审标准</w:t>
            </w:r>
          </w:p>
        </w:tc>
        <w:tc>
          <w:tcPr>
            <w:tcW w:w="1132" w:type="pct"/>
            <w:tcBorders>
              <w:top w:val="single" w:color="auto" w:sz="4" w:space="0"/>
              <w:left w:val="single" w:color="auto" w:sz="4" w:space="0"/>
              <w:bottom w:val="single" w:color="auto" w:sz="4" w:space="0"/>
              <w:right w:val="single" w:color="auto" w:sz="4" w:space="0"/>
            </w:tcBorders>
            <w:vAlign w:val="center"/>
          </w:tcPr>
          <w:p>
            <w:pPr>
              <w:bidi w:val="0"/>
              <w:rPr>
                <w:rFonts w:hint="eastAsia"/>
                <w:lang w:eastAsia="zh-CN"/>
              </w:rPr>
            </w:pPr>
            <w:r>
              <w:rPr>
                <w:rFonts w:hint="eastAsia"/>
              </w:rPr>
              <w:t>服务</w:t>
            </w:r>
            <w:r>
              <w:rPr>
                <w:rFonts w:hint="eastAsia"/>
                <w:lang w:val="en-US" w:eastAsia="zh-CN"/>
              </w:rPr>
              <w:t>期</w:t>
            </w:r>
          </w:p>
        </w:tc>
        <w:tc>
          <w:tcPr>
            <w:tcW w:w="2939" w:type="pct"/>
            <w:tcBorders>
              <w:top w:val="single" w:color="auto" w:sz="4" w:space="0"/>
              <w:left w:val="single" w:color="auto" w:sz="4" w:space="0"/>
              <w:bottom w:val="single" w:color="auto" w:sz="4" w:space="0"/>
              <w:right w:val="single" w:color="auto" w:sz="4" w:space="0"/>
            </w:tcBorders>
            <w:vAlign w:val="center"/>
          </w:tcPr>
          <w:p>
            <w:pPr>
              <w:bidi w:val="0"/>
              <w:rPr>
                <w:rFonts w:hint="eastAsia"/>
              </w:rPr>
            </w:pPr>
            <w:r>
              <w:rPr>
                <w:rFonts w:hint="eastAsia" w:ascii="宋体" w:hAnsi="宋体" w:eastAsia="宋体" w:cs="宋体"/>
                <w:lang w:eastAsia="zh-CN"/>
              </w:rPr>
              <w:t>自合同签订之日起</w:t>
            </w:r>
            <w:r>
              <w:rPr>
                <w:rFonts w:hint="eastAsia" w:ascii="宋体" w:hAnsi="宋体" w:eastAsia="宋体" w:cs="宋体"/>
                <w:lang w:val="en-US" w:eastAsia="zh-CN"/>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436" w:type="pct"/>
            <w:vMerge w:val="continue"/>
            <w:tcBorders>
              <w:top w:val="single" w:color="auto" w:sz="4" w:space="0"/>
              <w:left w:val="single" w:color="auto" w:sz="4" w:space="0"/>
              <w:bottom w:val="single" w:color="auto" w:sz="4" w:space="0"/>
              <w:right w:val="single" w:color="auto" w:sz="4" w:space="0"/>
            </w:tcBorders>
          </w:tcPr>
          <w:p>
            <w:pPr>
              <w:bidi w:val="0"/>
              <w:rPr>
                <w:rFonts w:hint="eastAsia"/>
              </w:rPr>
            </w:pPr>
          </w:p>
        </w:tc>
        <w:tc>
          <w:tcPr>
            <w:tcW w:w="492" w:type="pct"/>
            <w:vMerge w:val="continue"/>
            <w:tcBorders>
              <w:left w:val="single" w:color="auto" w:sz="4" w:space="0"/>
              <w:right w:val="single" w:color="auto" w:sz="4" w:space="0"/>
            </w:tcBorders>
          </w:tcPr>
          <w:p>
            <w:pPr>
              <w:bidi w:val="0"/>
              <w:rPr>
                <w:rFonts w:hint="eastAsia"/>
              </w:rPr>
            </w:pPr>
          </w:p>
        </w:tc>
        <w:tc>
          <w:tcPr>
            <w:tcW w:w="1132" w:type="pct"/>
            <w:tcBorders>
              <w:top w:val="single" w:color="auto" w:sz="4" w:space="0"/>
              <w:left w:val="single" w:color="auto" w:sz="4" w:space="0"/>
              <w:bottom w:val="single" w:color="auto" w:sz="4" w:space="0"/>
              <w:right w:val="single" w:color="auto" w:sz="4" w:space="0"/>
            </w:tcBorders>
            <w:vAlign w:val="center"/>
          </w:tcPr>
          <w:p>
            <w:pPr>
              <w:bidi w:val="0"/>
              <w:rPr>
                <w:rFonts w:hint="eastAsia"/>
              </w:rPr>
            </w:pPr>
            <w:r>
              <w:rPr>
                <w:rFonts w:hint="eastAsia"/>
              </w:rPr>
              <w:t>质量标准</w:t>
            </w:r>
          </w:p>
        </w:tc>
        <w:tc>
          <w:tcPr>
            <w:tcW w:w="2939" w:type="pct"/>
            <w:tcBorders>
              <w:top w:val="single" w:color="auto" w:sz="4" w:space="0"/>
              <w:left w:val="single" w:color="auto" w:sz="4" w:space="0"/>
              <w:bottom w:val="single" w:color="auto" w:sz="4" w:space="0"/>
              <w:right w:val="single" w:color="auto" w:sz="4" w:space="0"/>
            </w:tcBorders>
            <w:vAlign w:val="center"/>
          </w:tcPr>
          <w:p>
            <w:pPr>
              <w:bidi w:val="0"/>
              <w:rPr>
                <w:rFonts w:hint="eastAsia"/>
              </w:rPr>
            </w:pPr>
            <w:r>
              <w:rPr>
                <w:rFonts w:hint="eastAsia"/>
              </w:rPr>
              <w:t>符合国家质量验收合格标准，并通过采购人验收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6" w:type="pct"/>
            <w:vMerge w:val="continue"/>
            <w:tcBorders>
              <w:top w:val="single" w:color="auto" w:sz="4" w:space="0"/>
              <w:left w:val="single" w:color="auto" w:sz="4" w:space="0"/>
              <w:bottom w:val="single" w:color="auto" w:sz="4" w:space="0"/>
              <w:right w:val="single" w:color="auto" w:sz="4" w:space="0"/>
            </w:tcBorders>
          </w:tcPr>
          <w:p>
            <w:pPr>
              <w:bidi w:val="0"/>
              <w:rPr>
                <w:rFonts w:hint="eastAsia"/>
              </w:rPr>
            </w:pPr>
          </w:p>
        </w:tc>
        <w:tc>
          <w:tcPr>
            <w:tcW w:w="492" w:type="pct"/>
            <w:vMerge w:val="continue"/>
            <w:tcBorders>
              <w:left w:val="single" w:color="auto" w:sz="4" w:space="0"/>
              <w:right w:val="single" w:color="auto" w:sz="4" w:space="0"/>
            </w:tcBorders>
          </w:tcPr>
          <w:p>
            <w:pPr>
              <w:bidi w:val="0"/>
              <w:rPr>
                <w:rFonts w:hint="eastAsia"/>
              </w:rPr>
            </w:pPr>
          </w:p>
        </w:tc>
        <w:tc>
          <w:tcPr>
            <w:tcW w:w="1132" w:type="pct"/>
            <w:tcBorders>
              <w:top w:val="single" w:color="auto" w:sz="4" w:space="0"/>
              <w:left w:val="single" w:color="auto" w:sz="4" w:space="0"/>
              <w:bottom w:val="single" w:color="auto" w:sz="4" w:space="0"/>
              <w:right w:val="single" w:color="auto" w:sz="4" w:space="0"/>
            </w:tcBorders>
            <w:vAlign w:val="center"/>
          </w:tcPr>
          <w:p>
            <w:pPr>
              <w:bidi w:val="0"/>
              <w:rPr>
                <w:rFonts w:hint="eastAsia"/>
              </w:rPr>
            </w:pPr>
            <w:r>
              <w:rPr>
                <w:rFonts w:hint="eastAsia"/>
              </w:rPr>
              <w:t>商务报价</w:t>
            </w:r>
          </w:p>
        </w:tc>
        <w:tc>
          <w:tcPr>
            <w:tcW w:w="2939" w:type="pct"/>
            <w:tcBorders>
              <w:top w:val="single" w:color="auto" w:sz="4" w:space="0"/>
              <w:left w:val="single" w:color="auto" w:sz="4" w:space="0"/>
              <w:bottom w:val="single" w:color="auto" w:sz="4" w:space="0"/>
              <w:right w:val="single" w:color="auto" w:sz="4" w:space="0"/>
            </w:tcBorders>
            <w:vAlign w:val="center"/>
          </w:tcPr>
          <w:p>
            <w:pPr>
              <w:bidi w:val="0"/>
              <w:rPr>
                <w:rFonts w:hint="eastAsia"/>
              </w:rPr>
            </w:pPr>
            <w:r>
              <w:rPr>
                <w:rFonts w:hint="eastAsia"/>
              </w:rPr>
              <w:t>只能有一个有效报价，且不能超过招标控制价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6" w:type="pct"/>
            <w:vMerge w:val="continue"/>
            <w:tcBorders>
              <w:top w:val="single" w:color="auto" w:sz="4" w:space="0"/>
              <w:left w:val="single" w:color="auto" w:sz="4" w:space="0"/>
              <w:bottom w:val="single" w:color="auto" w:sz="4" w:space="0"/>
              <w:right w:val="single" w:color="auto" w:sz="4" w:space="0"/>
            </w:tcBorders>
          </w:tcPr>
          <w:p>
            <w:pPr>
              <w:bidi w:val="0"/>
              <w:rPr>
                <w:rFonts w:hint="eastAsia"/>
              </w:rPr>
            </w:pPr>
          </w:p>
        </w:tc>
        <w:tc>
          <w:tcPr>
            <w:tcW w:w="492" w:type="pct"/>
            <w:vMerge w:val="continue"/>
            <w:tcBorders>
              <w:left w:val="single" w:color="auto" w:sz="4" w:space="0"/>
              <w:right w:val="single" w:color="auto" w:sz="4" w:space="0"/>
            </w:tcBorders>
          </w:tcPr>
          <w:p>
            <w:pPr>
              <w:bidi w:val="0"/>
              <w:rPr>
                <w:rFonts w:hint="eastAsia"/>
              </w:rPr>
            </w:pPr>
          </w:p>
        </w:tc>
        <w:tc>
          <w:tcPr>
            <w:tcW w:w="1132" w:type="pct"/>
            <w:tcBorders>
              <w:top w:val="single" w:color="auto" w:sz="4" w:space="0"/>
              <w:left w:val="single" w:color="auto" w:sz="4" w:space="0"/>
              <w:bottom w:val="single" w:color="auto" w:sz="4" w:space="0"/>
              <w:right w:val="single" w:color="auto" w:sz="4" w:space="0"/>
            </w:tcBorders>
            <w:vAlign w:val="center"/>
          </w:tcPr>
          <w:p>
            <w:pPr>
              <w:bidi w:val="0"/>
              <w:rPr>
                <w:rFonts w:hint="eastAsia"/>
              </w:rPr>
            </w:pPr>
            <w:r>
              <w:rPr>
                <w:rFonts w:hint="eastAsia"/>
              </w:rPr>
              <w:t>投标有效期</w:t>
            </w:r>
          </w:p>
        </w:tc>
        <w:tc>
          <w:tcPr>
            <w:tcW w:w="2939" w:type="pct"/>
            <w:tcBorders>
              <w:top w:val="single" w:color="auto" w:sz="4" w:space="0"/>
              <w:left w:val="single" w:color="auto" w:sz="4" w:space="0"/>
              <w:bottom w:val="single" w:color="auto" w:sz="4" w:space="0"/>
              <w:right w:val="single" w:color="auto" w:sz="4" w:space="0"/>
            </w:tcBorders>
            <w:vAlign w:val="center"/>
          </w:tcPr>
          <w:p>
            <w:pPr>
              <w:bidi w:val="0"/>
              <w:rPr>
                <w:rFonts w:hint="eastAsia"/>
                <w:lang w:eastAsia="zh-CN"/>
              </w:rPr>
            </w:pPr>
            <w:r>
              <w:rPr>
                <w:rFonts w:hint="eastAsia" w:ascii="宋体" w:hAnsi="宋体" w:eastAsia="宋体" w:cs="宋体"/>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6" w:type="pct"/>
            <w:vMerge w:val="continue"/>
            <w:tcBorders>
              <w:top w:val="single" w:color="auto" w:sz="4" w:space="0"/>
              <w:left w:val="single" w:color="auto" w:sz="4" w:space="0"/>
              <w:bottom w:val="single" w:color="auto" w:sz="4" w:space="0"/>
              <w:right w:val="single" w:color="auto" w:sz="4" w:space="0"/>
            </w:tcBorders>
          </w:tcPr>
          <w:p>
            <w:pPr>
              <w:bidi w:val="0"/>
              <w:rPr>
                <w:rFonts w:hint="eastAsia"/>
              </w:rPr>
            </w:pPr>
          </w:p>
        </w:tc>
        <w:tc>
          <w:tcPr>
            <w:tcW w:w="492" w:type="pct"/>
            <w:vMerge w:val="continue"/>
            <w:tcBorders>
              <w:left w:val="single" w:color="auto" w:sz="4" w:space="0"/>
              <w:right w:val="single" w:color="auto" w:sz="4" w:space="0"/>
            </w:tcBorders>
          </w:tcPr>
          <w:p>
            <w:pPr>
              <w:bidi w:val="0"/>
              <w:rPr>
                <w:rFonts w:hint="eastAsia"/>
              </w:rPr>
            </w:pPr>
          </w:p>
        </w:tc>
        <w:tc>
          <w:tcPr>
            <w:tcW w:w="1132" w:type="pct"/>
            <w:tcBorders>
              <w:top w:val="single" w:color="auto" w:sz="4" w:space="0"/>
              <w:left w:val="single" w:color="auto" w:sz="4" w:space="0"/>
              <w:bottom w:val="single" w:color="auto" w:sz="4" w:space="0"/>
              <w:right w:val="single" w:color="auto" w:sz="4" w:space="0"/>
            </w:tcBorders>
            <w:vAlign w:val="center"/>
          </w:tcPr>
          <w:p>
            <w:pPr>
              <w:bidi w:val="0"/>
              <w:rPr>
                <w:rFonts w:hint="eastAsia"/>
              </w:rPr>
            </w:pPr>
            <w:r>
              <w:rPr>
                <w:rFonts w:hint="eastAsia"/>
              </w:rPr>
              <w:t>权利义务</w:t>
            </w:r>
          </w:p>
        </w:tc>
        <w:tc>
          <w:tcPr>
            <w:tcW w:w="2939" w:type="pct"/>
            <w:tcBorders>
              <w:top w:val="single" w:color="auto" w:sz="4" w:space="0"/>
              <w:left w:val="single" w:color="auto" w:sz="4" w:space="0"/>
              <w:bottom w:val="single" w:color="auto" w:sz="4" w:space="0"/>
              <w:right w:val="single" w:color="auto" w:sz="4" w:space="0"/>
            </w:tcBorders>
            <w:vAlign w:val="center"/>
          </w:tcPr>
          <w:p>
            <w:pPr>
              <w:bidi w:val="0"/>
              <w:rPr>
                <w:rFonts w:hint="eastAsia"/>
              </w:rPr>
            </w:pPr>
            <w:r>
              <w:rPr>
                <w:rFonts w:hint="eastAsia"/>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trPr>
        <w:tc>
          <w:tcPr>
            <w:tcW w:w="436" w:type="pct"/>
            <w:vMerge w:val="continue"/>
            <w:tcBorders>
              <w:top w:val="single" w:color="auto" w:sz="4" w:space="0"/>
              <w:left w:val="single" w:color="auto" w:sz="4" w:space="0"/>
              <w:bottom w:val="single" w:color="auto" w:sz="4" w:space="0"/>
              <w:right w:val="single" w:color="auto" w:sz="4" w:space="0"/>
            </w:tcBorders>
          </w:tcPr>
          <w:p>
            <w:pPr>
              <w:bidi w:val="0"/>
              <w:rPr>
                <w:rFonts w:hint="eastAsia"/>
              </w:rPr>
            </w:pPr>
          </w:p>
        </w:tc>
        <w:tc>
          <w:tcPr>
            <w:tcW w:w="492" w:type="pct"/>
            <w:vMerge w:val="continue"/>
            <w:tcBorders>
              <w:left w:val="single" w:color="auto" w:sz="4" w:space="0"/>
              <w:right w:val="single" w:color="auto" w:sz="4" w:space="0"/>
            </w:tcBorders>
          </w:tcPr>
          <w:p>
            <w:pPr>
              <w:bidi w:val="0"/>
              <w:rPr>
                <w:rFonts w:hint="eastAsia"/>
              </w:rPr>
            </w:pPr>
          </w:p>
        </w:tc>
        <w:tc>
          <w:tcPr>
            <w:tcW w:w="1132" w:type="pct"/>
            <w:tcBorders>
              <w:top w:val="single" w:color="auto" w:sz="4" w:space="0"/>
              <w:left w:val="single" w:color="auto" w:sz="4" w:space="0"/>
              <w:bottom w:val="single" w:color="auto" w:sz="4" w:space="0"/>
              <w:right w:val="single" w:color="auto" w:sz="4" w:space="0"/>
            </w:tcBorders>
            <w:vAlign w:val="center"/>
          </w:tcPr>
          <w:p>
            <w:pPr>
              <w:bidi w:val="0"/>
              <w:rPr>
                <w:rFonts w:hint="eastAsia"/>
              </w:rPr>
            </w:pPr>
            <w:r>
              <w:rPr>
                <w:rFonts w:hint="eastAsia"/>
              </w:rPr>
              <w:t>采购内容及要求</w:t>
            </w:r>
          </w:p>
        </w:tc>
        <w:tc>
          <w:tcPr>
            <w:tcW w:w="2939" w:type="pct"/>
            <w:tcBorders>
              <w:top w:val="single" w:color="auto" w:sz="4" w:space="0"/>
              <w:left w:val="single" w:color="auto" w:sz="4" w:space="0"/>
              <w:bottom w:val="single" w:color="auto" w:sz="4" w:space="0"/>
              <w:right w:val="single" w:color="auto" w:sz="4" w:space="0"/>
            </w:tcBorders>
            <w:vAlign w:val="center"/>
          </w:tcPr>
          <w:p>
            <w:pPr>
              <w:bidi w:val="0"/>
              <w:rPr>
                <w:rFonts w:hint="eastAsia"/>
                <w:lang w:eastAsia="zh-CN"/>
              </w:rPr>
            </w:pPr>
            <w:r>
              <w:rPr>
                <w:rFonts w:hint="eastAsia"/>
              </w:rPr>
              <w:t>符合“采购内容及要求”规定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436" w:type="pct"/>
            <w:vMerge w:val="continue"/>
            <w:tcBorders>
              <w:top w:val="single" w:color="auto" w:sz="4" w:space="0"/>
              <w:left w:val="single" w:color="auto" w:sz="4" w:space="0"/>
              <w:bottom w:val="single" w:color="auto" w:sz="4" w:space="0"/>
              <w:right w:val="single" w:color="auto" w:sz="4" w:space="0"/>
            </w:tcBorders>
          </w:tcPr>
          <w:p>
            <w:pPr>
              <w:bidi w:val="0"/>
              <w:rPr>
                <w:rFonts w:hint="eastAsia"/>
              </w:rPr>
            </w:pPr>
          </w:p>
        </w:tc>
        <w:tc>
          <w:tcPr>
            <w:tcW w:w="492" w:type="pct"/>
            <w:vMerge w:val="continue"/>
            <w:tcBorders>
              <w:left w:val="single" w:color="auto" w:sz="4" w:space="0"/>
              <w:bottom w:val="single" w:color="auto" w:sz="4" w:space="0"/>
              <w:right w:val="single" w:color="auto" w:sz="4" w:space="0"/>
            </w:tcBorders>
          </w:tcPr>
          <w:p>
            <w:pPr>
              <w:bidi w:val="0"/>
              <w:rPr>
                <w:rFonts w:hint="eastAsia"/>
              </w:rPr>
            </w:pPr>
          </w:p>
        </w:tc>
        <w:tc>
          <w:tcPr>
            <w:tcW w:w="1132" w:type="pct"/>
            <w:tcBorders>
              <w:top w:val="single" w:color="auto" w:sz="4" w:space="0"/>
              <w:left w:val="single" w:color="auto" w:sz="4" w:space="0"/>
              <w:bottom w:val="single" w:color="auto" w:sz="4" w:space="0"/>
              <w:right w:val="single" w:color="auto" w:sz="4" w:space="0"/>
            </w:tcBorders>
            <w:vAlign w:val="center"/>
          </w:tcPr>
          <w:p>
            <w:pPr>
              <w:bidi w:val="0"/>
              <w:rPr>
                <w:rFonts w:hint="eastAsia"/>
              </w:rPr>
            </w:pPr>
            <w:r>
              <w:rPr>
                <w:rFonts w:hint="eastAsia"/>
              </w:rPr>
              <w:t>投标文件的其他响应</w:t>
            </w:r>
          </w:p>
        </w:tc>
        <w:tc>
          <w:tcPr>
            <w:tcW w:w="2939" w:type="pct"/>
            <w:tcBorders>
              <w:top w:val="single" w:color="auto" w:sz="4" w:space="0"/>
              <w:left w:val="single" w:color="auto" w:sz="4" w:space="0"/>
              <w:bottom w:val="single" w:color="auto" w:sz="4" w:space="0"/>
              <w:right w:val="single" w:color="auto" w:sz="4" w:space="0"/>
            </w:tcBorders>
            <w:vAlign w:val="center"/>
          </w:tcPr>
          <w:p>
            <w:pPr>
              <w:bidi w:val="0"/>
              <w:rPr>
                <w:rFonts w:hint="eastAsia"/>
              </w:rPr>
            </w:pPr>
            <w:r>
              <w:rPr>
                <w:rFonts w:hint="eastAsia"/>
              </w:rPr>
              <w:t>符合法律、法规和招标文件中规定的其他实质性要求的</w:t>
            </w:r>
          </w:p>
        </w:tc>
      </w:tr>
    </w:tbl>
    <w:tbl>
      <w:tblPr>
        <w:tblStyle w:val="27"/>
        <w:tblpPr w:leftFromText="180" w:rightFromText="180" w:vertAnchor="text" w:horzAnchor="page" w:tblpX="1204" w:tblpY="1289"/>
        <w:tblOverlap w:val="never"/>
        <w:tblW w:w="997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03"/>
        <w:gridCol w:w="1168"/>
        <w:gridCol w:w="1136"/>
        <w:gridCol w:w="5775"/>
        <w:gridCol w:w="10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40" w:hRule="atLeast"/>
        </w:trPr>
        <w:tc>
          <w:tcPr>
            <w:tcW w:w="3107" w:type="dxa"/>
            <w:gridSpan w:val="3"/>
            <w:vAlign w:val="center"/>
          </w:tcPr>
          <w:p>
            <w:pPr>
              <w:keepNext w:val="0"/>
              <w:keepLines w:val="0"/>
              <w:pageBreakBefore w:val="0"/>
              <w:widowControl w:val="0"/>
              <w:kinsoku/>
              <w:wordWrap/>
              <w:overflowPunct/>
              <w:topLinePunct w:val="0"/>
              <w:autoSpaceDE/>
              <w:autoSpaceDN/>
              <w:bidi w:val="0"/>
              <w:adjustRightInd/>
              <w:snapToGrid/>
              <w:spacing w:before="141" w:line="240" w:lineRule="auto"/>
              <w:ind w:firstLine="34"/>
              <w:jc w:val="center"/>
              <w:textAlignment w:val="auto"/>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分值构成</w:t>
            </w:r>
          </w:p>
          <w:p>
            <w:pPr>
              <w:keepNext w:val="0"/>
              <w:keepLines w:val="0"/>
              <w:pageBreakBefore w:val="0"/>
              <w:widowControl w:val="0"/>
              <w:kinsoku/>
              <w:wordWrap/>
              <w:overflowPunct/>
              <w:topLinePunct w:val="0"/>
              <w:autoSpaceDE/>
              <w:autoSpaceDN/>
              <w:bidi w:val="0"/>
              <w:adjustRightInd/>
              <w:snapToGrid/>
              <w:spacing w:before="141" w:line="240" w:lineRule="auto"/>
              <w:ind w:firstLine="34"/>
              <w:jc w:val="center"/>
              <w:textAlignment w:val="auto"/>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(总分100分)</w:t>
            </w:r>
          </w:p>
        </w:tc>
        <w:tc>
          <w:tcPr>
            <w:tcW w:w="68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34"/>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投标报价：</w:t>
            </w:r>
            <w:r>
              <w:rPr>
                <w:rFonts w:hint="eastAsia" w:asciiTheme="minorEastAsia" w:hAnsiTheme="minorEastAsia" w:eastAsiaTheme="minorEastAsia" w:cstheme="minorEastAsia"/>
                <w:sz w:val="21"/>
                <w:szCs w:val="21"/>
                <w:lang w:val="en-US" w:eastAsia="zh-CN"/>
              </w:rPr>
              <w:t>30</w:t>
            </w:r>
            <w:r>
              <w:rPr>
                <w:rFonts w:hint="eastAsia" w:asciiTheme="minorEastAsia" w:hAnsiTheme="minorEastAsia" w:eastAsiaTheme="minorEastAsia" w:cstheme="minorEastAsia"/>
                <w:sz w:val="21"/>
                <w:szCs w:val="21"/>
              </w:rPr>
              <w:t>分</w:t>
            </w:r>
          </w:p>
          <w:p>
            <w:pPr>
              <w:keepNext w:val="0"/>
              <w:keepLines w:val="0"/>
              <w:pageBreakBefore w:val="0"/>
              <w:widowControl w:val="0"/>
              <w:kinsoku/>
              <w:wordWrap/>
              <w:overflowPunct/>
              <w:topLinePunct w:val="0"/>
              <w:autoSpaceDE/>
              <w:autoSpaceDN/>
              <w:bidi w:val="0"/>
              <w:adjustRightInd/>
              <w:snapToGrid/>
              <w:spacing w:line="240" w:lineRule="auto"/>
              <w:ind w:firstLine="34"/>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技术部分：</w:t>
            </w:r>
            <w:r>
              <w:rPr>
                <w:rFonts w:hint="eastAsia" w:asciiTheme="minorEastAsia" w:hAnsiTheme="minorEastAsia" w:eastAsiaTheme="minorEastAsia" w:cstheme="minorEastAsia"/>
                <w:sz w:val="21"/>
                <w:szCs w:val="21"/>
                <w:lang w:val="en-US" w:eastAsia="zh-CN"/>
              </w:rPr>
              <w:t>40</w:t>
            </w:r>
            <w:r>
              <w:rPr>
                <w:rFonts w:hint="eastAsia" w:asciiTheme="minorEastAsia" w:hAnsiTheme="minorEastAsia" w:eastAsiaTheme="minorEastAsia" w:cstheme="minorEastAsia"/>
                <w:sz w:val="21"/>
                <w:szCs w:val="21"/>
              </w:rPr>
              <w:t>分</w:t>
            </w:r>
          </w:p>
          <w:p>
            <w:pPr>
              <w:keepNext w:val="0"/>
              <w:keepLines w:val="0"/>
              <w:pageBreakBefore w:val="0"/>
              <w:widowControl w:val="0"/>
              <w:kinsoku/>
              <w:wordWrap/>
              <w:overflowPunct/>
              <w:topLinePunct w:val="0"/>
              <w:autoSpaceDE/>
              <w:autoSpaceDN/>
              <w:bidi w:val="0"/>
              <w:adjustRightInd/>
              <w:snapToGrid/>
              <w:spacing w:line="240" w:lineRule="auto"/>
              <w:ind w:firstLine="34"/>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综合</w:t>
            </w:r>
            <w:r>
              <w:rPr>
                <w:rFonts w:hint="eastAsia" w:asciiTheme="minorEastAsia" w:hAnsiTheme="minorEastAsia" w:eastAsiaTheme="minorEastAsia" w:cstheme="minorEastAsia"/>
                <w:sz w:val="21"/>
                <w:szCs w:val="21"/>
              </w:rPr>
              <w:t>部分：</w:t>
            </w:r>
            <w:r>
              <w:rPr>
                <w:rFonts w:hint="eastAsia" w:asciiTheme="minorEastAsia" w:hAnsiTheme="minorEastAsia" w:eastAsiaTheme="minorEastAsia" w:cstheme="minorEastAsia"/>
                <w:color w:val="auto"/>
                <w:sz w:val="21"/>
                <w:szCs w:val="21"/>
                <w:highlight w:val="none"/>
                <w:shd w:val="clear"/>
                <w:lang w:val="en-US" w:eastAsia="zh-CN"/>
              </w:rPr>
              <w:t>30</w:t>
            </w:r>
            <w:r>
              <w:rPr>
                <w:rFonts w:hint="eastAsia" w:asciiTheme="minorEastAsia" w:hAnsiTheme="minorEastAsia" w:eastAsiaTheme="minorEastAsia" w:cstheme="minorEastAsia"/>
                <w:color w:val="auto"/>
                <w:sz w:val="21"/>
                <w:szCs w:val="21"/>
                <w:highlight w:val="none"/>
                <w:shd w:val="clear"/>
              </w:rPr>
              <w:t>分</w:t>
            </w:r>
            <w:r>
              <w:rPr>
                <w:rFonts w:hint="eastAsia" w:asciiTheme="minorEastAsia" w:hAnsiTheme="minorEastAsia" w:eastAsiaTheme="minorEastAsia" w:cstheme="minorEastAsia"/>
                <w:color w:val="auto"/>
                <w:sz w:val="21"/>
                <w:szCs w:val="21"/>
                <w:highlight w:val="none"/>
                <w:shd w:val="clear"/>
                <w:lang w:val="en-US" w:eastAsia="zh-CN"/>
              </w:rPr>
              <w:t xml:space="preserve">   </w:t>
            </w:r>
            <w:r>
              <w:rPr>
                <w:rFonts w:hint="eastAsia" w:asciiTheme="minorEastAsia" w:hAnsiTheme="minorEastAsia" w:eastAsiaTheme="minorEastAsia" w:cstheme="minorEastAsia"/>
                <w:sz w:val="21"/>
                <w:szCs w:val="21"/>
                <w:lang w:val="en-US"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579" w:hRule="atLeast"/>
        </w:trPr>
        <w:tc>
          <w:tcPr>
            <w:tcW w:w="803" w:type="dxa"/>
            <w:vAlign w:val="center"/>
          </w:tcPr>
          <w:p>
            <w:pPr>
              <w:spacing w:before="141" w:line="360" w:lineRule="auto"/>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序号</w:t>
            </w:r>
          </w:p>
        </w:tc>
        <w:tc>
          <w:tcPr>
            <w:tcW w:w="1168" w:type="dxa"/>
            <w:vAlign w:val="center"/>
          </w:tcPr>
          <w:p>
            <w:pPr>
              <w:spacing w:before="141" w:line="360" w:lineRule="auto"/>
              <w:ind w:firstLine="34"/>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项目</w:t>
            </w:r>
          </w:p>
        </w:tc>
        <w:tc>
          <w:tcPr>
            <w:tcW w:w="1136" w:type="dxa"/>
            <w:vAlign w:val="center"/>
          </w:tcPr>
          <w:p>
            <w:pPr>
              <w:spacing w:before="141" w:line="360" w:lineRule="auto"/>
              <w:ind w:firstLine="34"/>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评分内容</w:t>
            </w:r>
          </w:p>
        </w:tc>
        <w:tc>
          <w:tcPr>
            <w:tcW w:w="5775" w:type="dxa"/>
            <w:vAlign w:val="center"/>
          </w:tcPr>
          <w:p>
            <w:pPr>
              <w:spacing w:before="141" w:line="360" w:lineRule="auto"/>
              <w:ind w:firstLine="34"/>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评分标准</w:t>
            </w:r>
          </w:p>
        </w:tc>
        <w:tc>
          <w:tcPr>
            <w:tcW w:w="1093" w:type="dxa"/>
            <w:vAlign w:val="center"/>
          </w:tcPr>
          <w:p>
            <w:pPr>
              <w:spacing w:before="141" w:line="360" w:lineRule="auto"/>
              <w:ind w:firstLine="34"/>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分值区间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113" w:hRule="atLeast"/>
        </w:trPr>
        <w:tc>
          <w:tcPr>
            <w:tcW w:w="803" w:type="dxa"/>
            <w:vAlign w:val="center"/>
          </w:tcPr>
          <w:p>
            <w:pPr>
              <w:spacing w:before="141" w:line="360" w:lineRule="auto"/>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1</w:t>
            </w:r>
          </w:p>
        </w:tc>
        <w:tc>
          <w:tcPr>
            <w:tcW w:w="1168" w:type="dxa"/>
            <w:vAlign w:val="center"/>
          </w:tcPr>
          <w:p>
            <w:pPr>
              <w:spacing w:before="141" w:line="360" w:lineRule="auto"/>
              <w:ind w:right="46"/>
              <w:jc w:val="center"/>
              <w:rPr>
                <w:rFonts w:hint="eastAsia" w:asciiTheme="minorEastAsia" w:hAnsiTheme="minorEastAsia" w:eastAsiaTheme="minorEastAsia" w:cstheme="minorEastAsia"/>
                <w:spacing w:val="-3"/>
                <w:sz w:val="21"/>
                <w:szCs w:val="21"/>
              </w:rPr>
            </w:pPr>
            <w:r>
              <w:rPr>
                <w:rFonts w:hint="eastAsia" w:ascii="宋体" w:hAnsi="宋体" w:eastAsia="宋体" w:cs="宋体"/>
                <w:kern w:val="2"/>
                <w:sz w:val="21"/>
                <w:szCs w:val="21"/>
                <w:lang w:val="en-US" w:eastAsia="zh-CN" w:bidi="ar-SA"/>
              </w:rPr>
              <w:t>投标报价（</w:t>
            </w:r>
            <w:r>
              <w:rPr>
                <w:rFonts w:hint="eastAsia" w:ascii="宋体" w:hAnsi="宋体" w:cs="宋体"/>
                <w:kern w:val="2"/>
                <w:sz w:val="21"/>
                <w:szCs w:val="21"/>
                <w:lang w:val="en-US" w:eastAsia="zh-CN" w:bidi="ar-SA"/>
              </w:rPr>
              <w:t>30</w:t>
            </w:r>
            <w:r>
              <w:rPr>
                <w:rFonts w:hint="eastAsia" w:ascii="宋体" w:hAnsi="宋体" w:eastAsia="宋体" w:cs="宋体"/>
                <w:kern w:val="2"/>
                <w:sz w:val="21"/>
                <w:szCs w:val="21"/>
                <w:lang w:val="en-US" w:eastAsia="zh-CN" w:bidi="ar-SA"/>
              </w:rPr>
              <w:t>分）</w:t>
            </w:r>
          </w:p>
        </w:tc>
        <w:tc>
          <w:tcPr>
            <w:tcW w:w="1136" w:type="dxa"/>
            <w:vAlign w:val="center"/>
          </w:tcPr>
          <w:p>
            <w:pPr>
              <w:spacing w:before="141" w:line="360" w:lineRule="auto"/>
              <w:ind w:firstLine="34"/>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投标</w:t>
            </w:r>
          </w:p>
          <w:p>
            <w:pPr>
              <w:spacing w:before="141" w:line="360" w:lineRule="auto"/>
              <w:ind w:firstLine="34"/>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报价</w:t>
            </w:r>
          </w:p>
        </w:tc>
        <w:tc>
          <w:tcPr>
            <w:tcW w:w="5775" w:type="dxa"/>
            <w:vAlign w:val="center"/>
          </w:tcPr>
          <w:p>
            <w:pPr>
              <w:spacing w:line="360" w:lineRule="auto"/>
              <w:ind w:firstLine="34"/>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满足招标文件要求且报价最低的投标人的投标报价为评标基准价，其价格分为满分，其他投标人的报价按下列公式计算：</w:t>
            </w:r>
          </w:p>
          <w:p>
            <w:pPr>
              <w:spacing w:line="360" w:lineRule="auto"/>
              <w:ind w:firstLine="34"/>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报价得分=（评标基准价/投标报价）×</w:t>
            </w:r>
            <w:r>
              <w:rPr>
                <w:rFonts w:hint="eastAsia" w:asciiTheme="minorEastAsia" w:hAnsiTheme="minorEastAsia" w:eastAsiaTheme="minorEastAsia" w:cstheme="minorEastAsia"/>
                <w:spacing w:val="-3"/>
                <w:sz w:val="21"/>
                <w:szCs w:val="21"/>
                <w:lang w:val="en-US" w:eastAsia="zh-CN"/>
              </w:rPr>
              <w:t>30</w:t>
            </w:r>
            <w:r>
              <w:rPr>
                <w:rFonts w:hint="eastAsia" w:asciiTheme="minorEastAsia" w:hAnsiTheme="minorEastAsia" w:eastAsiaTheme="minorEastAsia" w:cstheme="minorEastAsia"/>
                <w:spacing w:val="-3"/>
                <w:sz w:val="21"/>
                <w:szCs w:val="21"/>
              </w:rPr>
              <w:t>，报价得分保留两位小数。</w:t>
            </w:r>
          </w:p>
        </w:tc>
        <w:tc>
          <w:tcPr>
            <w:tcW w:w="1093" w:type="dxa"/>
            <w:vAlign w:val="center"/>
          </w:tcPr>
          <w:p>
            <w:pPr>
              <w:spacing w:before="141" w:line="360" w:lineRule="auto"/>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0-</w:t>
            </w:r>
            <w:r>
              <w:rPr>
                <w:rFonts w:hint="eastAsia" w:asciiTheme="minorEastAsia" w:hAnsiTheme="minorEastAsia" w:eastAsiaTheme="minorEastAsia" w:cstheme="minorEastAsia"/>
                <w:spacing w:val="-3"/>
                <w:sz w:val="21"/>
                <w:szCs w:val="21"/>
                <w:lang w:val="en-US" w:eastAsia="zh-CN"/>
              </w:rPr>
              <w:t>30</w:t>
            </w:r>
            <w:r>
              <w:rPr>
                <w:rFonts w:hint="eastAsia" w:asciiTheme="minorEastAsia" w:hAnsiTheme="minorEastAsia" w:eastAsiaTheme="minorEastAsia" w:cstheme="minorEastAsia"/>
                <w:spacing w:val="-3"/>
                <w:sz w:val="21"/>
                <w:szCs w:val="2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0" w:hRule="atLeast"/>
        </w:trPr>
        <w:tc>
          <w:tcPr>
            <w:tcW w:w="803" w:type="dxa"/>
            <w:vMerge w:val="restart"/>
          </w:tcPr>
          <w:p>
            <w:pPr>
              <w:spacing w:line="360" w:lineRule="auto"/>
              <w:ind w:firstLine="34"/>
              <w:rPr>
                <w:rFonts w:hint="eastAsia" w:asciiTheme="minorEastAsia" w:hAnsiTheme="minorEastAsia" w:eastAsiaTheme="minorEastAsia" w:cstheme="minorEastAsia"/>
                <w:spacing w:val="-3"/>
                <w:sz w:val="21"/>
                <w:szCs w:val="21"/>
              </w:rPr>
            </w:pPr>
          </w:p>
          <w:p>
            <w:pPr>
              <w:spacing w:line="360" w:lineRule="auto"/>
              <w:ind w:firstLine="34"/>
              <w:rPr>
                <w:rFonts w:hint="eastAsia" w:asciiTheme="minorEastAsia" w:hAnsiTheme="minorEastAsia" w:eastAsiaTheme="minorEastAsia" w:cstheme="minorEastAsia"/>
                <w:spacing w:val="-3"/>
                <w:sz w:val="21"/>
                <w:szCs w:val="21"/>
              </w:rPr>
            </w:pPr>
          </w:p>
          <w:p>
            <w:pPr>
              <w:spacing w:line="360" w:lineRule="auto"/>
              <w:ind w:firstLine="34"/>
              <w:rPr>
                <w:rFonts w:hint="eastAsia" w:asciiTheme="minorEastAsia" w:hAnsiTheme="minorEastAsia" w:eastAsiaTheme="minorEastAsia" w:cstheme="minorEastAsia"/>
                <w:spacing w:val="-3"/>
                <w:sz w:val="21"/>
                <w:szCs w:val="21"/>
              </w:rPr>
            </w:pPr>
          </w:p>
          <w:p>
            <w:pPr>
              <w:spacing w:line="360" w:lineRule="auto"/>
              <w:ind w:firstLine="34"/>
              <w:rPr>
                <w:rFonts w:hint="eastAsia" w:asciiTheme="minorEastAsia" w:hAnsiTheme="minorEastAsia" w:eastAsiaTheme="minorEastAsia" w:cstheme="minorEastAsia"/>
                <w:spacing w:val="-3"/>
                <w:sz w:val="21"/>
                <w:szCs w:val="21"/>
              </w:rPr>
            </w:pPr>
          </w:p>
          <w:p>
            <w:pPr>
              <w:spacing w:before="139" w:line="360" w:lineRule="auto"/>
              <w:ind w:firstLine="34"/>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2</w:t>
            </w:r>
          </w:p>
        </w:tc>
        <w:tc>
          <w:tcPr>
            <w:tcW w:w="1168" w:type="dxa"/>
            <w:vMerge w:val="restart"/>
            <w:tcBorders>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技</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术</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部</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分</w:t>
            </w:r>
          </w:p>
          <w:p>
            <w:pPr>
              <w:spacing w:before="168" w:line="360" w:lineRule="auto"/>
              <w:ind w:right="55"/>
              <w:jc w:val="center"/>
              <w:rPr>
                <w:rFonts w:hint="eastAsia" w:asciiTheme="minorEastAsia" w:hAnsiTheme="minorEastAsia" w:eastAsiaTheme="minorEastAsia" w:cstheme="minorEastAsia"/>
                <w:spacing w:val="-3"/>
                <w:sz w:val="21"/>
                <w:szCs w:val="21"/>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40</w:t>
            </w:r>
            <w:r>
              <w:rPr>
                <w:rFonts w:hint="eastAsia" w:ascii="宋体" w:hAnsi="宋体" w:eastAsia="宋体" w:cs="宋体"/>
                <w:i w:val="0"/>
                <w:iCs w:val="0"/>
                <w:color w:val="000000"/>
                <w:kern w:val="0"/>
                <w:sz w:val="21"/>
                <w:szCs w:val="21"/>
                <w:u w:val="none"/>
                <w:lang w:val="en-US" w:eastAsia="zh-CN" w:bidi="ar"/>
              </w:rPr>
              <w:t>分）</w:t>
            </w:r>
          </w:p>
        </w:tc>
        <w:tc>
          <w:tcPr>
            <w:tcW w:w="1136" w:type="dxa"/>
            <w:tcBorders>
              <w:top w:val="single" w:color="auto" w:sz="4" w:space="0"/>
              <w:left w:val="single" w:color="auto" w:sz="4" w:space="0"/>
              <w:bottom w:val="single" w:color="auto" w:sz="4" w:space="0"/>
              <w:right w:val="single" w:color="auto" w:sz="4" w:space="0"/>
            </w:tcBorders>
            <w:vAlign w:val="center"/>
          </w:tcPr>
          <w:p>
            <w:pPr>
              <w:spacing w:line="360" w:lineRule="auto"/>
              <w:ind w:firstLine="34"/>
              <w:jc w:val="center"/>
              <w:rPr>
                <w:rFonts w:hint="eastAsia" w:asciiTheme="minorEastAsia" w:hAnsiTheme="minorEastAsia" w:eastAsiaTheme="minorEastAsia" w:cstheme="minorEastAsia"/>
                <w:spacing w:val="-3"/>
                <w:sz w:val="21"/>
                <w:szCs w:val="21"/>
              </w:rPr>
            </w:pPr>
            <w:r>
              <w:rPr>
                <w:rFonts w:hint="eastAsia" w:ascii="宋体" w:hAnsi="宋体" w:cs="宋体"/>
                <w:i w:val="0"/>
                <w:iCs w:val="0"/>
                <w:color w:val="000000"/>
                <w:sz w:val="21"/>
                <w:szCs w:val="21"/>
                <w:u w:val="none"/>
                <w:lang w:val="en-US" w:eastAsia="zh-CN"/>
              </w:rPr>
              <w:t>1.</w:t>
            </w:r>
            <w:r>
              <w:rPr>
                <w:rFonts w:hint="eastAsia" w:ascii="宋体" w:hAnsi="宋体" w:eastAsia="宋体" w:cs="宋体"/>
                <w:i w:val="0"/>
                <w:iCs w:val="0"/>
                <w:color w:val="000000"/>
                <w:sz w:val="21"/>
                <w:szCs w:val="21"/>
                <w:u w:val="none"/>
              </w:rPr>
              <w:t>技术实施方案</w:t>
            </w:r>
          </w:p>
        </w:tc>
        <w:tc>
          <w:tcPr>
            <w:tcW w:w="5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bidi w:val="0"/>
              <w:adjustRightInd w:val="0"/>
              <w:snapToGrid w:val="0"/>
              <w:spacing w:line="440" w:lineRule="exact"/>
              <w:ind w:leftChars="0"/>
              <w:jc w:val="left"/>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根据</w:t>
            </w:r>
            <w:r>
              <w:rPr>
                <w:rFonts w:hint="eastAsia" w:ascii="宋体" w:hAnsi="宋体" w:cs="宋体"/>
                <w:i w:val="0"/>
                <w:iCs w:val="0"/>
                <w:color w:val="000000"/>
                <w:sz w:val="21"/>
                <w:szCs w:val="21"/>
                <w:u w:val="none"/>
                <w:lang w:eastAsia="zh-CN"/>
              </w:rPr>
              <w:t>投标人</w:t>
            </w:r>
            <w:r>
              <w:rPr>
                <w:rFonts w:hint="eastAsia" w:ascii="宋体" w:hAnsi="宋体" w:eastAsia="宋体" w:cs="宋体"/>
                <w:i w:val="0"/>
                <w:iCs w:val="0"/>
                <w:color w:val="000000"/>
                <w:sz w:val="21"/>
                <w:szCs w:val="21"/>
                <w:u w:val="none"/>
                <w:lang w:eastAsia="zh-CN"/>
              </w:rPr>
              <w:t>提供的整体技术实施方案进行评分。</w:t>
            </w:r>
          </w:p>
          <w:p>
            <w:pPr>
              <w:keepNext w:val="0"/>
              <w:keepLines w:val="0"/>
              <w:pageBreakBefore w:val="0"/>
              <w:numPr>
                <w:ilvl w:val="0"/>
                <w:numId w:val="0"/>
              </w:numPr>
              <w:kinsoku/>
              <w:wordWrap/>
              <w:overflowPunct/>
              <w:topLinePunct w:val="0"/>
              <w:bidi w:val="0"/>
              <w:adjustRightInd w:val="0"/>
              <w:snapToGrid w:val="0"/>
              <w:spacing w:line="440" w:lineRule="exact"/>
              <w:ind w:leftChars="0"/>
              <w:jc w:val="left"/>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w:t>
            </w:r>
            <w:r>
              <w:rPr>
                <w:rFonts w:hint="eastAsia" w:ascii="宋体" w:hAnsi="宋体" w:eastAsia="宋体" w:cs="宋体"/>
                <w:i w:val="0"/>
                <w:iCs w:val="0"/>
                <w:color w:val="000000"/>
                <w:sz w:val="21"/>
                <w:szCs w:val="21"/>
                <w:u w:val="none"/>
                <w:lang w:eastAsia="zh-CN"/>
              </w:rPr>
              <w:t>内容详实，方案科学、合理、安全，考虑周全，措施到位，针对性强，完全能够满足采购项目的需要；得</w:t>
            </w:r>
            <w:r>
              <w:rPr>
                <w:rFonts w:hint="eastAsia" w:ascii="宋体" w:hAnsi="宋体" w:eastAsia="宋体" w:cs="宋体"/>
                <w:i w:val="0"/>
                <w:iCs w:val="0"/>
                <w:color w:val="000000"/>
                <w:sz w:val="21"/>
                <w:szCs w:val="21"/>
                <w:u w:val="none"/>
                <w:lang w:val="en-US" w:eastAsia="zh-CN"/>
              </w:rPr>
              <w:t>8分</w:t>
            </w:r>
          </w:p>
          <w:p>
            <w:pPr>
              <w:keepNext w:val="0"/>
              <w:keepLines w:val="0"/>
              <w:pageBreakBefore w:val="0"/>
              <w:numPr>
                <w:ilvl w:val="0"/>
                <w:numId w:val="0"/>
              </w:numPr>
              <w:kinsoku/>
              <w:wordWrap/>
              <w:overflowPunct/>
              <w:topLinePunct w:val="0"/>
              <w:bidi w:val="0"/>
              <w:adjustRightInd w:val="0"/>
              <w:snapToGrid w:val="0"/>
              <w:spacing w:line="440" w:lineRule="exact"/>
              <w:ind w:leftChars="0"/>
              <w:jc w:val="left"/>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w:t>
            </w:r>
            <w:r>
              <w:rPr>
                <w:rFonts w:hint="eastAsia" w:ascii="宋体" w:hAnsi="宋体" w:eastAsia="宋体" w:cs="宋体"/>
                <w:i w:val="0"/>
                <w:iCs w:val="0"/>
                <w:color w:val="000000"/>
                <w:sz w:val="21"/>
                <w:szCs w:val="21"/>
                <w:u w:val="none"/>
                <w:lang w:eastAsia="zh-CN"/>
              </w:rPr>
              <w:t>内容完整，方案基本科学、合理、安全，基本考虑周全措施基本到位，针对性较强，可以满足采购项目的需要，但有个别细节需要进一步完善或提高；得</w:t>
            </w:r>
            <w:r>
              <w:rPr>
                <w:rFonts w:hint="eastAsia" w:ascii="宋体" w:hAnsi="宋体" w:eastAsia="宋体" w:cs="宋体"/>
                <w:i w:val="0"/>
                <w:iCs w:val="0"/>
                <w:color w:val="000000"/>
                <w:sz w:val="21"/>
                <w:szCs w:val="21"/>
                <w:u w:val="none"/>
                <w:lang w:val="en-US" w:eastAsia="zh-CN"/>
              </w:rPr>
              <w:t>6分</w:t>
            </w:r>
          </w:p>
          <w:p>
            <w:pPr>
              <w:keepNext w:val="0"/>
              <w:keepLines w:val="0"/>
              <w:pageBreakBefore w:val="0"/>
              <w:numPr>
                <w:ilvl w:val="0"/>
                <w:numId w:val="0"/>
              </w:numPr>
              <w:kinsoku/>
              <w:wordWrap/>
              <w:overflowPunct/>
              <w:topLinePunct w:val="0"/>
              <w:bidi w:val="0"/>
              <w:adjustRightInd w:val="0"/>
              <w:snapToGrid w:val="0"/>
              <w:spacing w:line="440" w:lineRule="exact"/>
              <w:ind w:leftChars="0"/>
              <w:jc w:val="left"/>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eastAsia="zh-CN"/>
              </w:rPr>
              <w:t>（</w:t>
            </w:r>
            <w:r>
              <w:rPr>
                <w:rFonts w:hint="eastAsia" w:ascii="宋体" w:hAnsi="宋体" w:cs="宋体"/>
                <w:i w:val="0"/>
                <w:iCs w:val="0"/>
                <w:color w:val="000000"/>
                <w:sz w:val="21"/>
                <w:szCs w:val="21"/>
                <w:u w:val="none"/>
                <w:lang w:val="en-US" w:eastAsia="zh-CN"/>
              </w:rPr>
              <w:t>3</w:t>
            </w:r>
            <w:r>
              <w:rPr>
                <w:rFonts w:hint="eastAsia" w:ascii="宋体" w:hAnsi="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lang w:eastAsia="zh-CN"/>
              </w:rPr>
              <w:t>内容基本完整，方案在科学、合理、安全性方面一般，基本考虑不周，措施不够到位，针对性不强，虽然能够基本满足采购项目的需要，但有很多方面需要进一步完善甚至重新考虑，得</w:t>
            </w:r>
            <w:r>
              <w:rPr>
                <w:rFonts w:hint="eastAsia" w:ascii="宋体" w:hAnsi="宋体" w:eastAsia="宋体" w:cs="宋体"/>
                <w:i w:val="0"/>
                <w:iCs w:val="0"/>
                <w:color w:val="000000"/>
                <w:sz w:val="21"/>
                <w:szCs w:val="21"/>
                <w:u w:val="none"/>
                <w:lang w:val="en-US" w:eastAsia="zh-CN"/>
              </w:rPr>
              <w:t>4分。</w:t>
            </w:r>
          </w:p>
          <w:p>
            <w:pPr>
              <w:spacing w:line="360" w:lineRule="auto"/>
              <w:rPr>
                <w:rFonts w:hint="eastAsia" w:asciiTheme="minorEastAsia" w:hAnsiTheme="minorEastAsia" w:eastAsiaTheme="minorEastAsia" w:cstheme="minorEastAsia"/>
                <w:spacing w:val="-3"/>
                <w:sz w:val="21"/>
                <w:szCs w:val="21"/>
              </w:rPr>
            </w:pPr>
            <w:r>
              <w:rPr>
                <w:rFonts w:hint="eastAsia" w:ascii="宋体" w:hAnsi="宋体" w:eastAsia="宋体" w:cs="宋体"/>
                <w:i w:val="0"/>
                <w:iCs w:val="0"/>
                <w:color w:val="000000"/>
                <w:sz w:val="21"/>
                <w:szCs w:val="21"/>
                <w:u w:val="none"/>
                <w:lang w:eastAsia="zh-CN"/>
              </w:rPr>
              <w:t>没有相关内容的得0分。</w:t>
            </w:r>
          </w:p>
        </w:tc>
        <w:tc>
          <w:tcPr>
            <w:tcW w:w="10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pacing w:val="-3"/>
                <w:sz w:val="21"/>
                <w:szCs w:val="21"/>
                <w:lang w:val="en-US" w:eastAsia="zh-CN"/>
              </w:rPr>
            </w:pPr>
            <w:r>
              <w:rPr>
                <w:rFonts w:hint="eastAsia" w:asciiTheme="minorEastAsia" w:hAnsiTheme="minorEastAsia" w:eastAsiaTheme="minorEastAsia" w:cstheme="minorEastAsia"/>
                <w:spacing w:val="-3"/>
                <w:sz w:val="21"/>
                <w:szCs w:val="21"/>
                <w:lang w:val="en-US" w:eastAsia="zh-CN"/>
              </w:rPr>
              <w:t>0-8分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324" w:hRule="atLeast"/>
        </w:trPr>
        <w:tc>
          <w:tcPr>
            <w:tcW w:w="803" w:type="dxa"/>
            <w:vMerge w:val="continue"/>
          </w:tcPr>
          <w:p>
            <w:pPr>
              <w:spacing w:line="360" w:lineRule="auto"/>
              <w:ind w:firstLine="34"/>
              <w:rPr>
                <w:rFonts w:hint="eastAsia" w:asciiTheme="minorEastAsia" w:hAnsiTheme="minorEastAsia" w:eastAsiaTheme="minorEastAsia" w:cstheme="minorEastAsia"/>
                <w:spacing w:val="-3"/>
                <w:sz w:val="21"/>
                <w:szCs w:val="21"/>
              </w:rPr>
            </w:pPr>
          </w:p>
        </w:tc>
        <w:tc>
          <w:tcPr>
            <w:tcW w:w="1168" w:type="dxa"/>
            <w:vMerge w:val="continue"/>
            <w:tcBorders>
              <w:right w:val="single" w:color="auto" w:sz="4" w:space="0"/>
            </w:tcBorders>
          </w:tcPr>
          <w:p>
            <w:pPr>
              <w:spacing w:line="360" w:lineRule="auto"/>
              <w:ind w:firstLine="34"/>
              <w:rPr>
                <w:rFonts w:hint="eastAsia" w:asciiTheme="minorEastAsia" w:hAnsiTheme="minorEastAsia" w:eastAsiaTheme="minorEastAsia" w:cstheme="minorEastAsia"/>
                <w:spacing w:val="-3"/>
                <w:sz w:val="21"/>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pacing w:line="360" w:lineRule="auto"/>
              <w:ind w:firstLine="34"/>
              <w:jc w:val="center"/>
              <w:rPr>
                <w:rFonts w:hint="eastAsia" w:asciiTheme="minorEastAsia" w:hAnsiTheme="minorEastAsia" w:eastAsiaTheme="minorEastAsia" w:cstheme="minorEastAsia"/>
                <w:spacing w:val="-3"/>
                <w:sz w:val="21"/>
                <w:szCs w:val="21"/>
                <w:highlight w:val="none"/>
              </w:rPr>
            </w:pPr>
            <w:r>
              <w:rPr>
                <w:rFonts w:hint="eastAsia" w:ascii="宋体" w:hAnsi="宋体" w:cs="宋体"/>
                <w:i w:val="0"/>
                <w:iCs w:val="0"/>
                <w:color w:val="000000"/>
                <w:sz w:val="21"/>
                <w:szCs w:val="21"/>
                <w:u w:val="none"/>
                <w:lang w:val="en-US" w:eastAsia="zh-CN"/>
              </w:rPr>
              <w:t>2.任务目标和工作安排</w:t>
            </w:r>
          </w:p>
        </w:tc>
        <w:tc>
          <w:tcPr>
            <w:tcW w:w="5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w:t>
            </w:r>
            <w:r>
              <w:rPr>
                <w:rFonts w:hint="eastAsia" w:ascii="宋体" w:hAnsi="宋体" w:cs="宋体"/>
                <w:sz w:val="21"/>
                <w:szCs w:val="21"/>
                <w:lang w:val="en-US" w:eastAsia="zh-CN"/>
              </w:rPr>
              <w:t>投标人</w:t>
            </w:r>
            <w:r>
              <w:rPr>
                <w:rFonts w:hint="eastAsia" w:ascii="宋体" w:hAnsi="宋体" w:eastAsia="宋体" w:cs="宋体"/>
                <w:sz w:val="21"/>
                <w:szCs w:val="21"/>
                <w:lang w:val="en-US" w:eastAsia="zh-CN"/>
              </w:rPr>
              <w:t>任务目标和工作安排进行评分：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任务目标科学合理，工作任务划分明确，工作安排合理；得8分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研究目标基本合理，工作任务与阶段划分比较明确，工作安排较合理；得6分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任务目标大致合理，部分工作任务与阶段划分大致明确，工作安排大致合理，得4分</w:t>
            </w:r>
          </w:p>
          <w:p>
            <w:pPr>
              <w:spacing w:line="360" w:lineRule="auto"/>
              <w:ind w:firstLine="420" w:firstLineChars="200"/>
              <w:rPr>
                <w:rFonts w:hint="eastAsia" w:asciiTheme="minorEastAsia" w:hAnsiTheme="minorEastAsia" w:eastAsiaTheme="minorEastAsia" w:cstheme="minorEastAsia"/>
                <w:color w:val="auto"/>
                <w:spacing w:val="-3"/>
                <w:sz w:val="21"/>
                <w:szCs w:val="21"/>
                <w:highlight w:val="none"/>
              </w:rPr>
            </w:pPr>
            <w:r>
              <w:rPr>
                <w:rFonts w:hint="eastAsia" w:ascii="宋体" w:hAnsi="宋体" w:eastAsia="宋体" w:cs="宋体"/>
                <w:sz w:val="21"/>
                <w:szCs w:val="21"/>
                <w:lang w:val="en-US" w:eastAsia="zh-CN"/>
              </w:rPr>
              <w:t>没有相关内容的得0分。</w:t>
            </w:r>
          </w:p>
        </w:tc>
        <w:tc>
          <w:tcPr>
            <w:tcW w:w="10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pacing w:val="-3"/>
                <w:sz w:val="21"/>
                <w:szCs w:val="21"/>
                <w:lang w:val="en-US" w:eastAsia="zh-CN"/>
              </w:rPr>
            </w:pPr>
            <w:r>
              <w:rPr>
                <w:rFonts w:hint="eastAsia" w:asciiTheme="minorEastAsia" w:hAnsiTheme="minorEastAsia" w:eastAsiaTheme="minorEastAsia" w:cstheme="minorEastAsia"/>
                <w:spacing w:val="-3"/>
                <w:sz w:val="21"/>
                <w:szCs w:val="21"/>
                <w:lang w:val="en-US" w:eastAsia="zh-CN"/>
              </w:rPr>
              <w:t>0-8分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064" w:hRule="atLeast"/>
        </w:trPr>
        <w:tc>
          <w:tcPr>
            <w:tcW w:w="803" w:type="dxa"/>
            <w:vMerge w:val="continue"/>
          </w:tcPr>
          <w:p>
            <w:pPr>
              <w:spacing w:line="360" w:lineRule="auto"/>
              <w:ind w:firstLine="34"/>
              <w:rPr>
                <w:rFonts w:hint="eastAsia" w:asciiTheme="minorEastAsia" w:hAnsiTheme="minorEastAsia" w:eastAsiaTheme="minorEastAsia" w:cstheme="minorEastAsia"/>
                <w:spacing w:val="-3"/>
                <w:sz w:val="21"/>
                <w:szCs w:val="21"/>
              </w:rPr>
            </w:pPr>
          </w:p>
        </w:tc>
        <w:tc>
          <w:tcPr>
            <w:tcW w:w="1168" w:type="dxa"/>
            <w:vMerge w:val="continue"/>
            <w:tcBorders>
              <w:right w:val="single" w:color="auto" w:sz="4" w:space="0"/>
            </w:tcBorders>
          </w:tcPr>
          <w:p>
            <w:pPr>
              <w:spacing w:line="360" w:lineRule="auto"/>
              <w:ind w:firstLine="34"/>
              <w:rPr>
                <w:rFonts w:hint="eastAsia" w:asciiTheme="minorEastAsia" w:hAnsiTheme="minorEastAsia" w:eastAsiaTheme="minorEastAsia" w:cstheme="minorEastAsia"/>
                <w:spacing w:val="-3"/>
                <w:sz w:val="21"/>
                <w:szCs w:val="21"/>
              </w:rPr>
            </w:pP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34"/>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lang w:val="en-US" w:eastAsia="zh-CN"/>
              </w:rPr>
              <w:t>3.项目实施重点分析</w:t>
            </w:r>
          </w:p>
        </w:tc>
        <w:tc>
          <w:tcPr>
            <w:tcW w:w="5775"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spacing w:line="360" w:lineRule="auto"/>
              <w:rPr>
                <w:rFonts w:hint="eastAsia" w:asciiTheme="minorEastAsia" w:hAnsiTheme="minorEastAsia" w:eastAsiaTheme="minorEastAsia" w:cstheme="minorEastAsia"/>
                <w:color w:val="auto"/>
                <w:spacing w:val="-3"/>
                <w:sz w:val="21"/>
                <w:szCs w:val="21"/>
              </w:rPr>
            </w:pPr>
            <w:r>
              <w:rPr>
                <w:rFonts w:hint="eastAsia" w:asciiTheme="minorEastAsia" w:hAnsiTheme="minorEastAsia" w:eastAsiaTheme="minorEastAsia" w:cstheme="minorEastAsia"/>
                <w:color w:val="auto"/>
                <w:spacing w:val="-3"/>
                <w:sz w:val="21"/>
                <w:szCs w:val="21"/>
              </w:rPr>
              <w:t>根据</w:t>
            </w:r>
            <w:r>
              <w:rPr>
                <w:rFonts w:hint="eastAsia" w:asciiTheme="minorEastAsia" w:hAnsiTheme="minorEastAsia" w:eastAsiaTheme="minorEastAsia" w:cstheme="minorEastAsia"/>
                <w:color w:val="auto"/>
                <w:spacing w:val="-3"/>
                <w:sz w:val="21"/>
                <w:szCs w:val="21"/>
                <w:lang w:eastAsia="zh-CN"/>
              </w:rPr>
              <w:t>投标人</w:t>
            </w:r>
            <w:r>
              <w:rPr>
                <w:rFonts w:hint="eastAsia" w:asciiTheme="minorEastAsia" w:hAnsiTheme="minorEastAsia" w:eastAsiaTheme="minorEastAsia" w:cstheme="minorEastAsia"/>
                <w:color w:val="auto"/>
                <w:spacing w:val="-3"/>
                <w:sz w:val="21"/>
                <w:szCs w:val="21"/>
              </w:rPr>
              <w:t>项目实施重点分析进行评分，分档次计分：</w:t>
            </w:r>
          </w:p>
          <w:p>
            <w:pPr>
              <w:numPr>
                <w:ilvl w:val="0"/>
                <w:numId w:val="0"/>
              </w:numPr>
              <w:spacing w:line="360" w:lineRule="auto"/>
              <w:rPr>
                <w:rFonts w:hint="eastAsia" w:asciiTheme="minorEastAsia" w:hAnsiTheme="minorEastAsia" w:eastAsiaTheme="minorEastAsia" w:cstheme="minorEastAsia"/>
                <w:color w:val="auto"/>
                <w:spacing w:val="-3"/>
                <w:sz w:val="21"/>
                <w:szCs w:val="21"/>
                <w:lang w:val="en-US" w:eastAsia="zh-CN"/>
              </w:rPr>
            </w:pPr>
            <w:r>
              <w:rPr>
                <w:rFonts w:hint="eastAsia" w:asciiTheme="minorEastAsia" w:hAnsiTheme="minorEastAsia" w:eastAsiaTheme="minorEastAsia" w:cstheme="minorEastAsia"/>
                <w:color w:val="auto"/>
                <w:spacing w:val="-3"/>
                <w:sz w:val="21"/>
                <w:szCs w:val="21"/>
                <w:lang w:val="en-US" w:eastAsia="zh-CN"/>
              </w:rPr>
              <w:t>（1）</w:t>
            </w:r>
            <w:r>
              <w:rPr>
                <w:rFonts w:hint="eastAsia" w:asciiTheme="minorEastAsia" w:hAnsiTheme="minorEastAsia" w:eastAsiaTheme="minorEastAsia" w:cstheme="minorEastAsia"/>
                <w:color w:val="auto"/>
                <w:spacing w:val="-3"/>
                <w:sz w:val="21"/>
                <w:szCs w:val="21"/>
                <w:lang w:eastAsia="zh-CN"/>
              </w:rPr>
              <w:t>投标人</w:t>
            </w:r>
            <w:r>
              <w:rPr>
                <w:rFonts w:hint="eastAsia" w:asciiTheme="minorEastAsia" w:hAnsiTheme="minorEastAsia" w:eastAsiaTheme="minorEastAsia" w:cstheme="minorEastAsia"/>
                <w:color w:val="auto"/>
                <w:spacing w:val="-3"/>
                <w:sz w:val="21"/>
                <w:szCs w:val="21"/>
              </w:rPr>
              <w:t>对本项目的实施重点、关键点分析精准分；</w:t>
            </w:r>
            <w:r>
              <w:rPr>
                <w:rFonts w:hint="eastAsia" w:asciiTheme="minorEastAsia" w:hAnsiTheme="minorEastAsia" w:eastAsiaTheme="minorEastAsia" w:cstheme="minorEastAsia"/>
                <w:color w:val="auto"/>
                <w:spacing w:val="-3"/>
                <w:sz w:val="21"/>
                <w:szCs w:val="21"/>
                <w:lang w:eastAsia="zh-CN"/>
              </w:rPr>
              <w:t>得</w:t>
            </w:r>
            <w:r>
              <w:rPr>
                <w:rFonts w:hint="eastAsia" w:asciiTheme="minorEastAsia" w:hAnsiTheme="minorEastAsia" w:eastAsiaTheme="minorEastAsia" w:cstheme="minorEastAsia"/>
                <w:color w:val="auto"/>
                <w:spacing w:val="-3"/>
                <w:sz w:val="21"/>
                <w:szCs w:val="21"/>
                <w:lang w:val="en-US" w:eastAsia="zh-CN"/>
              </w:rPr>
              <w:t>8分</w:t>
            </w:r>
          </w:p>
          <w:p>
            <w:pPr>
              <w:numPr>
                <w:ilvl w:val="0"/>
                <w:numId w:val="0"/>
              </w:numPr>
              <w:spacing w:line="360" w:lineRule="auto"/>
              <w:rPr>
                <w:rFonts w:hint="eastAsia" w:asciiTheme="minorEastAsia" w:hAnsiTheme="minorEastAsia" w:eastAsiaTheme="minorEastAsia" w:cstheme="minorEastAsia"/>
                <w:color w:val="auto"/>
                <w:spacing w:val="-3"/>
                <w:sz w:val="21"/>
                <w:szCs w:val="21"/>
              </w:rPr>
            </w:pPr>
            <w:r>
              <w:rPr>
                <w:rFonts w:hint="eastAsia" w:asciiTheme="minorEastAsia" w:hAnsiTheme="minorEastAsia" w:eastAsiaTheme="minorEastAsia" w:cstheme="minorEastAsia"/>
                <w:color w:val="auto"/>
                <w:spacing w:val="-3"/>
                <w:sz w:val="21"/>
                <w:szCs w:val="21"/>
                <w:lang w:val="en-US" w:eastAsia="zh-CN"/>
              </w:rPr>
              <w:t>（2）</w:t>
            </w:r>
            <w:r>
              <w:rPr>
                <w:rFonts w:hint="eastAsia" w:asciiTheme="minorEastAsia" w:hAnsiTheme="minorEastAsia" w:eastAsiaTheme="minorEastAsia" w:cstheme="minorEastAsia"/>
                <w:color w:val="auto"/>
                <w:spacing w:val="-3"/>
                <w:sz w:val="21"/>
                <w:szCs w:val="21"/>
                <w:lang w:eastAsia="zh-CN"/>
              </w:rPr>
              <w:t>投标人</w:t>
            </w:r>
            <w:r>
              <w:rPr>
                <w:rFonts w:hint="eastAsia" w:asciiTheme="minorEastAsia" w:hAnsiTheme="minorEastAsia" w:eastAsiaTheme="minorEastAsia" w:cstheme="minorEastAsia"/>
                <w:color w:val="auto"/>
                <w:spacing w:val="-3"/>
                <w:sz w:val="21"/>
                <w:szCs w:val="21"/>
              </w:rPr>
              <w:t>对本项目实施重点、关键点分析准确；</w:t>
            </w:r>
            <w:r>
              <w:rPr>
                <w:rFonts w:hint="eastAsia" w:asciiTheme="minorEastAsia" w:hAnsiTheme="minorEastAsia" w:eastAsiaTheme="minorEastAsia" w:cstheme="minorEastAsia"/>
                <w:color w:val="auto"/>
                <w:spacing w:val="-3"/>
                <w:sz w:val="21"/>
                <w:szCs w:val="21"/>
                <w:lang w:eastAsia="zh-CN"/>
              </w:rPr>
              <w:t>得</w:t>
            </w:r>
            <w:r>
              <w:rPr>
                <w:rFonts w:hint="eastAsia" w:asciiTheme="minorEastAsia" w:hAnsiTheme="minorEastAsia" w:eastAsiaTheme="minorEastAsia" w:cstheme="minorEastAsia"/>
                <w:color w:val="auto"/>
                <w:spacing w:val="-3"/>
                <w:sz w:val="21"/>
                <w:szCs w:val="21"/>
                <w:lang w:val="en-US" w:eastAsia="zh-CN"/>
              </w:rPr>
              <w:t>6分</w:t>
            </w:r>
          </w:p>
          <w:p>
            <w:pPr>
              <w:numPr>
                <w:ilvl w:val="0"/>
                <w:numId w:val="0"/>
              </w:numPr>
              <w:spacing w:line="360" w:lineRule="auto"/>
              <w:rPr>
                <w:rFonts w:hint="eastAsia" w:asciiTheme="minorEastAsia" w:hAnsiTheme="minorEastAsia" w:eastAsiaTheme="minorEastAsia" w:cstheme="minorEastAsia"/>
                <w:color w:val="auto"/>
                <w:spacing w:val="-3"/>
                <w:sz w:val="21"/>
                <w:szCs w:val="21"/>
                <w:lang w:eastAsia="zh-CN"/>
              </w:rPr>
            </w:pPr>
            <w:r>
              <w:rPr>
                <w:rFonts w:hint="eastAsia" w:asciiTheme="minorEastAsia" w:hAnsiTheme="minorEastAsia" w:eastAsiaTheme="minorEastAsia" w:cstheme="minorEastAsia"/>
                <w:color w:val="auto"/>
                <w:spacing w:val="-3"/>
                <w:sz w:val="21"/>
                <w:szCs w:val="21"/>
                <w:lang w:val="en-US" w:eastAsia="zh-CN"/>
              </w:rPr>
              <w:t>（3）</w:t>
            </w:r>
            <w:r>
              <w:rPr>
                <w:rFonts w:hint="eastAsia" w:asciiTheme="minorEastAsia" w:hAnsiTheme="minorEastAsia" w:eastAsiaTheme="minorEastAsia" w:cstheme="minorEastAsia"/>
                <w:color w:val="auto"/>
                <w:spacing w:val="-3"/>
                <w:sz w:val="21"/>
                <w:szCs w:val="21"/>
                <w:lang w:eastAsia="zh-CN"/>
              </w:rPr>
              <w:t>投标人</w:t>
            </w:r>
            <w:r>
              <w:rPr>
                <w:rFonts w:hint="eastAsia" w:asciiTheme="minorEastAsia" w:hAnsiTheme="minorEastAsia" w:eastAsiaTheme="minorEastAsia" w:cstheme="minorEastAsia"/>
                <w:color w:val="auto"/>
                <w:spacing w:val="-3"/>
                <w:sz w:val="21"/>
                <w:szCs w:val="21"/>
              </w:rPr>
              <w:t>对本项目实施重点、关键点分析基本合理</w:t>
            </w:r>
            <w:r>
              <w:rPr>
                <w:rFonts w:hint="eastAsia" w:asciiTheme="minorEastAsia" w:hAnsiTheme="minorEastAsia" w:eastAsiaTheme="minorEastAsia" w:cstheme="minorEastAsia"/>
                <w:color w:val="auto"/>
                <w:spacing w:val="-3"/>
                <w:sz w:val="21"/>
                <w:szCs w:val="21"/>
                <w:lang w:eastAsia="zh-CN"/>
              </w:rPr>
              <w:t>，得</w:t>
            </w:r>
            <w:r>
              <w:rPr>
                <w:rFonts w:hint="eastAsia" w:asciiTheme="minorEastAsia" w:hAnsiTheme="minorEastAsia" w:eastAsiaTheme="minorEastAsia" w:cstheme="minorEastAsia"/>
                <w:color w:val="auto"/>
                <w:spacing w:val="-3"/>
                <w:sz w:val="21"/>
                <w:szCs w:val="21"/>
                <w:lang w:val="en-US" w:eastAsia="zh-CN"/>
              </w:rPr>
              <w:t>4分</w:t>
            </w:r>
          </w:p>
          <w:p>
            <w:pPr>
              <w:numPr>
                <w:ilvl w:val="0"/>
                <w:numId w:val="0"/>
              </w:numPr>
              <w:spacing w:line="360" w:lineRule="auto"/>
              <w:rPr>
                <w:rFonts w:hint="eastAsia" w:asciiTheme="minorEastAsia" w:hAnsiTheme="minorEastAsia" w:eastAsiaTheme="minorEastAsia" w:cstheme="minorEastAsia"/>
                <w:color w:val="auto"/>
                <w:spacing w:val="-3"/>
                <w:sz w:val="21"/>
                <w:szCs w:val="21"/>
              </w:rPr>
            </w:pPr>
            <w:r>
              <w:rPr>
                <w:rFonts w:hint="eastAsia" w:asciiTheme="minorEastAsia" w:hAnsiTheme="minorEastAsia" w:eastAsiaTheme="minorEastAsia" w:cstheme="minorEastAsia"/>
                <w:color w:val="auto"/>
                <w:spacing w:val="-3"/>
                <w:sz w:val="21"/>
                <w:szCs w:val="21"/>
              </w:rPr>
              <w:t>没有相关内容的得0分。</w:t>
            </w:r>
          </w:p>
        </w:tc>
        <w:tc>
          <w:tcPr>
            <w:tcW w:w="10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pacing w:val="-3"/>
                <w:sz w:val="21"/>
                <w:szCs w:val="21"/>
                <w:lang w:val="en-US" w:eastAsia="zh-CN"/>
              </w:rPr>
            </w:pPr>
            <w:r>
              <w:rPr>
                <w:rFonts w:hint="eastAsia" w:asciiTheme="minorEastAsia" w:hAnsiTheme="minorEastAsia" w:eastAsiaTheme="minorEastAsia" w:cstheme="minorEastAsia"/>
                <w:spacing w:val="-3"/>
                <w:sz w:val="21"/>
                <w:szCs w:val="21"/>
                <w:lang w:val="en-US" w:eastAsia="zh-CN"/>
              </w:rPr>
              <w:t>0-8分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324" w:hRule="atLeast"/>
        </w:trPr>
        <w:tc>
          <w:tcPr>
            <w:tcW w:w="803" w:type="dxa"/>
            <w:vMerge w:val="continue"/>
          </w:tcPr>
          <w:p>
            <w:pPr>
              <w:spacing w:line="360" w:lineRule="auto"/>
              <w:ind w:firstLine="34"/>
              <w:rPr>
                <w:rFonts w:hint="eastAsia" w:asciiTheme="minorEastAsia" w:hAnsiTheme="minorEastAsia" w:eastAsiaTheme="minorEastAsia" w:cstheme="minorEastAsia"/>
                <w:spacing w:val="-3"/>
                <w:sz w:val="21"/>
                <w:szCs w:val="21"/>
              </w:rPr>
            </w:pPr>
          </w:p>
        </w:tc>
        <w:tc>
          <w:tcPr>
            <w:tcW w:w="1168" w:type="dxa"/>
            <w:vMerge w:val="continue"/>
            <w:tcBorders>
              <w:right w:val="single" w:color="auto" w:sz="4" w:space="0"/>
            </w:tcBorders>
          </w:tcPr>
          <w:p>
            <w:pPr>
              <w:spacing w:line="360" w:lineRule="auto"/>
              <w:ind w:firstLine="34"/>
              <w:rPr>
                <w:rFonts w:hint="eastAsia" w:asciiTheme="minorEastAsia" w:hAnsiTheme="minorEastAsia" w:eastAsiaTheme="minorEastAsia" w:cstheme="minorEastAsia"/>
                <w:spacing w:val="-3"/>
                <w:sz w:val="21"/>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pacing w:line="360" w:lineRule="auto"/>
              <w:ind w:firstLine="34"/>
              <w:jc w:val="center"/>
              <w:rPr>
                <w:rFonts w:hint="eastAsia" w:asciiTheme="minorEastAsia" w:hAnsiTheme="minorEastAsia" w:eastAsiaTheme="minorEastAsia" w:cstheme="minorEastAsia"/>
                <w:spacing w:val="-3"/>
                <w:sz w:val="21"/>
                <w:szCs w:val="21"/>
              </w:rPr>
            </w:pP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项目保密措施</w:t>
            </w:r>
          </w:p>
        </w:tc>
        <w:tc>
          <w:tcPr>
            <w:tcW w:w="5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both"/>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根据</w:t>
            </w:r>
            <w:r>
              <w:rPr>
                <w:rFonts w:hint="eastAsia" w:ascii="宋体" w:hAnsi="宋体" w:cs="宋体"/>
                <w:i w:val="0"/>
                <w:iCs w:val="0"/>
                <w:color w:val="000000"/>
                <w:kern w:val="0"/>
                <w:sz w:val="21"/>
                <w:szCs w:val="21"/>
                <w:u w:val="none"/>
                <w:lang w:val="en-US" w:eastAsia="zh-CN" w:bidi="ar"/>
              </w:rPr>
              <w:t>投标人</w:t>
            </w:r>
            <w:r>
              <w:rPr>
                <w:rFonts w:hint="default" w:ascii="宋体" w:hAnsi="宋体" w:eastAsia="宋体" w:cs="宋体"/>
                <w:i w:val="0"/>
                <w:iCs w:val="0"/>
                <w:color w:val="000000"/>
                <w:kern w:val="0"/>
                <w:sz w:val="21"/>
                <w:szCs w:val="21"/>
                <w:u w:val="none"/>
                <w:lang w:val="en-US" w:eastAsia="zh-CN" w:bidi="ar"/>
              </w:rPr>
              <w:t>项目保密措施进行评分，分档次计分：</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both"/>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投标人</w:t>
            </w:r>
            <w:r>
              <w:rPr>
                <w:rFonts w:hint="default" w:ascii="宋体" w:hAnsi="宋体" w:eastAsia="宋体" w:cs="宋体"/>
                <w:i w:val="0"/>
                <w:iCs w:val="0"/>
                <w:color w:val="000000"/>
                <w:kern w:val="0"/>
                <w:sz w:val="21"/>
                <w:szCs w:val="21"/>
                <w:u w:val="none"/>
                <w:lang w:val="en-US" w:eastAsia="zh-CN" w:bidi="ar"/>
              </w:rPr>
              <w:t>对本项目的保密保障措施全面、科学、合理、详细，针对性强，可操作性强；得8分</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both"/>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投标人</w:t>
            </w:r>
            <w:r>
              <w:rPr>
                <w:rFonts w:hint="default" w:ascii="宋体" w:hAnsi="宋体" w:eastAsia="宋体" w:cs="宋体"/>
                <w:i w:val="0"/>
                <w:iCs w:val="0"/>
                <w:color w:val="000000"/>
                <w:kern w:val="0"/>
                <w:sz w:val="21"/>
                <w:szCs w:val="21"/>
                <w:u w:val="none"/>
                <w:lang w:val="en-US" w:eastAsia="zh-CN" w:bidi="ar"/>
              </w:rPr>
              <w:t>对本项目的保密保障措施较为全面、合理、详细，针对性较强，可操作性较强；得6分</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both"/>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投标人</w:t>
            </w:r>
            <w:r>
              <w:rPr>
                <w:rFonts w:hint="default" w:ascii="宋体" w:hAnsi="宋体" w:eastAsia="宋体" w:cs="宋体"/>
                <w:i w:val="0"/>
                <w:iCs w:val="0"/>
                <w:color w:val="000000"/>
                <w:kern w:val="0"/>
                <w:sz w:val="21"/>
                <w:szCs w:val="21"/>
                <w:u w:val="none"/>
                <w:lang w:val="en-US" w:eastAsia="zh-CN" w:bidi="ar"/>
              </w:rPr>
              <w:t>对对本项目的保密保障措施基本合理，针对性一般，可操作性一般，得4分</w:t>
            </w:r>
          </w:p>
          <w:p>
            <w:pPr>
              <w:numPr>
                <w:ilvl w:val="0"/>
                <w:numId w:val="0"/>
              </w:numPr>
              <w:spacing w:line="360" w:lineRule="auto"/>
              <w:rPr>
                <w:rFonts w:hint="eastAsia" w:asciiTheme="minorEastAsia" w:hAnsiTheme="minorEastAsia" w:eastAsiaTheme="minorEastAsia" w:cstheme="minorEastAsia"/>
                <w:color w:val="auto"/>
                <w:spacing w:val="-3"/>
                <w:sz w:val="21"/>
                <w:szCs w:val="21"/>
              </w:rPr>
            </w:pPr>
            <w:r>
              <w:rPr>
                <w:rFonts w:hint="default" w:ascii="宋体" w:hAnsi="宋体" w:eastAsia="宋体" w:cs="宋体"/>
                <w:i w:val="0"/>
                <w:iCs w:val="0"/>
                <w:color w:val="000000"/>
                <w:kern w:val="0"/>
                <w:sz w:val="21"/>
                <w:szCs w:val="21"/>
                <w:u w:val="none"/>
                <w:lang w:val="en-US" w:eastAsia="zh-CN" w:bidi="ar"/>
              </w:rPr>
              <w:t>没有相关内容的得0分。</w:t>
            </w:r>
          </w:p>
        </w:tc>
        <w:tc>
          <w:tcPr>
            <w:tcW w:w="10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34"/>
              <w:jc w:val="center"/>
              <w:rPr>
                <w:rFonts w:hint="default" w:asciiTheme="minorEastAsia" w:hAnsiTheme="minorEastAsia" w:eastAsiaTheme="minorEastAsia" w:cstheme="minorEastAsia"/>
                <w:spacing w:val="-3"/>
                <w:sz w:val="21"/>
                <w:szCs w:val="21"/>
                <w:lang w:val="en-US" w:eastAsia="zh-CN"/>
              </w:rPr>
            </w:pPr>
            <w:r>
              <w:rPr>
                <w:rFonts w:hint="eastAsia" w:asciiTheme="minorEastAsia" w:hAnsiTheme="minorEastAsia" w:eastAsiaTheme="minorEastAsia" w:cstheme="minorEastAsia"/>
                <w:spacing w:val="-3"/>
                <w:sz w:val="21"/>
                <w:szCs w:val="21"/>
                <w:lang w:val="en-US" w:eastAsia="zh-CN"/>
              </w:rPr>
              <w:t>0-8分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913" w:hRule="atLeast"/>
        </w:trPr>
        <w:tc>
          <w:tcPr>
            <w:tcW w:w="803" w:type="dxa"/>
            <w:vMerge w:val="continue"/>
          </w:tcPr>
          <w:p>
            <w:pPr>
              <w:spacing w:line="360" w:lineRule="auto"/>
              <w:ind w:firstLine="34"/>
              <w:rPr>
                <w:rFonts w:hint="eastAsia" w:asciiTheme="minorEastAsia" w:hAnsiTheme="minorEastAsia" w:eastAsiaTheme="minorEastAsia" w:cstheme="minorEastAsia"/>
                <w:spacing w:val="-3"/>
                <w:sz w:val="21"/>
                <w:szCs w:val="21"/>
              </w:rPr>
            </w:pPr>
          </w:p>
        </w:tc>
        <w:tc>
          <w:tcPr>
            <w:tcW w:w="1168" w:type="dxa"/>
            <w:vMerge w:val="continue"/>
            <w:tcBorders>
              <w:right w:val="single" w:color="auto" w:sz="4" w:space="0"/>
            </w:tcBorders>
          </w:tcPr>
          <w:p>
            <w:pPr>
              <w:spacing w:line="360" w:lineRule="auto"/>
              <w:ind w:firstLine="34"/>
              <w:rPr>
                <w:rFonts w:hint="eastAsia" w:asciiTheme="minorEastAsia" w:hAnsiTheme="minorEastAsia" w:eastAsiaTheme="minorEastAsia" w:cstheme="minorEastAsia"/>
                <w:spacing w:val="-3"/>
                <w:sz w:val="21"/>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pacing w:line="360" w:lineRule="auto"/>
              <w:ind w:firstLine="34"/>
              <w:jc w:val="center"/>
              <w:rPr>
                <w:rFonts w:hint="eastAsia" w:asciiTheme="minorEastAsia" w:hAnsiTheme="minorEastAsia" w:eastAsiaTheme="minorEastAsia" w:cstheme="minorEastAsia"/>
                <w:spacing w:val="-3"/>
                <w:sz w:val="21"/>
                <w:szCs w:val="21"/>
              </w:rPr>
            </w:pPr>
            <w:r>
              <w:rPr>
                <w:rFonts w:hint="eastAsia" w:ascii="宋体" w:hAnsi="宋体" w:cs="宋体"/>
                <w:i w:val="0"/>
                <w:iCs w:val="0"/>
                <w:color w:val="000000"/>
                <w:kern w:val="0"/>
                <w:sz w:val="21"/>
                <w:szCs w:val="21"/>
                <w:u w:val="none"/>
                <w:lang w:val="en-US" w:eastAsia="zh-CN" w:bidi="ar"/>
              </w:rPr>
              <w:t>5.</w:t>
            </w:r>
            <w:r>
              <w:rPr>
                <w:rFonts w:hint="eastAsia" w:ascii="宋体" w:hAnsi="宋体" w:cs="宋体"/>
                <w:i w:val="0"/>
                <w:iCs w:val="0"/>
                <w:color w:val="000000"/>
                <w:kern w:val="0"/>
                <w:sz w:val="21"/>
                <w:szCs w:val="21"/>
                <w:highlight w:val="none"/>
                <w:u w:val="none"/>
                <w:lang w:val="en-US" w:eastAsia="zh-CN" w:bidi="ar"/>
              </w:rPr>
              <w:t>后续</w:t>
            </w:r>
            <w:r>
              <w:rPr>
                <w:rFonts w:hint="eastAsia" w:ascii="宋体" w:hAnsi="宋体" w:eastAsia="宋体" w:cs="宋体"/>
                <w:i w:val="0"/>
                <w:iCs w:val="0"/>
                <w:color w:val="000000"/>
                <w:kern w:val="0"/>
                <w:sz w:val="21"/>
                <w:szCs w:val="21"/>
                <w:u w:val="none"/>
                <w:lang w:val="en-US" w:eastAsia="zh-CN" w:bidi="ar"/>
              </w:rPr>
              <w:t>服务</w:t>
            </w:r>
          </w:p>
        </w:tc>
        <w:tc>
          <w:tcPr>
            <w:tcW w:w="577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pacing w:val="-3"/>
                <w:sz w:val="21"/>
                <w:szCs w:val="21"/>
                <w:lang w:val="en-US" w:eastAsia="zh-CN"/>
              </w:rPr>
            </w:pPr>
            <w:r>
              <w:rPr>
                <w:rFonts w:hint="eastAsia" w:asciiTheme="minorEastAsia" w:hAnsiTheme="minorEastAsia" w:eastAsiaTheme="minorEastAsia" w:cstheme="minorEastAsia"/>
                <w:color w:val="auto"/>
                <w:spacing w:val="-3"/>
                <w:sz w:val="21"/>
                <w:szCs w:val="21"/>
                <w:lang w:val="en-US" w:eastAsia="zh-CN"/>
              </w:rPr>
              <w:t>根据投标人提供的后续服务进行评分：</w:t>
            </w:r>
          </w:p>
          <w:p>
            <w:pPr>
              <w:spacing w:line="360" w:lineRule="auto"/>
              <w:rPr>
                <w:rFonts w:hint="eastAsia" w:asciiTheme="minorEastAsia" w:hAnsiTheme="minorEastAsia" w:eastAsiaTheme="minorEastAsia" w:cstheme="minorEastAsia"/>
                <w:color w:val="auto"/>
                <w:spacing w:val="-3"/>
                <w:sz w:val="21"/>
                <w:szCs w:val="21"/>
                <w:lang w:val="en-US" w:eastAsia="zh-CN"/>
              </w:rPr>
            </w:pPr>
            <w:r>
              <w:rPr>
                <w:rFonts w:hint="eastAsia" w:asciiTheme="minorEastAsia" w:hAnsiTheme="minorEastAsia" w:eastAsiaTheme="minorEastAsia" w:cstheme="minorEastAsia"/>
                <w:color w:val="auto"/>
                <w:spacing w:val="-3"/>
                <w:sz w:val="21"/>
                <w:szCs w:val="21"/>
                <w:lang w:val="en-US" w:eastAsia="zh-CN"/>
              </w:rPr>
              <w:t>（1）后续服务方案具体详实、可行性强；得8分</w:t>
            </w:r>
          </w:p>
          <w:p>
            <w:pPr>
              <w:spacing w:line="360" w:lineRule="auto"/>
              <w:rPr>
                <w:rFonts w:hint="eastAsia" w:asciiTheme="minorEastAsia" w:hAnsiTheme="minorEastAsia" w:eastAsiaTheme="minorEastAsia" w:cstheme="minorEastAsia"/>
                <w:color w:val="auto"/>
                <w:spacing w:val="-3"/>
                <w:sz w:val="21"/>
                <w:szCs w:val="21"/>
                <w:lang w:val="en-US" w:eastAsia="zh-CN"/>
              </w:rPr>
            </w:pPr>
            <w:r>
              <w:rPr>
                <w:rFonts w:hint="eastAsia" w:asciiTheme="minorEastAsia" w:hAnsiTheme="minorEastAsia" w:eastAsiaTheme="minorEastAsia" w:cstheme="minorEastAsia"/>
                <w:color w:val="auto"/>
                <w:spacing w:val="-3"/>
                <w:sz w:val="21"/>
                <w:szCs w:val="21"/>
                <w:lang w:val="en-US" w:eastAsia="zh-CN"/>
              </w:rPr>
              <w:t>（2）后续服务方案较为具体、可行性较强；得6分</w:t>
            </w:r>
          </w:p>
          <w:p>
            <w:pPr>
              <w:spacing w:line="360" w:lineRule="auto"/>
              <w:rPr>
                <w:rFonts w:hint="eastAsia" w:asciiTheme="minorEastAsia" w:hAnsiTheme="minorEastAsia" w:eastAsiaTheme="minorEastAsia" w:cstheme="minorEastAsia"/>
                <w:color w:val="auto"/>
                <w:spacing w:val="-3"/>
                <w:sz w:val="21"/>
                <w:szCs w:val="21"/>
                <w:lang w:val="en-US" w:eastAsia="zh-CN"/>
              </w:rPr>
            </w:pPr>
            <w:r>
              <w:rPr>
                <w:rFonts w:hint="eastAsia" w:asciiTheme="minorEastAsia" w:hAnsiTheme="minorEastAsia" w:eastAsiaTheme="minorEastAsia" w:cstheme="minorEastAsia"/>
                <w:color w:val="auto"/>
                <w:spacing w:val="-3"/>
                <w:sz w:val="21"/>
                <w:szCs w:val="21"/>
                <w:lang w:val="en-US" w:eastAsia="zh-CN"/>
              </w:rPr>
              <w:t>（3）后续服务方案基本可行；得4分</w:t>
            </w:r>
          </w:p>
          <w:p>
            <w:pPr>
              <w:spacing w:line="360" w:lineRule="auto"/>
              <w:rPr>
                <w:rFonts w:hint="eastAsia" w:asciiTheme="minorEastAsia" w:hAnsiTheme="minorEastAsia" w:eastAsiaTheme="minorEastAsia" w:cstheme="minorEastAsia"/>
                <w:color w:val="auto"/>
                <w:spacing w:val="-3"/>
                <w:sz w:val="21"/>
                <w:szCs w:val="21"/>
                <w:lang w:eastAsia="zh-CN"/>
              </w:rPr>
            </w:pPr>
            <w:r>
              <w:rPr>
                <w:rFonts w:hint="eastAsia" w:asciiTheme="minorEastAsia" w:hAnsiTheme="minorEastAsia" w:eastAsiaTheme="minorEastAsia" w:cstheme="minorEastAsia"/>
                <w:color w:val="auto"/>
                <w:spacing w:val="-3"/>
                <w:sz w:val="21"/>
                <w:szCs w:val="21"/>
                <w:lang w:val="en-US" w:eastAsia="zh-CN"/>
              </w:rPr>
              <w:t>没有相关内容的得0分。</w:t>
            </w:r>
          </w:p>
        </w:tc>
        <w:tc>
          <w:tcPr>
            <w:tcW w:w="10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heme="minorEastAsia" w:hAnsiTheme="minorEastAsia" w:eastAsiaTheme="minorEastAsia" w:cstheme="minorEastAsia"/>
                <w:spacing w:val="-3"/>
                <w:sz w:val="21"/>
                <w:szCs w:val="21"/>
                <w:lang w:val="en-US" w:eastAsia="zh-CN"/>
              </w:rPr>
            </w:pPr>
            <w:r>
              <w:rPr>
                <w:rFonts w:hint="eastAsia" w:asciiTheme="minorEastAsia" w:hAnsiTheme="minorEastAsia" w:eastAsiaTheme="minorEastAsia" w:cstheme="minorEastAsia"/>
                <w:spacing w:val="-3"/>
                <w:sz w:val="21"/>
                <w:szCs w:val="21"/>
                <w:lang w:val="en-US" w:eastAsia="zh-CN"/>
              </w:rPr>
              <w:t>0-8分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95" w:hRule="atLeast"/>
        </w:trPr>
        <w:tc>
          <w:tcPr>
            <w:tcW w:w="803" w:type="dxa"/>
            <w:vMerge w:val="restart"/>
            <w:vAlign w:val="center"/>
          </w:tcPr>
          <w:p>
            <w:pPr>
              <w:spacing w:line="360" w:lineRule="auto"/>
              <w:ind w:firstLine="34"/>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3</w:t>
            </w:r>
          </w:p>
        </w:tc>
        <w:tc>
          <w:tcPr>
            <w:tcW w:w="1168" w:type="dxa"/>
            <w:vMerge w:val="restart"/>
            <w:vAlign w:val="center"/>
          </w:tcPr>
          <w:p>
            <w:pPr>
              <w:spacing w:line="360" w:lineRule="auto"/>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综合部分 评分标准 (</w:t>
            </w:r>
            <w:r>
              <w:rPr>
                <w:rFonts w:hint="eastAsia" w:asciiTheme="minorEastAsia" w:hAnsiTheme="minorEastAsia" w:eastAsiaTheme="minorEastAsia" w:cstheme="minorEastAsia"/>
                <w:spacing w:val="-3"/>
                <w:sz w:val="21"/>
                <w:szCs w:val="21"/>
                <w:lang w:val="en-US" w:eastAsia="zh-CN"/>
              </w:rPr>
              <w:t>30</w:t>
            </w:r>
            <w:r>
              <w:rPr>
                <w:rFonts w:hint="eastAsia" w:asciiTheme="minorEastAsia" w:hAnsiTheme="minorEastAsia" w:eastAsiaTheme="minorEastAsia" w:cstheme="minorEastAsia"/>
                <w:spacing w:val="-3"/>
                <w:sz w:val="21"/>
                <w:szCs w:val="21"/>
              </w:rPr>
              <w:t>分)</w:t>
            </w:r>
          </w:p>
        </w:tc>
        <w:tc>
          <w:tcPr>
            <w:tcW w:w="1136" w:type="dxa"/>
            <w:tcBorders>
              <w:top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both"/>
              <w:textAlignment w:val="center"/>
              <w:rPr>
                <w:rFonts w:hint="eastAsia" w:asciiTheme="minorEastAsia" w:hAnsiTheme="minorEastAsia" w:eastAsiaTheme="minorEastAsia" w:cstheme="minorEastAsia"/>
                <w:spacing w:val="-3"/>
                <w:sz w:val="21"/>
                <w:szCs w:val="21"/>
              </w:rPr>
            </w:pPr>
            <w:r>
              <w:rPr>
                <w:rFonts w:hint="eastAsia" w:ascii="宋体" w:hAnsi="宋体" w:cs="宋体"/>
                <w:i w:val="0"/>
                <w:iCs w:val="0"/>
                <w:color w:val="000000"/>
                <w:sz w:val="21"/>
                <w:szCs w:val="21"/>
                <w:u w:val="none"/>
                <w:lang w:val="en-US" w:eastAsia="zh-CN"/>
              </w:rPr>
              <w:t>1.服务承诺和优惠承诺</w:t>
            </w:r>
            <w:r>
              <w:rPr>
                <w:rFonts w:hint="eastAsia" w:ascii="宋体" w:hAnsi="宋体" w:eastAsia="宋体" w:cs="宋体"/>
                <w:i w:val="0"/>
                <w:iCs w:val="0"/>
                <w:color w:val="000000"/>
                <w:sz w:val="21"/>
                <w:szCs w:val="21"/>
                <w:u w:val="none"/>
              </w:rPr>
              <w:t>（</w:t>
            </w:r>
            <w:r>
              <w:rPr>
                <w:rFonts w:hint="eastAsia" w:ascii="宋体" w:hAnsi="宋体" w:cs="宋体"/>
                <w:i w:val="0"/>
                <w:iCs w:val="0"/>
                <w:color w:val="000000"/>
                <w:sz w:val="21"/>
                <w:szCs w:val="21"/>
                <w:u w:val="none"/>
                <w:lang w:val="en-US" w:eastAsia="zh-CN"/>
              </w:rPr>
              <w:t>7</w:t>
            </w:r>
            <w:r>
              <w:rPr>
                <w:rFonts w:hint="eastAsia" w:ascii="宋体" w:hAnsi="宋体" w:eastAsia="宋体" w:cs="宋体"/>
                <w:i w:val="0"/>
                <w:iCs w:val="0"/>
                <w:color w:val="000000"/>
                <w:sz w:val="21"/>
                <w:szCs w:val="21"/>
                <w:u w:val="none"/>
              </w:rPr>
              <w:t>分）</w:t>
            </w:r>
          </w:p>
        </w:tc>
        <w:tc>
          <w:tcPr>
            <w:tcW w:w="5775" w:type="dxa"/>
            <w:tcBorders>
              <w:top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根据</w:t>
            </w:r>
            <w:r>
              <w:rPr>
                <w:rFonts w:hint="eastAsia" w:ascii="宋体" w:hAnsi="宋体" w:cs="宋体"/>
                <w:i w:val="0"/>
                <w:iCs w:val="0"/>
                <w:color w:val="000000"/>
                <w:sz w:val="21"/>
                <w:szCs w:val="21"/>
                <w:u w:val="none"/>
                <w:lang w:eastAsia="zh-CN"/>
              </w:rPr>
              <w:t>投标人</w:t>
            </w:r>
            <w:r>
              <w:rPr>
                <w:rFonts w:hint="eastAsia" w:ascii="宋体" w:hAnsi="宋体" w:eastAsia="宋体" w:cs="宋体"/>
                <w:i w:val="0"/>
                <w:iCs w:val="0"/>
                <w:color w:val="000000"/>
                <w:sz w:val="21"/>
                <w:szCs w:val="21"/>
                <w:u w:val="none"/>
              </w:rPr>
              <w:t>相关服务承诺和优惠承诺：</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w:t>
            </w:r>
            <w:r>
              <w:rPr>
                <w:rFonts w:hint="eastAsia" w:ascii="宋体" w:hAnsi="宋体" w:eastAsia="宋体" w:cs="宋体"/>
                <w:i w:val="0"/>
                <w:iCs w:val="0"/>
                <w:color w:val="000000"/>
                <w:sz w:val="21"/>
                <w:szCs w:val="21"/>
                <w:u w:val="none"/>
              </w:rPr>
              <w:t>确保依法依规，服务承诺详实可行；</w:t>
            </w:r>
            <w:r>
              <w:rPr>
                <w:rFonts w:hint="eastAsia" w:ascii="宋体" w:hAnsi="宋体" w:eastAsia="宋体" w:cs="宋体"/>
                <w:i w:val="0"/>
                <w:iCs w:val="0"/>
                <w:color w:val="000000"/>
                <w:sz w:val="21"/>
                <w:szCs w:val="21"/>
                <w:u w:val="none"/>
                <w:lang w:eastAsia="zh-CN"/>
              </w:rPr>
              <w:t>得</w:t>
            </w:r>
            <w:r>
              <w:rPr>
                <w:rFonts w:hint="eastAsia" w:ascii="宋体" w:hAnsi="宋体" w:cs="宋体"/>
                <w:i w:val="0"/>
                <w:iCs w:val="0"/>
                <w:color w:val="000000"/>
                <w:sz w:val="21"/>
                <w:szCs w:val="21"/>
                <w:u w:val="none"/>
                <w:lang w:val="en-US" w:eastAsia="zh-CN"/>
              </w:rPr>
              <w:t>7</w:t>
            </w:r>
            <w:r>
              <w:rPr>
                <w:rFonts w:hint="eastAsia" w:ascii="宋体" w:hAnsi="宋体" w:eastAsia="宋体" w:cs="宋体"/>
                <w:i w:val="0"/>
                <w:iCs w:val="0"/>
                <w:color w:val="000000"/>
                <w:sz w:val="21"/>
                <w:szCs w:val="21"/>
                <w:u w:val="none"/>
                <w:lang w:val="en-US" w:eastAsia="zh-CN"/>
              </w:rPr>
              <w:t>分</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w:t>
            </w:r>
            <w:r>
              <w:rPr>
                <w:rFonts w:hint="eastAsia" w:ascii="宋体" w:hAnsi="宋体" w:eastAsia="宋体" w:cs="宋体"/>
                <w:i w:val="0"/>
                <w:iCs w:val="0"/>
                <w:color w:val="000000"/>
                <w:sz w:val="21"/>
                <w:szCs w:val="21"/>
                <w:u w:val="none"/>
              </w:rPr>
              <w:t>确保依法依规，服务承诺基本详实可行；</w:t>
            </w:r>
            <w:r>
              <w:rPr>
                <w:rFonts w:hint="eastAsia" w:ascii="宋体" w:hAnsi="宋体" w:eastAsia="宋体" w:cs="宋体"/>
                <w:i w:val="0"/>
                <w:iCs w:val="0"/>
                <w:color w:val="000000"/>
                <w:sz w:val="21"/>
                <w:szCs w:val="21"/>
                <w:u w:val="none"/>
                <w:lang w:eastAsia="zh-CN"/>
              </w:rPr>
              <w:t>得</w:t>
            </w:r>
            <w:r>
              <w:rPr>
                <w:rFonts w:hint="eastAsia" w:ascii="宋体" w:hAnsi="宋体" w:cs="宋体"/>
                <w:i w:val="0"/>
                <w:iCs w:val="0"/>
                <w:color w:val="000000"/>
                <w:sz w:val="21"/>
                <w:szCs w:val="21"/>
                <w:u w:val="none"/>
                <w:lang w:val="en-US" w:eastAsia="zh-CN"/>
              </w:rPr>
              <w:t>5</w:t>
            </w:r>
            <w:r>
              <w:rPr>
                <w:rFonts w:hint="eastAsia" w:ascii="宋体" w:hAnsi="宋体" w:eastAsia="宋体" w:cs="宋体"/>
                <w:i w:val="0"/>
                <w:iCs w:val="0"/>
                <w:color w:val="000000"/>
                <w:sz w:val="21"/>
                <w:szCs w:val="21"/>
                <w:u w:val="none"/>
                <w:lang w:val="en-US" w:eastAsia="zh-CN"/>
              </w:rPr>
              <w:t>分</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（3）</w:t>
            </w:r>
            <w:r>
              <w:rPr>
                <w:rFonts w:hint="eastAsia" w:ascii="宋体" w:hAnsi="宋体" w:eastAsia="宋体" w:cs="宋体"/>
                <w:i w:val="0"/>
                <w:iCs w:val="0"/>
                <w:color w:val="000000"/>
                <w:sz w:val="21"/>
                <w:szCs w:val="21"/>
                <w:u w:val="none"/>
              </w:rPr>
              <w:t>确保依法依规，服务承诺基本可行</w:t>
            </w:r>
            <w:r>
              <w:rPr>
                <w:rFonts w:hint="eastAsia" w:ascii="宋体" w:hAnsi="宋体" w:eastAsia="宋体" w:cs="宋体"/>
                <w:i w:val="0"/>
                <w:iCs w:val="0"/>
                <w:color w:val="000000"/>
                <w:sz w:val="21"/>
                <w:szCs w:val="21"/>
                <w:u w:val="none"/>
                <w:lang w:eastAsia="zh-CN"/>
              </w:rPr>
              <w:t>；得</w:t>
            </w:r>
            <w:r>
              <w:rPr>
                <w:rFonts w:hint="eastAsia" w:ascii="宋体" w:hAnsi="宋体" w:cs="宋体"/>
                <w:i w:val="0"/>
                <w:iCs w:val="0"/>
                <w:color w:val="000000"/>
                <w:sz w:val="21"/>
                <w:szCs w:val="21"/>
                <w:u w:val="none"/>
                <w:lang w:val="en-US" w:eastAsia="zh-CN"/>
              </w:rPr>
              <w:t>3</w:t>
            </w:r>
            <w:r>
              <w:rPr>
                <w:rFonts w:hint="eastAsia" w:ascii="宋体" w:hAnsi="宋体" w:eastAsia="宋体" w:cs="宋体"/>
                <w:i w:val="0"/>
                <w:iCs w:val="0"/>
                <w:color w:val="000000"/>
                <w:sz w:val="21"/>
                <w:szCs w:val="21"/>
                <w:u w:val="none"/>
                <w:lang w:val="en-US" w:eastAsia="zh-CN"/>
              </w:rPr>
              <w:t>分</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left"/>
              <w:textAlignment w:val="center"/>
              <w:rPr>
                <w:rFonts w:hint="eastAsia" w:asciiTheme="minorEastAsia" w:hAnsiTheme="minorEastAsia" w:eastAsiaTheme="minorEastAsia" w:cstheme="minorEastAsia"/>
                <w:spacing w:val="-3"/>
                <w:sz w:val="21"/>
                <w:szCs w:val="21"/>
              </w:rPr>
            </w:pPr>
            <w:r>
              <w:rPr>
                <w:rFonts w:hint="eastAsia" w:ascii="宋体" w:hAnsi="宋体" w:eastAsia="宋体" w:cs="宋体"/>
                <w:i w:val="0"/>
                <w:iCs w:val="0"/>
                <w:color w:val="000000"/>
                <w:sz w:val="21"/>
                <w:szCs w:val="21"/>
                <w:u w:val="none"/>
              </w:rPr>
              <w:t>没有相关内容的得0分。</w:t>
            </w:r>
          </w:p>
        </w:tc>
        <w:tc>
          <w:tcPr>
            <w:tcW w:w="1093" w:type="dxa"/>
            <w:tcBorders>
              <w:top w:val="single" w:color="auto" w:sz="4" w:space="0"/>
              <w:left w:val="single" w:color="auto" w:sz="4" w:space="0"/>
            </w:tcBorders>
            <w:vAlign w:val="center"/>
          </w:tcPr>
          <w:p>
            <w:pPr>
              <w:spacing w:line="360" w:lineRule="auto"/>
              <w:jc w:val="center"/>
              <w:rPr>
                <w:rFonts w:hint="default" w:asciiTheme="minorEastAsia" w:hAnsiTheme="minorEastAsia" w:eastAsiaTheme="minorEastAsia" w:cstheme="minorEastAsia"/>
                <w:spacing w:val="-3"/>
                <w:sz w:val="21"/>
                <w:szCs w:val="21"/>
                <w:lang w:val="en-US" w:eastAsia="zh-CN"/>
              </w:rPr>
            </w:pPr>
            <w:r>
              <w:rPr>
                <w:rFonts w:hint="eastAsia" w:asciiTheme="minorEastAsia" w:hAnsiTheme="minorEastAsia" w:eastAsiaTheme="minorEastAsia" w:cstheme="minorEastAsia"/>
                <w:spacing w:val="-3"/>
                <w:sz w:val="21"/>
                <w:szCs w:val="21"/>
                <w:lang w:val="en-US" w:eastAsia="zh-CN"/>
              </w:rPr>
              <w:t>0-7分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95" w:hRule="atLeast"/>
        </w:trPr>
        <w:tc>
          <w:tcPr>
            <w:tcW w:w="803" w:type="dxa"/>
            <w:vMerge w:val="continue"/>
          </w:tcPr>
          <w:p>
            <w:pPr>
              <w:spacing w:line="360" w:lineRule="auto"/>
              <w:ind w:firstLine="34"/>
              <w:rPr>
                <w:rFonts w:hint="eastAsia" w:asciiTheme="minorEastAsia" w:hAnsiTheme="minorEastAsia" w:eastAsiaTheme="minorEastAsia" w:cstheme="minorEastAsia"/>
                <w:spacing w:val="-3"/>
                <w:sz w:val="21"/>
                <w:szCs w:val="21"/>
              </w:rPr>
            </w:pPr>
          </w:p>
        </w:tc>
        <w:tc>
          <w:tcPr>
            <w:tcW w:w="1168" w:type="dxa"/>
            <w:vMerge w:val="continue"/>
          </w:tcPr>
          <w:p>
            <w:pPr>
              <w:spacing w:line="360" w:lineRule="auto"/>
              <w:rPr>
                <w:rFonts w:hint="eastAsia" w:asciiTheme="minorEastAsia" w:hAnsiTheme="minorEastAsia" w:eastAsiaTheme="minorEastAsia" w:cstheme="minorEastAsia"/>
                <w:spacing w:val="-3"/>
                <w:sz w:val="21"/>
                <w:szCs w:val="21"/>
              </w:rPr>
            </w:pPr>
          </w:p>
        </w:tc>
        <w:tc>
          <w:tcPr>
            <w:tcW w:w="1136" w:type="dxa"/>
            <w:tcBorders>
              <w:top w:val="single" w:color="auto" w:sz="4" w:space="0"/>
            </w:tcBorders>
            <w:shd w:val="clear" w:color="auto" w:fill="auto"/>
            <w:vAlign w:val="center"/>
          </w:tcPr>
          <w:p>
            <w:pPr>
              <w:spacing w:line="360" w:lineRule="auto"/>
              <w:jc w:val="center"/>
              <w:rPr>
                <w:rFonts w:hint="eastAsia" w:asciiTheme="minorEastAsia" w:hAnsiTheme="minorEastAsia" w:eastAsiaTheme="minorEastAsia" w:cstheme="minorEastAsia"/>
                <w:color w:val="auto"/>
                <w:spacing w:val="-3"/>
                <w:sz w:val="21"/>
                <w:szCs w:val="21"/>
                <w:highlight w:val="none"/>
              </w:rPr>
            </w:pPr>
            <w:r>
              <w:rPr>
                <w:rFonts w:hint="eastAsia" w:ascii="宋体" w:hAnsi="宋体" w:cs="宋体"/>
                <w:i w:val="0"/>
                <w:iCs w:val="0"/>
                <w:color w:val="000000"/>
                <w:sz w:val="21"/>
                <w:szCs w:val="21"/>
                <w:u w:val="none"/>
                <w:lang w:val="en-US" w:eastAsia="zh-CN"/>
              </w:rPr>
              <w:t>2.</w:t>
            </w:r>
            <w:r>
              <w:rPr>
                <w:rFonts w:hint="eastAsia" w:ascii="宋体" w:hAnsi="宋体" w:eastAsia="宋体" w:cs="宋体"/>
                <w:i w:val="0"/>
                <w:iCs w:val="0"/>
                <w:color w:val="000000"/>
                <w:sz w:val="21"/>
                <w:szCs w:val="21"/>
                <w:u w:val="none"/>
              </w:rPr>
              <w:t>企业业绩</w:t>
            </w:r>
          </w:p>
        </w:tc>
        <w:tc>
          <w:tcPr>
            <w:tcW w:w="5775" w:type="dxa"/>
            <w:tcBorders>
              <w:top w:val="single" w:color="auto" w:sz="4" w:space="0"/>
              <w:right w:val="single" w:color="auto" w:sz="4" w:space="0"/>
            </w:tcBorders>
            <w:shd w:val="clear" w:color="auto" w:fill="auto"/>
            <w:vAlign w:val="center"/>
          </w:tcPr>
          <w:p>
            <w:pPr>
              <w:spacing w:line="360" w:lineRule="auto"/>
              <w:ind w:firstLine="408" w:firstLineChars="200"/>
              <w:rPr>
                <w:rFonts w:hint="eastAsia" w:asciiTheme="minorEastAsia" w:hAnsiTheme="minorEastAsia" w:eastAsiaTheme="minorEastAsia" w:cstheme="minorEastAsia"/>
                <w:color w:val="auto"/>
                <w:spacing w:val="-3"/>
                <w:sz w:val="21"/>
                <w:szCs w:val="21"/>
                <w:highlight w:val="none"/>
                <w:lang w:val="en-US" w:eastAsia="zh-CN"/>
              </w:rPr>
            </w:pPr>
            <w:r>
              <w:rPr>
                <w:rFonts w:hint="eastAsia" w:asciiTheme="minorEastAsia" w:hAnsiTheme="minorEastAsia" w:eastAsiaTheme="minorEastAsia" w:cstheme="minorEastAsia"/>
                <w:color w:val="auto"/>
                <w:spacing w:val="-3"/>
                <w:sz w:val="21"/>
                <w:szCs w:val="21"/>
                <w:highlight w:val="none"/>
                <w:lang w:val="en-US" w:eastAsia="zh-CN"/>
              </w:rPr>
              <w:t>投标人自2021年01月01日以来承担过的类似项目业绩，（以合同签订日期为准)，每提供一份得5分，最多得15分。</w:t>
            </w:r>
          </w:p>
          <w:p>
            <w:pPr>
              <w:spacing w:line="360" w:lineRule="auto"/>
              <w:ind w:firstLine="408" w:firstLineChars="200"/>
              <w:rPr>
                <w:rFonts w:hint="eastAsia" w:asciiTheme="minorEastAsia" w:hAnsiTheme="minorEastAsia" w:eastAsiaTheme="minorEastAsia" w:cstheme="minorEastAsia"/>
                <w:color w:val="auto"/>
                <w:spacing w:val="-3"/>
                <w:sz w:val="21"/>
                <w:szCs w:val="21"/>
                <w:highlight w:val="none"/>
              </w:rPr>
            </w:pPr>
            <w:r>
              <w:rPr>
                <w:rFonts w:hint="eastAsia" w:asciiTheme="minorEastAsia" w:hAnsiTheme="minorEastAsia" w:eastAsiaTheme="minorEastAsia" w:cstheme="minorEastAsia"/>
                <w:color w:val="auto"/>
                <w:spacing w:val="-3"/>
                <w:sz w:val="21"/>
                <w:szCs w:val="21"/>
                <w:highlight w:val="none"/>
                <w:lang w:val="en-US" w:eastAsia="zh-CN"/>
              </w:rPr>
              <w:t>响应性文件中提供合同原件扫描件并加投标人公章。如若缺项或不提供则不得分。</w:t>
            </w:r>
          </w:p>
        </w:tc>
        <w:tc>
          <w:tcPr>
            <w:tcW w:w="1093" w:type="dxa"/>
            <w:tcBorders>
              <w:top w:val="single" w:color="auto" w:sz="4" w:space="0"/>
              <w:left w:val="single" w:color="auto" w:sz="4" w:space="0"/>
            </w:tcBorders>
            <w:vAlign w:val="center"/>
          </w:tcPr>
          <w:p>
            <w:pPr>
              <w:spacing w:line="360" w:lineRule="auto"/>
              <w:jc w:val="center"/>
              <w:rPr>
                <w:rFonts w:hint="default" w:asciiTheme="minorEastAsia" w:hAnsiTheme="minorEastAsia" w:eastAsiaTheme="minorEastAsia" w:cstheme="minorEastAsia"/>
                <w:spacing w:val="-3"/>
                <w:sz w:val="21"/>
                <w:szCs w:val="21"/>
                <w:lang w:val="en-US" w:eastAsia="zh-CN"/>
              </w:rPr>
            </w:pPr>
            <w:r>
              <w:rPr>
                <w:rFonts w:hint="eastAsia" w:asciiTheme="minorEastAsia" w:hAnsiTheme="minorEastAsia" w:eastAsiaTheme="minorEastAsia" w:cstheme="minorEastAsia"/>
                <w:spacing w:val="-3"/>
                <w:sz w:val="21"/>
                <w:szCs w:val="21"/>
                <w:lang w:val="en-US" w:eastAsia="zh-CN"/>
              </w:rPr>
              <w:t>0-15分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94" w:hRule="atLeast"/>
        </w:trPr>
        <w:tc>
          <w:tcPr>
            <w:tcW w:w="803" w:type="dxa"/>
            <w:vMerge w:val="continue"/>
          </w:tcPr>
          <w:p>
            <w:pPr>
              <w:spacing w:line="360" w:lineRule="auto"/>
              <w:ind w:firstLine="34"/>
              <w:rPr>
                <w:rFonts w:hint="eastAsia" w:asciiTheme="minorEastAsia" w:hAnsiTheme="minorEastAsia" w:eastAsiaTheme="minorEastAsia" w:cstheme="minorEastAsia"/>
                <w:spacing w:val="-3"/>
                <w:sz w:val="21"/>
                <w:szCs w:val="21"/>
              </w:rPr>
            </w:pPr>
          </w:p>
        </w:tc>
        <w:tc>
          <w:tcPr>
            <w:tcW w:w="1168" w:type="dxa"/>
            <w:vMerge w:val="continue"/>
          </w:tcPr>
          <w:p>
            <w:pPr>
              <w:spacing w:line="360" w:lineRule="auto"/>
              <w:rPr>
                <w:rFonts w:hint="eastAsia" w:asciiTheme="minorEastAsia" w:hAnsiTheme="minorEastAsia" w:eastAsiaTheme="minorEastAsia" w:cstheme="minorEastAsia"/>
                <w:spacing w:val="-3"/>
                <w:sz w:val="21"/>
                <w:szCs w:val="21"/>
              </w:rPr>
            </w:pPr>
          </w:p>
        </w:tc>
        <w:tc>
          <w:tcPr>
            <w:tcW w:w="1136" w:type="dxa"/>
            <w:tcBorders>
              <w:top w:val="single" w:color="auto" w:sz="4" w:space="0"/>
            </w:tcBorders>
            <w:vAlign w:val="center"/>
          </w:tcPr>
          <w:p>
            <w:pPr>
              <w:spacing w:line="360" w:lineRule="auto"/>
              <w:rPr>
                <w:rFonts w:hint="eastAsia" w:asciiTheme="minorEastAsia" w:hAnsiTheme="minorEastAsia" w:eastAsiaTheme="minorEastAsia" w:cstheme="minorEastAsia"/>
                <w:spacing w:val="-3"/>
                <w:sz w:val="21"/>
                <w:szCs w:val="21"/>
                <w:highlight w:val="none"/>
              </w:rPr>
            </w:pPr>
            <w:r>
              <w:rPr>
                <w:rFonts w:hint="eastAsia" w:ascii="宋体" w:hAnsi="宋体" w:cs="宋体"/>
                <w:i w:val="0"/>
                <w:iCs w:val="0"/>
                <w:color w:val="000000"/>
                <w:sz w:val="21"/>
                <w:szCs w:val="21"/>
                <w:u w:val="none"/>
                <w:lang w:val="en-US" w:eastAsia="zh-CN"/>
              </w:rPr>
              <w:t>3.</w:t>
            </w:r>
            <w:r>
              <w:rPr>
                <w:rFonts w:hint="eastAsia" w:ascii="宋体" w:hAnsi="宋体" w:eastAsia="宋体" w:cs="宋体"/>
                <w:i w:val="0"/>
                <w:iCs w:val="0"/>
                <w:color w:val="000000"/>
                <w:sz w:val="21"/>
                <w:szCs w:val="21"/>
                <w:u w:val="none"/>
              </w:rPr>
              <w:t>专业技术人员</w:t>
            </w:r>
          </w:p>
        </w:tc>
        <w:tc>
          <w:tcPr>
            <w:tcW w:w="5775" w:type="dxa"/>
            <w:tcBorders>
              <w:top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拟派驻专业技术人员配备，具备林业相关专业中级（含）以上职称的，每人得2分，最高得</w:t>
            </w:r>
            <w:r>
              <w:rPr>
                <w:rFonts w:hint="eastAsia" w:ascii="宋体" w:hAnsi="宋体"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分。</w:t>
            </w:r>
          </w:p>
          <w:p>
            <w:pPr>
              <w:spacing w:line="360" w:lineRule="auto"/>
              <w:ind w:firstLine="420" w:firstLineChars="200"/>
              <w:rPr>
                <w:rFonts w:hint="eastAsia" w:asciiTheme="minorEastAsia" w:hAnsiTheme="minorEastAsia" w:eastAsiaTheme="minorEastAsia" w:cstheme="minorEastAsia"/>
                <w:spacing w:val="-3"/>
                <w:sz w:val="21"/>
                <w:szCs w:val="21"/>
                <w:highlight w:val="none"/>
                <w:lang w:eastAsia="zh-CN"/>
              </w:rPr>
            </w:pPr>
            <w:r>
              <w:rPr>
                <w:rFonts w:hint="eastAsia" w:ascii="宋体" w:hAnsi="宋体" w:eastAsia="宋体" w:cs="宋体"/>
                <w:i w:val="0"/>
                <w:iCs w:val="0"/>
                <w:color w:val="000000"/>
                <w:kern w:val="0"/>
                <w:sz w:val="21"/>
                <w:szCs w:val="21"/>
                <w:u w:val="none"/>
                <w:lang w:val="en-US" w:eastAsia="zh-CN" w:bidi="ar"/>
              </w:rPr>
              <w:t>注：需提供人员证书及劳动合同和公司为其缴纳的自2023年1月1日以来任意连续2个月的社保证明材料，否则不得分。</w:t>
            </w:r>
          </w:p>
        </w:tc>
        <w:tc>
          <w:tcPr>
            <w:tcW w:w="1093" w:type="dxa"/>
            <w:tcBorders>
              <w:top w:val="single" w:color="auto" w:sz="4" w:space="0"/>
              <w:left w:val="single" w:color="auto" w:sz="4" w:space="0"/>
            </w:tcBorders>
            <w:shd w:val="clear" w:color="auto" w:fill="auto"/>
            <w:vAlign w:val="center"/>
          </w:tcPr>
          <w:p>
            <w:pPr>
              <w:spacing w:line="360" w:lineRule="auto"/>
              <w:jc w:val="center"/>
              <w:rPr>
                <w:rFonts w:hint="default" w:asciiTheme="minorEastAsia" w:hAnsiTheme="minorEastAsia" w:eastAsiaTheme="minorEastAsia" w:cstheme="minorEastAsia"/>
                <w:spacing w:val="-3"/>
                <w:sz w:val="21"/>
                <w:szCs w:val="21"/>
                <w:highlight w:val="none"/>
                <w:lang w:val="en-US" w:eastAsia="zh-CN"/>
              </w:rPr>
            </w:pPr>
            <w:r>
              <w:rPr>
                <w:rFonts w:hint="eastAsia" w:asciiTheme="minorEastAsia" w:hAnsiTheme="minorEastAsia" w:eastAsiaTheme="minorEastAsia" w:cstheme="minorEastAsia"/>
                <w:spacing w:val="-3"/>
                <w:sz w:val="21"/>
                <w:szCs w:val="21"/>
                <w:highlight w:val="none"/>
                <w:lang w:val="en-US" w:eastAsia="zh-CN"/>
              </w:rPr>
              <w:t>0-8分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95" w:hRule="atLeast"/>
        </w:trPr>
        <w:tc>
          <w:tcPr>
            <w:tcW w:w="9975" w:type="dxa"/>
            <w:gridSpan w:val="5"/>
            <w:tcBorders>
              <w:top w:val="single" w:color="auto" w:sz="4" w:space="0"/>
              <w:bottom w:val="single" w:color="auto" w:sz="4" w:space="0"/>
            </w:tcBorders>
          </w:tcPr>
          <w:p>
            <w:pPr>
              <w:spacing w:line="5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注：投标人综合得分=投标报价得分+技术部分得分+</w:t>
            </w:r>
            <w:r>
              <w:rPr>
                <w:rFonts w:hint="eastAsia" w:asciiTheme="minorEastAsia" w:hAnsiTheme="minorEastAsia" w:eastAsiaTheme="minorEastAsia" w:cstheme="minorEastAsia"/>
                <w:color w:val="000000"/>
                <w:sz w:val="21"/>
                <w:szCs w:val="21"/>
                <w:lang w:eastAsia="zh-CN"/>
              </w:rPr>
              <w:t>综合</w:t>
            </w:r>
            <w:r>
              <w:rPr>
                <w:rFonts w:hint="eastAsia" w:asciiTheme="minorEastAsia" w:hAnsiTheme="minorEastAsia" w:eastAsiaTheme="minorEastAsia" w:cstheme="minorEastAsia"/>
                <w:color w:val="000000"/>
                <w:sz w:val="21"/>
                <w:szCs w:val="21"/>
              </w:rPr>
              <w:t>部分得分。</w:t>
            </w:r>
          </w:p>
          <w:p>
            <w:pPr>
              <w:spacing w:line="500" w:lineRule="exact"/>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投标人最终得分</w:t>
            </w:r>
            <w:r>
              <w:rPr>
                <w:rFonts w:hint="eastAsia" w:asciiTheme="minorEastAsia" w:hAnsiTheme="minorEastAsia" w:eastAsiaTheme="minorEastAsia" w:cstheme="minorEastAsia"/>
                <w:color w:val="000000"/>
                <w:sz w:val="21"/>
                <w:szCs w:val="21"/>
                <w:lang w:eastAsia="zh-CN"/>
              </w:rPr>
              <w:t>：</w:t>
            </w:r>
          </w:p>
          <w:p>
            <w:pPr>
              <w:spacing w:line="5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1.评标委员会完成评审后，取全部得分算术平均值，作为该投标人的最终得分。</w:t>
            </w:r>
          </w:p>
          <w:p>
            <w:pPr>
              <w:spacing w:line="5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2.本办法计算过程中分值按四舍五入保留二位小数。</w:t>
            </w:r>
          </w:p>
          <w:p>
            <w:pPr>
              <w:spacing w:line="360" w:lineRule="auto"/>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color w:val="000000"/>
                <w:sz w:val="21"/>
                <w:szCs w:val="21"/>
              </w:rPr>
              <w:t>3.评标委员会对通过以上评审的投标人，按最终得分从高到低排序，确定1至3名中标候选人。当投标人最终得分相等时，按照报价得分从低到高进行排序，排序第-的为中标人，最终得分相等，报价得分也相等按技术指标优劣排列确定中标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03" w:hRule="atLeast"/>
        </w:trPr>
        <w:tc>
          <w:tcPr>
            <w:tcW w:w="8882" w:type="dxa"/>
            <w:gridSpan w:val="4"/>
          </w:tcPr>
          <w:p>
            <w:pPr>
              <w:spacing w:before="229" w:line="360" w:lineRule="auto"/>
              <w:ind w:firstLine="391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总分</w:t>
            </w:r>
          </w:p>
        </w:tc>
        <w:tc>
          <w:tcPr>
            <w:tcW w:w="1093" w:type="dxa"/>
          </w:tcPr>
          <w:p>
            <w:pPr>
              <w:spacing w:before="229"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100</w:t>
            </w:r>
            <w:r>
              <w:rPr>
                <w:rFonts w:hint="eastAsia" w:asciiTheme="minorEastAsia" w:hAnsiTheme="minorEastAsia" w:eastAsiaTheme="minorEastAsia" w:cstheme="minorEastAsia"/>
                <w:spacing w:val="-42"/>
                <w:sz w:val="21"/>
                <w:szCs w:val="21"/>
              </w:rPr>
              <w:t xml:space="preserve"> </w:t>
            </w:r>
            <w:r>
              <w:rPr>
                <w:rFonts w:hint="eastAsia" w:asciiTheme="minorEastAsia" w:hAnsiTheme="minorEastAsia" w:eastAsiaTheme="minorEastAsia" w:cstheme="minorEastAsia"/>
                <w:spacing w:val="-6"/>
                <w:sz w:val="21"/>
                <w:szCs w:val="21"/>
              </w:rPr>
              <w:t>分</w:t>
            </w:r>
          </w:p>
        </w:tc>
      </w:tr>
    </w:tbl>
    <w:p>
      <w:pPr>
        <w:pStyle w:val="43"/>
        <w:spacing w:afterAutospacing="0"/>
        <w:ind w:left="0" w:leftChars="0" w:firstLine="0" w:firstLineChars="0"/>
        <w:rPr>
          <w:rFonts w:ascii="宋体" w:hAnsi="宋体" w:cs="宋体"/>
          <w:bCs/>
          <w:color w:val="auto"/>
          <w:kern w:val="0"/>
          <w:sz w:val="24"/>
          <w:szCs w:val="24"/>
          <w:highlight w:val="none"/>
        </w:rPr>
      </w:pPr>
    </w:p>
    <w:bookmarkEnd w:id="240"/>
    <w:p>
      <w:bookmarkStart w:id="242" w:name="_Toc21064"/>
      <w:bookmarkStart w:id="243" w:name="_Toc19403"/>
      <w:bookmarkStart w:id="244" w:name="_Toc454147538"/>
      <w:bookmarkStart w:id="245" w:name="_Toc465502579"/>
      <w:bookmarkStart w:id="246" w:name="_Toc466017207"/>
      <w:bookmarkStart w:id="247" w:name="_Toc31084"/>
      <w:bookmarkStart w:id="248" w:name="_Toc403122541"/>
      <w:bookmarkStart w:id="249" w:name="_Toc426369531"/>
      <w:r>
        <w:rPr>
          <w:rFonts w:hint="eastAsia"/>
        </w:rPr>
        <w:br w:type="page"/>
      </w:r>
    </w:p>
    <w:p>
      <w:pPr>
        <w:pStyle w:val="10"/>
        <w:numPr>
          <w:ilvl w:val="0"/>
          <w:numId w:val="6"/>
        </w:numPr>
        <w:bidi w:val="0"/>
        <w:spacing w:before="0" w:beforeAutospacing="0" w:after="0" w:afterAutospacing="0"/>
      </w:pPr>
      <w:r>
        <w:rPr>
          <w:rFonts w:hint="eastAsia"/>
        </w:rPr>
        <w:t xml:space="preserve"> </w:t>
      </w:r>
      <w:bookmarkStart w:id="250" w:name="_Toc9405"/>
      <w:bookmarkStart w:id="251" w:name="_Toc6843"/>
      <w:bookmarkStart w:id="252" w:name="_Toc19346"/>
      <w:r>
        <w:rPr>
          <w:rFonts w:hint="eastAsia"/>
        </w:rPr>
        <w:t>评标准则和评标方法</w:t>
      </w:r>
      <w:bookmarkEnd w:id="242"/>
      <w:bookmarkEnd w:id="243"/>
      <w:bookmarkEnd w:id="244"/>
      <w:bookmarkEnd w:id="245"/>
      <w:bookmarkEnd w:id="246"/>
      <w:bookmarkEnd w:id="250"/>
      <w:bookmarkEnd w:id="251"/>
      <w:bookmarkEnd w:id="252"/>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 评标过程将遵循“公平、公正、科学、择优”的原则进行。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 评标将严格按照招标文件的要求和条件进行。</w:t>
      </w:r>
    </w:p>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 本次评标采用综合评分法。</w:t>
      </w:r>
    </w:p>
    <w:p>
      <w:pPr>
        <w:pStyle w:val="10"/>
        <w:numPr>
          <w:ilvl w:val="0"/>
          <w:numId w:val="6"/>
        </w:numPr>
        <w:bidi w:val="0"/>
        <w:rPr>
          <w:rFonts w:hint="eastAsia"/>
        </w:rPr>
      </w:pPr>
      <w:bookmarkStart w:id="253" w:name="_Toc26809"/>
      <w:bookmarkStart w:id="254" w:name="_Toc454147539"/>
      <w:bookmarkStart w:id="255" w:name="_Toc465502580"/>
      <w:bookmarkStart w:id="256" w:name="_Toc7951"/>
      <w:bookmarkStart w:id="257" w:name="_Toc13195"/>
      <w:bookmarkStart w:id="258" w:name="_Toc15449"/>
      <w:bookmarkStart w:id="259" w:name="_Toc466017208"/>
      <w:bookmarkStart w:id="260" w:name="_Toc4593"/>
      <w:r>
        <w:rPr>
          <w:rFonts w:hint="eastAsia"/>
        </w:rPr>
        <w:t>评审标准</w:t>
      </w:r>
      <w:bookmarkEnd w:id="253"/>
      <w:bookmarkEnd w:id="254"/>
      <w:bookmarkEnd w:id="255"/>
      <w:bookmarkEnd w:id="256"/>
      <w:bookmarkEnd w:id="257"/>
      <w:bookmarkEnd w:id="258"/>
      <w:bookmarkEnd w:id="259"/>
      <w:bookmarkEnd w:id="260"/>
    </w:p>
    <w:p>
      <w:pPr>
        <w:pageBreakBefore w:val="0"/>
        <w:widowControl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 资格评审标准：详见《评分办法前附表》中资格评审标准。</w:t>
      </w:r>
    </w:p>
    <w:p>
      <w:pPr>
        <w:pageBreakBefore w:val="0"/>
        <w:widowControl w:val="0"/>
        <w:kinsoku/>
        <w:wordWrap/>
        <w:overflowPunct/>
        <w:topLinePunct w:val="0"/>
        <w:bidi w:val="0"/>
        <w:adjustRightInd w:val="0"/>
        <w:snapToGrid w:val="0"/>
        <w:spacing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 评分标准：详见《评分办法前附表》投标报价</w:t>
      </w:r>
      <w:r>
        <w:rPr>
          <w:rFonts w:hint="eastAsia" w:ascii="宋体" w:hAnsi="宋体" w:eastAsia="宋体" w:cs="宋体"/>
          <w:sz w:val="24"/>
          <w:szCs w:val="24"/>
          <w:lang w:val="en-US" w:eastAsia="zh-CN"/>
        </w:rPr>
        <w:t>部分</w:t>
      </w:r>
      <w:r>
        <w:rPr>
          <w:rFonts w:hint="eastAsia" w:ascii="宋体" w:hAnsi="宋体" w:eastAsia="宋体" w:cs="宋体"/>
          <w:sz w:val="24"/>
          <w:szCs w:val="24"/>
          <w:lang w:eastAsia="zh-CN"/>
        </w:rPr>
        <w:t>、</w:t>
      </w:r>
      <w:r>
        <w:rPr>
          <w:rFonts w:hint="eastAsia" w:ascii="宋体" w:hAnsi="宋体" w:eastAsia="宋体" w:cs="宋体"/>
          <w:sz w:val="24"/>
          <w:szCs w:val="24"/>
        </w:rPr>
        <w:t>技术部分</w:t>
      </w:r>
      <w:r>
        <w:rPr>
          <w:rFonts w:hint="eastAsia" w:ascii="宋体" w:hAnsi="宋体" w:eastAsia="宋体" w:cs="宋体"/>
          <w:sz w:val="24"/>
          <w:szCs w:val="24"/>
          <w:lang w:eastAsia="zh-CN"/>
        </w:rPr>
        <w:t>、综合</w:t>
      </w:r>
      <w:r>
        <w:rPr>
          <w:rFonts w:hint="eastAsia" w:ascii="宋体" w:hAnsi="宋体" w:eastAsia="宋体" w:cs="宋体"/>
          <w:sz w:val="24"/>
          <w:szCs w:val="24"/>
        </w:rPr>
        <w:t>部分。</w:t>
      </w:r>
    </w:p>
    <w:p>
      <w:pPr>
        <w:pStyle w:val="10"/>
        <w:numPr>
          <w:ilvl w:val="0"/>
          <w:numId w:val="6"/>
        </w:numPr>
        <w:bidi w:val="0"/>
        <w:rPr>
          <w:rFonts w:hint="eastAsia"/>
        </w:rPr>
      </w:pPr>
      <w:bookmarkStart w:id="261" w:name="_Toc11065"/>
      <w:bookmarkStart w:id="262" w:name="_Toc26828"/>
      <w:bookmarkStart w:id="263" w:name="_Toc28348"/>
      <w:bookmarkStart w:id="264" w:name="_Toc19609"/>
      <w:r>
        <w:rPr>
          <w:rFonts w:hint="eastAsia"/>
        </w:rPr>
        <w:t>评标程序</w:t>
      </w:r>
      <w:bookmarkEnd w:id="261"/>
      <w:bookmarkEnd w:id="262"/>
      <w:bookmarkEnd w:id="263"/>
      <w:bookmarkEnd w:id="264"/>
    </w:p>
    <w:p>
      <w:pPr>
        <w:pageBreakBefore w:val="0"/>
        <w:widowControl w:val="0"/>
        <w:kinsoku/>
        <w:wordWrap/>
        <w:overflowPunct/>
        <w:topLinePunct w:val="0"/>
        <w:bidi w:val="0"/>
        <w:adjustRightInd w:val="0"/>
        <w:snapToGrid w:val="0"/>
        <w:spacing w:beforeAutospacing="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3.1初步评审</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rPr>
        <w:t xml:space="preserve">3.11 </w:t>
      </w:r>
      <w:r>
        <w:rPr>
          <w:rFonts w:hint="eastAsia" w:ascii="宋体" w:hAnsi="宋体" w:eastAsia="宋体" w:cs="宋体"/>
          <w:sz w:val="24"/>
          <w:szCs w:val="24"/>
          <w:lang w:val="zh-CN"/>
        </w:rPr>
        <w:t>采购人或代理机构可以要求投标人提交第二章“投标人须知”规定的有关证明。采购人或代理机构依据本章第2.1款规定的标准对投标文件进行资格评审。有一项不符合资格评审标准的，作无效投标处理。</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rPr>
        <w:t xml:space="preserve">3.12 </w:t>
      </w:r>
      <w:r>
        <w:rPr>
          <w:rFonts w:hint="eastAsia" w:ascii="宋体" w:hAnsi="宋体" w:eastAsia="宋体" w:cs="宋体"/>
          <w:sz w:val="24"/>
          <w:szCs w:val="24"/>
          <w:lang w:val="zh-CN"/>
        </w:rPr>
        <w:t>投标文件属下列情况之一的，应当在资格性、符合性检查时按照无效投标处理：</w:t>
      </w:r>
    </w:p>
    <w:p>
      <w:pPr>
        <w:pageBreakBefore w:val="0"/>
        <w:widowControl w:val="0"/>
        <w:numPr>
          <w:ilvl w:val="0"/>
          <w:numId w:val="7"/>
        </w:numPr>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未按照招标文件规定要求签署、盖章的；</w:t>
      </w:r>
    </w:p>
    <w:p>
      <w:pPr>
        <w:pageBreakBefore w:val="0"/>
        <w:widowControl w:val="0"/>
        <w:numPr>
          <w:ilvl w:val="0"/>
          <w:numId w:val="7"/>
        </w:numPr>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不具备招标文件中规定资格要求的；</w:t>
      </w:r>
    </w:p>
    <w:p>
      <w:pPr>
        <w:pageBreakBefore w:val="0"/>
        <w:widowControl w:val="0"/>
        <w:numPr>
          <w:ilvl w:val="0"/>
          <w:numId w:val="7"/>
        </w:numPr>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不符合法律、法规和招标文件中规定的其他实质性要求的。</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rPr>
        <w:t xml:space="preserve">3.13 </w:t>
      </w:r>
      <w:r>
        <w:rPr>
          <w:rFonts w:hint="eastAsia" w:ascii="宋体" w:hAnsi="宋体" w:eastAsia="宋体" w:cs="宋体"/>
          <w:sz w:val="24"/>
          <w:szCs w:val="24"/>
          <w:lang w:val="zh-CN"/>
        </w:rPr>
        <w:t>投标报价有算数错误的，评标委员会按以下原则对投标报价进行修正，修正的价格经投标人书面确认后具有约束力。投标人不接受修正价格的，其投标作无效投标处理。</w:t>
      </w:r>
    </w:p>
    <w:p>
      <w:pPr>
        <w:pageBreakBefore w:val="0"/>
        <w:widowControl w:val="0"/>
        <w:numPr>
          <w:ilvl w:val="0"/>
          <w:numId w:val="8"/>
        </w:numPr>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投标文件中的大写金额与小写金额不一致的，以大写金额为准；</w:t>
      </w:r>
    </w:p>
    <w:p>
      <w:pPr>
        <w:pageBreakBefore w:val="0"/>
        <w:widowControl w:val="0"/>
        <w:numPr>
          <w:ilvl w:val="0"/>
          <w:numId w:val="8"/>
        </w:numPr>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投标文件中开标一览表内容与投标文件中明细表内容不一致的，以开标一览表为准。</w:t>
      </w:r>
    </w:p>
    <w:p>
      <w:pPr>
        <w:pageBreakBefore w:val="0"/>
        <w:widowControl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3.2 详细评审</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rPr>
        <w:t xml:space="preserve">3.2.1 </w:t>
      </w:r>
      <w:r>
        <w:rPr>
          <w:rFonts w:hint="eastAsia" w:ascii="宋体" w:hAnsi="宋体" w:eastAsia="宋体" w:cs="宋体"/>
          <w:sz w:val="24"/>
          <w:szCs w:val="24"/>
          <w:lang w:val="zh-CN"/>
        </w:rPr>
        <w:t>评标委员会按本章</w:t>
      </w:r>
      <w:r>
        <w:rPr>
          <w:rFonts w:hint="eastAsia" w:ascii="宋体" w:hAnsi="宋体" w:eastAsia="宋体" w:cs="宋体"/>
          <w:sz w:val="24"/>
          <w:szCs w:val="24"/>
        </w:rPr>
        <w:t>的</w:t>
      </w:r>
      <w:r>
        <w:rPr>
          <w:rFonts w:hint="eastAsia" w:ascii="宋体" w:hAnsi="宋体" w:eastAsia="宋体" w:cs="宋体"/>
          <w:sz w:val="24"/>
          <w:szCs w:val="24"/>
          <w:lang w:val="zh-CN"/>
        </w:rPr>
        <w:t>评分标准进行打分，并计算出综合评审得分。</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rPr>
        <w:t xml:space="preserve">3.2.2 </w:t>
      </w:r>
      <w:r>
        <w:rPr>
          <w:rFonts w:hint="eastAsia" w:ascii="宋体" w:hAnsi="宋体" w:eastAsia="宋体" w:cs="宋体"/>
          <w:sz w:val="24"/>
          <w:szCs w:val="24"/>
          <w:lang w:val="zh-CN"/>
        </w:rPr>
        <w:t>评标委员会发现投标人的投标总报价</w:t>
      </w:r>
      <w:r>
        <w:rPr>
          <w:rFonts w:hint="eastAsia" w:ascii="宋体" w:hAnsi="宋体" w:eastAsia="宋体" w:cs="宋体"/>
          <w:sz w:val="24"/>
          <w:szCs w:val="24"/>
        </w:rPr>
        <w:t>高</w:t>
      </w:r>
      <w:r>
        <w:rPr>
          <w:rFonts w:hint="eastAsia" w:ascii="宋体" w:hAnsi="宋体" w:eastAsia="宋体" w:cs="宋体"/>
          <w:sz w:val="24"/>
          <w:szCs w:val="24"/>
          <w:lang w:val="zh-CN"/>
        </w:rPr>
        <w:t>于</w:t>
      </w:r>
      <w:r>
        <w:rPr>
          <w:rFonts w:hint="eastAsia" w:ascii="宋体" w:hAnsi="宋体" w:eastAsia="宋体" w:cs="宋体"/>
          <w:sz w:val="24"/>
          <w:szCs w:val="24"/>
        </w:rPr>
        <w:t>招标文件规定的控制价</w:t>
      </w:r>
      <w:r>
        <w:rPr>
          <w:rFonts w:hint="eastAsia" w:ascii="宋体" w:hAnsi="宋体" w:eastAsia="宋体" w:cs="宋体"/>
          <w:sz w:val="24"/>
          <w:szCs w:val="24"/>
          <w:lang w:val="zh-CN"/>
        </w:rPr>
        <w:t>，评标委员会应按无效投标处理。</w:t>
      </w:r>
    </w:p>
    <w:p>
      <w:pPr>
        <w:pageBreakBefore w:val="0"/>
        <w:widowControl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3.3 投标文件的澄清和补正</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rPr>
        <w:t xml:space="preserve">3.3.1 </w:t>
      </w:r>
      <w:r>
        <w:rPr>
          <w:rFonts w:hint="eastAsia" w:ascii="宋体" w:hAnsi="宋体" w:eastAsia="宋体" w:cs="宋体"/>
          <w:sz w:val="24"/>
          <w:szCs w:val="24"/>
          <w:lang w:val="zh-CN"/>
        </w:rPr>
        <w:t>在评标过程中，评标委员会可以书面形式要求投标人对所提交投标文件中不明确的内容进行书面澄清或说明，或者对细微偏差进行补正。</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rPr>
        <w:t xml:space="preserve">3.3.2 </w:t>
      </w:r>
      <w:r>
        <w:rPr>
          <w:rFonts w:hint="eastAsia" w:ascii="宋体" w:hAnsi="宋体" w:eastAsia="宋体" w:cs="宋体"/>
          <w:sz w:val="24"/>
          <w:szCs w:val="24"/>
          <w:lang w:val="zh-CN"/>
        </w:rPr>
        <w:t>澄清、说明和补正不得改变投标文件的实质性内容（算术性错误修正的除外）。投标人的书面澄清、说明和补正属于投标文件的组成部分。</w:t>
      </w:r>
    </w:p>
    <w:p>
      <w:pPr>
        <w:pageBreakBefore w:val="0"/>
        <w:widowControl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rPr>
        <w:t>3.4 评标结</w:t>
      </w:r>
      <w:r>
        <w:rPr>
          <w:rFonts w:hint="eastAsia" w:ascii="宋体" w:hAnsi="宋体" w:eastAsia="宋体" w:cs="宋体"/>
          <w:b/>
          <w:bCs/>
          <w:sz w:val="24"/>
          <w:szCs w:val="24"/>
          <w:highlight w:val="none"/>
        </w:rPr>
        <w:t>果</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red"/>
        </w:rPr>
      </w:pPr>
      <w:r>
        <w:rPr>
          <w:rFonts w:hint="eastAsia" w:ascii="宋体" w:hAnsi="宋体" w:eastAsia="宋体" w:cs="宋体"/>
          <w:sz w:val="24"/>
          <w:szCs w:val="24"/>
          <w:highlight w:val="none"/>
        </w:rPr>
        <w:t>3.4.1</w:t>
      </w:r>
      <w:r>
        <w:rPr>
          <w:rFonts w:hint="eastAsia" w:ascii="宋体" w:hAnsi="宋体" w:eastAsia="宋体" w:cs="宋体"/>
          <w:sz w:val="24"/>
          <w:szCs w:val="24"/>
          <w:lang w:val="zh-CN"/>
        </w:rPr>
        <w:t xml:space="preserve"> 投标人得分=</w:t>
      </w:r>
      <w:r>
        <w:rPr>
          <w:rFonts w:hint="eastAsia" w:ascii="宋体" w:hAnsi="宋体" w:eastAsia="宋体" w:cs="宋体"/>
          <w:sz w:val="24"/>
          <w:szCs w:val="24"/>
          <w:highlight w:val="none"/>
          <w:lang w:val="zh-CN"/>
        </w:rPr>
        <w:t>投标报价得分+技术部分得分+</w:t>
      </w:r>
      <w:r>
        <w:rPr>
          <w:rFonts w:hint="eastAsia" w:ascii="宋体" w:hAnsi="宋体" w:cs="宋体"/>
          <w:sz w:val="24"/>
          <w:szCs w:val="24"/>
          <w:highlight w:val="none"/>
          <w:lang w:val="zh-CN"/>
        </w:rPr>
        <w:t>综合部分</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rPr>
        <w:t>3.4.2</w:t>
      </w:r>
      <w:r>
        <w:rPr>
          <w:rFonts w:hint="eastAsia" w:ascii="宋体" w:hAnsi="宋体" w:cs="宋体"/>
          <w:sz w:val="24"/>
          <w:szCs w:val="24"/>
          <w:lang w:val="en-US" w:eastAsia="zh-CN"/>
        </w:rPr>
        <w:t xml:space="preserve"> </w:t>
      </w:r>
      <w:r>
        <w:rPr>
          <w:rFonts w:hint="eastAsia" w:ascii="宋体" w:hAnsi="宋体" w:eastAsia="宋体" w:cs="宋体"/>
          <w:sz w:val="24"/>
          <w:szCs w:val="24"/>
          <w:lang w:val="zh-CN"/>
        </w:rPr>
        <w:t>投标人最终得分为评标委员会完成评审后所有评分的算术平均值，作为该投标人最终得分。</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rPr>
        <w:t xml:space="preserve">3.4.3 </w:t>
      </w:r>
      <w:r>
        <w:rPr>
          <w:rFonts w:hint="eastAsia" w:ascii="宋体" w:hAnsi="宋体" w:eastAsia="宋体" w:cs="宋体"/>
          <w:sz w:val="24"/>
          <w:szCs w:val="24"/>
          <w:lang w:val="zh-CN"/>
        </w:rPr>
        <w:t>投标人最终得分相同的，投标报价</w:t>
      </w:r>
      <w:r>
        <w:rPr>
          <w:rFonts w:hint="eastAsia" w:ascii="宋体" w:hAnsi="宋体" w:eastAsia="宋体" w:cs="宋体"/>
          <w:sz w:val="24"/>
          <w:szCs w:val="24"/>
        </w:rPr>
        <w:t>低</w:t>
      </w:r>
      <w:r>
        <w:rPr>
          <w:rFonts w:hint="eastAsia" w:ascii="宋体" w:hAnsi="宋体" w:eastAsia="宋体" w:cs="宋体"/>
          <w:sz w:val="24"/>
          <w:szCs w:val="24"/>
          <w:lang w:val="zh-CN"/>
        </w:rPr>
        <w:t>的优先，</w:t>
      </w:r>
      <w:r>
        <w:rPr>
          <w:rFonts w:hint="eastAsia" w:ascii="宋体" w:hAnsi="宋体" w:eastAsia="宋体" w:cs="宋体"/>
          <w:sz w:val="24"/>
          <w:szCs w:val="24"/>
        </w:rPr>
        <w:t>投标报价也相同的以技术得分高的优先，技术得分也相同的由采购人自行确定</w:t>
      </w:r>
      <w:r>
        <w:rPr>
          <w:rFonts w:hint="eastAsia" w:ascii="宋体" w:hAnsi="宋体" w:eastAsia="宋体" w:cs="宋体"/>
          <w:sz w:val="24"/>
          <w:szCs w:val="24"/>
          <w:lang w:val="zh-CN"/>
        </w:rPr>
        <w:t>。</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rPr>
        <w:t xml:space="preserve">3.4.4 </w:t>
      </w:r>
      <w:r>
        <w:rPr>
          <w:rFonts w:hint="eastAsia" w:ascii="宋体" w:hAnsi="宋体" w:eastAsia="宋体" w:cs="宋体"/>
          <w:sz w:val="24"/>
          <w:szCs w:val="24"/>
          <w:lang w:val="zh-CN"/>
        </w:rPr>
        <w:t>计分过程中按四舍五入的法则，最终结果取至小数点后两位。</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rPr>
        <w:t xml:space="preserve">3.4.5 </w:t>
      </w:r>
      <w:r>
        <w:rPr>
          <w:rFonts w:hint="eastAsia" w:ascii="宋体" w:hAnsi="宋体" w:eastAsia="宋体" w:cs="宋体"/>
          <w:sz w:val="24"/>
          <w:szCs w:val="24"/>
          <w:lang w:val="zh-CN"/>
        </w:rPr>
        <w:t>评标委员会按照得分由高到低的顺序推荐</w:t>
      </w:r>
      <w:r>
        <w:rPr>
          <w:rFonts w:hint="eastAsia" w:ascii="宋体" w:hAnsi="宋体" w:eastAsia="宋体" w:cs="宋体"/>
          <w:sz w:val="24"/>
          <w:szCs w:val="24"/>
        </w:rPr>
        <w:t>1-3名</w:t>
      </w:r>
      <w:r>
        <w:rPr>
          <w:rFonts w:hint="eastAsia" w:ascii="宋体" w:hAnsi="宋体" w:eastAsia="宋体" w:cs="宋体"/>
          <w:sz w:val="24"/>
          <w:szCs w:val="24"/>
          <w:lang w:val="zh-CN"/>
        </w:rPr>
        <w:t>中标候选人。</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rPr>
        <w:t xml:space="preserve">3.4.6 </w:t>
      </w:r>
      <w:r>
        <w:rPr>
          <w:rFonts w:hint="eastAsia" w:ascii="宋体" w:hAnsi="宋体" w:eastAsia="宋体" w:cs="宋体"/>
          <w:sz w:val="24"/>
          <w:szCs w:val="24"/>
          <w:lang w:val="zh-CN"/>
        </w:rPr>
        <w:t>评标委员会完成评标后，应当向采购人提交书面评标报告。</w:t>
      </w:r>
    </w:p>
    <w:p>
      <w:pPr>
        <w:pageBreakBefore w:val="0"/>
        <w:widowControl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sz w:val="24"/>
          <w:szCs w:val="24"/>
          <w:lang w:val="zh-CN"/>
        </w:rPr>
      </w:pPr>
      <w:r>
        <w:rPr>
          <w:rFonts w:hint="eastAsia" w:ascii="宋体" w:hAnsi="宋体" w:eastAsia="宋体" w:cs="宋体"/>
          <w:b/>
          <w:bCs/>
          <w:sz w:val="24"/>
          <w:szCs w:val="24"/>
        </w:rPr>
        <w:t xml:space="preserve">3.5 </w:t>
      </w:r>
      <w:r>
        <w:rPr>
          <w:rFonts w:hint="eastAsia" w:ascii="宋体" w:hAnsi="宋体" w:eastAsia="宋体" w:cs="宋体"/>
          <w:b/>
          <w:bCs/>
          <w:sz w:val="24"/>
          <w:szCs w:val="24"/>
          <w:lang w:val="zh-CN"/>
        </w:rPr>
        <w:t>顺延中标人或重新招标</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中标人因不可抗力不能履行政府采购合同的，采购人可以与排位在中标人之后第一位的中标候选人签订政府采购合同，或者重新采购。</w:t>
      </w:r>
    </w:p>
    <w:p>
      <w:pPr>
        <w:pageBreakBefore w:val="0"/>
        <w:widowControl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sz w:val="24"/>
          <w:szCs w:val="24"/>
        </w:rPr>
      </w:pPr>
      <w:bookmarkStart w:id="265" w:name="_Toc17922"/>
      <w:bookmarkStart w:id="266" w:name="_Toc11630"/>
      <w:bookmarkStart w:id="267" w:name="_Toc19590"/>
      <w:bookmarkStart w:id="268" w:name="_Toc28863"/>
      <w:bookmarkStart w:id="269" w:name="_Toc7468"/>
      <w:bookmarkStart w:id="270" w:name="_Toc16293"/>
      <w:bookmarkStart w:id="271" w:name="_Toc54"/>
      <w:r>
        <w:rPr>
          <w:rFonts w:hint="eastAsia" w:ascii="宋体" w:hAnsi="宋体" w:eastAsia="宋体" w:cs="宋体"/>
          <w:b/>
          <w:bCs/>
          <w:sz w:val="24"/>
          <w:szCs w:val="24"/>
        </w:rPr>
        <w:t>3.6 保密及其他注意事项</w:t>
      </w:r>
      <w:bookmarkEnd w:id="265"/>
      <w:bookmarkEnd w:id="266"/>
      <w:bookmarkEnd w:id="267"/>
      <w:bookmarkEnd w:id="268"/>
      <w:bookmarkEnd w:id="269"/>
      <w:bookmarkEnd w:id="270"/>
      <w:bookmarkEnd w:id="271"/>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rPr>
        <w:t xml:space="preserve">3.6.1 </w:t>
      </w:r>
      <w:r>
        <w:rPr>
          <w:rFonts w:hint="eastAsia" w:ascii="宋体" w:hAnsi="宋体" w:eastAsia="宋体" w:cs="宋体"/>
          <w:sz w:val="24"/>
          <w:szCs w:val="24"/>
          <w:lang w:val="zh-CN"/>
        </w:rPr>
        <w:t>在评标期间，投标企业不得向评标委员会成员询问评标情况，不得进行旨在影响中标结果的活动。</w:t>
      </w:r>
    </w:p>
    <w:p>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rPr>
        <w:t xml:space="preserve">3.6.2 </w:t>
      </w:r>
      <w:r>
        <w:rPr>
          <w:rFonts w:hint="eastAsia" w:ascii="宋体" w:hAnsi="宋体" w:eastAsia="宋体" w:cs="宋体"/>
          <w:sz w:val="24"/>
          <w:szCs w:val="24"/>
          <w:lang w:val="zh-CN"/>
        </w:rPr>
        <w:t>在评标结束后，凡与评标情况有接触的任何人不得也不应将评标情况扩散出评标委员会成员之外。</w:t>
      </w:r>
    </w:p>
    <w:p>
      <w:pPr>
        <w:pageBreakBefore w:val="0"/>
        <w:widowControl w:val="0"/>
        <w:kinsoku/>
        <w:wordWrap/>
        <w:overflowPunct/>
        <w:topLinePunct w:val="0"/>
        <w:bidi w:val="0"/>
        <w:adjustRightInd w:val="0"/>
        <w:snapToGrid w:val="0"/>
        <w:spacing w:line="360" w:lineRule="auto"/>
        <w:ind w:firstLine="480" w:firstLineChars="200"/>
        <w:textAlignment w:val="auto"/>
        <w:rPr>
          <w:rFonts w:ascii="方正小标宋简体" w:hAnsi="方正小标宋简体" w:eastAsia="方正小标宋简体" w:cs="方正小标宋简体"/>
          <w:sz w:val="44"/>
          <w:szCs w:val="44"/>
        </w:rPr>
      </w:pPr>
      <w:r>
        <w:rPr>
          <w:rFonts w:hint="eastAsia" w:ascii="宋体" w:hAnsi="宋体" w:eastAsia="宋体" w:cs="宋体"/>
          <w:sz w:val="24"/>
          <w:szCs w:val="24"/>
        </w:rPr>
        <w:t>3.6.3</w:t>
      </w:r>
      <w:r>
        <w:rPr>
          <w:rFonts w:hint="eastAsia" w:ascii="宋体" w:hAnsi="宋体" w:eastAsia="宋体" w:cs="宋体"/>
          <w:sz w:val="24"/>
          <w:szCs w:val="24"/>
          <w:lang w:val="zh-CN"/>
        </w:rPr>
        <w:t>招标代理机构不向落标方解释落标原因，不退还投标文件。</w:t>
      </w:r>
    </w:p>
    <w:p>
      <w:pPr>
        <w:tabs>
          <w:tab w:val="left" w:pos="720"/>
        </w:tabs>
        <w:spacing w:line="440" w:lineRule="exact"/>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bCs/>
          <w:kern w:val="0"/>
          <w:szCs w:val="21"/>
        </w:rPr>
        <w:br w:type="page"/>
      </w:r>
    </w:p>
    <w:p>
      <w:pPr>
        <w:pStyle w:val="9"/>
        <w:numPr>
          <w:ilvl w:val="0"/>
          <w:numId w:val="4"/>
        </w:numPr>
        <w:bidi w:val="0"/>
      </w:pPr>
      <w:r>
        <w:rPr>
          <w:rFonts w:hint="eastAsia"/>
        </w:rPr>
        <w:t xml:space="preserve"> </w:t>
      </w:r>
      <w:bookmarkStart w:id="272" w:name="_Toc19372"/>
      <w:r>
        <w:rPr>
          <w:rFonts w:hint="eastAsia"/>
        </w:rPr>
        <w:t>合同条款及格式</w:t>
      </w:r>
      <w:bookmarkEnd w:id="247"/>
      <w:bookmarkEnd w:id="248"/>
      <w:bookmarkEnd w:id="249"/>
      <w:bookmarkEnd w:id="272"/>
    </w:p>
    <w:p>
      <w:pPr>
        <w:numPr>
          <w:ilvl w:val="0"/>
          <w:numId w:val="0"/>
        </w:numPr>
        <w:ind w:leftChars="0"/>
        <w:jc w:val="center"/>
        <w:rPr>
          <w:rFonts w:hint="default" w:eastAsia="宋体"/>
          <w:color w:val="auto"/>
          <w:highlight w:val="none"/>
          <w:lang w:val="en-US" w:eastAsia="zh-CN"/>
        </w:rPr>
      </w:pPr>
      <w:r>
        <w:rPr>
          <w:rFonts w:hint="eastAsia"/>
          <w:b/>
          <w:bCs/>
          <w:color w:val="auto"/>
          <w:sz w:val="28"/>
          <w:szCs w:val="28"/>
          <w:highlight w:val="none"/>
          <w:lang w:val="en-US" w:eastAsia="zh-CN"/>
        </w:rPr>
        <w:t>（仅供参考）</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甲方：（采购单位）</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甲、乙双方持采购人、采购代理公司签发的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采购项目</w:t>
      </w:r>
      <w:r>
        <w:rPr>
          <w:rFonts w:hint="eastAsia" w:asciiTheme="minorEastAsia" w:hAnsiTheme="minorEastAsia" w:eastAsiaTheme="minorEastAsia" w:cstheme="minorEastAsia"/>
          <w:color w:val="auto"/>
          <w:sz w:val="24"/>
          <w:szCs w:val="24"/>
          <w:highlight w:val="none"/>
          <w:lang w:val="en-US" w:eastAsia="zh-CN"/>
        </w:rPr>
        <w:t>中标</w:t>
      </w:r>
      <w:r>
        <w:rPr>
          <w:rFonts w:hint="eastAsia" w:asciiTheme="minorEastAsia" w:hAnsiTheme="minorEastAsia" w:eastAsiaTheme="minorEastAsia" w:cstheme="minorEastAsia"/>
          <w:color w:val="auto"/>
          <w:sz w:val="24"/>
          <w:szCs w:val="24"/>
          <w:highlight w:val="none"/>
        </w:rPr>
        <w:t>通知书，根据</w:t>
      </w:r>
      <w:r>
        <w:rPr>
          <w:rFonts w:hint="eastAsia" w:asciiTheme="minorEastAsia" w:hAnsiTheme="minorEastAsia" w:eastAsiaTheme="minorEastAsia" w:cstheme="minorEastAsia"/>
          <w:color w:val="auto"/>
          <w:sz w:val="24"/>
          <w:szCs w:val="24"/>
          <w:highlight w:val="none"/>
          <w:lang w:eastAsia="zh-CN"/>
        </w:rPr>
        <w:t>采购</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投标文件</w:t>
      </w:r>
      <w:r>
        <w:rPr>
          <w:rFonts w:hint="eastAsia" w:asciiTheme="minorEastAsia" w:hAnsiTheme="minorEastAsia" w:eastAsiaTheme="minorEastAsia" w:cstheme="minorEastAsia"/>
          <w:color w:val="auto"/>
          <w:sz w:val="24"/>
          <w:szCs w:val="24"/>
          <w:highlight w:val="none"/>
        </w:rPr>
        <w:t>文件的内容，并经双方协商一致，达成以下合同条款：</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一、本合同所指</w:t>
      </w:r>
      <w:r>
        <w:rPr>
          <w:rFonts w:hint="eastAsia" w:asciiTheme="minorEastAsia" w:hAnsiTheme="minorEastAsia" w:eastAsiaTheme="minorEastAsia" w:cstheme="minorEastAsia"/>
          <w:color w:val="auto"/>
          <w:sz w:val="24"/>
          <w:szCs w:val="24"/>
          <w:highlight w:val="none"/>
          <w:lang w:val="en-US" w:eastAsia="zh-CN"/>
        </w:rPr>
        <w:t>服务为招标文件、投标文件中的服务内容及要求，</w:t>
      </w:r>
      <w:r>
        <w:rPr>
          <w:rFonts w:hint="eastAsia" w:asciiTheme="minorEastAsia" w:hAnsiTheme="minorEastAsia" w:eastAsiaTheme="minorEastAsia" w:cstheme="minorEastAsia"/>
          <w:color w:val="auto"/>
          <w:sz w:val="24"/>
          <w:szCs w:val="24"/>
          <w:highlight w:val="none"/>
        </w:rPr>
        <w:t xml:space="preserve">合同总价款为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元（大写）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二、乙方提供的</w:t>
      </w:r>
      <w:r>
        <w:rPr>
          <w:rFonts w:hint="eastAsia" w:asciiTheme="minorEastAsia" w:hAnsiTheme="minorEastAsia" w:eastAsiaTheme="minorEastAsia" w:cstheme="minorEastAsia"/>
          <w:color w:val="auto"/>
          <w:sz w:val="24"/>
          <w:szCs w:val="24"/>
          <w:highlight w:val="none"/>
          <w:lang w:val="en-US" w:eastAsia="zh-CN"/>
        </w:rPr>
        <w:t>服务</w:t>
      </w:r>
      <w:r>
        <w:rPr>
          <w:rFonts w:hint="eastAsia" w:asciiTheme="minorEastAsia" w:hAnsiTheme="minorEastAsia" w:eastAsiaTheme="minorEastAsia" w:cstheme="minorEastAsia"/>
          <w:color w:val="auto"/>
          <w:sz w:val="24"/>
          <w:szCs w:val="24"/>
          <w:highlight w:val="none"/>
        </w:rPr>
        <w:t>达到乙方</w:t>
      </w:r>
      <w:r>
        <w:rPr>
          <w:rFonts w:hint="eastAsia" w:asciiTheme="minorEastAsia" w:hAnsiTheme="minorEastAsia" w:eastAsiaTheme="minorEastAsia" w:cstheme="minorEastAsia"/>
          <w:color w:val="auto"/>
          <w:sz w:val="24"/>
          <w:szCs w:val="24"/>
          <w:highlight w:val="none"/>
          <w:lang w:val="en-US" w:eastAsia="zh-CN"/>
        </w:rPr>
        <w:t>投标</w:t>
      </w:r>
      <w:r>
        <w:rPr>
          <w:rFonts w:hint="eastAsia" w:asciiTheme="minorEastAsia" w:hAnsiTheme="minorEastAsia" w:eastAsiaTheme="minorEastAsia" w:cstheme="minorEastAsia"/>
          <w:color w:val="auto"/>
          <w:sz w:val="24"/>
          <w:szCs w:val="24"/>
          <w:highlight w:val="none"/>
        </w:rPr>
        <w:t>文件及澄清中的技术标准。（售后服务要求按</w:t>
      </w:r>
      <w:r>
        <w:rPr>
          <w:rFonts w:hint="eastAsia" w:asciiTheme="minorEastAsia" w:hAnsiTheme="minorEastAsia" w:eastAsiaTheme="minorEastAsia" w:cstheme="minorEastAsia"/>
          <w:color w:val="auto"/>
          <w:sz w:val="24"/>
          <w:szCs w:val="24"/>
          <w:highlight w:val="none"/>
          <w:lang w:eastAsia="zh-CN"/>
        </w:rPr>
        <w:t>采购</w:t>
      </w:r>
      <w:r>
        <w:rPr>
          <w:rFonts w:hint="eastAsia" w:asciiTheme="minorEastAsia" w:hAnsiTheme="minorEastAsia" w:eastAsiaTheme="minorEastAsia" w:cstheme="minorEastAsia"/>
          <w:color w:val="auto"/>
          <w:sz w:val="24"/>
          <w:szCs w:val="24"/>
          <w:highlight w:val="none"/>
        </w:rPr>
        <w:t>文件及</w:t>
      </w:r>
      <w:r>
        <w:rPr>
          <w:rFonts w:hint="eastAsia" w:asciiTheme="minorEastAsia" w:hAnsiTheme="minorEastAsia" w:eastAsiaTheme="minorEastAsia" w:cstheme="minorEastAsia"/>
          <w:color w:val="auto"/>
          <w:sz w:val="24"/>
          <w:szCs w:val="24"/>
          <w:highlight w:val="none"/>
          <w:lang w:val="en-US" w:eastAsia="zh-CN"/>
        </w:rPr>
        <w:t>投标</w:t>
      </w:r>
      <w:r>
        <w:rPr>
          <w:rFonts w:hint="eastAsia" w:asciiTheme="minorEastAsia" w:hAnsiTheme="minorEastAsia" w:eastAsiaTheme="minorEastAsia" w:cstheme="minorEastAsia"/>
          <w:color w:val="auto"/>
          <w:sz w:val="24"/>
          <w:szCs w:val="24"/>
          <w:highlight w:val="none"/>
        </w:rPr>
        <w:t>文件相应条款制订）</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w:t>
      </w:r>
      <w:r>
        <w:rPr>
          <w:rFonts w:hint="eastAsia" w:asciiTheme="minorEastAsia" w:hAnsiTheme="minorEastAsia" w:eastAsiaTheme="minorEastAsia" w:cstheme="minorEastAsia"/>
          <w:color w:val="auto"/>
          <w:sz w:val="24"/>
          <w:szCs w:val="24"/>
          <w:highlight w:val="none"/>
          <w:lang w:val="en-US" w:eastAsia="zh-CN"/>
        </w:rPr>
        <w:t>服务内容、</w:t>
      </w:r>
      <w:r>
        <w:rPr>
          <w:rFonts w:hint="eastAsia" w:asciiTheme="minorEastAsia" w:hAnsiTheme="minorEastAsia" w:eastAsiaTheme="minorEastAsia" w:cstheme="minorEastAsia"/>
          <w:color w:val="auto"/>
          <w:sz w:val="24"/>
          <w:szCs w:val="24"/>
          <w:highlight w:val="none"/>
        </w:rPr>
        <w:t>时间、地点、方式、验收：</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乙方应于202</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 xml:space="preserve">年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月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日前按甲方要求在</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达到验收条件。</w:t>
      </w:r>
      <w:r>
        <w:rPr>
          <w:rFonts w:hint="eastAsia" w:asciiTheme="minorEastAsia" w:hAnsiTheme="minorEastAsia" w:eastAsiaTheme="minorEastAsia" w:cstheme="minorEastAsia"/>
          <w:color w:val="auto"/>
          <w:sz w:val="24"/>
          <w:szCs w:val="24"/>
          <w:highlight w:val="none"/>
          <w:lang w:val="en-US" w:eastAsia="zh-CN"/>
        </w:rPr>
        <w:t>所</w:t>
      </w:r>
      <w:r>
        <w:rPr>
          <w:rFonts w:hint="eastAsia" w:asciiTheme="minorEastAsia" w:hAnsiTheme="minorEastAsia" w:eastAsiaTheme="minorEastAsia" w:cstheme="minorEastAsia"/>
          <w:color w:val="auto"/>
          <w:sz w:val="24"/>
          <w:szCs w:val="24"/>
          <w:highlight w:val="none"/>
        </w:rPr>
        <w:t>产生的费用由乙方负责。由甲方组织相关人员进行验收。</w:t>
      </w:r>
    </w:p>
    <w:p>
      <w:pPr>
        <w:pageBreakBefore w:val="0"/>
        <w:numPr>
          <w:ilvl w:val="0"/>
          <w:numId w:val="9"/>
        </w:numPr>
        <w:kinsoku/>
        <w:wordWrap/>
        <w:overflowPunct/>
        <w:topLinePunct w:val="0"/>
        <w:bidi w:val="0"/>
        <w:adjustRightInd w:val="0"/>
        <w:spacing w:beforeAutospacing="0" w:afterAutospacing="0" w:line="360" w:lineRule="auto"/>
        <w:ind w:left="-60" w:leftChars="0" w:firstLine="480" w:firstLineChars="0"/>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付款方式</w:t>
      </w:r>
      <w:r>
        <w:rPr>
          <w:rFonts w:hint="eastAsia" w:asciiTheme="minorEastAsia" w:hAnsiTheme="minorEastAsia" w:eastAsiaTheme="minorEastAsia" w:cstheme="minorEastAsia"/>
          <w:color w:val="auto"/>
          <w:sz w:val="24"/>
          <w:szCs w:val="24"/>
          <w:highlight w:val="none"/>
          <w:lang w:val="en-US" w:eastAsia="zh-CN"/>
        </w:rPr>
        <w:t>：项目签订合同后10个工作日内，一次性支付合同总价款的70%；待项目成果文件通过评审并提交成果起10个工作日内，一次性支付合同总价款的30%。</w:t>
      </w:r>
    </w:p>
    <w:p>
      <w:pPr>
        <w:pageBreakBefore w:val="0"/>
        <w:numPr>
          <w:ilvl w:val="0"/>
          <w:numId w:val="9"/>
        </w:numPr>
        <w:kinsoku/>
        <w:wordWrap/>
        <w:overflowPunct/>
        <w:topLinePunct w:val="0"/>
        <w:bidi w:val="0"/>
        <w:adjustRightInd w:val="0"/>
        <w:spacing w:beforeAutospacing="0" w:afterAutospacing="0" w:line="360" w:lineRule="auto"/>
        <w:ind w:left="-60" w:leftChars="0" w:firstLine="480" w:firstLineChars="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违约责任：甲方无正当理由拒付款的，向乙方偿付拒收拒付款总额的________违约金。</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乙方所</w:t>
      </w:r>
      <w:r>
        <w:rPr>
          <w:rFonts w:hint="eastAsia" w:asciiTheme="minorEastAsia" w:hAnsiTheme="minorEastAsia" w:eastAsiaTheme="minorEastAsia" w:cstheme="minorEastAsia"/>
          <w:color w:val="auto"/>
          <w:sz w:val="24"/>
          <w:szCs w:val="24"/>
          <w:highlight w:val="none"/>
          <w:lang w:val="en-US" w:eastAsia="zh-CN"/>
        </w:rPr>
        <w:t>提供的服务不</w:t>
      </w:r>
      <w:r>
        <w:rPr>
          <w:rFonts w:hint="eastAsia" w:asciiTheme="minorEastAsia" w:hAnsiTheme="minorEastAsia" w:eastAsiaTheme="minorEastAsia" w:cstheme="minorEastAsia"/>
          <w:color w:val="auto"/>
          <w:sz w:val="24"/>
          <w:szCs w:val="24"/>
          <w:highlight w:val="none"/>
        </w:rPr>
        <w:t>符合合同规定，甲方有权拒</w:t>
      </w:r>
      <w:r>
        <w:rPr>
          <w:rFonts w:hint="eastAsia" w:asciiTheme="minorEastAsia" w:hAnsiTheme="minorEastAsia" w:eastAsiaTheme="minorEastAsia" w:cstheme="minorEastAsia"/>
          <w:color w:val="auto"/>
          <w:sz w:val="24"/>
          <w:szCs w:val="24"/>
          <w:highlight w:val="none"/>
          <w:lang w:val="en-US" w:eastAsia="zh-CN"/>
        </w:rPr>
        <w:t>决</w:t>
      </w:r>
      <w:r>
        <w:rPr>
          <w:rFonts w:hint="eastAsia" w:asciiTheme="minorEastAsia" w:hAnsiTheme="minorEastAsia" w:eastAsiaTheme="minorEastAsia" w:cstheme="minorEastAsia"/>
          <w:color w:val="auto"/>
          <w:sz w:val="24"/>
          <w:szCs w:val="24"/>
          <w:highlight w:val="none"/>
        </w:rPr>
        <w:t>，乙方应负责</w:t>
      </w:r>
      <w:r>
        <w:rPr>
          <w:rFonts w:hint="eastAsia" w:asciiTheme="minorEastAsia" w:hAnsiTheme="minorEastAsia" w:eastAsiaTheme="minorEastAsia" w:cstheme="minorEastAsia"/>
          <w:color w:val="auto"/>
          <w:sz w:val="24"/>
          <w:szCs w:val="24"/>
          <w:highlight w:val="none"/>
          <w:lang w:val="en-US" w:eastAsia="zh-CN"/>
        </w:rPr>
        <w:t>更改至符合采购人要求</w:t>
      </w:r>
      <w:r>
        <w:rPr>
          <w:rFonts w:hint="eastAsia" w:asciiTheme="minorEastAsia" w:hAnsiTheme="minorEastAsia" w:eastAsiaTheme="minorEastAsia" w:cstheme="minorEastAsia"/>
          <w:color w:val="auto"/>
          <w:sz w:val="24"/>
          <w:szCs w:val="24"/>
          <w:highlight w:val="none"/>
        </w:rPr>
        <w:t>支付的全部实际费用。</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乙方不能交付</w:t>
      </w:r>
      <w:r>
        <w:rPr>
          <w:rFonts w:hint="eastAsia" w:asciiTheme="minorEastAsia" w:hAnsiTheme="minorEastAsia" w:eastAsiaTheme="minorEastAsia" w:cstheme="minorEastAsia"/>
          <w:color w:val="auto"/>
          <w:sz w:val="24"/>
          <w:szCs w:val="24"/>
          <w:highlight w:val="none"/>
          <w:lang w:val="en-US" w:eastAsia="zh-CN"/>
        </w:rPr>
        <w:t>按要求提供服务</w:t>
      </w:r>
      <w:r>
        <w:rPr>
          <w:rFonts w:hint="eastAsia" w:asciiTheme="minorEastAsia" w:hAnsiTheme="minorEastAsia" w:eastAsiaTheme="minorEastAsia" w:cstheme="minorEastAsia"/>
          <w:color w:val="auto"/>
          <w:sz w:val="24"/>
          <w:szCs w:val="24"/>
          <w:highlight w:val="none"/>
        </w:rPr>
        <w:t>的，乙方向甲方支付未交付部分款总额____违约金。</w:t>
      </w:r>
    </w:p>
    <w:p>
      <w:pPr>
        <w:pageBreakBefore w:val="0"/>
        <w:kinsoku/>
        <w:wordWrap/>
        <w:overflowPunct/>
        <w:topLinePunct w:val="0"/>
        <w:bidi w:val="0"/>
        <w:adjustRightInd w:val="0"/>
        <w:spacing w:beforeAutospacing="0" w:afterAutospacing="0" w:line="360" w:lineRule="auto"/>
        <w:ind w:firstLine="240" w:firstLineChars="1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六、因货物的质量问题发生争议，由甲方所在地市级技术监督单位进行质量鉴定。</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七、甲乙双方应严格遵守投标要求和</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须知，如有违反，按投标要求和</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须知规定予以处理。</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w:t>
      </w:r>
      <w:r>
        <w:rPr>
          <w:rFonts w:hint="eastAsia" w:asciiTheme="minorEastAsia" w:hAnsiTheme="minorEastAsia" w:eastAsiaTheme="minorEastAsia" w:cstheme="minorEastAsia"/>
          <w:color w:val="auto"/>
          <w:sz w:val="24"/>
          <w:szCs w:val="24"/>
          <w:highlight w:val="none"/>
          <w:lang w:eastAsia="zh-CN"/>
        </w:rPr>
        <w:t>采购</w:t>
      </w:r>
      <w:r>
        <w:rPr>
          <w:rFonts w:hint="eastAsia" w:asciiTheme="minorEastAsia" w:hAnsiTheme="minorEastAsia" w:eastAsiaTheme="minorEastAsia" w:cstheme="minorEastAsia"/>
          <w:color w:val="auto"/>
          <w:sz w:val="24"/>
          <w:szCs w:val="24"/>
          <w:highlight w:val="none"/>
        </w:rPr>
        <w:t>文件及其修改补充、投标文件及其修改补充澄清均为本合同的组成部分。</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九、本合同发生争议时双方应按合同条款协商解决。双方协商不成的，可以根据仲裁协议向当地仲裁机构申请仲裁。当事人没有订立仲裁协议或者仲裁协议无效的，可以向当地人民法院起诉。</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十、合同生效及其它：</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本合同经甲、乙双方代表签字、加盖公章和骑缝章后生效。本合同一式五份，甲乙双方各持两份。</w:t>
      </w:r>
      <w:r>
        <w:rPr>
          <w:rFonts w:hint="eastAsia" w:asciiTheme="minorEastAsia" w:hAnsiTheme="minorEastAsia" w:eastAsiaTheme="minorEastAsia" w:cstheme="minorEastAsia"/>
          <w:color w:val="auto"/>
          <w:sz w:val="24"/>
          <w:szCs w:val="24"/>
          <w:highlight w:val="none"/>
          <w:lang w:val="en-US" w:eastAsia="zh-CN"/>
        </w:rPr>
        <w:t>合同签订后在2个工作日内，采购人将合同在焦作市政府采购网公示并备案。</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 xml:space="preserve">              甲方：</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 xml:space="preserve">              地址：</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                   法定代表人：</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委托代理人：                   委托代理人：</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 xml:space="preserve">                         电话：</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开户银行：</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 xml:space="preserve">                  开户银行：</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银行账号：</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 xml:space="preserve">                  银行账号：</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4"/>
          <w:szCs w:val="24"/>
          <w:highlight w:val="none"/>
        </w:rPr>
        <w:t>签约时间：                     签约地点：</w:t>
      </w:r>
    </w:p>
    <w:p>
      <w:pPr>
        <w:pageBreakBefore w:val="0"/>
        <w:kinsoku/>
        <w:wordWrap/>
        <w:overflowPunct/>
        <w:topLinePunct w:val="0"/>
        <w:bidi w:val="0"/>
        <w:adjustRightInd w:val="0"/>
        <w:spacing w:beforeAutospacing="0" w:afterAutospacing="0" w:line="360" w:lineRule="auto"/>
        <w:ind w:firstLine="422" w:firstLineChars="200"/>
        <w:textAlignment w:val="baseline"/>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重要提示</w:t>
      </w:r>
      <w:r>
        <w:rPr>
          <w:rFonts w:hint="eastAsia" w:asciiTheme="minorEastAsia" w:hAnsiTheme="minorEastAsia" w:eastAsiaTheme="minorEastAsia" w:cstheme="minorEastAsia"/>
          <w:b/>
          <w:bCs/>
          <w:color w:val="auto"/>
          <w:sz w:val="21"/>
          <w:szCs w:val="21"/>
          <w:highlight w:val="none"/>
        </w:rPr>
        <w:t>：以上合同文本</w:t>
      </w:r>
      <w:r>
        <w:rPr>
          <w:rFonts w:hint="eastAsia" w:asciiTheme="minorEastAsia" w:hAnsiTheme="minorEastAsia" w:eastAsiaTheme="minorEastAsia" w:cstheme="minorEastAsia"/>
          <w:b/>
          <w:bCs/>
          <w:color w:val="auto"/>
          <w:sz w:val="21"/>
          <w:szCs w:val="21"/>
          <w:highlight w:val="none"/>
          <w:lang w:val="en-US" w:eastAsia="zh-CN"/>
        </w:rPr>
        <w:t>作为签订合同的重要依据，涉及付款方式、投标人名称等实质性内容不得变更。</w:t>
      </w:r>
    </w:p>
    <w:p>
      <w:pPr>
        <w:bidi w:val="0"/>
        <w:rPr>
          <w:rFonts w:hint="eastAsia"/>
        </w:rPr>
      </w:pPr>
    </w:p>
    <w:p>
      <w:pPr>
        <w:bidi w:val="0"/>
      </w:pPr>
    </w:p>
    <w:p>
      <w:pPr>
        <w:bidi w:val="0"/>
      </w:pPr>
      <w:bookmarkStart w:id="273" w:name="_Toc12807"/>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rPr>
          <w:rFonts w:hint="eastAsia"/>
          <w:b/>
          <w:bCs/>
          <w:sz w:val="32"/>
          <w:szCs w:val="32"/>
        </w:rPr>
      </w:pPr>
      <w:r>
        <w:rPr>
          <w:rFonts w:hint="eastAsia"/>
          <w:b/>
          <w:bCs/>
          <w:sz w:val="32"/>
          <w:szCs w:val="32"/>
        </w:rPr>
        <w:br w:type="page"/>
      </w:r>
    </w:p>
    <w:p>
      <w:pPr>
        <w:pStyle w:val="9"/>
        <w:bidi w:val="0"/>
      </w:pPr>
      <w:bookmarkStart w:id="274" w:name="_Toc25654"/>
      <w:r>
        <w:rPr>
          <w:rFonts w:hint="eastAsia"/>
        </w:rPr>
        <w:t>第五章</w:t>
      </w:r>
      <w:r>
        <w:rPr>
          <w:rFonts w:hint="eastAsia"/>
          <w:lang w:val="en-US" w:eastAsia="zh-CN"/>
        </w:rPr>
        <w:t xml:space="preserve">  采购</w:t>
      </w:r>
      <w:r>
        <w:rPr>
          <w:rFonts w:hint="eastAsia"/>
        </w:rPr>
        <w:t>内容及</w:t>
      </w:r>
      <w:r>
        <w:rPr>
          <w:rFonts w:hint="eastAsia"/>
          <w:lang w:val="en-US" w:eastAsia="zh-CN"/>
        </w:rPr>
        <w:t>要求</w:t>
      </w:r>
      <w:bookmarkEnd w:id="273"/>
      <w:bookmarkEnd w:id="274"/>
      <w:bookmarkStart w:id="275" w:name="_Toc426369533"/>
      <w:bookmarkStart w:id="276" w:name="_Toc403122572"/>
      <w:bookmarkStart w:id="277" w:name="_Toc790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本项目采购内容主要包含：1、新一轮林地保护利用规划（2021-2035年）工作。2、第二次森林资源普查。3、2023年度林草、草原、湿地图斑监测和样地调查工作。</w:t>
      </w:r>
    </w:p>
    <w:p>
      <w:pPr>
        <w:pStyle w:val="5"/>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482" w:firstLineChars="200"/>
        <w:jc w:val="both"/>
        <w:textAlignment w:val="auto"/>
        <w:rPr>
          <w:rFonts w:hint="eastAsia" w:eastAsia="宋体" w:cs="Times New Roman"/>
          <w:b/>
          <w:bCs/>
          <w:color w:val="auto"/>
          <w:kern w:val="2"/>
          <w:sz w:val="24"/>
          <w:szCs w:val="24"/>
          <w:u w:val="none"/>
          <w:lang w:val="en-US" w:eastAsia="zh-CN" w:bidi="ar-SA"/>
        </w:rPr>
      </w:pPr>
      <w:r>
        <w:rPr>
          <w:rFonts w:hint="eastAsia" w:eastAsia="宋体" w:cs="Times New Roman"/>
          <w:b/>
          <w:bCs/>
          <w:color w:val="auto"/>
          <w:kern w:val="2"/>
          <w:sz w:val="24"/>
          <w:szCs w:val="24"/>
          <w:u w:val="none"/>
          <w:lang w:val="en-US" w:eastAsia="zh-CN" w:bidi="ar-SA"/>
        </w:rPr>
        <w:t>采购服务要求</w:t>
      </w:r>
    </w:p>
    <w:p>
      <w:pPr>
        <w:pStyle w:val="2"/>
        <w:widowControl w:val="0"/>
        <w:numPr>
          <w:ilvl w:val="0"/>
          <w:numId w:val="11"/>
        </w:numPr>
        <w:spacing w:after="120"/>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新一轮林地保护利用规划（2021-2035年）工作</w:t>
      </w:r>
    </w:p>
    <w:p>
      <w:pPr>
        <w:pStyle w:val="5"/>
        <w:keepNext w:val="0"/>
        <w:keepLines w:val="0"/>
        <w:pageBreakBefore w:val="0"/>
        <w:widowControl w:val="0"/>
        <w:numPr>
          <w:ilvl w:val="0"/>
          <w:numId w:val="0"/>
        </w:numPr>
        <w:wordWrap/>
        <w:overflowPunct/>
        <w:topLinePunct w:val="0"/>
        <w:bidi w:val="0"/>
        <w:spacing w:after="0"/>
        <w:ind w:firstLine="482" w:firstLineChars="200"/>
        <w:jc w:val="both"/>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（1）项目服务内容</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林地保护利用规划是对区域范围内林地保护利用做出总体安排和综合部署,是对省级林地保护利用规划的细化落实和具体安排，侧重实施性。</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1、查清林地利用现状和发展潜力，将现有林地和规划用于林业发展的其他土地分解到镇，并落实到山头地块，建立林地管理档案；</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2、明确区域内林地保护利用的目标和任务；</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3、分解林地保护利用规划目标，进行林地保护利用的分区、分类、分级、分等，优化区域内的林地结构和空间布局；</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4、明确林地保护的对象、内容和措施；</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5、明确林地利用的方向、内容和措施。</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6、建立健全林地保护利用管理机制和措施。</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（2）成果要求</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（一）文本报告</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1、规划文本；</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2、规划说明。</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（二）规划图集</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1、林地与三区三线位置关系图；</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2、林地现状图；</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3、林地结构图；</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4、林地结构规划图；</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5、林地保护等级现状图；</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6、林地保护等级规划图；</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7、林地功能分区布局图。</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（三）规划附表</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1、林地面积规划统计表；</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2、森林面积蓄积规划统计表；</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3、国家级和省级公益林规划统计表；</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4、林地生产力规划统计表；</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5、林地保护等级面积统计表。</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（四）数据库录入</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1、行政界线数据库录入；</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lang w:val="en-US" w:eastAsia="zh-CN"/>
        </w:rPr>
      </w:pPr>
      <w:r>
        <w:rPr>
          <w:rFonts w:hint="eastAsia" w:asciiTheme="minorEastAsia" w:hAnsiTheme="minorEastAsia" w:eastAsiaTheme="minorEastAsia" w:cstheme="minorEastAsia"/>
          <w:sz w:val="24"/>
          <w:szCs w:val="24"/>
          <w:lang w:val="en-US" w:eastAsia="zh-CN"/>
        </w:rPr>
        <w:t>2、林地保护利用规划数据库录入。</w:t>
      </w:r>
    </w:p>
    <w:p>
      <w:pPr>
        <w:keepNext w:val="0"/>
        <w:keepLines w:val="0"/>
        <w:pageBreakBefore w:val="0"/>
        <w:wordWrap/>
        <w:overflowPunct/>
        <w:topLinePunct w:val="0"/>
        <w:bidi w:val="0"/>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2、第二次森林资源普查</w:t>
      </w:r>
    </w:p>
    <w:p>
      <w:pPr>
        <w:pStyle w:val="3"/>
        <w:keepNext w:val="0"/>
        <w:keepLines w:val="0"/>
        <w:pageBreakBefore w:val="0"/>
        <w:widowControl/>
        <w:kinsoku w:val="0"/>
        <w:wordWrap/>
        <w:overflowPunct/>
        <w:topLinePunct w:val="0"/>
        <w:autoSpaceDE w:val="0"/>
        <w:autoSpaceDN w:val="0"/>
        <w:bidi w:val="0"/>
        <w:adjustRightInd w:val="0"/>
        <w:snapToGrid w:val="0"/>
        <w:spacing w:after="0" w:line="360" w:lineRule="auto"/>
        <w:ind w:firstLine="474" w:firstLineChars="200"/>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2"/>
          <w:sz w:val="24"/>
          <w:szCs w:val="24"/>
          <w:lang w:val="en-US" w:eastAsia="zh-CN"/>
        </w:rPr>
        <w:t>（1）</w:t>
      </w:r>
      <w:r>
        <w:rPr>
          <w:rFonts w:hint="eastAsia" w:asciiTheme="minorEastAsia" w:hAnsiTheme="minorEastAsia" w:eastAsiaTheme="minorEastAsia" w:cstheme="minorEastAsia"/>
          <w:b/>
          <w:bCs/>
          <w:spacing w:val="-2"/>
          <w:sz w:val="24"/>
          <w:szCs w:val="24"/>
        </w:rPr>
        <w:t>项目服务内容</w:t>
      </w:r>
    </w:p>
    <w:p>
      <w:pPr>
        <w:pStyle w:val="3"/>
        <w:keepNext w:val="0"/>
        <w:keepLines w:val="0"/>
        <w:pageBreakBefore w:val="0"/>
        <w:widowControl/>
        <w:kinsoku w:val="0"/>
        <w:wordWrap/>
        <w:overflowPunct/>
        <w:topLinePunct w:val="0"/>
        <w:autoSpaceDE w:val="0"/>
        <w:autoSpaceDN w:val="0"/>
        <w:bidi w:val="0"/>
        <w:adjustRightInd w:val="0"/>
        <w:snapToGrid w:val="0"/>
        <w:spacing w:after="0" w:line="360" w:lineRule="auto"/>
        <w:ind w:firstLine="468"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（一）编制工作方案</w:t>
      </w:r>
    </w:p>
    <w:p>
      <w:pPr>
        <w:pStyle w:val="3"/>
        <w:keepNext w:val="0"/>
        <w:keepLines w:val="0"/>
        <w:pageBreakBefore w:val="0"/>
        <w:widowControl/>
        <w:kinsoku w:val="0"/>
        <w:wordWrap/>
        <w:overflowPunct/>
        <w:topLinePunct w:val="0"/>
        <w:autoSpaceDE w:val="0"/>
        <w:autoSpaceDN w:val="0"/>
        <w:bidi w:val="0"/>
        <w:adjustRightInd w:val="0"/>
        <w:snapToGrid w:val="0"/>
        <w:spacing w:after="0" w:line="360" w:lineRule="auto"/>
        <w:ind w:firstLine="472"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编制《</w:t>
      </w:r>
      <w:r>
        <w:rPr>
          <w:rFonts w:hint="eastAsia" w:asciiTheme="minorEastAsia" w:hAnsiTheme="minorEastAsia" w:eastAsiaTheme="minorEastAsia" w:cstheme="minorEastAsia"/>
          <w:spacing w:val="-2"/>
          <w:sz w:val="24"/>
          <w:szCs w:val="24"/>
          <w:lang w:eastAsia="zh-CN"/>
        </w:rPr>
        <w:t>博爱县</w:t>
      </w:r>
      <w:r>
        <w:rPr>
          <w:rFonts w:hint="eastAsia" w:asciiTheme="minorEastAsia" w:hAnsiTheme="minorEastAsia" w:eastAsiaTheme="minorEastAsia" w:cstheme="minorEastAsia"/>
          <w:spacing w:val="-2"/>
          <w:sz w:val="24"/>
          <w:szCs w:val="24"/>
        </w:rPr>
        <w:t>第二次森林资源普查工作方案</w:t>
      </w:r>
      <w:r>
        <w:rPr>
          <w:rFonts w:hint="eastAsia" w:asciiTheme="minorEastAsia" w:hAnsiTheme="minorEastAsia" w:eastAsiaTheme="minorEastAsia" w:cstheme="minorEastAsia"/>
          <w:spacing w:val="-3"/>
          <w:sz w:val="24"/>
          <w:szCs w:val="24"/>
        </w:rPr>
        <w:t>》。</w:t>
      </w:r>
    </w:p>
    <w:p>
      <w:pPr>
        <w:pStyle w:val="3"/>
        <w:keepNext w:val="0"/>
        <w:keepLines w:val="0"/>
        <w:pageBreakBefore w:val="0"/>
        <w:widowControl/>
        <w:kinsoku w:val="0"/>
        <w:wordWrap/>
        <w:overflowPunct/>
        <w:topLinePunct w:val="0"/>
        <w:autoSpaceDE w:val="0"/>
        <w:autoSpaceDN w:val="0"/>
        <w:bidi w:val="0"/>
        <w:adjustRightInd w:val="0"/>
        <w:snapToGrid w:val="0"/>
        <w:spacing w:after="0" w:line="360" w:lineRule="auto"/>
        <w:ind w:firstLine="46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（二）调查范围</w:t>
      </w:r>
    </w:p>
    <w:p>
      <w:pPr>
        <w:pStyle w:val="3"/>
        <w:keepNext w:val="0"/>
        <w:keepLines w:val="0"/>
        <w:pageBreakBefore w:val="0"/>
        <w:widowControl/>
        <w:kinsoku w:val="0"/>
        <w:wordWrap/>
        <w:overflowPunct/>
        <w:topLinePunct w:val="0"/>
        <w:autoSpaceDE w:val="0"/>
        <w:autoSpaceDN w:val="0"/>
        <w:bidi w:val="0"/>
        <w:adjustRightInd w:val="0"/>
        <w:snapToGrid w:val="0"/>
        <w:spacing w:after="0" w:line="360" w:lineRule="auto"/>
        <w:ind w:right="6" w:firstLine="46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1、“国土调查”林地。确保工作底图、最小调查</w:t>
      </w:r>
      <w:r>
        <w:rPr>
          <w:rFonts w:hint="eastAsia" w:asciiTheme="minorEastAsia" w:hAnsiTheme="minorEastAsia" w:eastAsiaTheme="minorEastAsia" w:cstheme="minorEastAsia"/>
          <w:spacing w:val="-6"/>
          <w:sz w:val="24"/>
          <w:szCs w:val="24"/>
        </w:rPr>
        <w:t>面积与“国土调查”保持一致。</w:t>
      </w:r>
    </w:p>
    <w:p>
      <w:pPr>
        <w:pStyle w:val="3"/>
        <w:keepNext w:val="0"/>
        <w:keepLines w:val="0"/>
        <w:pageBreakBefore w:val="0"/>
        <w:widowControl/>
        <w:kinsoku w:val="0"/>
        <w:wordWrap/>
        <w:overflowPunct/>
        <w:topLinePunct w:val="0"/>
        <w:autoSpaceDE w:val="0"/>
        <w:autoSpaceDN w:val="0"/>
        <w:bidi w:val="0"/>
        <w:adjustRightInd w:val="0"/>
        <w:snapToGrid w:val="0"/>
        <w:spacing w:after="0" w:line="360" w:lineRule="auto"/>
        <w:ind w:right="107" w:firstLine="452" w:firstLineChars="200"/>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7"/>
          <w:sz w:val="24"/>
          <w:szCs w:val="24"/>
        </w:rPr>
        <w:t>2、对国土“非林地”上连片面积达400m²以上片林(含灌木林，下同)和</w:t>
      </w:r>
      <w:r>
        <w:rPr>
          <w:rFonts w:hint="eastAsia" w:asciiTheme="minorEastAsia" w:hAnsiTheme="minorEastAsia" w:eastAsiaTheme="minorEastAsia" w:cstheme="minorEastAsia"/>
          <w:spacing w:val="-8"/>
          <w:sz w:val="24"/>
          <w:szCs w:val="24"/>
        </w:rPr>
        <w:t>林带(含灌木林，下同)进行小班(图斑)区划调查，</w:t>
      </w:r>
      <w:r>
        <w:rPr>
          <w:rFonts w:hint="eastAsia" w:asciiTheme="minorEastAsia" w:hAnsiTheme="minorEastAsia" w:eastAsiaTheme="minorEastAsia" w:cstheme="minorEastAsia"/>
          <w:spacing w:val="-9"/>
          <w:sz w:val="24"/>
          <w:szCs w:val="24"/>
        </w:rPr>
        <w:t>为充分反映各地城乡绿化尤其是森林城市</w:t>
      </w:r>
      <w:r>
        <w:rPr>
          <w:rFonts w:hint="eastAsia" w:asciiTheme="minorEastAsia" w:hAnsiTheme="minorEastAsia" w:eastAsiaTheme="minorEastAsia" w:cstheme="minorEastAsia"/>
          <w:spacing w:val="2"/>
          <w:sz w:val="24"/>
          <w:szCs w:val="24"/>
        </w:rPr>
        <w:t>和森林乡村建设的成效，对城镇、乡村建设用地也按照国土“非林地”的片林和林</w:t>
      </w:r>
      <w:r>
        <w:rPr>
          <w:rFonts w:hint="eastAsia" w:asciiTheme="minorEastAsia" w:hAnsiTheme="minorEastAsia" w:eastAsiaTheme="minorEastAsia" w:cstheme="minorEastAsia"/>
          <w:spacing w:val="-2"/>
          <w:sz w:val="24"/>
          <w:szCs w:val="24"/>
        </w:rPr>
        <w:t>带调查内容进行调查，从而为全口径测算碳汇提供有效数据。</w:t>
      </w:r>
    </w:p>
    <w:p>
      <w:pPr>
        <w:pStyle w:val="3"/>
        <w:keepNext w:val="0"/>
        <w:keepLines w:val="0"/>
        <w:pageBreakBefore w:val="0"/>
        <w:widowControl/>
        <w:kinsoku w:val="0"/>
        <w:wordWrap/>
        <w:overflowPunct/>
        <w:topLinePunct w:val="0"/>
        <w:autoSpaceDE w:val="0"/>
        <w:autoSpaceDN w:val="0"/>
        <w:bidi w:val="0"/>
        <w:adjustRightInd w:val="0"/>
        <w:snapToGrid w:val="0"/>
        <w:spacing w:after="0" w:line="360" w:lineRule="auto"/>
        <w:ind w:firstLine="464"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（三）调查内容</w:t>
      </w:r>
    </w:p>
    <w:p>
      <w:pPr>
        <w:keepNext w:val="0"/>
        <w:keepLines w:val="0"/>
        <w:pageBreakBefore w:val="0"/>
        <w:wordWrap/>
        <w:overflowPunct/>
        <w:topLinePunct w:val="0"/>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1、核对调查范围的各种境界线，并在经营管理范围内，以原有森林经营区划为基础结合实际情况调整森林经营区划；</w:t>
      </w:r>
    </w:p>
    <w:p>
      <w:pPr>
        <w:pStyle w:val="3"/>
        <w:keepNext w:val="0"/>
        <w:keepLines w:val="0"/>
        <w:pageBreakBefore w:val="0"/>
        <w:widowControl/>
        <w:kinsoku w:val="0"/>
        <w:wordWrap/>
        <w:overflowPunct/>
        <w:topLinePunct w:val="0"/>
        <w:autoSpaceDE w:val="0"/>
        <w:autoSpaceDN w:val="0"/>
        <w:bidi w:val="0"/>
        <w:adjustRightInd w:val="0"/>
        <w:snapToGrid w:val="0"/>
        <w:spacing w:after="0" w:line="360" w:lineRule="auto"/>
        <w:ind w:firstLine="468"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2、调查各类林地面积及其权属和土地管理属性；</w:t>
      </w:r>
    </w:p>
    <w:p>
      <w:pPr>
        <w:keepNext w:val="0"/>
        <w:keepLines w:val="0"/>
        <w:pageBreakBefore w:val="0"/>
        <w:wordWrap/>
        <w:overflowPunct/>
        <w:topLinePunct w:val="0"/>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3、查清全区森林资源的种类、分布、数量、结构、质量、功能和生态状况以及变化情况等，获取全省森林覆盖率、森林蓄积量等指标数据。具体包括：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（1）调查各小班立地因子，包括地貌、海拔、坡向、坡位、坡度、土壤类型、土壤质地、土壤砾石含量、土层厚度、腐殖质厚度、枯枝落叶厚度等。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调查各小班(包括非林地上的片林和林带)的植被因子和林分因子，植被因子包括植被类型、灌木覆盖度、灌木平均高、草本覆盖度、草本平均高、植被总覆盖度、植被覆盖类型；林分因子包括起源、优势树种、树种组成、平均年龄、平均胸径、平均树高、龄组、径组、经济林产期、群落结构、树种结构、林层结构、林龄结构、郁闭度、自然度、可及度、森林灾害类型、森林灾害等级、森林健康等级、活立木蓄积、林分蓄积、公顷株数、小班公顷蓄积、毛竹株数、其他竹株数、人工林类型、天然更新等级。</w:t>
      </w:r>
    </w:p>
    <w:p>
      <w:pPr>
        <w:pStyle w:val="3"/>
        <w:keepNext w:val="0"/>
        <w:keepLines w:val="0"/>
        <w:pageBreakBefore w:val="0"/>
        <w:widowControl/>
        <w:kinsoku w:val="0"/>
        <w:wordWrap/>
        <w:overflowPunct/>
        <w:topLinePunct w:val="0"/>
        <w:autoSpaceDE w:val="0"/>
        <w:autoSpaceDN w:val="0"/>
        <w:bidi w:val="0"/>
        <w:adjustRightInd w:val="0"/>
        <w:snapToGrid w:val="0"/>
        <w:spacing w:after="0" w:line="360" w:lineRule="auto"/>
        <w:ind w:left="82" w:right="24" w:firstLine="452"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（3）落实各小班管理因子，包括土地所有权、土地使用权、林木所有权、林木</w:t>
      </w:r>
      <w:r>
        <w:rPr>
          <w:rFonts w:hint="eastAsia" w:asciiTheme="minorEastAsia" w:hAnsiTheme="minorEastAsia" w:eastAsiaTheme="minorEastAsia" w:cstheme="minorEastAsia"/>
          <w:spacing w:val="1"/>
          <w:sz w:val="24"/>
          <w:szCs w:val="24"/>
        </w:rPr>
        <w:t>使用权、森林(林地)类别、林种、公益林事权等级、国家级公益林(地)保护等级、</w:t>
      </w:r>
      <w:r>
        <w:rPr>
          <w:rFonts w:hint="eastAsia" w:asciiTheme="minorEastAsia" w:hAnsiTheme="minorEastAsia" w:eastAsiaTheme="minorEastAsia" w:cstheme="minorEastAsia"/>
          <w:spacing w:val="2"/>
          <w:sz w:val="24"/>
          <w:szCs w:val="24"/>
        </w:rPr>
        <w:t>公益林实际管理单位、商品林经营等级、林分出材率等级</w:t>
      </w:r>
      <w:r>
        <w:rPr>
          <w:rFonts w:hint="eastAsia" w:asciiTheme="minorEastAsia" w:hAnsiTheme="minorEastAsia" w:eastAsiaTheme="minorEastAsia" w:cstheme="minorEastAsia"/>
          <w:spacing w:val="1"/>
          <w:sz w:val="24"/>
          <w:szCs w:val="24"/>
        </w:rPr>
        <w:t>、工程类别、地类变化原</w:t>
      </w:r>
      <w:r>
        <w:rPr>
          <w:rFonts w:hint="eastAsia" w:asciiTheme="minorEastAsia" w:hAnsiTheme="minorEastAsia" w:eastAsiaTheme="minorEastAsia" w:cstheme="minorEastAsia"/>
          <w:spacing w:val="-2"/>
          <w:sz w:val="24"/>
          <w:szCs w:val="24"/>
        </w:rPr>
        <w:t>因、地类变化年度、抚育措施类型、林地质量等级、林地保护等级、土地退化类型、</w:t>
      </w:r>
      <w:r>
        <w:rPr>
          <w:rFonts w:hint="eastAsia" w:asciiTheme="minorEastAsia" w:hAnsiTheme="minorEastAsia" w:eastAsiaTheme="minorEastAsia" w:cstheme="minorEastAsia"/>
          <w:spacing w:val="2"/>
          <w:sz w:val="24"/>
          <w:szCs w:val="24"/>
        </w:rPr>
        <w:t>林地功能分区、国土空间规划分区、林地规划管理、生态区位、区位名称、不一致</w:t>
      </w:r>
      <w:r>
        <w:rPr>
          <w:rFonts w:hint="eastAsia" w:asciiTheme="minorEastAsia" w:hAnsiTheme="minorEastAsia" w:eastAsiaTheme="minorEastAsia" w:cstheme="minorEastAsia"/>
          <w:spacing w:val="-8"/>
          <w:sz w:val="24"/>
          <w:szCs w:val="24"/>
        </w:rPr>
        <w:t>小班标注。</w:t>
      </w:r>
    </w:p>
    <w:p>
      <w:pPr>
        <w:pStyle w:val="3"/>
        <w:keepNext w:val="0"/>
        <w:keepLines w:val="0"/>
        <w:pageBreakBefore w:val="0"/>
        <w:widowControl/>
        <w:kinsoku w:val="0"/>
        <w:wordWrap/>
        <w:overflowPunct/>
        <w:topLinePunct w:val="0"/>
        <w:autoSpaceDE w:val="0"/>
        <w:autoSpaceDN w:val="0"/>
        <w:bidi w:val="0"/>
        <w:adjustRightInd w:val="0"/>
        <w:snapToGrid w:val="0"/>
        <w:spacing w:after="0" w:line="360" w:lineRule="auto"/>
        <w:ind w:firstLine="476"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（4）调查四旁树和散生木的株数、蓄积</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根据系统抽样数据获取</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4、结合森林经营规划和森林经营方案编制有关要求，从科学经营角度出发，调查森林经营条件、提出经营规划措施，评价经营成效。</w:t>
      </w:r>
    </w:p>
    <w:p>
      <w:pPr>
        <w:pStyle w:val="3"/>
        <w:keepNext w:val="0"/>
        <w:keepLines w:val="0"/>
        <w:pageBreakBefore w:val="0"/>
        <w:widowControl/>
        <w:kinsoku w:val="0"/>
        <w:wordWrap/>
        <w:overflowPunct/>
        <w:topLinePunct w:val="0"/>
        <w:autoSpaceDE w:val="0"/>
        <w:autoSpaceDN w:val="0"/>
        <w:bidi w:val="0"/>
        <w:adjustRightInd w:val="0"/>
        <w:snapToGrid w:val="0"/>
        <w:spacing w:after="0" w:line="360" w:lineRule="auto"/>
        <w:ind w:firstLine="468"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（四）调查方法和步骤</w:t>
      </w:r>
    </w:p>
    <w:p>
      <w:pPr>
        <w:keepNext w:val="0"/>
        <w:keepLines w:val="0"/>
        <w:pageBreakBefore w:val="0"/>
        <w:wordWrap/>
        <w:overflowPunct/>
        <w:topLinePunct w:val="0"/>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本次调查采取系统抽样调查与小班调查、地面调查与遥感判读、定期普查与年度变更调查相结合方法进行调查。</w:t>
      </w:r>
    </w:p>
    <w:p>
      <w:pPr>
        <w:pStyle w:val="3"/>
        <w:keepNext w:val="0"/>
        <w:keepLines w:val="0"/>
        <w:pageBreakBefore w:val="0"/>
        <w:widowControl/>
        <w:kinsoku w:val="0"/>
        <w:wordWrap/>
        <w:overflowPunct/>
        <w:topLinePunct w:val="0"/>
        <w:autoSpaceDE w:val="0"/>
        <w:autoSpaceDN w:val="0"/>
        <w:bidi w:val="0"/>
        <w:adjustRightInd w:val="0"/>
        <w:snapToGrid w:val="0"/>
        <w:spacing w:after="0" w:afterAutospacing="0" w:line="360" w:lineRule="auto"/>
        <w:ind w:firstLine="46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1、系统抽样调查</w:t>
      </w:r>
    </w:p>
    <w:p>
      <w:pPr>
        <w:pStyle w:val="3"/>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360" w:lineRule="auto"/>
        <w:ind w:right="7" w:firstLine="516"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以经营单位或县级行政单位为总体进行总体蓄积量</w:t>
      </w:r>
      <w:r>
        <w:rPr>
          <w:rFonts w:hint="eastAsia" w:asciiTheme="minorEastAsia" w:hAnsiTheme="minorEastAsia" w:eastAsiaTheme="minorEastAsia" w:cstheme="minorEastAsia"/>
          <w:spacing w:val="8"/>
          <w:sz w:val="24"/>
          <w:szCs w:val="24"/>
        </w:rPr>
        <w:t>抽样控制，调查面积小于</w:t>
      </w:r>
      <w:r>
        <w:rPr>
          <w:rFonts w:hint="eastAsia" w:asciiTheme="minorEastAsia" w:hAnsiTheme="minorEastAsia" w:eastAsiaTheme="minorEastAsia" w:cstheme="minorEastAsia"/>
          <w:spacing w:val="-3"/>
          <w:sz w:val="24"/>
          <w:szCs w:val="24"/>
        </w:rPr>
        <w:t>5000hm</w:t>
      </w:r>
      <w:r>
        <w:rPr>
          <w:rFonts w:hint="eastAsia" w:asciiTheme="minorEastAsia" w:hAnsiTheme="minorEastAsia" w:eastAsiaTheme="minorEastAsia" w:cstheme="minorEastAsia"/>
          <w:spacing w:val="-3"/>
          <w:sz w:val="24"/>
          <w:szCs w:val="24"/>
          <w:vertAlign w:val="superscript"/>
        </w:rPr>
        <w:t>2</w:t>
      </w:r>
      <w:r>
        <w:rPr>
          <w:rFonts w:hint="eastAsia" w:asciiTheme="minorEastAsia" w:hAnsiTheme="minorEastAsia" w:eastAsiaTheme="minorEastAsia" w:cstheme="minorEastAsia"/>
          <w:spacing w:val="-3"/>
          <w:sz w:val="24"/>
          <w:szCs w:val="24"/>
        </w:rPr>
        <w:t>或森林覆盖率小于15%（以国家林业和草原局下发的2021年森林资源管理</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spacing w:val="-11"/>
          <w:sz w:val="24"/>
          <w:szCs w:val="24"/>
        </w:rPr>
        <w:t>一张图</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spacing w:val="-11"/>
          <w:sz w:val="24"/>
          <w:szCs w:val="24"/>
        </w:rPr>
        <w:t>年度变更成果数据库为准）的单位可以不进行抽样控制，但各级小班（图斑）</w:t>
      </w:r>
      <w:r>
        <w:rPr>
          <w:rFonts w:hint="eastAsia" w:asciiTheme="minorEastAsia" w:hAnsiTheme="minorEastAsia" w:eastAsiaTheme="minorEastAsia" w:cstheme="minorEastAsia"/>
          <w:spacing w:val="-1"/>
          <w:sz w:val="24"/>
          <w:szCs w:val="24"/>
        </w:rPr>
        <w:t>外业质量检查数量增加1倍：也可以与相邻经营单位联合进行抽样控制</w:t>
      </w:r>
      <w:r>
        <w:rPr>
          <w:rFonts w:hint="eastAsia" w:asciiTheme="minorEastAsia" w:hAnsiTheme="minorEastAsia" w:eastAsiaTheme="minorEastAsia" w:cstheme="minorEastAsia"/>
          <w:spacing w:val="-2"/>
          <w:sz w:val="24"/>
          <w:szCs w:val="24"/>
        </w:rPr>
        <w:t>，但应保证控制范围内调查方法和调查时间的一致性。</w:t>
      </w:r>
    </w:p>
    <w:p>
      <w:pPr>
        <w:pStyle w:val="3"/>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360" w:lineRule="auto"/>
        <w:ind w:right="108" w:firstLine="468"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预估总体蓄积量变动系数，系统布设样点，用角规控制检尺样点</w:t>
      </w:r>
      <w:r>
        <w:rPr>
          <w:rFonts w:hint="eastAsia" w:asciiTheme="minorEastAsia" w:hAnsiTheme="minorEastAsia" w:eastAsiaTheme="minorEastAsia" w:cstheme="minorEastAsia"/>
          <w:spacing w:val="-4"/>
          <w:sz w:val="24"/>
          <w:szCs w:val="24"/>
        </w:rPr>
        <w:t>进行蓄积量调</w:t>
      </w:r>
      <w:r>
        <w:rPr>
          <w:rFonts w:hint="eastAsia" w:asciiTheme="minorEastAsia" w:hAnsiTheme="minorEastAsia" w:eastAsiaTheme="minorEastAsia" w:cstheme="minorEastAsia"/>
          <w:spacing w:val="-10"/>
          <w:sz w:val="24"/>
          <w:szCs w:val="24"/>
        </w:rPr>
        <w:t>查；平原地区建议采用方形样地（0.08公顷，28.28m</w:t>
      </w:r>
      <w:r>
        <w:rPr>
          <w:rFonts w:hint="eastAsia" w:asciiTheme="minorEastAsia" w:hAnsiTheme="minorEastAsia" w:eastAsiaTheme="minorEastAsia" w:cstheme="minorEastAsia"/>
          <w:spacing w:val="-11"/>
          <w:sz w:val="24"/>
          <w:szCs w:val="24"/>
        </w:rPr>
        <w:t>x28.28m）进行蓄积量调查，方</w:t>
      </w:r>
      <w:r>
        <w:rPr>
          <w:rFonts w:hint="eastAsia" w:asciiTheme="minorEastAsia" w:hAnsiTheme="minorEastAsia" w:eastAsiaTheme="minorEastAsia" w:cstheme="minorEastAsia"/>
          <w:spacing w:val="2"/>
          <w:sz w:val="24"/>
          <w:szCs w:val="24"/>
        </w:rPr>
        <w:t>形样地的调查方法和内容与河南省森林样地（省、市蓄积系统抽样控制）调查技术</w:t>
      </w:r>
      <w:r>
        <w:rPr>
          <w:rFonts w:hint="eastAsia" w:asciiTheme="minorEastAsia" w:hAnsiTheme="minorEastAsia" w:eastAsiaTheme="minorEastAsia" w:cstheme="minorEastAsia"/>
          <w:spacing w:val="-3"/>
          <w:sz w:val="24"/>
          <w:szCs w:val="24"/>
        </w:rPr>
        <w:t>细则的加密样地要求一致。</w:t>
      </w:r>
    </w:p>
    <w:p>
      <w:pPr>
        <w:pStyle w:val="3"/>
        <w:keepNext w:val="0"/>
        <w:keepLines w:val="0"/>
        <w:pageBreakBefore w:val="0"/>
        <w:widowControl/>
        <w:kinsoku w:val="0"/>
        <w:wordWrap/>
        <w:overflowPunct/>
        <w:topLinePunct w:val="0"/>
        <w:autoSpaceDE w:val="0"/>
        <w:autoSpaceDN w:val="0"/>
        <w:bidi w:val="0"/>
        <w:adjustRightInd w:val="0"/>
        <w:snapToGrid w:val="0"/>
        <w:spacing w:beforeAutospacing="0" w:after="0" w:line="360" w:lineRule="auto"/>
        <w:ind w:firstLine="468"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2、森林经营区划调查</w:t>
      </w:r>
    </w:p>
    <w:p>
      <w:pPr>
        <w:pStyle w:val="3"/>
        <w:keepNext w:val="0"/>
        <w:keepLines w:val="0"/>
        <w:pageBreakBefore w:val="0"/>
        <w:widowControl/>
        <w:kinsoku w:val="0"/>
        <w:wordWrap/>
        <w:overflowPunct/>
        <w:topLinePunct w:val="0"/>
        <w:autoSpaceDE w:val="0"/>
        <w:autoSpaceDN w:val="0"/>
        <w:bidi w:val="0"/>
        <w:adjustRightInd w:val="0"/>
        <w:snapToGrid w:val="0"/>
        <w:spacing w:after="0" w:line="360" w:lineRule="auto"/>
        <w:ind w:firstLine="436"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工作步骤：</w:t>
      </w:r>
    </w:p>
    <w:p>
      <w:pPr>
        <w:keepNext w:val="0"/>
        <w:keepLines w:val="0"/>
        <w:pageBreakBefore w:val="0"/>
        <w:wordWrap/>
        <w:overflowPunct/>
        <w:topLinePunct w:val="0"/>
        <w:bidi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充分应用3S技术、数据库技术等，将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内业区划＋外业调查＋内业处理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有机结合，开展森林经营区划调查。</w:t>
      </w:r>
    </w:p>
    <w:p>
      <w:pPr>
        <w:pStyle w:val="3"/>
        <w:keepNext w:val="0"/>
        <w:keepLines w:val="0"/>
        <w:pageBreakBefore w:val="0"/>
        <w:widowControl/>
        <w:kinsoku w:val="0"/>
        <w:wordWrap/>
        <w:overflowPunct/>
        <w:topLinePunct w:val="0"/>
        <w:autoSpaceDE w:val="0"/>
        <w:autoSpaceDN w:val="0"/>
        <w:bidi w:val="0"/>
        <w:adjustRightInd w:val="0"/>
        <w:snapToGrid w:val="0"/>
        <w:spacing w:after="0" w:line="360" w:lineRule="auto"/>
        <w:ind w:right="38" w:firstLine="488"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（1）内业区划。叠加</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国土调查</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数据，确定调查范围、管理界线，转录</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国土</w:t>
      </w:r>
      <w:r>
        <w:rPr>
          <w:rFonts w:hint="eastAsia" w:asciiTheme="minorEastAsia" w:hAnsiTheme="minorEastAsia" w:eastAsiaTheme="minorEastAsia" w:cstheme="minorEastAsia"/>
          <w:spacing w:val="-10"/>
          <w:sz w:val="24"/>
          <w:szCs w:val="24"/>
        </w:rPr>
        <w:t>调查</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10"/>
          <w:sz w:val="24"/>
          <w:szCs w:val="24"/>
        </w:rPr>
        <w:t>属性因子等；依据国家公益林和省级公益林界线，在</w:t>
      </w:r>
      <w:r>
        <w:rPr>
          <w:rFonts w:hint="eastAsia" w:asciiTheme="minorEastAsia" w:hAnsiTheme="minorEastAsia" w:eastAsiaTheme="minorEastAsia" w:cstheme="minorEastAsia"/>
          <w:spacing w:val="-10"/>
          <w:sz w:val="24"/>
          <w:szCs w:val="24"/>
          <w:lang w:eastAsia="zh-CN"/>
        </w:rPr>
        <w:t>“</w:t>
      </w:r>
      <w:r>
        <w:rPr>
          <w:rFonts w:hint="eastAsia" w:asciiTheme="minorEastAsia" w:hAnsiTheme="minorEastAsia" w:eastAsiaTheme="minorEastAsia" w:cstheme="minorEastAsia"/>
          <w:spacing w:val="-10"/>
          <w:sz w:val="24"/>
          <w:szCs w:val="24"/>
        </w:rPr>
        <w:t>国土调查</w:t>
      </w:r>
      <w:r>
        <w:rPr>
          <w:rFonts w:hint="eastAsia" w:asciiTheme="minorEastAsia" w:hAnsiTheme="minorEastAsia" w:eastAsiaTheme="minorEastAsia" w:cstheme="minorEastAsia"/>
          <w:spacing w:val="-10"/>
          <w:sz w:val="24"/>
          <w:szCs w:val="24"/>
          <w:lang w:eastAsia="zh-CN"/>
        </w:rPr>
        <w:t>”</w:t>
      </w:r>
      <w:r>
        <w:rPr>
          <w:rFonts w:hint="eastAsia" w:asciiTheme="minorEastAsia" w:hAnsiTheme="minorEastAsia" w:eastAsiaTheme="minorEastAsia" w:cstheme="minorEastAsia"/>
          <w:spacing w:val="-10"/>
          <w:sz w:val="24"/>
          <w:szCs w:val="24"/>
        </w:rPr>
        <w:t>图斑内区划公益林小班；国有林场界（含林场界、林班界）、自然保护地和生态保护红线等界线，</w:t>
      </w:r>
      <w:r>
        <w:rPr>
          <w:rFonts w:hint="eastAsia" w:asciiTheme="minorEastAsia" w:hAnsiTheme="minorEastAsia" w:eastAsiaTheme="minorEastAsia" w:cstheme="minorEastAsia"/>
          <w:spacing w:val="2"/>
          <w:sz w:val="24"/>
          <w:szCs w:val="24"/>
        </w:rPr>
        <w:t>参考有关资料进行落实；根据影像进行判读勾绘，进一步确定小班边界，形成外业</w:t>
      </w:r>
      <w:r>
        <w:rPr>
          <w:rFonts w:hint="eastAsia" w:asciiTheme="minorEastAsia" w:hAnsiTheme="minorEastAsia" w:eastAsiaTheme="minorEastAsia" w:cstheme="minorEastAsia"/>
          <w:spacing w:val="-8"/>
          <w:sz w:val="24"/>
          <w:szCs w:val="24"/>
        </w:rPr>
        <w:t>调查底图。</w:t>
      </w:r>
    </w:p>
    <w:p>
      <w:pPr>
        <w:pStyle w:val="3"/>
        <w:keepNext w:val="0"/>
        <w:keepLines w:val="0"/>
        <w:pageBreakBefore w:val="0"/>
        <w:widowControl/>
        <w:kinsoku w:val="0"/>
        <w:wordWrap/>
        <w:overflowPunct/>
        <w:topLinePunct w:val="0"/>
        <w:autoSpaceDE w:val="0"/>
        <w:autoSpaceDN w:val="0"/>
        <w:bidi w:val="0"/>
        <w:adjustRightInd w:val="0"/>
        <w:snapToGrid w:val="0"/>
        <w:spacing w:after="0" w:line="360" w:lineRule="auto"/>
        <w:ind w:right="44" w:firstLine="456"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rPr>
        <w:t>（2）外业调查。以小班现地调查植被覆盖类型为准，根据现地</w:t>
      </w:r>
      <w:r>
        <w:rPr>
          <w:rFonts w:hint="eastAsia" w:asciiTheme="minorEastAsia" w:hAnsiTheme="minorEastAsia" w:eastAsiaTheme="minorEastAsia" w:cstheme="minorEastAsia"/>
          <w:spacing w:val="-7"/>
          <w:sz w:val="24"/>
          <w:szCs w:val="24"/>
        </w:rPr>
        <w:t>情况以及小班区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7"/>
          <w:sz w:val="24"/>
          <w:szCs w:val="24"/>
        </w:rPr>
        <w:t>开展因子调查。划条件，对判读区划结果，进行现地核实，与现地不符的进行修正</w:t>
      </w:r>
      <w:r>
        <w:rPr>
          <w:rFonts w:hint="eastAsia" w:asciiTheme="minorEastAsia" w:hAnsiTheme="minorEastAsia" w:eastAsiaTheme="minorEastAsia" w:cstheme="minorEastAsia"/>
          <w:spacing w:val="-17"/>
          <w:sz w:val="24"/>
          <w:szCs w:val="24"/>
          <w:lang w:eastAsia="zh-CN"/>
        </w:rPr>
        <w:t>。</w:t>
      </w:r>
    </w:p>
    <w:p>
      <w:pPr>
        <w:pStyle w:val="3"/>
        <w:keepNext w:val="0"/>
        <w:keepLines w:val="0"/>
        <w:pageBreakBefore w:val="0"/>
        <w:widowControl/>
        <w:kinsoku w:val="0"/>
        <w:wordWrap/>
        <w:overflowPunct/>
        <w:topLinePunct w:val="0"/>
        <w:autoSpaceDE w:val="0"/>
        <w:autoSpaceDN w:val="0"/>
        <w:bidi w:val="0"/>
        <w:adjustRightInd w:val="0"/>
        <w:snapToGrid w:val="0"/>
        <w:spacing w:after="0" w:line="360" w:lineRule="auto"/>
        <w:ind w:right="23" w:firstLine="452"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（3）内业处理。在保证图斑完整性的前提下进行细碎小班优化合并；小班面积</w:t>
      </w:r>
      <w:r>
        <w:rPr>
          <w:rFonts w:hint="eastAsia" w:asciiTheme="minorEastAsia" w:hAnsiTheme="minorEastAsia" w:eastAsiaTheme="minorEastAsia" w:cstheme="minorEastAsia"/>
          <w:spacing w:val="-11"/>
          <w:sz w:val="24"/>
          <w:szCs w:val="24"/>
        </w:rPr>
        <w:t>加权平差，确保各小班面积之和等于</w:t>
      </w:r>
      <w:r>
        <w:rPr>
          <w:rFonts w:hint="eastAsia" w:asciiTheme="minorEastAsia" w:hAnsiTheme="minorEastAsia" w:eastAsiaTheme="minorEastAsia" w:cstheme="minorEastAsia"/>
          <w:spacing w:val="-11"/>
          <w:sz w:val="24"/>
          <w:szCs w:val="24"/>
          <w:lang w:eastAsia="zh-CN"/>
        </w:rPr>
        <w:t>“</w:t>
      </w:r>
      <w:r>
        <w:rPr>
          <w:rFonts w:hint="eastAsia" w:asciiTheme="minorEastAsia" w:hAnsiTheme="minorEastAsia" w:eastAsiaTheme="minorEastAsia" w:cstheme="minorEastAsia"/>
          <w:spacing w:val="-11"/>
          <w:sz w:val="24"/>
          <w:szCs w:val="24"/>
        </w:rPr>
        <w:t>国土调查</w:t>
      </w:r>
      <w:r>
        <w:rPr>
          <w:rFonts w:hint="eastAsia" w:asciiTheme="minorEastAsia" w:hAnsiTheme="minorEastAsia" w:eastAsiaTheme="minorEastAsia" w:cstheme="minorEastAsia"/>
          <w:spacing w:val="-11"/>
          <w:sz w:val="24"/>
          <w:szCs w:val="24"/>
          <w:lang w:eastAsia="zh-CN"/>
        </w:rPr>
        <w:t>”</w:t>
      </w:r>
      <w:r>
        <w:rPr>
          <w:rFonts w:hint="eastAsia" w:asciiTheme="minorEastAsia" w:hAnsiTheme="minorEastAsia" w:eastAsiaTheme="minorEastAsia" w:cstheme="minorEastAsia"/>
          <w:spacing w:val="-11"/>
          <w:sz w:val="24"/>
          <w:szCs w:val="24"/>
        </w:rPr>
        <w:t>图斑面积；完善森林（林地）类别、</w:t>
      </w:r>
      <w:r>
        <w:rPr>
          <w:rFonts w:hint="eastAsia" w:asciiTheme="minorEastAsia" w:hAnsiTheme="minorEastAsia" w:eastAsiaTheme="minorEastAsia" w:cstheme="minorEastAsia"/>
          <w:spacing w:val="-4"/>
          <w:sz w:val="24"/>
          <w:szCs w:val="24"/>
        </w:rPr>
        <w:t>林地保护等级等管理因子。</w:t>
      </w:r>
    </w:p>
    <w:p>
      <w:pPr>
        <w:pStyle w:val="3"/>
        <w:keepNext w:val="0"/>
        <w:keepLines w:val="0"/>
        <w:pageBreakBefore w:val="0"/>
        <w:widowControl/>
        <w:kinsoku w:val="0"/>
        <w:wordWrap/>
        <w:overflowPunct/>
        <w:topLinePunct w:val="0"/>
        <w:autoSpaceDE w:val="0"/>
        <w:autoSpaceDN w:val="0"/>
        <w:bidi w:val="0"/>
        <w:adjustRightInd w:val="0"/>
        <w:snapToGrid w:val="0"/>
        <w:spacing w:after="0" w:line="360" w:lineRule="auto"/>
        <w:ind w:firstLine="466" w:firstLineChars="200"/>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4"/>
          <w:sz w:val="24"/>
          <w:szCs w:val="24"/>
          <w:lang w:val="en-US" w:eastAsia="zh-CN"/>
        </w:rPr>
        <w:t>（2）</w:t>
      </w:r>
      <w:r>
        <w:rPr>
          <w:rFonts w:hint="eastAsia" w:asciiTheme="minorEastAsia" w:hAnsiTheme="minorEastAsia" w:eastAsiaTheme="minorEastAsia" w:cstheme="minorEastAsia"/>
          <w:b/>
          <w:bCs/>
          <w:spacing w:val="-4"/>
          <w:sz w:val="24"/>
          <w:szCs w:val="24"/>
        </w:rPr>
        <w:t>编制提交调查成果及报告</w:t>
      </w:r>
    </w:p>
    <w:p>
      <w:pPr>
        <w:pStyle w:val="3"/>
        <w:keepNext w:val="0"/>
        <w:keepLines w:val="0"/>
        <w:pageBreakBefore w:val="0"/>
        <w:widowControl/>
        <w:kinsoku w:val="0"/>
        <w:wordWrap/>
        <w:overflowPunct/>
        <w:topLinePunct w:val="0"/>
        <w:autoSpaceDE w:val="0"/>
        <w:autoSpaceDN w:val="0"/>
        <w:bidi w:val="0"/>
        <w:adjustRightInd w:val="0"/>
        <w:snapToGrid w:val="0"/>
        <w:spacing w:after="0" w:line="360" w:lineRule="auto"/>
        <w:ind w:firstLine="472"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eastAsia="zh-CN"/>
        </w:rPr>
        <w:t>（一）</w:t>
      </w:r>
      <w:r>
        <w:rPr>
          <w:rFonts w:hint="eastAsia" w:asciiTheme="minorEastAsia" w:hAnsiTheme="minorEastAsia" w:eastAsiaTheme="minorEastAsia" w:cstheme="minorEastAsia"/>
          <w:spacing w:val="-2"/>
          <w:sz w:val="24"/>
          <w:szCs w:val="24"/>
        </w:rPr>
        <w:t>文字材料：</w:t>
      </w:r>
      <w:r>
        <w:rPr>
          <w:rFonts w:hint="eastAsia" w:asciiTheme="minorEastAsia" w:hAnsiTheme="minorEastAsia" w:eastAsiaTheme="minorEastAsia" w:cstheme="minorEastAsia"/>
          <w:spacing w:val="-2"/>
          <w:sz w:val="24"/>
          <w:szCs w:val="24"/>
          <w:lang w:eastAsia="zh-CN"/>
        </w:rPr>
        <w:t>博爱县</w:t>
      </w:r>
      <w:r>
        <w:rPr>
          <w:rFonts w:hint="eastAsia" w:asciiTheme="minorEastAsia" w:hAnsiTheme="minorEastAsia" w:eastAsiaTheme="minorEastAsia" w:cstheme="minorEastAsia"/>
          <w:spacing w:val="-2"/>
          <w:sz w:val="24"/>
          <w:szCs w:val="24"/>
        </w:rPr>
        <w:t>二类调查成果报告、质量</w:t>
      </w:r>
      <w:r>
        <w:rPr>
          <w:rFonts w:hint="eastAsia" w:asciiTheme="minorEastAsia" w:hAnsiTheme="minorEastAsia" w:eastAsiaTheme="minorEastAsia" w:cstheme="minorEastAsia"/>
          <w:spacing w:val="-3"/>
          <w:sz w:val="24"/>
          <w:szCs w:val="24"/>
        </w:rPr>
        <w:t>管理评价报告、工作总结报告。</w:t>
      </w:r>
    </w:p>
    <w:p>
      <w:pPr>
        <w:pStyle w:val="3"/>
        <w:keepNext w:val="0"/>
        <w:keepLines w:val="0"/>
        <w:pageBreakBefore w:val="0"/>
        <w:widowControl/>
        <w:kinsoku w:val="0"/>
        <w:wordWrap/>
        <w:overflowPunct/>
        <w:topLinePunct w:val="0"/>
        <w:autoSpaceDE w:val="0"/>
        <w:autoSpaceDN w:val="0"/>
        <w:bidi w:val="0"/>
        <w:adjustRightInd w:val="0"/>
        <w:snapToGrid w:val="0"/>
        <w:spacing w:after="0" w:line="360" w:lineRule="auto"/>
        <w:ind w:firstLine="476"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（二）</w:t>
      </w:r>
      <w:r>
        <w:rPr>
          <w:rFonts w:hint="eastAsia" w:asciiTheme="minorEastAsia" w:hAnsiTheme="minorEastAsia" w:eastAsiaTheme="minorEastAsia" w:cstheme="minorEastAsia"/>
          <w:spacing w:val="-1"/>
          <w:sz w:val="24"/>
          <w:szCs w:val="24"/>
        </w:rPr>
        <w:t>调查数据：</w:t>
      </w:r>
      <w:r>
        <w:rPr>
          <w:rFonts w:hint="eastAsia" w:asciiTheme="minorEastAsia" w:hAnsiTheme="minorEastAsia" w:eastAsiaTheme="minorEastAsia" w:cstheme="minorEastAsia"/>
          <w:spacing w:val="-1"/>
          <w:sz w:val="24"/>
          <w:szCs w:val="24"/>
          <w:lang w:eastAsia="zh-CN"/>
        </w:rPr>
        <w:t>博爱县</w:t>
      </w:r>
      <w:r>
        <w:rPr>
          <w:rFonts w:hint="eastAsia" w:asciiTheme="minorEastAsia" w:hAnsiTheme="minorEastAsia" w:eastAsiaTheme="minorEastAsia" w:cstheme="minorEastAsia"/>
          <w:spacing w:val="-1"/>
          <w:sz w:val="24"/>
          <w:szCs w:val="24"/>
        </w:rPr>
        <w:t>第二次森林资源普查数</w:t>
      </w:r>
      <w:r>
        <w:rPr>
          <w:rFonts w:hint="eastAsia" w:asciiTheme="minorEastAsia" w:hAnsiTheme="minorEastAsia" w:eastAsiaTheme="minorEastAsia" w:cstheme="minorEastAsia"/>
          <w:spacing w:val="-2"/>
          <w:sz w:val="24"/>
          <w:szCs w:val="24"/>
        </w:rPr>
        <w:t>据库</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包括小班和样地数据库</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w:t>
      </w:r>
    </w:p>
    <w:p>
      <w:pPr>
        <w:pStyle w:val="3"/>
        <w:keepNext w:val="0"/>
        <w:keepLines w:val="0"/>
        <w:pageBreakBefore w:val="0"/>
        <w:widowControl/>
        <w:kinsoku w:val="0"/>
        <w:wordWrap/>
        <w:overflowPunct/>
        <w:topLinePunct w:val="0"/>
        <w:autoSpaceDE w:val="0"/>
        <w:autoSpaceDN w:val="0"/>
        <w:bidi w:val="0"/>
        <w:adjustRightInd w:val="0"/>
        <w:snapToGrid w:val="0"/>
        <w:spacing w:after="0" w:line="360" w:lineRule="auto"/>
        <w:ind w:firstLine="472"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eastAsia="zh-CN"/>
        </w:rPr>
        <w:t>（三）</w:t>
      </w:r>
      <w:r>
        <w:rPr>
          <w:rFonts w:hint="eastAsia" w:asciiTheme="minorEastAsia" w:hAnsiTheme="minorEastAsia" w:eastAsiaTheme="minorEastAsia" w:cstheme="minorEastAsia"/>
          <w:spacing w:val="-2"/>
          <w:sz w:val="24"/>
          <w:szCs w:val="24"/>
        </w:rPr>
        <w:t>调查成果图集：</w:t>
      </w:r>
      <w:r>
        <w:rPr>
          <w:rFonts w:hint="eastAsia" w:asciiTheme="minorEastAsia" w:hAnsiTheme="minorEastAsia" w:eastAsiaTheme="minorEastAsia" w:cstheme="minorEastAsia"/>
          <w:spacing w:val="-2"/>
          <w:sz w:val="24"/>
          <w:szCs w:val="24"/>
          <w:lang w:eastAsia="zh-CN"/>
        </w:rPr>
        <w:t>博爱县</w:t>
      </w:r>
      <w:r>
        <w:rPr>
          <w:rFonts w:hint="eastAsia" w:asciiTheme="minorEastAsia" w:hAnsiTheme="minorEastAsia" w:eastAsiaTheme="minorEastAsia" w:cstheme="minorEastAsia"/>
          <w:spacing w:val="-2"/>
          <w:sz w:val="24"/>
          <w:szCs w:val="24"/>
        </w:rPr>
        <w:t>基本图、林相</w:t>
      </w:r>
      <w:r>
        <w:rPr>
          <w:rFonts w:hint="eastAsia" w:asciiTheme="minorEastAsia" w:hAnsiTheme="minorEastAsia" w:eastAsiaTheme="minorEastAsia" w:cstheme="minorEastAsia"/>
          <w:spacing w:val="-3"/>
          <w:sz w:val="24"/>
          <w:szCs w:val="24"/>
        </w:rPr>
        <w:t>图、森林分布图、分类经营区划图。</w:t>
      </w:r>
    </w:p>
    <w:p>
      <w:pPr>
        <w:keepNext w:val="0"/>
        <w:keepLines w:val="0"/>
        <w:pageBreakBefore w:val="0"/>
        <w:wordWrap/>
        <w:overflowPunct/>
        <w:topLinePunct w:val="0"/>
        <w:bidi w:val="0"/>
        <w:spacing w:line="360" w:lineRule="auto"/>
        <w:ind w:firstLine="464" w:firstLineChars="200"/>
        <w:rPr>
          <w:spacing w:val="-4"/>
        </w:rPr>
      </w:pPr>
      <w:r>
        <w:rPr>
          <w:rFonts w:hint="eastAsia" w:asciiTheme="minorEastAsia" w:hAnsiTheme="minorEastAsia" w:eastAsiaTheme="minorEastAsia" w:cstheme="minorEastAsia"/>
          <w:spacing w:val="-4"/>
          <w:sz w:val="24"/>
          <w:szCs w:val="24"/>
          <w:lang w:eastAsia="zh-CN"/>
        </w:rPr>
        <w:t>（四）</w:t>
      </w:r>
      <w:r>
        <w:rPr>
          <w:rFonts w:hint="eastAsia" w:asciiTheme="minorEastAsia" w:hAnsiTheme="minorEastAsia" w:eastAsiaTheme="minorEastAsia" w:cstheme="minorEastAsia"/>
          <w:spacing w:val="-4"/>
          <w:sz w:val="24"/>
          <w:szCs w:val="24"/>
        </w:rPr>
        <w:t>统计表：</w:t>
      </w:r>
      <w:r>
        <w:rPr>
          <w:rFonts w:hint="eastAsia" w:asciiTheme="minorEastAsia" w:hAnsiTheme="minorEastAsia" w:eastAsiaTheme="minorEastAsia" w:cstheme="minorEastAsia"/>
          <w:spacing w:val="-4"/>
          <w:sz w:val="24"/>
          <w:szCs w:val="24"/>
          <w:lang w:eastAsia="zh-CN"/>
        </w:rPr>
        <w:t>博爱县</w:t>
      </w:r>
      <w:r>
        <w:rPr>
          <w:rFonts w:hint="eastAsia" w:asciiTheme="minorEastAsia" w:hAnsiTheme="minorEastAsia" w:eastAsiaTheme="minorEastAsia" w:cstheme="minorEastAsia"/>
          <w:spacing w:val="-4"/>
          <w:sz w:val="24"/>
          <w:szCs w:val="24"/>
        </w:rPr>
        <w:t>森林资源二类调查成果统计表。</w:t>
      </w:r>
    </w:p>
    <w:p>
      <w:pPr>
        <w:keepNext w:val="0"/>
        <w:keepLines w:val="0"/>
        <w:pageBreakBefore w:val="0"/>
        <w:wordWrap/>
        <w:overflowPunct/>
        <w:topLinePunct w:val="0"/>
        <w:bidi w:val="0"/>
        <w:spacing w:line="360" w:lineRule="auto"/>
        <w:ind w:firstLine="602" w:firstLineChars="200"/>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3、2023年度林草、草原、湿地图斑监测和样地调查工作</w:t>
      </w:r>
    </w:p>
    <w:p>
      <w:pPr>
        <w:keepNext w:val="0"/>
        <w:keepLines w:val="0"/>
        <w:pageBreakBefore w:val="0"/>
        <w:wordWrap/>
        <w:overflowPunct/>
        <w:topLinePunct w:val="0"/>
        <w:bidi w:val="0"/>
        <w:spacing w:line="360" w:lineRule="auto"/>
        <w:ind w:firstLine="482" w:firstLineChars="20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（1）项目服务内容</w:t>
      </w:r>
    </w:p>
    <w:p>
      <w:pPr>
        <w:keepNext w:val="0"/>
        <w:keepLines w:val="0"/>
        <w:pageBreakBefore w:val="0"/>
        <w:wordWrap/>
        <w:overflowPunct/>
        <w:topLinePunct w:val="0"/>
        <w:bidi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图斑监测。以2022年度国土变更调查成果为底图，结合2022年林草湿调查监测成果，对国土变更调查确定的林地、草地、湿地图斑进行细化，参考遥感判读的林地、草地、湿地变化图斑，更新林草湿图斑和属性信息。开展图斑监测，包括林草湿图斑遥感判读、验证核实、数据更新、获取森林、草原、湿地种类、数量、分布现状及其变化数据。林地、草地、湿地地类变化图斑，涉及林地、草地、湿地转入转出的，应经各级自然资源主管部门与林业主管部门共同审核确认后,纳入国土变更调查和林草湿图斑监测成果。</w:t>
      </w:r>
    </w:p>
    <w:p>
      <w:pPr>
        <w:keepNext w:val="0"/>
        <w:keepLines w:val="0"/>
        <w:pageBreakBefore w:val="0"/>
        <w:wordWrap/>
        <w:overflowPunct/>
        <w:topLinePunct w:val="0"/>
        <w:bidi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（二）同步完成荒漠化（沙化）、石漠化土地监测，林草碳汇监测。</w:t>
      </w:r>
    </w:p>
    <w:p>
      <w:pPr>
        <w:keepNext w:val="0"/>
        <w:keepLines w:val="0"/>
        <w:pageBreakBefore w:val="0"/>
        <w:wordWrap/>
        <w:overflowPunct/>
        <w:topLinePunct w:val="0"/>
        <w:bidi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质量管控。按照质量管理要求，压实质量管控责任，开展分阶段、分工序、分层级质量检查，实现全过程质量管控。同时，各调查单位和技术服务单位在移交和使用相关资料数据时,要严格按照国家有关保密规定，切实做好安全保密工作。</w:t>
      </w:r>
    </w:p>
    <w:p>
      <w:pPr>
        <w:keepNext w:val="0"/>
        <w:keepLines w:val="0"/>
        <w:pageBreakBefore w:val="0"/>
        <w:wordWrap/>
        <w:overflowPunct/>
        <w:topLinePunct w:val="0"/>
        <w:bidi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数据库建设。在完善林地、草地、湿地、荒漠化/沙化/石漠化图斑监测和样地调查数据采集、处理、分析工具软件和管理平台的基础上，建立调查监测数据库，为国家林草生态网络感知系统、自然资源三维立体时空数据库和国土空间基础信息平台建设提供基础数据。</w:t>
      </w:r>
    </w:p>
    <w:p>
      <w:pPr>
        <w:keepNext w:val="0"/>
        <w:keepLines w:val="0"/>
        <w:pageBreakBefore w:val="0"/>
        <w:wordWrap/>
        <w:overflowPunct/>
        <w:topLinePunct w:val="0"/>
        <w:bidi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（五）统计分析。产出现状、动态和评价数据，编制林草湿生态综合监测成果。</w:t>
      </w:r>
    </w:p>
    <w:p>
      <w:pPr>
        <w:keepNext w:val="0"/>
        <w:keepLines w:val="0"/>
        <w:pageBreakBefore w:val="0"/>
        <w:wordWrap/>
        <w:overflowPunct/>
        <w:topLinePunct w:val="0"/>
        <w:bidi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做好与国土变更调查工作协同街接。各级林业主管部门对涉及林地、草地、湿地地类变化的图斑，按照2023年林草湿调查监测技术规程，参考现有资料，依据实地情况进行举证确认，并通过林草图斑监测软件、“国土调查云”软件拍摄包含图斑实地卫星定位坐标、拍摄方位角、拍摄时间的举证照片上传。地类变化图斑举证坚持应举尽举，对于人工拍摄困难的图斑，可以按照《国务院第三次全国国土调查领导小组办公室关于优化特殊地区举证方式的通知》等有关要求，采取无人机航拍摄影、亚米级高分辨率谣感影像、局部航空遥感影像举证、承诺举证等举证方式，结合建设项目使用林地审核审批、林木采伐许可证等审批的图斑证实图斑变化情况。各级自然资源主管部门和林业主管部门审核通过的变化图斑，应由同级自然资源主管部门纳入2023年度国土变更调查。各级自然资源主管部门审核未通过的图斑,林业主管部门认为应通过的，可由林业主管部门将变化图斑与举证材料单独建立数据包，报上级林业主管部门协调同级自然资源主管部门共同审核。</w:t>
      </w:r>
    </w:p>
    <w:p>
      <w:pPr>
        <w:keepNext w:val="0"/>
        <w:keepLines w:val="0"/>
        <w:pageBreakBefore w:val="0"/>
        <w:wordWrap/>
        <w:overflowPunct/>
        <w:topLinePunct w:val="0"/>
        <w:bidi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（七）继续开展第二次森林资源普查，将普查成果及时更新到林草湿生态综合监测数据库中。</w:t>
      </w:r>
    </w:p>
    <w:p>
      <w:pPr>
        <w:keepNext w:val="0"/>
        <w:keepLines w:val="0"/>
        <w:pageBreakBefore w:val="0"/>
        <w:wordWrap/>
        <w:overflowPunct/>
        <w:topLinePunct w:val="0"/>
        <w:bidi w:val="0"/>
        <w:spacing w:line="360" w:lineRule="auto"/>
        <w:ind w:firstLine="482" w:firstLineChars="20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（2）编制提交调查成果及报告</w:t>
      </w:r>
    </w:p>
    <w:p>
      <w:pPr>
        <w:keepNext w:val="0"/>
        <w:keepLines w:val="0"/>
        <w:pageBreakBefore w:val="0"/>
        <w:wordWrap/>
        <w:overflowPunct/>
        <w:topLinePunct w:val="0"/>
        <w:bidi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形成林草湿图斑监测成果，主要包括：</w:t>
      </w:r>
    </w:p>
    <w:p>
      <w:pPr>
        <w:keepNext w:val="0"/>
        <w:keepLines w:val="0"/>
        <w:pageBreakBefore w:val="0"/>
        <w:wordWrap/>
        <w:overflowPunct/>
        <w:topLinePunct w:val="0"/>
        <w:bidi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1.数据库。林草湿图斑监测数据库、样地（样方）调查数据库等。</w:t>
      </w:r>
    </w:p>
    <w:p>
      <w:pPr>
        <w:keepNext w:val="0"/>
        <w:keepLines w:val="0"/>
        <w:pageBreakBefore w:val="0"/>
        <w:wordWrap/>
        <w:overflowPunct/>
        <w:topLinePunct w:val="0"/>
        <w:bidi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2.实地举证成果。在外业调查时，通过现地验证形成的实地举证成果。</w:t>
      </w:r>
    </w:p>
    <w:p>
      <w:pPr>
        <w:keepNext w:val="0"/>
        <w:keepLines w:val="0"/>
        <w:pageBreakBefore w:val="0"/>
        <w:wordWrap/>
        <w:overflowPunct/>
        <w:topLinePunct w:val="0"/>
        <w:bidi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3.报表。林草湿资源现状统计表等。</w:t>
      </w:r>
    </w:p>
    <w:p>
      <w:pPr>
        <w:keepNext w:val="0"/>
        <w:keepLines w:val="0"/>
        <w:pageBreakBefore w:val="0"/>
        <w:wordWrap/>
        <w:overflowPunct/>
        <w:topLinePunct w:val="0"/>
        <w:bidi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4.图件。资源现状图、专题分析图等。</w:t>
      </w:r>
    </w:p>
    <w:p>
      <w:pPr>
        <w:keepNext w:val="0"/>
        <w:keepLines w:val="0"/>
        <w:pageBreakBefore w:val="0"/>
        <w:wordWrap/>
        <w:overflowPunct/>
        <w:topLinePunct w:val="0"/>
        <w:bidi w:val="0"/>
        <w:spacing w:line="360" w:lineRule="auto"/>
        <w:ind w:firstLine="480" w:firstLineChars="200"/>
        <w:jc w:val="both"/>
        <w:rPr>
          <w:rFonts w:hint="default"/>
          <w:lang w:val="en-US" w:eastAsia="zh-CN"/>
        </w:rPr>
      </w:pPr>
      <w:r>
        <w:rPr>
          <w:rFonts w:hint="eastAsia" w:ascii="宋体" w:hAnsi="宋体" w:eastAsia="宋体" w:cs="宋体"/>
          <w:sz w:val="24"/>
          <w:szCs w:val="24"/>
          <w:lang w:val="en-US" w:eastAsia="zh-CN"/>
        </w:rPr>
        <w:t>5.报告。林草湿图斑监测报告。</w:t>
      </w:r>
    </w:p>
    <w:p>
      <w:pPr>
        <w:keepNext w:val="0"/>
        <w:keepLines w:val="0"/>
        <w:pageBreakBefore w:val="0"/>
        <w:wordWrap/>
        <w:overflowPunct/>
        <w:topLinePunct w:val="0"/>
        <w:bidi w:val="0"/>
        <w:spacing w:line="360" w:lineRule="auto"/>
        <w:ind w:firstLine="482" w:firstLineChars="200"/>
        <w:jc w:val="both"/>
        <w:rPr>
          <w:rFonts w:hint="default"/>
          <w:b/>
          <w:bCs/>
          <w:sz w:val="24"/>
          <w:szCs w:val="32"/>
          <w:lang w:val="en-US" w:eastAsia="zh-CN"/>
        </w:rPr>
      </w:pPr>
      <w:r>
        <w:rPr>
          <w:rFonts w:hint="eastAsia"/>
          <w:b/>
          <w:bCs/>
          <w:sz w:val="24"/>
          <w:szCs w:val="32"/>
          <w:lang w:val="en-US" w:eastAsia="zh-CN"/>
        </w:rPr>
        <w:t>二、商务要求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278" w:name="_Toc6642"/>
      <w:bookmarkStart w:id="279" w:name="_Toc13034"/>
      <w:bookmarkStart w:id="280" w:name="_Toc22171"/>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）采购范围：</w:t>
      </w:r>
      <w:r>
        <w:rPr>
          <w:rFonts w:hint="eastAsia" w:ascii="宋体" w:hAnsi="宋体" w:eastAsia="宋体" w:cs="宋体"/>
          <w:sz w:val="24"/>
          <w:szCs w:val="24"/>
          <w:lang w:val="en-US" w:eastAsia="zh-CN"/>
        </w:rPr>
        <w:t>在博爱县国土总面积范围内完成：1、新一轮林地保护利用规划（2021-2035年）工作。2、第二次森林资源普查。3、2023年度林草、草原、湿地图斑监测和样地调查工作，形成工作成果材料，并配合采购人完成相关主管部门审核。</w:t>
      </w:r>
      <w:bookmarkEnd w:id="278"/>
      <w:bookmarkEnd w:id="279"/>
      <w:bookmarkEnd w:id="28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281" w:name="_Toc6067"/>
      <w:bookmarkStart w:id="282" w:name="_Toc3651"/>
      <w:bookmarkStart w:id="283" w:name="_Toc15875"/>
      <w:r>
        <w:rPr>
          <w:rFonts w:hint="eastAsia" w:ascii="宋体" w:hAnsi="宋体" w:eastAsia="宋体" w:cs="宋体"/>
          <w:sz w:val="24"/>
          <w:szCs w:val="24"/>
          <w:lang w:val="en-US" w:eastAsia="zh-CN"/>
        </w:rPr>
        <w:t>（2）项目地点：采购人指定地点</w:t>
      </w:r>
      <w:bookmarkEnd w:id="281"/>
      <w:bookmarkEnd w:id="282"/>
      <w:bookmarkEnd w:id="28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284" w:name="_Toc10998"/>
      <w:bookmarkStart w:id="285" w:name="_Toc6288"/>
      <w:bookmarkStart w:id="286" w:name="_Toc14416"/>
      <w:r>
        <w:rPr>
          <w:rFonts w:hint="eastAsia" w:ascii="宋体" w:hAnsi="宋体" w:eastAsia="宋体" w:cs="宋体"/>
          <w:sz w:val="24"/>
          <w:szCs w:val="24"/>
          <w:lang w:val="en-US" w:eastAsia="zh-CN"/>
        </w:rPr>
        <w:t>（3）质量标准：</w:t>
      </w:r>
      <w:bookmarkEnd w:id="284"/>
      <w:bookmarkEnd w:id="285"/>
      <w:bookmarkEnd w:id="286"/>
      <w:r>
        <w:rPr>
          <w:rFonts w:hint="eastAsia" w:ascii="宋体" w:hAnsi="宋体" w:eastAsia="宋体" w:cs="宋体"/>
          <w:sz w:val="24"/>
          <w:szCs w:val="24"/>
          <w:lang w:val="en-US" w:eastAsia="zh-CN"/>
        </w:rPr>
        <w:t>符合国家质量验收合格标准，并通过采购人验收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287" w:name="_Toc32458"/>
      <w:bookmarkStart w:id="288" w:name="_Toc1282"/>
      <w:bookmarkStart w:id="289" w:name="_Toc19359"/>
      <w:r>
        <w:rPr>
          <w:rFonts w:hint="eastAsia" w:ascii="宋体" w:hAnsi="宋体" w:eastAsia="宋体" w:cs="宋体"/>
          <w:sz w:val="24"/>
          <w:szCs w:val="24"/>
          <w:lang w:val="en-US" w:eastAsia="zh-CN"/>
        </w:rPr>
        <w:t>（4）</w:t>
      </w:r>
      <w:r>
        <w:rPr>
          <w:rFonts w:hint="eastAsia" w:ascii="宋体" w:hAnsi="宋体" w:eastAsia="宋体" w:cs="宋体"/>
          <w:sz w:val="24"/>
          <w:szCs w:val="24"/>
          <w:highlight w:val="none"/>
          <w:lang w:val="en-US" w:eastAsia="zh-CN"/>
        </w:rPr>
        <w:t>合同履行期限</w:t>
      </w:r>
      <w:r>
        <w:rPr>
          <w:rFonts w:hint="eastAsia" w:ascii="宋体" w:hAnsi="宋体" w:cs="宋体"/>
          <w:sz w:val="24"/>
          <w:szCs w:val="24"/>
          <w:highlight w:val="none"/>
          <w:lang w:val="en-US" w:eastAsia="zh-CN"/>
        </w:rPr>
        <w:t>（服务期）</w:t>
      </w:r>
      <w:r>
        <w:rPr>
          <w:rFonts w:hint="eastAsia" w:ascii="宋体" w:hAnsi="宋体" w:eastAsia="宋体" w:cs="宋体"/>
          <w:sz w:val="24"/>
          <w:szCs w:val="24"/>
          <w:lang w:val="en-US" w:eastAsia="zh-CN"/>
        </w:rPr>
        <w:t>：</w:t>
      </w:r>
      <w:bookmarkEnd w:id="287"/>
      <w:bookmarkEnd w:id="288"/>
      <w:bookmarkEnd w:id="289"/>
      <w:r>
        <w:rPr>
          <w:rFonts w:hint="eastAsia" w:ascii="宋体" w:hAnsi="宋体" w:eastAsia="宋体" w:cs="宋体"/>
          <w:sz w:val="24"/>
          <w:szCs w:val="24"/>
          <w:lang w:val="en-US" w:eastAsia="zh-CN"/>
        </w:rPr>
        <w:t>自合同签订之日起30日历天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Cs w:val="21"/>
        </w:rPr>
      </w:pPr>
      <w:bookmarkStart w:id="290" w:name="_Toc30312"/>
      <w:bookmarkStart w:id="291" w:name="_Toc29009"/>
      <w:r>
        <w:rPr>
          <w:rFonts w:hint="eastAsia" w:ascii="宋体" w:hAnsi="宋体" w:eastAsia="宋体" w:cs="宋体"/>
          <w:sz w:val="24"/>
          <w:szCs w:val="24"/>
          <w:lang w:val="en-US" w:eastAsia="zh-CN"/>
        </w:rPr>
        <w:t>（5）付款方式：</w:t>
      </w:r>
      <w:bookmarkEnd w:id="290"/>
      <w:bookmarkEnd w:id="291"/>
      <w:r>
        <w:rPr>
          <w:rFonts w:hint="eastAsia" w:ascii="宋体" w:hAnsi="宋体" w:eastAsia="宋体" w:cs="宋体"/>
          <w:sz w:val="24"/>
          <w:szCs w:val="24"/>
          <w:lang w:val="en-US" w:eastAsia="zh-CN"/>
        </w:rPr>
        <w:t>项目签订合同后10个工作日内，一次性支付合同总价款的70%；待项目成果文件通过评审并提交成果起10个工作日内，一次性支付合同总价款的30%。</w:t>
      </w:r>
    </w:p>
    <w:p>
      <w:pPr>
        <w:pStyle w:val="43"/>
        <w:rPr>
          <w:rFonts w:hint="eastAsia"/>
          <w:sz w:val="21"/>
          <w:szCs w:val="21"/>
        </w:rPr>
      </w:pPr>
    </w:p>
    <w:p>
      <w:pPr>
        <w:pStyle w:val="43"/>
        <w:rPr>
          <w:rFonts w:hint="eastAsia"/>
          <w:sz w:val="21"/>
          <w:szCs w:val="21"/>
        </w:rPr>
      </w:pPr>
    </w:p>
    <w:p>
      <w:pPr>
        <w:pStyle w:val="43"/>
        <w:rPr>
          <w:rFonts w:hint="eastAsia"/>
          <w:sz w:val="21"/>
          <w:szCs w:val="21"/>
        </w:rPr>
      </w:pPr>
    </w:p>
    <w:p>
      <w:pPr>
        <w:pStyle w:val="43"/>
        <w:rPr>
          <w:rFonts w:hint="eastAsia"/>
          <w:sz w:val="21"/>
          <w:szCs w:val="21"/>
        </w:rPr>
      </w:pPr>
    </w:p>
    <w:p>
      <w:pPr>
        <w:pStyle w:val="43"/>
        <w:rPr>
          <w:rFonts w:hint="eastAsia"/>
          <w:sz w:val="21"/>
          <w:szCs w:val="21"/>
        </w:rPr>
      </w:pPr>
    </w:p>
    <w:p>
      <w:pPr>
        <w:pStyle w:val="43"/>
        <w:rPr>
          <w:rFonts w:hint="eastAsia"/>
          <w:sz w:val="21"/>
          <w:szCs w:val="21"/>
        </w:rPr>
      </w:pPr>
    </w:p>
    <w:p>
      <w:pPr>
        <w:pStyle w:val="43"/>
        <w:rPr>
          <w:rFonts w:hint="eastAsia"/>
          <w:sz w:val="21"/>
          <w:szCs w:val="21"/>
        </w:rPr>
      </w:pPr>
    </w:p>
    <w:p>
      <w:pPr>
        <w:pStyle w:val="43"/>
        <w:rPr>
          <w:rFonts w:hint="eastAsia"/>
          <w:sz w:val="21"/>
          <w:szCs w:val="21"/>
        </w:rPr>
      </w:pPr>
    </w:p>
    <w:p>
      <w:pPr>
        <w:pStyle w:val="43"/>
        <w:rPr>
          <w:rFonts w:hint="eastAsia"/>
          <w:sz w:val="21"/>
          <w:szCs w:val="21"/>
        </w:rPr>
      </w:pPr>
    </w:p>
    <w:p>
      <w:pPr>
        <w:pStyle w:val="43"/>
        <w:rPr>
          <w:rFonts w:hint="eastAsia"/>
          <w:sz w:val="21"/>
          <w:szCs w:val="21"/>
        </w:rPr>
      </w:pPr>
    </w:p>
    <w:p>
      <w:pPr>
        <w:pStyle w:val="43"/>
        <w:rPr>
          <w:rFonts w:hint="eastAsia"/>
          <w:sz w:val="21"/>
          <w:szCs w:val="21"/>
        </w:rPr>
      </w:pPr>
    </w:p>
    <w:p>
      <w:pPr>
        <w:pStyle w:val="43"/>
        <w:rPr>
          <w:rFonts w:hint="eastAsia"/>
          <w:sz w:val="21"/>
          <w:szCs w:val="21"/>
        </w:rPr>
      </w:pPr>
    </w:p>
    <w:p>
      <w:pPr>
        <w:pStyle w:val="43"/>
        <w:rPr>
          <w:rFonts w:hint="eastAsia"/>
          <w:sz w:val="21"/>
          <w:szCs w:val="21"/>
        </w:rPr>
      </w:pPr>
    </w:p>
    <w:p>
      <w:pPr>
        <w:pStyle w:val="43"/>
        <w:rPr>
          <w:rFonts w:hint="eastAsia"/>
          <w:sz w:val="21"/>
          <w:szCs w:val="21"/>
        </w:rPr>
      </w:pPr>
    </w:p>
    <w:p>
      <w:pPr>
        <w:pStyle w:val="43"/>
        <w:rPr>
          <w:rFonts w:hint="eastAsia"/>
          <w:sz w:val="21"/>
          <w:szCs w:val="21"/>
        </w:rPr>
      </w:pPr>
    </w:p>
    <w:p>
      <w:pPr>
        <w:pStyle w:val="43"/>
        <w:rPr>
          <w:rFonts w:hint="eastAsia"/>
          <w:sz w:val="21"/>
          <w:szCs w:val="21"/>
        </w:rPr>
      </w:pPr>
    </w:p>
    <w:p>
      <w:pPr>
        <w:rPr>
          <w:rFonts w:hint="eastAsia"/>
          <w:sz w:val="32"/>
          <w:szCs w:val="32"/>
        </w:rPr>
      </w:pPr>
      <w:r>
        <w:rPr>
          <w:rFonts w:hint="eastAsia"/>
          <w:sz w:val="32"/>
          <w:szCs w:val="32"/>
        </w:rPr>
        <w:br w:type="page"/>
      </w:r>
    </w:p>
    <w:p>
      <w:pPr>
        <w:pStyle w:val="9"/>
        <w:bidi w:val="0"/>
        <w:spacing w:after="0" w:afterAutospacing="0"/>
      </w:pPr>
      <w:bookmarkStart w:id="292" w:name="_Toc22478"/>
      <w:r>
        <w:rPr>
          <w:rFonts w:hint="eastAsia"/>
        </w:rPr>
        <w:t>第六章 质疑与投诉</w:t>
      </w:r>
      <w:bookmarkEnd w:id="292"/>
    </w:p>
    <w:p>
      <w:pPr>
        <w:spacing w:line="360" w:lineRule="auto"/>
        <w:ind w:firstLine="562" w:firstLineChars="200"/>
        <w:rPr>
          <w:rFonts w:ascii="宋体" w:hAnsi="宋体" w:cs="宋体"/>
          <w:b/>
          <w:bCs/>
          <w:sz w:val="28"/>
          <w:szCs w:val="28"/>
        </w:rPr>
      </w:pPr>
      <w:r>
        <w:rPr>
          <w:rFonts w:hint="eastAsia" w:ascii="宋体" w:hAnsi="宋体" w:cs="宋体"/>
          <w:b/>
          <w:bCs/>
          <w:sz w:val="28"/>
          <w:szCs w:val="28"/>
        </w:rPr>
        <w:t>一、质疑与答复</w:t>
      </w:r>
    </w:p>
    <w:p>
      <w:pPr>
        <w:pStyle w:val="2"/>
        <w:spacing w:line="360" w:lineRule="auto"/>
        <w:ind w:firstLine="480" w:firstLineChars="200"/>
        <w:rPr>
          <w:rFonts w:hint="default" w:ascii="宋体" w:hAnsi="宋体" w:eastAsia="宋体" w:cs="宋体"/>
          <w:sz w:val="24"/>
        </w:rPr>
      </w:pPr>
      <w:r>
        <w:rPr>
          <w:rFonts w:ascii="宋体" w:hAnsi="宋体" w:eastAsia="宋体" w:cs="宋体"/>
          <w:sz w:val="24"/>
        </w:rPr>
        <w:t>1. 参与政府采购活动的投标人认为采购文件、采购过程、中标或者成交结果使自己的权益受到损害的，可以在知道或者应知其权益受到损害之日起7个工作日内，以书面形式向采购人、采购代理机构提出质疑。</w:t>
      </w:r>
    </w:p>
    <w:p>
      <w:pPr>
        <w:pStyle w:val="5"/>
        <w:spacing w:line="360" w:lineRule="auto"/>
        <w:ind w:firstLine="480"/>
        <w:rPr>
          <w:rFonts w:ascii="宋体" w:hAnsi="宋体" w:cs="宋体"/>
          <w:sz w:val="24"/>
        </w:rPr>
      </w:pPr>
      <w:r>
        <w:rPr>
          <w:rFonts w:hint="eastAsia" w:ascii="宋体" w:hAnsi="宋体" w:cs="宋体"/>
          <w:sz w:val="24"/>
        </w:rPr>
        <w:t>2. 投标人提出质疑应当提交质疑函和必要的证明材料。政府采购投标人质疑函范本下载地址：</w:t>
      </w:r>
      <w:r>
        <w:fldChar w:fldCharType="begin"/>
      </w:r>
      <w:r>
        <w:instrText xml:space="preserve"> HYPERLINK "http://download.ccgp.gov.cn/2018/zhiyihanfanben.zip；" </w:instrText>
      </w:r>
      <w:r>
        <w:fldChar w:fldCharType="separate"/>
      </w:r>
      <w:r>
        <w:rPr>
          <w:rStyle w:val="36"/>
          <w:rFonts w:hint="eastAsia" w:ascii="宋体" w:hAnsi="宋体" w:cs="宋体"/>
          <w:color w:val="auto"/>
          <w:sz w:val="24"/>
        </w:rPr>
        <w:t>http://download.ccgp.gov.cn/2018/zhiyihanfanben.zip；</w:t>
      </w:r>
      <w:r>
        <w:rPr>
          <w:rStyle w:val="36"/>
          <w:rFonts w:hint="eastAsia" w:ascii="宋体" w:hAnsi="宋体" w:cs="宋体"/>
          <w:color w:val="auto"/>
          <w:sz w:val="24"/>
        </w:rPr>
        <w:fldChar w:fldCharType="end"/>
      </w:r>
    </w:p>
    <w:p>
      <w:pPr>
        <w:numPr>
          <w:ilvl w:val="0"/>
          <w:numId w:val="12"/>
        </w:numPr>
        <w:spacing w:line="360" w:lineRule="auto"/>
        <w:ind w:firstLine="480" w:firstLineChars="200"/>
        <w:rPr>
          <w:rFonts w:ascii="宋体" w:hAnsi="宋体" w:cs="宋体"/>
          <w:sz w:val="24"/>
        </w:rPr>
      </w:pPr>
      <w:r>
        <w:rPr>
          <w:rFonts w:hint="eastAsia" w:ascii="宋体" w:hAnsi="宋体" w:cs="宋体"/>
          <w:sz w:val="24"/>
        </w:rPr>
        <w:t>采购人、采购代理机构不得拒收质疑投标人在法定质疑期内发出的质疑函，应当在收到质疑函后7个工作日内作出答复，并以书面形式通知质疑投标人和其他有关投标人。</w:t>
      </w:r>
    </w:p>
    <w:p>
      <w:pPr>
        <w:numPr>
          <w:ilvl w:val="0"/>
          <w:numId w:val="12"/>
        </w:numPr>
        <w:spacing w:line="360" w:lineRule="auto"/>
        <w:ind w:firstLine="480" w:firstLineChars="200"/>
        <w:rPr>
          <w:rFonts w:ascii="宋体" w:hAnsi="宋体" w:cs="宋体"/>
          <w:sz w:val="24"/>
        </w:rPr>
      </w:pPr>
      <w:r>
        <w:rPr>
          <w:rFonts w:hint="eastAsia" w:ascii="宋体" w:hAnsi="宋体" w:cs="宋体"/>
          <w:sz w:val="24"/>
        </w:rPr>
        <w:t>投标人提出质疑应当提交质疑函和必要的证明材料。质疑函应当包括下列内容：</w:t>
      </w:r>
    </w:p>
    <w:p>
      <w:pPr>
        <w:numPr>
          <w:ilvl w:val="1"/>
          <w:numId w:val="12"/>
        </w:numPr>
        <w:spacing w:line="360" w:lineRule="auto"/>
        <w:ind w:left="420" w:leftChars="200"/>
        <w:rPr>
          <w:rFonts w:ascii="宋体" w:hAnsi="宋体" w:cs="宋体"/>
          <w:sz w:val="24"/>
        </w:rPr>
      </w:pPr>
      <w:r>
        <w:rPr>
          <w:rFonts w:hint="eastAsia" w:ascii="宋体" w:hAnsi="宋体" w:cs="宋体"/>
          <w:sz w:val="24"/>
        </w:rPr>
        <w:t>投标人的姓名或者名称、地址、邮编、联系人及联系电话；</w:t>
      </w:r>
    </w:p>
    <w:p>
      <w:pPr>
        <w:numPr>
          <w:ilvl w:val="1"/>
          <w:numId w:val="12"/>
        </w:numPr>
        <w:spacing w:line="360" w:lineRule="auto"/>
        <w:ind w:left="420" w:leftChars="200"/>
        <w:rPr>
          <w:rFonts w:ascii="宋体" w:hAnsi="宋体" w:cs="宋体"/>
          <w:sz w:val="24"/>
        </w:rPr>
      </w:pPr>
      <w:r>
        <w:rPr>
          <w:rFonts w:hint="eastAsia" w:ascii="宋体" w:hAnsi="宋体" w:cs="宋体"/>
          <w:sz w:val="24"/>
        </w:rPr>
        <w:t>质疑项目的名称、编号；</w:t>
      </w:r>
    </w:p>
    <w:p>
      <w:pPr>
        <w:numPr>
          <w:ilvl w:val="1"/>
          <w:numId w:val="12"/>
        </w:numPr>
        <w:spacing w:line="360" w:lineRule="auto"/>
        <w:ind w:left="420" w:leftChars="200"/>
        <w:rPr>
          <w:rFonts w:ascii="宋体" w:hAnsi="宋体" w:cs="宋体"/>
          <w:sz w:val="24"/>
        </w:rPr>
      </w:pPr>
      <w:r>
        <w:rPr>
          <w:rFonts w:hint="eastAsia" w:ascii="宋体" w:hAnsi="宋体" w:cs="宋体"/>
          <w:sz w:val="24"/>
        </w:rPr>
        <w:t>具体、明确的质疑事项和与质疑事项相关的请求；</w:t>
      </w:r>
    </w:p>
    <w:p>
      <w:pPr>
        <w:numPr>
          <w:ilvl w:val="1"/>
          <w:numId w:val="12"/>
        </w:numPr>
        <w:spacing w:line="360" w:lineRule="auto"/>
        <w:ind w:left="420" w:leftChars="200"/>
        <w:rPr>
          <w:rFonts w:ascii="宋体" w:hAnsi="宋体" w:cs="宋体"/>
          <w:sz w:val="24"/>
        </w:rPr>
      </w:pPr>
      <w:r>
        <w:rPr>
          <w:rFonts w:hint="eastAsia" w:ascii="宋体" w:hAnsi="宋体" w:cs="宋体"/>
          <w:sz w:val="24"/>
        </w:rPr>
        <w:t>事实依据；</w:t>
      </w:r>
    </w:p>
    <w:p>
      <w:pPr>
        <w:numPr>
          <w:ilvl w:val="1"/>
          <w:numId w:val="12"/>
        </w:numPr>
        <w:spacing w:line="360" w:lineRule="auto"/>
        <w:ind w:left="420" w:leftChars="200"/>
        <w:rPr>
          <w:rFonts w:ascii="宋体" w:hAnsi="宋体" w:cs="宋体"/>
          <w:sz w:val="24"/>
        </w:rPr>
      </w:pPr>
      <w:r>
        <w:rPr>
          <w:rFonts w:hint="eastAsia" w:ascii="宋体" w:hAnsi="宋体" w:cs="宋体"/>
          <w:sz w:val="24"/>
        </w:rPr>
        <w:t>必要的法律依据；</w:t>
      </w:r>
    </w:p>
    <w:p>
      <w:pPr>
        <w:numPr>
          <w:ilvl w:val="1"/>
          <w:numId w:val="12"/>
        </w:numPr>
        <w:spacing w:line="360" w:lineRule="auto"/>
        <w:ind w:left="420" w:leftChars="200"/>
        <w:rPr>
          <w:rFonts w:ascii="宋体" w:hAnsi="宋体" w:cs="宋体"/>
          <w:sz w:val="24"/>
        </w:rPr>
      </w:pPr>
      <w:r>
        <w:rPr>
          <w:rFonts w:hint="eastAsia" w:ascii="宋体" w:hAnsi="宋体" w:cs="宋体"/>
          <w:sz w:val="24"/>
        </w:rPr>
        <w:t>提出质疑的日期；</w:t>
      </w:r>
    </w:p>
    <w:p>
      <w:pPr>
        <w:numPr>
          <w:ilvl w:val="1"/>
          <w:numId w:val="12"/>
        </w:numPr>
        <w:spacing w:line="360" w:lineRule="auto"/>
        <w:ind w:left="420" w:leftChars="200"/>
        <w:rPr>
          <w:rFonts w:ascii="宋体" w:hAnsi="宋体" w:cs="宋体"/>
          <w:sz w:val="24"/>
        </w:rPr>
      </w:pPr>
      <w:r>
        <w:rPr>
          <w:rFonts w:hint="eastAsia" w:ascii="宋体" w:hAnsi="宋体" w:cs="宋体"/>
          <w:sz w:val="24"/>
        </w:rPr>
        <w:t>获取招标文件的凭证；</w:t>
      </w:r>
    </w:p>
    <w:p>
      <w:pPr>
        <w:numPr>
          <w:ilvl w:val="1"/>
          <w:numId w:val="12"/>
        </w:numPr>
        <w:spacing w:line="360" w:lineRule="auto"/>
        <w:ind w:left="420" w:leftChars="200"/>
        <w:rPr>
          <w:rFonts w:ascii="宋体" w:hAnsi="宋体" w:cs="宋体"/>
          <w:sz w:val="24"/>
        </w:rPr>
      </w:pPr>
      <w:r>
        <w:rPr>
          <w:rFonts w:hint="eastAsia" w:ascii="宋体" w:hAnsi="宋体" w:cs="宋体"/>
          <w:sz w:val="24"/>
        </w:rPr>
        <w:t>以上资料一式二份（采购人、采购代理机构各执一份）。</w:t>
      </w:r>
    </w:p>
    <w:p>
      <w:pPr>
        <w:numPr>
          <w:ilvl w:val="0"/>
          <w:numId w:val="12"/>
        </w:numPr>
        <w:spacing w:line="360" w:lineRule="auto"/>
        <w:ind w:firstLine="480" w:firstLineChars="200"/>
        <w:rPr>
          <w:rFonts w:ascii="宋体" w:hAnsi="宋体" w:cs="宋体"/>
          <w:sz w:val="24"/>
        </w:rPr>
      </w:pPr>
      <w:r>
        <w:rPr>
          <w:rFonts w:hint="eastAsia" w:ascii="宋体" w:hAnsi="宋体" w:cs="宋体"/>
          <w:sz w:val="24"/>
        </w:rPr>
        <w:t>投标人不得虚假质疑和恶意质疑，并对质疑内容的真实性承担责任。</w:t>
      </w:r>
    </w:p>
    <w:p>
      <w:pPr>
        <w:spacing w:line="360" w:lineRule="auto"/>
        <w:ind w:left="420" w:leftChars="200"/>
        <w:rPr>
          <w:rFonts w:ascii="宋体" w:hAnsi="宋体" w:cs="宋体"/>
          <w:b/>
          <w:bCs/>
          <w:sz w:val="28"/>
          <w:szCs w:val="28"/>
        </w:rPr>
      </w:pPr>
      <w:r>
        <w:rPr>
          <w:rFonts w:hint="eastAsia" w:ascii="宋体" w:hAnsi="宋体" w:cs="宋体"/>
          <w:b/>
          <w:bCs/>
          <w:sz w:val="28"/>
          <w:szCs w:val="28"/>
        </w:rPr>
        <w:t>二、投诉与处理</w:t>
      </w:r>
    </w:p>
    <w:p>
      <w:pPr>
        <w:pStyle w:val="2"/>
        <w:spacing w:line="360" w:lineRule="auto"/>
        <w:ind w:firstLine="480" w:firstLineChars="200"/>
        <w:rPr>
          <w:rFonts w:hint="default" w:ascii="宋体" w:hAnsi="宋体" w:eastAsia="宋体" w:cs="宋体"/>
          <w:sz w:val="24"/>
        </w:rPr>
      </w:pPr>
      <w:r>
        <w:rPr>
          <w:rFonts w:ascii="宋体" w:hAnsi="宋体" w:eastAsia="宋体" w:cs="宋体"/>
          <w:sz w:val="24"/>
        </w:rPr>
        <w:t>1、质疑投标人对采购人、采购代理机构的答复不满意，或者采购人、采购代理机构未在规定时间内作出答复的，可以在答复期满后15个工作日内向本办法第六条规定的财政部门提起投诉。</w:t>
      </w:r>
    </w:p>
    <w:p>
      <w:pPr>
        <w:spacing w:line="360" w:lineRule="auto"/>
        <w:ind w:firstLine="480" w:firstLineChars="200"/>
        <w:rPr>
          <w:rFonts w:ascii="宋体" w:hAnsi="宋体" w:cs="宋体"/>
          <w:sz w:val="24"/>
        </w:rPr>
      </w:pPr>
      <w:r>
        <w:rPr>
          <w:rFonts w:hint="eastAsia" w:ascii="宋体" w:hAnsi="宋体" w:cs="宋体"/>
          <w:sz w:val="24"/>
        </w:rPr>
        <w:t>2、质疑投标人对采购人、采购代理机构的答复不满意，或者采购人、采购代理机构未在规定时间内作出答复的，可以在答复期满后15个工作日内向财政部门提起投诉。</w:t>
      </w:r>
    </w:p>
    <w:p>
      <w:pPr>
        <w:pStyle w:val="2"/>
        <w:spacing w:line="360" w:lineRule="auto"/>
        <w:ind w:firstLine="480" w:firstLineChars="200"/>
        <w:rPr>
          <w:rFonts w:hint="default" w:ascii="宋体" w:hAnsi="宋体" w:eastAsia="宋体" w:cs="宋体"/>
          <w:sz w:val="24"/>
        </w:rPr>
      </w:pPr>
      <w:r>
        <w:rPr>
          <w:rFonts w:ascii="宋体" w:hAnsi="宋体" w:eastAsia="宋体" w:cs="宋体"/>
          <w:sz w:val="24"/>
        </w:rPr>
        <w:t>3、投诉人投诉时,应当提交投诉书和必要的证明材料，并按照被投诉采购人、采购代理机构（以下简称被投诉人）和与投诉事项有关的投标人数量提供投诉书的副本。政府采购投标人投诉书范本下载地址：</w:t>
      </w:r>
      <w:r>
        <w:fldChar w:fldCharType="begin"/>
      </w:r>
      <w:r>
        <w:instrText xml:space="preserve"> HYPERLINK "http://download.ccgp.gov.cn/2018/tousushufanben.zip" </w:instrText>
      </w:r>
      <w:r>
        <w:fldChar w:fldCharType="separate"/>
      </w:r>
      <w:r>
        <w:rPr>
          <w:rStyle w:val="36"/>
          <w:rFonts w:ascii="宋体" w:hAnsi="宋体" w:eastAsia="宋体" w:cs="宋体"/>
          <w:color w:val="auto"/>
          <w:sz w:val="24"/>
        </w:rPr>
        <w:t>http://download.ccgp.gov.cn/2018/tousushufanben.zip</w:t>
      </w:r>
      <w:r>
        <w:rPr>
          <w:rStyle w:val="36"/>
          <w:rFonts w:ascii="宋体" w:hAnsi="宋体" w:eastAsia="宋体" w:cs="宋体"/>
          <w:color w:val="auto"/>
          <w:sz w:val="24"/>
        </w:rPr>
        <w:fldChar w:fldCharType="end"/>
      </w:r>
    </w:p>
    <w:p>
      <w:pPr>
        <w:numPr>
          <w:ilvl w:val="0"/>
          <w:numId w:val="2"/>
        </w:numPr>
        <w:spacing w:line="360" w:lineRule="auto"/>
        <w:ind w:firstLine="480" w:firstLineChars="200"/>
        <w:rPr>
          <w:rFonts w:ascii="宋体" w:hAnsi="宋体" w:cs="宋体"/>
          <w:sz w:val="24"/>
        </w:rPr>
      </w:pPr>
      <w:r>
        <w:rPr>
          <w:rFonts w:hint="eastAsia" w:ascii="宋体" w:hAnsi="宋体" w:cs="宋体"/>
          <w:sz w:val="24"/>
        </w:rPr>
        <w:t>财政部门自收到投诉之日起30个工作日内，对投诉事项作出处理决定并公示。</w:t>
      </w:r>
    </w:p>
    <w:p>
      <w:pPr>
        <w:spacing w:line="360" w:lineRule="auto"/>
        <w:ind w:firstLine="480" w:firstLineChars="200"/>
        <w:rPr>
          <w:rFonts w:ascii="宋体" w:hAnsi="宋体" w:cs="宋体"/>
          <w:sz w:val="24"/>
        </w:rPr>
      </w:pPr>
      <w:r>
        <w:rPr>
          <w:rFonts w:hint="eastAsia" w:ascii="宋体" w:hAnsi="宋体" w:cs="宋体"/>
          <w:sz w:val="24"/>
        </w:rPr>
        <w:t>投诉人在全国范围12个月内三次以上投诉查无实据的，由财政部门列入不良行为记录名单。</w:t>
      </w:r>
    </w:p>
    <w:p>
      <w:pPr>
        <w:spacing w:line="360" w:lineRule="auto"/>
        <w:ind w:firstLine="480" w:firstLineChars="200"/>
        <w:rPr>
          <w:rFonts w:ascii="宋体" w:hAnsi="宋体" w:cs="宋体"/>
          <w:sz w:val="24"/>
        </w:rPr>
      </w:pPr>
      <w:r>
        <w:rPr>
          <w:rFonts w:hint="eastAsia" w:ascii="宋体" w:hAnsi="宋体" w:cs="宋体"/>
          <w:sz w:val="24"/>
        </w:rPr>
        <w:t>投诉人有财政部94号令第三十七条情形的，属于虚假、恶意投诉，由财政部门列入不良行为记录名单，禁止其1至3年内参加政府采购活动。</w:t>
      </w:r>
    </w:p>
    <w:p>
      <w:pPr>
        <w:bidi w:val="0"/>
        <w:ind w:firstLine="480" w:firstLineChars="200"/>
        <w:rPr>
          <w:rFonts w:hint="eastAsia" w:ascii="宋体" w:hAnsi="宋体" w:eastAsia="宋体" w:cs="宋体"/>
        </w:rPr>
      </w:pPr>
      <w:r>
        <w:rPr>
          <w:rFonts w:hint="eastAsia" w:ascii="宋体" w:hAnsi="宋体" w:eastAsia="宋体" w:cs="宋体"/>
          <w:sz w:val="24"/>
          <w:szCs w:val="24"/>
        </w:rPr>
        <w:t>投诉联系电话：0391-8683273  地址：博爱县机关综合办公楼主楼1213室</w:t>
      </w:r>
      <w:r>
        <w:rPr>
          <w:rFonts w:hint="eastAsia" w:ascii="宋体" w:hAnsi="宋体" w:eastAsia="宋体" w:cs="宋体"/>
        </w:rPr>
        <w:t xml:space="preserve"> </w:t>
      </w:r>
    </w:p>
    <w:p>
      <w:pPr>
        <w:rPr>
          <w:rFonts w:ascii="宋体" w:hAnsi="宋体" w:cs="宋体"/>
          <w:sz w:val="24"/>
        </w:rPr>
      </w:pPr>
    </w:p>
    <w:p>
      <w:pPr>
        <w:bidi w:val="0"/>
      </w:pPr>
    </w:p>
    <w:p>
      <w:pPr>
        <w:bidi w:val="0"/>
      </w:pPr>
    </w:p>
    <w:p>
      <w:pPr>
        <w:bidi w:val="0"/>
      </w:pPr>
    </w:p>
    <w:p>
      <w:pPr>
        <w:bidi w:val="0"/>
      </w:pPr>
    </w:p>
    <w:p>
      <w:pPr>
        <w:bidi w:val="0"/>
      </w:pPr>
    </w:p>
    <w:p/>
    <w:p>
      <w:pPr>
        <w:pStyle w:val="4"/>
      </w:pPr>
    </w:p>
    <w:p>
      <w:pPr>
        <w:pStyle w:val="3"/>
      </w:pPr>
    </w:p>
    <w:p>
      <w:pPr>
        <w:pStyle w:val="4"/>
      </w:pPr>
    </w:p>
    <w:p>
      <w:pPr>
        <w:rPr>
          <w:rFonts w:asciiTheme="majorEastAsia" w:hAnsiTheme="majorEastAsia" w:eastAsiaTheme="majorEastAsia" w:cstheme="majorEastAsia"/>
          <w:b/>
          <w:bCs/>
          <w:szCs w:val="32"/>
        </w:rPr>
      </w:pPr>
      <w:r>
        <w:rPr>
          <w:rFonts w:asciiTheme="majorEastAsia" w:hAnsiTheme="majorEastAsia" w:eastAsiaTheme="majorEastAsia" w:cstheme="majorEastAsia"/>
          <w:b/>
          <w:bCs/>
          <w:szCs w:val="32"/>
        </w:rPr>
        <w:br w:type="page"/>
      </w:r>
    </w:p>
    <w:p>
      <w:pPr>
        <w:pStyle w:val="9"/>
        <w:bidi w:val="0"/>
        <w:spacing w:after="0" w:afterAutospacing="0"/>
        <w:rPr>
          <w:rFonts w:hint="default"/>
        </w:rPr>
      </w:pPr>
      <w:bookmarkStart w:id="293" w:name="_Toc848"/>
      <w:r>
        <w:t>第七章 履约验收</w:t>
      </w:r>
      <w:bookmarkEnd w:id="293"/>
    </w:p>
    <w:p>
      <w:pPr>
        <w:pStyle w:val="2"/>
        <w:spacing w:line="360" w:lineRule="auto"/>
        <w:ind w:firstLine="480" w:firstLineChars="200"/>
        <w:rPr>
          <w:rFonts w:hint="default" w:ascii="Times New Roman" w:eastAsia="宋体"/>
          <w:sz w:val="24"/>
        </w:rPr>
      </w:pPr>
      <w:r>
        <w:rPr>
          <w:rFonts w:hint="eastAsia" w:ascii="Times New Roman" w:eastAsia="宋体"/>
          <w:sz w:val="24"/>
          <w:lang w:eastAsia="zh-CN"/>
        </w:rPr>
        <w:t>投标人</w:t>
      </w:r>
      <w:r>
        <w:rPr>
          <w:rFonts w:ascii="Times New Roman" w:eastAsia="宋体"/>
          <w:sz w:val="24"/>
        </w:rPr>
        <w:t>履约完成后，向采购人提出验收建议，采购人自收到验收建议之日起五个工作日内，采购人组织投标人参与，共同完成验收。技术复杂、专业性强等项目可适当延长验收时间。验收流程如下：</w:t>
      </w:r>
    </w:p>
    <w:p>
      <w:pPr>
        <w:pStyle w:val="2"/>
        <w:numPr>
          <w:ilvl w:val="0"/>
          <w:numId w:val="13"/>
        </w:numPr>
        <w:spacing w:line="360" w:lineRule="auto"/>
        <w:ind w:firstLine="480" w:firstLineChars="200"/>
        <w:rPr>
          <w:rFonts w:hint="default" w:ascii="Times New Roman" w:eastAsia="宋体"/>
          <w:sz w:val="24"/>
        </w:rPr>
      </w:pPr>
      <w:r>
        <w:rPr>
          <w:rFonts w:ascii="Times New Roman" w:eastAsia="宋体"/>
          <w:sz w:val="24"/>
        </w:rPr>
        <w:t>编制验收方案。明确验收时间、方式、程序等内容。技术复杂、社会影响较大的货物类项目，可以根据需要设置出厂检验、到货检验、安装调试检验、配套服务检验等多重验收环节；服务类项目、可根据项目特点对服务期内的服务实施情况分期考核，结合考核情况和服务效果进行验收；工程类项目按照行业部门规定的标准、方法和内容进行验收。</w:t>
      </w:r>
    </w:p>
    <w:p>
      <w:pPr>
        <w:pStyle w:val="2"/>
        <w:numPr>
          <w:ilvl w:val="0"/>
          <w:numId w:val="13"/>
        </w:numPr>
        <w:spacing w:line="360" w:lineRule="auto"/>
        <w:ind w:firstLine="480" w:firstLineChars="200"/>
        <w:rPr>
          <w:rFonts w:hint="default" w:ascii="Times New Roman" w:eastAsia="宋体"/>
          <w:sz w:val="24"/>
        </w:rPr>
      </w:pPr>
      <w:r>
        <w:rPr>
          <w:rFonts w:ascii="Times New Roman" w:eastAsia="宋体"/>
          <w:sz w:val="24"/>
        </w:rPr>
        <w:t>完善验收方式。对于采购人和使用人分离的采购项目，应邀请使用人参与验收。采购人可邀请参与本项目的其他投标人或第三方机构及专家参与验收。相关验收意见作为验收书的参考资料。政府向社会公众提供的公共服务项目，验收时应邀请服务对象参与并出具意见，验收结果应在焦作市政府采购网公示。</w:t>
      </w:r>
    </w:p>
    <w:p>
      <w:pPr>
        <w:pStyle w:val="2"/>
        <w:numPr>
          <w:ilvl w:val="0"/>
          <w:numId w:val="13"/>
        </w:numPr>
        <w:spacing w:line="360" w:lineRule="auto"/>
        <w:ind w:firstLine="480" w:firstLineChars="200"/>
        <w:rPr>
          <w:rFonts w:hint="default" w:ascii="Times New Roman" w:eastAsia="宋体"/>
          <w:sz w:val="24"/>
        </w:rPr>
      </w:pPr>
      <w:r>
        <w:rPr>
          <w:rFonts w:ascii="Times New Roman" w:eastAsia="宋体"/>
          <w:sz w:val="24"/>
        </w:rPr>
        <w:t>按照合同履约验收。验收时，应当按照采购合同的约定对每一项技术、服务、安全标准的履约情况进行确认。验收后，应当出具验收书，列明各项标准的验收情况及项目的总体评价，由验收双方共同签署。采购人将履约验收情况在焦作市政府采购网公示，履约验收各项资料采购人应当存档备查。</w:t>
      </w:r>
    </w:p>
    <w:p>
      <w:pPr>
        <w:pStyle w:val="2"/>
        <w:numPr>
          <w:ilvl w:val="0"/>
          <w:numId w:val="13"/>
        </w:numPr>
        <w:spacing w:line="360" w:lineRule="auto"/>
        <w:ind w:firstLine="480" w:firstLineChars="200"/>
        <w:rPr>
          <w:rFonts w:hint="default" w:ascii="Times New Roman" w:eastAsia="宋体"/>
          <w:sz w:val="24"/>
        </w:rPr>
      </w:pPr>
      <w:r>
        <w:rPr>
          <w:rFonts w:ascii="Times New Roman" w:eastAsia="宋体"/>
          <w:sz w:val="24"/>
        </w:rPr>
        <w:t>落实履约验收责任。验收合格的项目，采购人应当按照合同约定及时支付资金。验收不合格的项目，采购人应当依法及时处理。合同履行、违约责任和解决争议的方式使用《中华人民共和国民法典》。投标人在履约过程中有政府采购法律法规规定的违法委会情形，采购人应及时报财政部门。</w:t>
      </w:r>
    </w:p>
    <w:p>
      <w:pPr>
        <w:pStyle w:val="3"/>
      </w:pPr>
    </w:p>
    <w:p>
      <w:pPr>
        <w:pStyle w:val="4"/>
      </w:pPr>
    </w:p>
    <w:p>
      <w:pPr>
        <w:pStyle w:val="3"/>
      </w:pPr>
    </w:p>
    <w:p>
      <w:pPr>
        <w:pStyle w:val="9"/>
        <w:bidi w:val="0"/>
      </w:pPr>
      <w:bookmarkStart w:id="294" w:name="_Toc29719"/>
      <w:r>
        <w:rPr>
          <w:rFonts w:hint="eastAsia"/>
        </w:rPr>
        <w:t>第八章  投标文件格式</w:t>
      </w:r>
      <w:bookmarkEnd w:id="275"/>
      <w:bookmarkEnd w:id="276"/>
      <w:bookmarkEnd w:id="277"/>
      <w:bookmarkEnd w:id="294"/>
    </w:p>
    <w:p>
      <w:pPr>
        <w:rPr>
          <w:rFonts w:asciiTheme="minorEastAsia" w:hAnsiTheme="minorEastAsia" w:eastAsiaTheme="minorEastAsia" w:cstheme="minorEastAsia"/>
        </w:rPr>
      </w:pPr>
      <w:bookmarkStart w:id="295" w:name="_Toc18905"/>
      <w:bookmarkStart w:id="296" w:name="_Toc403122573"/>
      <w:bookmarkStart w:id="297" w:name="_Toc27452"/>
      <w:bookmarkStart w:id="298" w:name="_Toc402961301"/>
    </w:p>
    <w:bookmarkEnd w:id="295"/>
    <w:bookmarkEnd w:id="296"/>
    <w:bookmarkEnd w:id="297"/>
    <w:bookmarkEnd w:id="298"/>
    <w:p>
      <w:pPr>
        <w:ind w:firstLine="2891" w:firstLineChars="800"/>
        <w:rPr>
          <w:rFonts w:asciiTheme="minorEastAsia" w:hAnsiTheme="minorEastAsia" w:eastAsiaTheme="minorEastAsia" w:cstheme="minorEastAsia"/>
        </w:rPr>
      </w:pPr>
      <w:r>
        <w:rPr>
          <w:rFonts w:hint="eastAsia" w:asciiTheme="minorEastAsia" w:hAnsiTheme="minorEastAsia" w:eastAsiaTheme="minorEastAsia" w:cstheme="minorEastAsia"/>
          <w:b/>
          <w:sz w:val="36"/>
          <w:szCs w:val="36"/>
        </w:rPr>
        <w:t xml:space="preserve">（项目名称）                   </w:t>
      </w:r>
    </w:p>
    <w:p>
      <w:pPr>
        <w:spacing w:line="360" w:lineRule="auto"/>
        <w:jc w:val="center"/>
        <w:rPr>
          <w:rFonts w:asciiTheme="minorEastAsia" w:hAnsiTheme="minorEastAsia" w:eastAsiaTheme="minorEastAsia" w:cstheme="minorEastAsia"/>
          <w:b/>
          <w:sz w:val="32"/>
          <w:szCs w:val="32"/>
        </w:rPr>
      </w:pPr>
    </w:p>
    <w:p>
      <w:pPr>
        <w:pStyle w:val="5"/>
      </w:pPr>
    </w:p>
    <w:p>
      <w:pPr>
        <w:pStyle w:val="5"/>
      </w:pPr>
    </w:p>
    <w:p>
      <w:pPr>
        <w:pStyle w:val="5"/>
      </w:pPr>
    </w:p>
    <w:p>
      <w:pPr>
        <w:spacing w:line="360" w:lineRule="auto"/>
        <w:jc w:val="center"/>
        <w:rPr>
          <w:rFonts w:asciiTheme="minorEastAsia" w:hAnsiTheme="minorEastAsia" w:eastAsiaTheme="minorEastAsia" w:cstheme="minorEastAsia"/>
          <w:b/>
          <w:spacing w:val="24"/>
          <w:kern w:val="10"/>
          <w:sz w:val="52"/>
          <w:szCs w:val="52"/>
        </w:rPr>
      </w:pPr>
      <w:r>
        <w:rPr>
          <w:rFonts w:hint="eastAsia" w:asciiTheme="minorEastAsia" w:hAnsiTheme="minorEastAsia" w:eastAsiaTheme="minorEastAsia" w:cstheme="minorEastAsia"/>
          <w:b/>
          <w:spacing w:val="24"/>
          <w:kern w:val="10"/>
          <w:sz w:val="52"/>
          <w:szCs w:val="52"/>
        </w:rPr>
        <w:t>投  标  文  件</w:t>
      </w:r>
    </w:p>
    <w:p>
      <w:pPr>
        <w:jc w:val="center"/>
        <w:rPr>
          <w:rFonts w:asciiTheme="minorEastAsia" w:hAnsiTheme="minorEastAsia" w:eastAsiaTheme="minorEastAsia" w:cstheme="minorEastAsia"/>
          <w:sz w:val="24"/>
        </w:rPr>
      </w:pPr>
    </w:p>
    <w:p>
      <w:pPr>
        <w:pStyle w:val="15"/>
      </w:pPr>
      <w:r>
        <w:rPr>
          <w:rFonts w:hint="eastAsia" w:asciiTheme="minorEastAsia" w:hAnsiTheme="minorEastAsia" w:eastAsiaTheme="minorEastAsia" w:cstheme="minorEastAsia"/>
        </w:rPr>
        <w:t xml:space="preserve"> </w:t>
      </w: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（封面）</w:t>
      </w: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b/>
          <w:sz w:val="24"/>
        </w:rPr>
      </w:pPr>
    </w:p>
    <w:p>
      <w:pPr>
        <w:pStyle w:val="19"/>
        <w:spacing w:line="600" w:lineRule="exact"/>
        <w:ind w:left="1050" w:leftChars="500" w:firstLine="1152" w:firstLineChars="450"/>
        <w:rPr>
          <w:rFonts w:hint="default" w:asciiTheme="minorEastAsia" w:hAnsiTheme="minorEastAsia" w:eastAsiaTheme="minorEastAsia" w:cstheme="minorEastAsia"/>
          <w:sz w:val="24"/>
        </w:rPr>
      </w:pPr>
      <w:r>
        <w:rPr>
          <w:rFonts w:asciiTheme="minorEastAsia" w:hAnsiTheme="minorEastAsia" w:eastAsiaTheme="minorEastAsia" w:cstheme="minorEastAsia"/>
          <w:spacing w:val="8"/>
          <w:sz w:val="24"/>
        </w:rPr>
        <w:t>供  应  商：</w:t>
      </w:r>
      <w:r>
        <w:rPr>
          <w:rFonts w:asciiTheme="minorEastAsia" w:hAnsiTheme="minorEastAsia" w:eastAsiaTheme="minorEastAsia" w:cstheme="minorEastAsia"/>
          <w:sz w:val="24"/>
        </w:rPr>
        <w:t>（单位公章）</w:t>
      </w:r>
    </w:p>
    <w:p>
      <w:pPr>
        <w:pStyle w:val="19"/>
        <w:spacing w:line="600" w:lineRule="exact"/>
        <w:ind w:left="1050" w:leftChars="500" w:firstLine="1200" w:firstLineChars="500"/>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法定代表人或</w:t>
      </w:r>
      <w:r>
        <w:rPr>
          <w:rFonts w:asciiTheme="minorEastAsia" w:hAnsiTheme="minorEastAsia" w:eastAsiaTheme="minorEastAsia" w:cstheme="minorEastAsia"/>
          <w:spacing w:val="12"/>
          <w:sz w:val="24"/>
        </w:rPr>
        <w:t>委托代理人：</w:t>
      </w:r>
      <w:r>
        <w:rPr>
          <w:rFonts w:asciiTheme="minorEastAsia" w:hAnsiTheme="minorEastAsia" w:eastAsiaTheme="minorEastAsia" w:cstheme="minorEastAsia"/>
          <w:sz w:val="24"/>
        </w:rPr>
        <w:t xml:space="preserve">（签字或盖章）  </w:t>
      </w:r>
    </w:p>
    <w:p>
      <w:pPr>
        <w:pStyle w:val="19"/>
        <w:spacing w:line="600" w:lineRule="exact"/>
        <w:ind w:left="1050" w:leftChars="500" w:firstLine="1200" w:firstLineChars="500"/>
        <w:rPr>
          <w:rFonts w:hint="default" w:asciiTheme="minorEastAsia" w:hAnsiTheme="minorEastAsia" w:eastAsiaTheme="minorEastAsia" w:cstheme="minorEastAsia"/>
          <w:b/>
          <w:bCs/>
          <w:sz w:val="28"/>
          <w:szCs w:val="28"/>
        </w:rPr>
      </w:pPr>
      <w:r>
        <w:rPr>
          <w:rFonts w:asciiTheme="minorEastAsia" w:hAnsiTheme="minorEastAsia" w:eastAsiaTheme="minorEastAsia" w:cstheme="minorEastAsia"/>
          <w:sz w:val="24"/>
        </w:rPr>
        <w:t>日       期：       年    月    日</w:t>
      </w:r>
    </w:p>
    <w:p>
      <w:pPr>
        <w:ind w:firstLine="540" w:firstLineChars="192"/>
        <w:jc w:val="center"/>
        <w:rPr>
          <w:rFonts w:asciiTheme="minorEastAsia" w:hAnsiTheme="minorEastAsia" w:eastAsiaTheme="minorEastAsia" w:cstheme="minorEastAsia"/>
          <w:b/>
          <w:bCs/>
          <w:sz w:val="28"/>
          <w:szCs w:val="28"/>
        </w:rPr>
      </w:pPr>
    </w:p>
    <w:p>
      <w:pPr>
        <w:ind w:firstLine="848" w:firstLineChars="192"/>
        <w:jc w:val="center"/>
        <w:rPr>
          <w:rFonts w:asciiTheme="minorEastAsia" w:hAnsiTheme="minorEastAsia" w:eastAsiaTheme="minorEastAsia" w:cstheme="minorEastAsia"/>
          <w:b/>
          <w:bCs/>
          <w:sz w:val="44"/>
          <w:szCs w:val="44"/>
        </w:rPr>
      </w:pPr>
    </w:p>
    <w:p>
      <w:pPr>
        <w:pStyle w:val="2"/>
        <w:rPr>
          <w:rFonts w:asciiTheme="minorEastAsia" w:hAnsiTheme="minorEastAsia" w:eastAsiaTheme="minorEastAsia" w:cstheme="minorEastAsia"/>
          <w:b/>
          <w:bCs/>
          <w:sz w:val="44"/>
          <w:szCs w:val="44"/>
        </w:rPr>
      </w:pPr>
    </w:p>
    <w:p>
      <w:pPr>
        <w:pStyle w:val="5"/>
      </w:pPr>
    </w:p>
    <w:p>
      <w:pPr>
        <w:ind w:firstLine="848" w:firstLineChars="192"/>
        <w:jc w:val="center"/>
        <w:rPr>
          <w:rFonts w:asciiTheme="minorEastAsia" w:hAnsiTheme="minorEastAsia" w:eastAsiaTheme="minorEastAsia" w:cstheme="minorEastAsia"/>
          <w:b/>
          <w:bCs/>
          <w:sz w:val="44"/>
          <w:szCs w:val="44"/>
        </w:rPr>
      </w:pPr>
    </w:p>
    <w:p>
      <w:pPr>
        <w:ind w:firstLine="848" w:firstLineChars="192"/>
        <w:jc w:val="center"/>
        <w:rPr>
          <w:rFonts w:asciiTheme="minorEastAsia" w:hAnsiTheme="minorEastAsia" w:eastAsiaTheme="minorEastAsia" w:cstheme="minorEastAsia"/>
          <w:b/>
          <w:bCs/>
          <w:sz w:val="44"/>
          <w:szCs w:val="44"/>
        </w:rPr>
      </w:pP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44"/>
          <w:szCs w:val="44"/>
        </w:rPr>
        <w:t>目    录</w:t>
      </w:r>
    </w:p>
    <w:p>
      <w:pPr>
        <w:bidi w:val="0"/>
        <w:jc w:val="center"/>
      </w:pPr>
      <w:bookmarkStart w:id="299" w:name="_Toc31547"/>
      <w:bookmarkStart w:id="300" w:name="_Toc2130"/>
      <w:bookmarkStart w:id="301" w:name="_Toc5525"/>
      <w:r>
        <w:t>（自拟）</w:t>
      </w:r>
    </w:p>
    <w:p>
      <w:pPr>
        <w:pStyle w:val="10"/>
        <w:bidi w:val="0"/>
        <w:spacing w:before="0" w:beforeAutospacing="0" w:after="0" w:afterAutospacing="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szCs w:val="21"/>
        </w:rPr>
        <w:br w:type="page"/>
      </w:r>
      <w:bookmarkStart w:id="302" w:name="_Toc30028"/>
      <w:bookmarkStart w:id="303" w:name="_Toc1921"/>
      <w:r>
        <w:rPr>
          <w:rFonts w:hint="eastAsia" w:asciiTheme="minorEastAsia" w:hAnsiTheme="minorEastAsia" w:eastAsiaTheme="minorEastAsia" w:cstheme="minorEastAsia"/>
          <w:b/>
          <w:bCs/>
          <w:sz w:val="30"/>
          <w:szCs w:val="30"/>
        </w:rPr>
        <w:t>一、投标函</w:t>
      </w:r>
      <w:bookmarkEnd w:id="299"/>
      <w:r>
        <w:rPr>
          <w:rFonts w:hint="eastAsia" w:asciiTheme="minorEastAsia" w:hAnsiTheme="minorEastAsia" w:eastAsiaTheme="minorEastAsia" w:cstheme="minorEastAsia"/>
          <w:b/>
          <w:bCs/>
          <w:sz w:val="30"/>
          <w:szCs w:val="30"/>
        </w:rPr>
        <w:t>及开标一览表</w:t>
      </w:r>
      <w:bookmarkEnd w:id="300"/>
      <w:bookmarkEnd w:id="301"/>
      <w:bookmarkEnd w:id="302"/>
      <w:bookmarkEnd w:id="303"/>
    </w:p>
    <w:p>
      <w:pPr>
        <w:pStyle w:val="11"/>
        <w:bidi w:val="0"/>
        <w:spacing w:before="0" w:beforeLines="0" w:beforeAutospacing="0" w:after="0" w:afterLines="0" w:afterAutospacing="0"/>
      </w:pPr>
      <w:bookmarkStart w:id="304" w:name="_Toc600"/>
      <w:bookmarkStart w:id="305" w:name="_Toc15513"/>
      <w:bookmarkStart w:id="306" w:name="_Toc28684"/>
      <w:bookmarkStart w:id="307" w:name="_Toc27218"/>
      <w:bookmarkStart w:id="308" w:name="_Toc12044"/>
      <w:bookmarkStart w:id="309" w:name="_Toc11967"/>
      <w:r>
        <w:rPr>
          <w:rFonts w:hint="eastAsia"/>
        </w:rPr>
        <w:t>（一）投标函</w:t>
      </w:r>
      <w:bookmarkEnd w:id="304"/>
      <w:bookmarkEnd w:id="305"/>
      <w:bookmarkEnd w:id="306"/>
      <w:bookmarkEnd w:id="307"/>
      <w:bookmarkEnd w:id="308"/>
      <w:bookmarkEnd w:id="309"/>
    </w:p>
    <w:p>
      <w:pPr>
        <w:widowControl/>
        <w:spacing w:beforeAutospacing="0" w:line="360" w:lineRule="auto"/>
        <w:ind w:firstLine="562" w:firstLineChars="200"/>
        <w:rPr>
          <w:rFonts w:ascii="宋体" w:hAnsi="宋体"/>
          <w:b/>
          <w:bCs/>
          <w:kern w:val="0"/>
          <w:sz w:val="28"/>
          <w:szCs w:val="28"/>
          <w:u w:val="single"/>
        </w:rPr>
      </w:pPr>
      <w:r>
        <w:rPr>
          <w:rFonts w:hint="eastAsia" w:ascii="宋体" w:hAnsi="宋体"/>
          <w:b/>
          <w:bCs/>
          <w:kern w:val="0"/>
          <w:sz w:val="28"/>
          <w:szCs w:val="28"/>
        </w:rPr>
        <w:t>致：</w:t>
      </w:r>
      <w:r>
        <w:rPr>
          <w:rFonts w:hint="eastAsia" w:ascii="宋体" w:hAnsi="宋体"/>
          <w:b/>
          <w:bCs/>
          <w:kern w:val="0"/>
          <w:sz w:val="28"/>
          <w:szCs w:val="28"/>
          <w:u w:val="single"/>
        </w:rPr>
        <w:t xml:space="preserve">                    （采购人名称） </w:t>
      </w:r>
    </w:p>
    <w:p>
      <w:pPr>
        <w:pStyle w:val="2"/>
        <w:spacing w:line="360" w:lineRule="auto"/>
        <w:ind w:firstLine="480" w:firstLineChars="200"/>
        <w:rPr>
          <w:rFonts w:hint="default" w:asciiTheme="minorEastAsia" w:hAnsiTheme="minorEastAsia" w:eastAsiaTheme="minorEastAsia" w:cstheme="minorEastAsia"/>
        </w:rPr>
      </w:pPr>
      <w:r>
        <w:rPr>
          <w:rFonts w:asciiTheme="minorEastAsia" w:hAnsiTheme="minorEastAsia" w:eastAsiaTheme="minorEastAsia" w:cstheme="minorEastAsia"/>
          <w:sz w:val="24"/>
        </w:rPr>
        <w:t xml:space="preserve">我单位已收到的 </w:t>
      </w:r>
      <w:r>
        <w:rPr>
          <w:rFonts w:asciiTheme="minorEastAsia" w:hAnsiTheme="minorEastAsia" w:eastAsiaTheme="minorEastAsia" w:cstheme="minorEastAsia"/>
          <w:sz w:val="24"/>
          <w:u w:val="single"/>
        </w:rPr>
        <w:t xml:space="preserve">                        </w:t>
      </w:r>
      <w:r>
        <w:rPr>
          <w:rFonts w:asciiTheme="minorEastAsia" w:hAnsiTheme="minorEastAsia" w:eastAsiaTheme="minorEastAsia" w:cstheme="minorEastAsia"/>
          <w:sz w:val="24"/>
        </w:rPr>
        <w:t>项目（采购编号：</w:t>
      </w:r>
      <w:r>
        <w:rPr>
          <w:rFonts w:asciiTheme="minorEastAsia" w:hAnsiTheme="minorEastAsia" w:eastAsiaTheme="minorEastAsia" w:cstheme="minorEastAsia"/>
          <w:sz w:val="24"/>
          <w:u w:val="single"/>
        </w:rPr>
        <w:t xml:space="preserve">       </w:t>
      </w:r>
      <w:r>
        <w:rPr>
          <w:rFonts w:asciiTheme="minorEastAsia" w:hAnsiTheme="minorEastAsia" w:eastAsiaTheme="minorEastAsia" w:cstheme="minorEastAsia"/>
          <w:sz w:val="24"/>
        </w:rPr>
        <w:t>）采购文件及有关纪要通知，现对参与投标及成交后工作，做出如下郑重承诺：</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1、我方愿以总价为人民币（大写）</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（小写）￥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元，服务期：</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，按合同约定实施和完成本项目。 </w:t>
      </w:r>
    </w:p>
    <w:p>
      <w:pPr>
        <w:widowControl/>
        <w:spacing w:line="360" w:lineRule="auto"/>
        <w:ind w:firstLine="480" w:firstLineChars="200"/>
        <w:rPr>
          <w:rFonts w:asciiTheme="minorEastAsia" w:hAnsiTheme="minorEastAsia" w:eastAsiaTheme="minorEastAsia" w:cstheme="minorEastAsia"/>
          <w:strike/>
          <w:sz w:val="24"/>
        </w:rPr>
      </w:pPr>
      <w:r>
        <w:rPr>
          <w:rFonts w:hint="eastAsia" w:asciiTheme="minorEastAsia" w:hAnsiTheme="minorEastAsia" w:eastAsiaTheme="minorEastAsia" w:cstheme="minorEastAsia"/>
          <w:sz w:val="24"/>
        </w:rPr>
        <w:t>2、在响应性文件递交截止时间后至确定成交人的</w:t>
      </w:r>
      <w:r>
        <w:fldChar w:fldCharType="begin"/>
      </w:r>
      <w:r>
        <w:instrText xml:space="preserve"> HYPERLINK "https://baike.so.com/doc/5394983-5632135.html" \t "https://baike.so.com/doc/_blank" </w:instrText>
      </w:r>
      <w:r>
        <w:fldChar w:fldCharType="separate"/>
      </w:r>
      <w:r>
        <w:rPr>
          <w:rFonts w:hint="eastAsia" w:asciiTheme="minorEastAsia" w:hAnsiTheme="minorEastAsia" w:eastAsiaTheme="minorEastAsia" w:cstheme="minorEastAsia"/>
          <w:sz w:val="24"/>
        </w:rPr>
        <w:t>投标有效期</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内，我单位不得要求退出竞标或者修改响应性文件。</w:t>
      </w:r>
    </w:p>
    <w:p>
      <w:pPr>
        <w:widowControl/>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3、我方明白采购人不一定接纳最低投标报价的采购，也不需要采购人解释选择或否决任何</w:t>
      </w:r>
      <w:r>
        <w:rPr>
          <w:rFonts w:hint="eastAsia" w:asciiTheme="minorEastAsia" w:hAnsiTheme="minorEastAsia" w:eastAsiaTheme="minorEastAsia" w:cstheme="minorEastAsia"/>
          <w:sz w:val="24"/>
          <w:lang w:eastAsia="zh-CN"/>
        </w:rPr>
        <w:t>投标人</w:t>
      </w:r>
      <w:r>
        <w:rPr>
          <w:rFonts w:hint="eastAsia" w:asciiTheme="minorEastAsia" w:hAnsiTheme="minorEastAsia" w:eastAsiaTheme="minorEastAsia" w:cstheme="minorEastAsia"/>
          <w:sz w:val="24"/>
        </w:rPr>
        <w:t>的原因和理由。</w:t>
      </w:r>
    </w:p>
    <w:p>
      <w:pPr>
        <w:widowControl/>
        <w:spacing w:line="360" w:lineRule="auto"/>
        <w:ind w:firstLine="480" w:firstLineChars="200"/>
        <w:rPr>
          <w:rFonts w:asciiTheme="minorEastAsia" w:hAnsiTheme="minorEastAsia" w:eastAsiaTheme="minorEastAsia" w:cstheme="minorEastAsia"/>
          <w:kern w:val="0"/>
          <w:sz w:val="24"/>
        </w:rPr>
      </w:pPr>
    </w:p>
    <w:p>
      <w:pPr>
        <w:widowControl/>
        <w:spacing w:line="360" w:lineRule="auto"/>
        <w:ind w:firstLine="480" w:firstLineChars="200"/>
        <w:rPr>
          <w:rFonts w:asciiTheme="minorEastAsia" w:hAnsiTheme="minorEastAsia" w:eastAsiaTheme="minorEastAsia" w:cstheme="minorEastAsia"/>
          <w:kern w:val="0"/>
          <w:sz w:val="24"/>
        </w:rPr>
      </w:pPr>
    </w:p>
    <w:p>
      <w:pPr>
        <w:widowControl/>
        <w:spacing w:line="360" w:lineRule="auto"/>
        <w:ind w:firstLine="480" w:firstLineChars="200"/>
        <w:rPr>
          <w:rFonts w:asciiTheme="minorEastAsia" w:hAnsiTheme="minorEastAsia" w:eastAsiaTheme="minorEastAsia" w:cstheme="minorEastAsia"/>
          <w:kern w:val="0"/>
          <w:sz w:val="24"/>
        </w:rPr>
      </w:pPr>
    </w:p>
    <w:p>
      <w:pPr>
        <w:widowControl/>
        <w:spacing w:line="360" w:lineRule="auto"/>
        <w:ind w:firstLine="480" w:firstLineChars="200"/>
        <w:rPr>
          <w:rFonts w:hint="eastAsia" w:asciiTheme="minorEastAsia" w:hAnsiTheme="minorEastAsia" w:eastAsiaTheme="minorEastAsia" w:cstheme="minorEastAsia"/>
          <w:kern w:val="0"/>
          <w:sz w:val="24"/>
        </w:rPr>
      </w:pPr>
    </w:p>
    <w:p>
      <w:pPr>
        <w:widowControl/>
        <w:spacing w:line="360" w:lineRule="auto"/>
        <w:ind w:firstLine="480" w:firstLineChars="200"/>
        <w:rPr>
          <w:rFonts w:hint="eastAsia" w:asciiTheme="minorEastAsia" w:hAnsiTheme="minorEastAsia" w:eastAsiaTheme="minorEastAsia" w:cstheme="minorEastAsia"/>
          <w:kern w:val="0"/>
          <w:sz w:val="24"/>
        </w:rPr>
      </w:pPr>
    </w:p>
    <w:p>
      <w:pPr>
        <w:widowControl/>
        <w:spacing w:line="360" w:lineRule="auto"/>
        <w:ind w:firstLine="480" w:firstLineChars="200"/>
        <w:rPr>
          <w:rFonts w:hint="eastAsia" w:asciiTheme="minorEastAsia" w:hAnsiTheme="minorEastAsia" w:eastAsiaTheme="minorEastAsia" w:cstheme="minorEastAsia"/>
          <w:kern w:val="0"/>
          <w:sz w:val="24"/>
        </w:rPr>
      </w:pP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eastAsia="zh-CN"/>
        </w:rPr>
        <w:t>投标人</w:t>
      </w:r>
      <w:r>
        <w:rPr>
          <w:rFonts w:hint="eastAsia" w:asciiTheme="minorEastAsia" w:hAnsiTheme="minorEastAsia" w:eastAsiaTheme="minorEastAsia" w:cstheme="minorEastAsia"/>
          <w:kern w:val="0"/>
          <w:sz w:val="24"/>
        </w:rPr>
        <w:t>：（盖章）</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法定代表人或授权委托代理人：（签字或盖章）</w:t>
      </w:r>
    </w:p>
    <w:p>
      <w:pPr>
        <w:widowControl/>
        <w:spacing w:line="360" w:lineRule="auto"/>
        <w:ind w:firstLine="480" w:firstLineChars="200"/>
        <w:rPr>
          <w:rFonts w:ascii="宋体" w:hAnsi="宋体"/>
          <w:b/>
          <w:bCs/>
          <w:kern w:val="0"/>
          <w:sz w:val="32"/>
          <w:szCs w:val="32"/>
        </w:rPr>
      </w:pPr>
      <w:r>
        <w:rPr>
          <w:rFonts w:hint="eastAsia" w:ascii="宋体" w:hAnsi="宋体"/>
          <w:kern w:val="0"/>
          <w:sz w:val="24"/>
        </w:rPr>
        <w:t>年      月      日</w:t>
      </w:r>
    </w:p>
    <w:p>
      <w:pPr>
        <w:pStyle w:val="11"/>
        <w:bidi w:val="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bookmarkStart w:id="310" w:name="_Toc208"/>
      <w:bookmarkStart w:id="311" w:name="_Toc14778"/>
      <w:bookmarkStart w:id="312" w:name="_Toc9543"/>
      <w:bookmarkStart w:id="313" w:name="_Toc16691"/>
      <w:bookmarkStart w:id="314" w:name="_Toc31291"/>
      <w:bookmarkStart w:id="315" w:name="_Toc25633"/>
      <w:r>
        <w:rPr>
          <w:rFonts w:hint="eastAsia" w:asciiTheme="minorEastAsia" w:hAnsiTheme="minorEastAsia" w:eastAsiaTheme="minorEastAsia" w:cstheme="minorEastAsia"/>
          <w:b/>
          <w:bCs/>
          <w:sz w:val="28"/>
          <w:szCs w:val="28"/>
        </w:rPr>
        <w:t>（二） 开标一览表</w:t>
      </w:r>
      <w:bookmarkEnd w:id="310"/>
      <w:bookmarkEnd w:id="311"/>
      <w:bookmarkEnd w:id="312"/>
      <w:bookmarkEnd w:id="313"/>
      <w:bookmarkEnd w:id="314"/>
      <w:bookmarkEnd w:id="315"/>
    </w:p>
    <w:tbl>
      <w:tblPr>
        <w:tblStyle w:val="27"/>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0"/>
        <w:gridCol w:w="5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5898" w:type="dxa"/>
            <w:vAlign w:val="center"/>
          </w:tcPr>
          <w:p>
            <w:pPr>
              <w:pStyle w:val="6"/>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 标 人</w:t>
            </w:r>
          </w:p>
        </w:tc>
        <w:tc>
          <w:tcPr>
            <w:tcW w:w="5898" w:type="dxa"/>
            <w:vAlign w:val="center"/>
          </w:tcPr>
          <w:p>
            <w:pPr>
              <w:pStyle w:val="6"/>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投标总报价</w:t>
            </w:r>
          </w:p>
        </w:tc>
        <w:tc>
          <w:tcPr>
            <w:tcW w:w="5898" w:type="dxa"/>
            <w:vAlign w:val="center"/>
          </w:tcPr>
          <w:p>
            <w:pPr>
              <w:pStyle w:val="6"/>
              <w:spacing w:line="400" w:lineRule="exact"/>
              <w:ind w:firstLine="480"/>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 xml:space="preserve">（大写）                                </w:t>
            </w:r>
          </w:p>
          <w:p>
            <w:pPr>
              <w:pStyle w:val="6"/>
              <w:spacing w:line="400" w:lineRule="exact"/>
              <w:ind w:firstLine="480"/>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质量标准</w:t>
            </w:r>
          </w:p>
        </w:tc>
        <w:tc>
          <w:tcPr>
            <w:tcW w:w="5898" w:type="dxa"/>
            <w:vAlign w:val="center"/>
          </w:tcPr>
          <w:p>
            <w:pPr>
              <w:pStyle w:val="6"/>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合同履行期限（服务期）</w:t>
            </w:r>
          </w:p>
        </w:tc>
        <w:tc>
          <w:tcPr>
            <w:tcW w:w="5898" w:type="dxa"/>
            <w:vAlign w:val="center"/>
          </w:tcPr>
          <w:p>
            <w:pPr>
              <w:pStyle w:val="6"/>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asciiTheme="minorEastAsia" w:hAnsiTheme="minorEastAsia" w:eastAsiaTheme="minorEastAsia" w:cstheme="minorEastAsia"/>
                <w:bCs/>
                <w:iCs/>
                <w:sz w:val="24"/>
              </w:rPr>
            </w:pPr>
            <w:r>
              <w:rPr>
                <w:rFonts w:hint="eastAsia" w:asciiTheme="minorEastAsia" w:hAnsiTheme="minorEastAsia" w:eastAsiaTheme="minorEastAsia" w:cstheme="minorEastAsia"/>
                <w:bCs/>
                <w:iCs/>
                <w:sz w:val="24"/>
              </w:rPr>
              <w:t>投标有效期</w:t>
            </w:r>
          </w:p>
        </w:tc>
        <w:tc>
          <w:tcPr>
            <w:tcW w:w="5898" w:type="dxa"/>
            <w:vAlign w:val="center"/>
          </w:tcPr>
          <w:p>
            <w:pPr>
              <w:pStyle w:val="6"/>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2610" w:type="dxa"/>
            <w:vAlign w:val="center"/>
          </w:tcPr>
          <w:p>
            <w:pPr>
              <w:pStyle w:val="6"/>
              <w:spacing w:line="400" w:lineRule="exact"/>
              <w:ind w:firstLine="480"/>
              <w:jc w:val="both"/>
              <w:rPr>
                <w:rFonts w:asciiTheme="minorEastAsia" w:hAnsiTheme="minorEastAsia" w:eastAsiaTheme="minorEastAsia" w:cstheme="minorEastAsia"/>
                <w:bCs/>
                <w:iCs/>
                <w:sz w:val="24"/>
              </w:rPr>
            </w:pPr>
            <w:r>
              <w:rPr>
                <w:rFonts w:hint="eastAsia" w:asciiTheme="minorEastAsia" w:hAnsiTheme="minorEastAsia" w:eastAsiaTheme="minorEastAsia" w:cstheme="minorEastAsia"/>
                <w:sz w:val="24"/>
                <w:szCs w:val="20"/>
              </w:rPr>
              <w:t>备注：</w:t>
            </w:r>
          </w:p>
        </w:tc>
        <w:tc>
          <w:tcPr>
            <w:tcW w:w="5898" w:type="dxa"/>
            <w:vAlign w:val="center"/>
          </w:tcPr>
          <w:p>
            <w:pPr>
              <w:pStyle w:val="6"/>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508" w:type="dxa"/>
            <w:gridSpan w:val="2"/>
            <w:vAlign w:val="center"/>
          </w:tcPr>
          <w:p>
            <w:pPr>
              <w:pStyle w:val="6"/>
              <w:spacing w:line="400" w:lineRule="exact"/>
              <w:ind w:firstLine="480"/>
              <w:rPr>
                <w:rFonts w:asciiTheme="minorEastAsia" w:hAnsiTheme="minorEastAsia" w:eastAsiaTheme="minorEastAsia" w:cstheme="minorEastAsia"/>
                <w:sz w:val="24"/>
                <w:szCs w:val="20"/>
              </w:rPr>
            </w:pPr>
          </w:p>
        </w:tc>
      </w:tr>
    </w:tbl>
    <w:p>
      <w:pPr>
        <w:spacing w:line="360" w:lineRule="exact"/>
        <w:jc w:val="right"/>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投标人：（单位公章）</w:t>
      </w:r>
    </w:p>
    <w:p>
      <w:pPr>
        <w:ind w:left="1050" w:leftChars="500"/>
        <w:jc w:val="center"/>
        <w:rPr>
          <w:rFonts w:asciiTheme="minorEastAsia" w:hAnsiTheme="minorEastAsia" w:eastAsiaTheme="minorEastAsia" w:cstheme="minorEastAsia"/>
          <w:sz w:val="24"/>
        </w:rPr>
      </w:pPr>
    </w:p>
    <w:p>
      <w:pPr>
        <w:ind w:left="1050" w:leftChars="5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法定代表人</w:t>
      </w:r>
      <w:r>
        <w:rPr>
          <w:rFonts w:hint="eastAsia" w:asciiTheme="minorEastAsia" w:hAnsiTheme="minorEastAsia" w:eastAsiaTheme="minorEastAsia" w:cstheme="minorEastAsia"/>
          <w:sz w:val="24"/>
          <w:szCs w:val="20"/>
        </w:rPr>
        <w:t>或其委托代理人</w:t>
      </w:r>
      <w:r>
        <w:rPr>
          <w:rFonts w:hint="eastAsia" w:asciiTheme="minorEastAsia" w:hAnsiTheme="minorEastAsia" w:eastAsiaTheme="minorEastAsia" w:cstheme="minorEastAsia"/>
          <w:sz w:val="24"/>
        </w:rPr>
        <w:t>：（签字或盖章）</w:t>
      </w:r>
    </w:p>
    <w:p>
      <w:pPr>
        <w:ind w:left="1050" w:leftChars="500"/>
        <w:jc w:val="center"/>
        <w:rPr>
          <w:rFonts w:asciiTheme="minorEastAsia" w:hAnsiTheme="minorEastAsia" w:eastAsiaTheme="minorEastAsia" w:cstheme="minorEastAsia"/>
          <w:sz w:val="24"/>
        </w:rPr>
      </w:pPr>
    </w:p>
    <w:p>
      <w:pPr>
        <w:ind w:left="1050" w:leftChars="5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日  期：     年   月   日</w:t>
      </w: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pStyle w:val="3"/>
        <w:rPr>
          <w:rFonts w:asciiTheme="minorEastAsia" w:hAnsiTheme="minorEastAsia" w:eastAsiaTheme="minorEastAsia" w:cstheme="minorEastAsia"/>
          <w:sz w:val="24"/>
        </w:rPr>
      </w:pPr>
    </w:p>
    <w:p>
      <w:pPr>
        <w:pStyle w:val="4"/>
        <w:bidi w:val="0"/>
      </w:pPr>
    </w:p>
    <w:p>
      <w:pPr>
        <w:pStyle w:val="25"/>
        <w:spacing w:before="120" w:after="120" w:line="500" w:lineRule="exact"/>
        <w:ind w:right="29" w:rightChars="14"/>
        <w:outlineLvl w:val="1"/>
        <w:rPr>
          <w:rFonts w:asciiTheme="minorEastAsia" w:hAnsiTheme="minorEastAsia" w:eastAsiaTheme="minorEastAsia" w:cstheme="minorEastAsia"/>
          <w:sz w:val="24"/>
        </w:rPr>
        <w:sectPr>
          <w:headerReference r:id="rId9" w:type="default"/>
          <w:footerReference r:id="rId10" w:type="default"/>
          <w:pgSz w:w="11907" w:h="16840"/>
          <w:pgMar w:top="1276" w:right="1116" w:bottom="1417" w:left="911" w:header="850" w:footer="998" w:gutter="0"/>
          <w:pgNumType w:fmt="numberInDash"/>
          <w:cols w:space="720" w:num="1"/>
          <w:docGrid w:type="lines" w:linePitch="380" w:charSpace="0"/>
        </w:sectPr>
      </w:pPr>
    </w:p>
    <w:p>
      <w:pPr>
        <w:pStyle w:val="10"/>
        <w:numPr>
          <w:ilvl w:val="0"/>
          <w:numId w:val="14"/>
        </w:numPr>
        <w:bidi w:val="0"/>
      </w:pPr>
      <w:bookmarkStart w:id="316" w:name="_Toc5113"/>
      <w:bookmarkStart w:id="317" w:name="_Toc2213"/>
      <w:bookmarkStart w:id="318" w:name="_Toc28839"/>
      <w:bookmarkStart w:id="319" w:name="_Toc5614"/>
      <w:bookmarkStart w:id="320" w:name="_Toc26698"/>
      <w:r>
        <w:rPr>
          <w:rFonts w:hint="eastAsia"/>
        </w:rPr>
        <w:t>法定代表人身份证明书</w:t>
      </w:r>
      <w:bookmarkEnd w:id="316"/>
      <w:bookmarkEnd w:id="317"/>
      <w:bookmarkEnd w:id="318"/>
      <w:bookmarkEnd w:id="319"/>
      <w:bookmarkEnd w:id="320"/>
    </w:p>
    <w:p>
      <w:pPr>
        <w:spacing w:line="360" w:lineRule="auto"/>
        <w:ind w:firstLine="480" w:firstLineChars="200"/>
        <w:rPr>
          <w:rFonts w:ascii="宋体" w:hAnsi="宋体"/>
          <w:sz w:val="24"/>
        </w:rPr>
      </w:pPr>
      <w:r>
        <w:rPr>
          <w:rFonts w:hint="eastAsia" w:ascii="宋体" w:hAnsi="宋体"/>
          <w:sz w:val="24"/>
          <w:szCs w:val="18"/>
        </w:rPr>
        <w:t>投标人</w:t>
      </w:r>
      <w:r>
        <w:rPr>
          <w:rFonts w:hint="eastAsia" w:ascii="宋体" w:hAnsi="宋体"/>
          <w:sz w:val="24"/>
        </w:rPr>
        <w:t>名称：</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单位性质：</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80" w:firstLineChars="200"/>
        <w:rPr>
          <w:rFonts w:ascii="宋体" w:hAnsi="宋体"/>
          <w:sz w:val="24"/>
        </w:rPr>
      </w:pPr>
      <w:r>
        <w:rPr>
          <w:rFonts w:hint="eastAsia" w:ascii="宋体" w:hAnsi="宋体"/>
          <w:sz w:val="24"/>
        </w:rPr>
        <w:t>经营期限：</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姓名：</w:t>
      </w:r>
      <w:r>
        <w:rPr>
          <w:rFonts w:hint="eastAsia" w:ascii="宋体" w:hAnsi="宋体"/>
          <w:sz w:val="24"/>
          <w:u w:val="single"/>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p>
    <w:p>
      <w:pPr>
        <w:spacing w:line="360" w:lineRule="auto"/>
        <w:ind w:firstLine="480" w:firstLineChars="200"/>
        <w:rPr>
          <w:rFonts w:ascii="宋体" w:hAnsi="宋体"/>
          <w:sz w:val="24"/>
        </w:rPr>
      </w:pPr>
      <w:r>
        <w:rPr>
          <w:rFonts w:hint="eastAsia" w:ascii="宋体" w:hAnsi="宋体"/>
          <w:sz w:val="24"/>
        </w:rPr>
        <w:t>系</w:t>
      </w:r>
      <w:r>
        <w:rPr>
          <w:rFonts w:hint="eastAsia" w:ascii="宋体" w:hAnsi="宋体"/>
          <w:sz w:val="24"/>
          <w:u w:val="single"/>
        </w:rPr>
        <w:t xml:space="preserve">                                </w:t>
      </w:r>
      <w:r>
        <w:rPr>
          <w:rFonts w:hint="eastAsia" w:ascii="宋体" w:hAnsi="宋体"/>
          <w:sz w:val="24"/>
        </w:rPr>
        <w:t>（投标人名称）的法定代表人。</w:t>
      </w:r>
    </w:p>
    <w:p>
      <w:pPr>
        <w:spacing w:line="360" w:lineRule="auto"/>
        <w:ind w:firstLine="480" w:firstLineChars="200"/>
        <w:rPr>
          <w:rFonts w:ascii="宋体" w:hAnsi="宋体"/>
          <w:sz w:val="24"/>
        </w:rPr>
      </w:pPr>
      <w:r>
        <w:rPr>
          <w:rFonts w:hint="eastAsia" w:ascii="宋体" w:hAnsi="宋体"/>
          <w:sz w:val="24"/>
        </w:rPr>
        <w:t>特此证明。</w:t>
      </w:r>
    </w:p>
    <w:p>
      <w:pPr>
        <w:bidi w:val="0"/>
      </w:pPr>
      <w:r>
        <w:rPr>
          <w:sz w:val="24"/>
        </w:rPr>
        <mc:AlternateContent>
          <mc:Choice Requires="wps">
            <w:drawing>
              <wp:anchor distT="0" distB="0" distL="114300" distR="114300" simplePos="0" relativeHeight="251661312" behindDoc="0" locked="0" layoutInCell="1" allowOverlap="1">
                <wp:simplePos x="0" y="0"/>
                <wp:positionH relativeFrom="column">
                  <wp:posOffset>3235325</wp:posOffset>
                </wp:positionH>
                <wp:positionV relativeFrom="paragraph">
                  <wp:posOffset>149225</wp:posOffset>
                </wp:positionV>
                <wp:extent cx="3270885" cy="2298700"/>
                <wp:effectExtent l="4445" t="4445" r="20320" b="20955"/>
                <wp:wrapNone/>
                <wp:docPr id="3" name="自选图形 2"/>
                <wp:cNvGraphicFramePr/>
                <a:graphic xmlns:a="http://schemas.openxmlformats.org/drawingml/2006/main">
                  <a:graphicData uri="http://schemas.microsoft.com/office/word/2010/wordprocessingShape">
                    <wps:wsp>
                      <wps:cNvSpPr/>
                      <wps:spPr>
                        <a:xfrm>
                          <a:off x="0" y="0"/>
                          <a:ext cx="3270885" cy="22987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vert="horz" anchor="t" anchorCtr="0" upright="1"/>
                    </wps:wsp>
                  </a:graphicData>
                </a:graphic>
              </wp:anchor>
            </w:drawing>
          </mc:Choice>
          <mc:Fallback>
            <w:pict>
              <v:shape id="自选图形 2" o:spid="_x0000_s1026" o:spt="176" type="#_x0000_t176" style="position:absolute;left:0pt;margin-left:254.75pt;margin-top:11.75pt;height:181pt;width:257.55pt;z-index:251661312;mso-width-relative:page;mso-height-relative:page;" fillcolor="#FFFFFF" filled="t" stroked="t" coordsize="21600,21600" o:gfxdata="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VZjRBNgAAAALAQAADwAAAAAAAAABACAAAAAiAAAAZHJzL2Rvd25yZXYueG1s&#10;UEsBAhQAFAAAAAgAh07iQHpvAXkxAgAAagQAAA4AAAAAAAAAAQAgAAAAJwEAAGRycy9lMm9Eb2Mu&#10;eG1sUEsFBgAAAAAGAAYAWQEAAMoFAAAAAA==&#10;">
                <v:fill on="t" focussize="0,0"/>
                <v:stroke color="#000000" joinstyle="miter"/>
                <v:imagedata o:title=""/>
                <o:lock v:ext="edit" aspectratio="f"/>
                <v:textbox>
                  <w:txbxContent>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191770</wp:posOffset>
                </wp:positionV>
                <wp:extent cx="3034665" cy="2330450"/>
                <wp:effectExtent l="4445" t="4445" r="8890" b="8255"/>
                <wp:wrapNone/>
                <wp:docPr id="1" name="自选图形 3"/>
                <wp:cNvGraphicFramePr/>
                <a:graphic xmlns:a="http://schemas.openxmlformats.org/drawingml/2006/main">
                  <a:graphicData uri="http://schemas.microsoft.com/office/word/2010/wordprocessingShape">
                    <wps:wsp>
                      <wps:cNvSpPr/>
                      <wps:spPr>
                        <a:xfrm>
                          <a:off x="0" y="0"/>
                          <a:ext cx="3034665" cy="23304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vert="horz" anchor="t" anchorCtr="0" upright="1"/>
                    </wps:wsp>
                  </a:graphicData>
                </a:graphic>
              </wp:anchor>
            </w:drawing>
          </mc:Choice>
          <mc:Fallback>
            <w:pict>
              <v:shape id="自选图形 3" o:spid="_x0000_s1026" o:spt="176" type="#_x0000_t176" style="position:absolute;left:0pt;margin-left:4.95pt;margin-top:15.1pt;height:183.5pt;width:238.95pt;z-index:251659264;mso-width-relative:page;mso-height-relative:page;" fillcolor="#FFFFFF" filled="t" stroked="t" coordsize="21600,21600" o:gfxdata="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2lIYLWAAAACAEAAA8AAAAAAAAAAQAgAAAAIgAAAGRycy9kb3ducmV2LnhtbFBL&#10;AQIUABQAAAAIAIdO4kBJvUpPMQIAAGoEAAAOAAAAAAAAAAEAIAAAACUBAABkcnMvZTJvRG9jLnht&#10;bFBLBQYAAAAABgAGAFkBAADIBQAAAAA=&#10;">
                <v:fill on="t" focussize="0,0"/>
                <v:stroke color="#000000" joinstyle="miter"/>
                <v:imagedata o:title=""/>
                <o:lock v:ext="edit" aspectratio="f"/>
                <v:textbox>
                  <w:txbxContent>
                    <w:p>
                      <w:pPr>
                        <w:jc w:val="center"/>
                      </w:pPr>
                    </w:p>
                  </w:txbxContent>
                </v:textbox>
              </v:shape>
            </w:pict>
          </mc:Fallback>
        </mc:AlternateContent>
      </w:r>
    </w:p>
    <w:p>
      <w:pPr>
        <w:rPr>
          <w:rFonts w:ascii="宋体" w:hAnsi="宋体"/>
          <w:sz w:val="24"/>
        </w:rPr>
      </w:pPr>
    </w:p>
    <w:p>
      <w:pPr>
        <w:bidi w:val="0"/>
      </w:pPr>
    </w:p>
    <w:p>
      <w:pPr>
        <w:rPr>
          <w:rFonts w:ascii="宋体" w:hAnsi="宋体"/>
          <w:sz w:val="24"/>
        </w:rPr>
      </w:pPr>
    </w:p>
    <w:p>
      <w:pPr>
        <w:bidi w:val="0"/>
      </w:pPr>
      <w:r>
        <w:rPr>
          <w:sz w:val="24"/>
        </w:rPr>
        <mc:AlternateContent>
          <mc:Choice Requires="wps">
            <w:drawing>
              <wp:anchor distT="0" distB="0" distL="114300" distR="114300" simplePos="0" relativeHeight="251662336" behindDoc="0" locked="0" layoutInCell="1" allowOverlap="1">
                <wp:simplePos x="0" y="0"/>
                <wp:positionH relativeFrom="column">
                  <wp:posOffset>3509010</wp:posOffset>
                </wp:positionH>
                <wp:positionV relativeFrom="paragraph">
                  <wp:posOffset>185420</wp:posOffset>
                </wp:positionV>
                <wp:extent cx="2810510" cy="296545"/>
                <wp:effectExtent l="4445" t="4445" r="23495" b="22860"/>
                <wp:wrapNone/>
                <wp:docPr id="4" name="文本框 4"/>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sz w:val="24"/>
                              </w:rPr>
                              <w:t>法定代表人身份证复印件粘贴处（背面）</w:t>
                            </w:r>
                          </w:p>
                        </w:txbxContent>
                      </wps:txbx>
                      <wps:bodyPr upright="1"/>
                    </wps:wsp>
                  </a:graphicData>
                </a:graphic>
              </wp:anchor>
            </w:drawing>
          </mc:Choice>
          <mc:Fallback>
            <w:pict>
              <v:shape id="_x0000_s1026" o:spid="_x0000_s1026" o:spt="202" type="#_x0000_t202" style="position:absolute;left:0pt;margin-left:276.3pt;margin-top:14.6pt;height:23.35pt;width:221.3pt;z-index:251662336;mso-width-relative:page;mso-height-relative:page;" fillcolor="#FFFFFF" filled="t" stroked="t" coordsize="21600,21600" o:gfxdata="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mE8vk2QAAAAkBAAAPAAAAAAAAAAEAIAAA&#10;ACIAAABkcnMvZG93bnJldi54bWxQSwECFAAUAAAACACHTuJAbasTKwsCAAA2BAAADgAAAAAAAAAB&#10;ACAAAAAoAQAAZHJzL2Uyb0RvYy54bWxQSwUGAAAAAAYABgBZAQAApQUAAAAA&#10;">
                <v:fill on="t" focussize="0,0"/>
                <v:stroke color="#000000" joinstyle="miter"/>
                <v:imagedata o:title=""/>
                <o:lock v:ext="edit" aspectratio="f"/>
                <v:textbox>
                  <w:txbxContent>
                    <w:p>
                      <w:r>
                        <w:rPr>
                          <w:rFonts w:hint="eastAsia" w:ascii="宋体" w:hAnsi="宋体"/>
                          <w:sz w:val="24"/>
                        </w:rPr>
                        <w:t>法定代表人身份证复印件粘贴处（背面）</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191770</wp:posOffset>
                </wp:positionH>
                <wp:positionV relativeFrom="paragraph">
                  <wp:posOffset>160655</wp:posOffset>
                </wp:positionV>
                <wp:extent cx="2810510" cy="296545"/>
                <wp:effectExtent l="4445" t="4445" r="23495" b="22860"/>
                <wp:wrapNone/>
                <wp:docPr id="2" name="文本框 5"/>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sz w:val="24"/>
                              </w:rPr>
                              <w:t>法定代表人身份证复印件粘贴处（正面）</w:t>
                            </w:r>
                          </w:p>
                        </w:txbxContent>
                      </wps:txbx>
                      <wps:bodyPr upright="1"/>
                    </wps:wsp>
                  </a:graphicData>
                </a:graphic>
              </wp:anchor>
            </w:drawing>
          </mc:Choice>
          <mc:Fallback>
            <w:pict>
              <v:shape id="文本框 5" o:spid="_x0000_s1026" o:spt="202" type="#_x0000_t202" style="position:absolute;left:0pt;margin-left:15.1pt;margin-top:12.65pt;height:23.35pt;width:221.3pt;z-index:251660288;mso-width-relative:page;mso-height-relative:page;" fillcolor="#FFFFFF" filled="t" stroked="t" coordsize="21600,21600" o:gfxdata="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CJlAfXAAAACAEAAA8AAAAAAAAAAQAgAAAA&#10;IgAAAGRycy9kb3ducmV2LnhtbFBLAQIUABQAAAAIAIdO4kCZSaFvDAIAADYEAAAOAAAAAAAAAAEA&#10;IAAAACYBAABkcnMvZTJvRG9jLnhtbFBLBQYAAAAABgAGAFkBAACkBQAAAAA=&#10;">
                <v:fill on="t" focussize="0,0"/>
                <v:stroke color="#000000" joinstyle="miter"/>
                <v:imagedata o:title=""/>
                <o:lock v:ext="edit" aspectratio="f"/>
                <v:textbox>
                  <w:txbxContent>
                    <w:p>
                      <w:r>
                        <w:rPr>
                          <w:rFonts w:hint="eastAsia" w:ascii="宋体" w:hAnsi="宋体"/>
                          <w:sz w:val="24"/>
                        </w:rPr>
                        <w:t>法定代表人身份证复印件粘贴处（正面）</w:t>
                      </w:r>
                    </w:p>
                  </w:txbxContent>
                </v:textbox>
              </v:shape>
            </w:pict>
          </mc:Fallback>
        </mc:AlternateContent>
      </w:r>
    </w:p>
    <w:p>
      <w:pPr>
        <w:spacing w:line="360" w:lineRule="auto"/>
        <w:ind w:firstLine="480" w:firstLineChars="200"/>
        <w:rPr>
          <w:rFonts w:ascii="宋体" w:hAnsi="宋体"/>
          <w:sz w:val="24"/>
        </w:rPr>
      </w:pPr>
    </w:p>
    <w:p>
      <w:pPr>
        <w:spacing w:line="360" w:lineRule="auto"/>
        <w:ind w:firstLine="5520" w:firstLineChars="2300"/>
        <w:rPr>
          <w:rFonts w:hint="eastAsia" w:ascii="宋体" w:hAnsi="宋体"/>
          <w:sz w:val="24"/>
        </w:rPr>
      </w:pPr>
    </w:p>
    <w:p>
      <w:pPr>
        <w:spacing w:line="360" w:lineRule="auto"/>
        <w:ind w:firstLine="5520" w:firstLineChars="2300"/>
        <w:rPr>
          <w:rFonts w:hint="eastAsia" w:ascii="宋体" w:hAnsi="宋体"/>
          <w:sz w:val="24"/>
        </w:rPr>
      </w:pPr>
    </w:p>
    <w:p>
      <w:pPr>
        <w:spacing w:line="360" w:lineRule="auto"/>
        <w:ind w:firstLine="5520" w:firstLineChars="2300"/>
        <w:rPr>
          <w:rFonts w:hint="eastAsia" w:ascii="宋体" w:hAnsi="宋体"/>
          <w:sz w:val="24"/>
        </w:rPr>
      </w:pPr>
    </w:p>
    <w:p>
      <w:pPr>
        <w:spacing w:line="360" w:lineRule="auto"/>
        <w:ind w:firstLine="5520" w:firstLineChars="2300"/>
        <w:rPr>
          <w:rFonts w:hint="eastAsia" w:ascii="宋体" w:hAnsi="宋体"/>
          <w:sz w:val="24"/>
        </w:rPr>
      </w:pPr>
    </w:p>
    <w:p>
      <w:pPr>
        <w:spacing w:line="360" w:lineRule="auto"/>
        <w:ind w:firstLine="5520" w:firstLineChars="2300"/>
        <w:rPr>
          <w:rFonts w:hint="eastAsia" w:ascii="宋体" w:hAnsi="宋体"/>
          <w:sz w:val="24"/>
        </w:rPr>
      </w:pPr>
    </w:p>
    <w:p>
      <w:pPr>
        <w:ind w:firstLine="4680" w:firstLineChars="19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投标人：（单位公章）</w:t>
      </w:r>
    </w:p>
    <w:p>
      <w:pPr>
        <w:ind w:left="1050" w:leftChars="500"/>
        <w:jc w:val="center"/>
        <w:rPr>
          <w:rFonts w:asciiTheme="minorEastAsia" w:hAnsiTheme="minorEastAsia" w:eastAsiaTheme="minorEastAsia" w:cstheme="minorEastAsia"/>
          <w:sz w:val="24"/>
        </w:rPr>
      </w:pPr>
    </w:p>
    <w:p>
      <w:pPr>
        <w:ind w:left="1050" w:leftChars="5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法定代表人</w:t>
      </w:r>
      <w:r>
        <w:rPr>
          <w:rFonts w:hint="eastAsia" w:asciiTheme="minorEastAsia" w:hAnsiTheme="minorEastAsia" w:eastAsiaTheme="minorEastAsia" w:cstheme="minorEastAsia"/>
          <w:sz w:val="24"/>
          <w:szCs w:val="20"/>
        </w:rPr>
        <w:t>或其委托代理人</w:t>
      </w:r>
      <w:r>
        <w:rPr>
          <w:rFonts w:hint="eastAsia" w:asciiTheme="minorEastAsia" w:hAnsiTheme="minorEastAsia" w:eastAsiaTheme="minorEastAsia" w:cstheme="minorEastAsia"/>
          <w:sz w:val="24"/>
        </w:rPr>
        <w:t>：（签字或盖章）</w:t>
      </w:r>
    </w:p>
    <w:p>
      <w:pPr>
        <w:ind w:left="1050" w:leftChars="500"/>
        <w:jc w:val="center"/>
        <w:rPr>
          <w:rFonts w:asciiTheme="minorEastAsia" w:hAnsiTheme="minorEastAsia" w:eastAsiaTheme="minorEastAsia" w:cstheme="minorEastAsia"/>
          <w:sz w:val="24"/>
        </w:rPr>
      </w:pPr>
    </w:p>
    <w:p>
      <w:pPr>
        <w:ind w:left="1050" w:leftChars="5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日  期：     年   月   日</w:t>
      </w:r>
    </w:p>
    <w:p>
      <w:pPr>
        <w:spacing w:line="440" w:lineRule="exact"/>
        <w:rPr>
          <w:rFonts w:asciiTheme="minorEastAsia" w:hAnsiTheme="minorEastAsia" w:eastAsiaTheme="minorEastAsia" w:cstheme="minorEastAsia"/>
        </w:rPr>
      </w:pPr>
    </w:p>
    <w:p>
      <w:pPr>
        <w:rPr>
          <w:rFonts w:hint="eastAsia" w:asciiTheme="minorEastAsia" w:hAnsiTheme="minorEastAsia" w:eastAsiaTheme="minorEastAsia" w:cstheme="minorEastAsia"/>
          <w:sz w:val="30"/>
          <w:szCs w:val="30"/>
        </w:rPr>
      </w:pPr>
      <w:bookmarkStart w:id="321" w:name="_Toc17236"/>
      <w:bookmarkStart w:id="322" w:name="_Toc17980"/>
      <w:bookmarkStart w:id="323" w:name="_Toc6009"/>
      <w:bookmarkStart w:id="324" w:name="_Toc15395"/>
      <w:r>
        <w:rPr>
          <w:rFonts w:hint="eastAsia" w:asciiTheme="minorEastAsia" w:hAnsiTheme="minorEastAsia" w:eastAsiaTheme="minorEastAsia" w:cstheme="minorEastAsia"/>
          <w:sz w:val="30"/>
          <w:szCs w:val="30"/>
        </w:rPr>
        <w:br w:type="page"/>
      </w:r>
    </w:p>
    <w:p>
      <w:pPr>
        <w:pStyle w:val="10"/>
        <w:bidi w:val="0"/>
      </w:pPr>
      <w:bookmarkStart w:id="325" w:name="_Toc29929"/>
      <w:r>
        <w:rPr>
          <w:rFonts w:hint="eastAsia"/>
        </w:rPr>
        <w:t>三、授权委托书</w:t>
      </w:r>
      <w:bookmarkEnd w:id="321"/>
      <w:bookmarkEnd w:id="322"/>
      <w:bookmarkEnd w:id="323"/>
      <w:bookmarkEnd w:id="324"/>
      <w:bookmarkEnd w:id="325"/>
    </w:p>
    <w:p>
      <w:pPr>
        <w:spacing w:line="360" w:lineRule="auto"/>
        <w:ind w:firstLine="480" w:firstLineChars="200"/>
        <w:rPr>
          <w:rFonts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（投标人名称）的法定代表人，现委托</w:t>
      </w:r>
      <w:r>
        <w:rPr>
          <w:rFonts w:hint="eastAsia" w:ascii="宋体" w:hAnsi="宋体"/>
          <w:sz w:val="24"/>
          <w:u w:val="single"/>
        </w:rPr>
        <w:t xml:space="preserve">             </w:t>
      </w:r>
      <w:r>
        <w:rPr>
          <w:rFonts w:hint="eastAsia" w:ascii="宋体" w:hAnsi="宋体"/>
          <w:sz w:val="24"/>
        </w:rPr>
        <w:t>（姓名）为我方代理人。代理人根据授权，以我方名义签署、澄清、说明、补正、递交、撤回、修改</w:t>
      </w:r>
      <w:r>
        <w:rPr>
          <w:rFonts w:hint="eastAsia" w:ascii="宋体" w:hAnsi="宋体"/>
          <w:sz w:val="24"/>
          <w:u w:val="single"/>
        </w:rPr>
        <w:t xml:space="preserve">                                 </w:t>
      </w:r>
      <w:r>
        <w:rPr>
          <w:rFonts w:hint="eastAsia" w:ascii="宋体" w:hAnsi="宋体"/>
          <w:sz w:val="24"/>
        </w:rPr>
        <w:t>（项目名称）项目投标文件、签订合同和处理有关事宜，其法律后果由我方承担。</w:t>
      </w:r>
    </w:p>
    <w:p>
      <w:pPr>
        <w:spacing w:line="360" w:lineRule="auto"/>
        <w:ind w:firstLine="480" w:firstLineChars="200"/>
        <w:rPr>
          <w:rFonts w:ascii="宋体" w:hAnsi="宋体"/>
          <w:sz w:val="24"/>
        </w:rPr>
      </w:pPr>
      <w:r>
        <w:rPr>
          <w:rFonts w:hint="eastAsia" w:ascii="宋体" w:hAnsi="宋体"/>
          <w:sz w:val="24"/>
        </w:rPr>
        <w:t>委托期限：</w:t>
      </w:r>
      <w:r>
        <w:rPr>
          <w:rFonts w:hint="eastAsia" w:ascii="宋体" w:hAnsi="宋体"/>
          <w:sz w:val="24"/>
          <w:u w:val="single"/>
        </w:rPr>
        <w:t xml:space="preserve">                                </w:t>
      </w:r>
    </w:p>
    <w:p>
      <w:pPr>
        <w:spacing w:line="360" w:lineRule="auto"/>
        <w:ind w:firstLine="480" w:firstLineChars="200"/>
        <w:rPr>
          <w:rFonts w:ascii="宋体" w:hAnsi="宋体"/>
          <w:sz w:val="24"/>
        </w:rPr>
      </w:pPr>
      <w:r>
        <w:rPr>
          <w:rFonts w:hint="eastAsia" w:ascii="宋体" w:hAnsi="宋体"/>
          <w:sz w:val="24"/>
        </w:rPr>
        <w:t>代理人无转委托权。</w:t>
      </w:r>
    </w:p>
    <w:p>
      <w:pPr>
        <w:spacing w:line="360" w:lineRule="auto"/>
        <w:ind w:firstLine="480" w:firstLineChars="200"/>
        <w:rPr>
          <w:rFonts w:ascii="宋体" w:hAnsi="宋体"/>
          <w:sz w:val="24"/>
        </w:rPr>
      </w:pPr>
      <w:r>
        <w:rPr>
          <w:sz w:val="24"/>
        </w:rPr>
        <mc:AlternateContent>
          <mc:Choice Requires="wps">
            <w:drawing>
              <wp:anchor distT="0" distB="0" distL="114300" distR="114300" simplePos="0" relativeHeight="251663360" behindDoc="0" locked="0" layoutInCell="1" allowOverlap="1">
                <wp:simplePos x="0" y="0"/>
                <wp:positionH relativeFrom="column">
                  <wp:posOffset>-132080</wp:posOffset>
                </wp:positionH>
                <wp:positionV relativeFrom="paragraph">
                  <wp:posOffset>151765</wp:posOffset>
                </wp:positionV>
                <wp:extent cx="3050540" cy="2235200"/>
                <wp:effectExtent l="4445" t="4445" r="12065" b="8255"/>
                <wp:wrapNone/>
                <wp:docPr id="5" name="自选图形 7"/>
                <wp:cNvGraphicFramePr/>
                <a:graphic xmlns:a="http://schemas.openxmlformats.org/drawingml/2006/main">
                  <a:graphicData uri="http://schemas.microsoft.com/office/word/2010/wordprocessingShape">
                    <wps:wsp>
                      <wps:cNvSpPr/>
                      <wps:spPr>
                        <a:xfrm>
                          <a:off x="0" y="0"/>
                          <a:ext cx="305054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自选图形 7" o:spid="_x0000_s1026" o:spt="176" type="#_x0000_t176" style="position:absolute;left:0pt;margin-left:-10.4pt;margin-top:11.95pt;height:176pt;width:240.2pt;z-index:251663360;mso-width-relative:page;mso-height-relative:page;" fillcolor="#FFFFFF" filled="t" stroked="t" coordsize="21600,21600" o:gfxdata="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oqFaQ2QAAAAoB&#10;AAAPAAAAAAAAAAEAIAAAACIAAABkcnMvZG93bnJldi54bWxQSwECFAAUAAAACACHTuJAhTmObRoC&#10;AABFBAAADgAAAAAAAAABACAAAAAoAQAAZHJzL2Uyb0RvYy54bWxQSwUGAAAAAAYABgBZAQAAtAUA&#10;AAAA&#10;">
                <v:fill on="t" focussize="0,0"/>
                <v:stroke color="#000000" joinstyle="miter"/>
                <v:imagedata o:title=""/>
                <o:lock v:ext="edit" aspectratio="f"/>
                <v:textbox>
                  <w:txbxContent>
                    <w:p/>
                  </w:txbxContent>
                </v:textbox>
              </v:shape>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3014980</wp:posOffset>
                </wp:positionH>
                <wp:positionV relativeFrom="paragraph">
                  <wp:posOffset>165735</wp:posOffset>
                </wp:positionV>
                <wp:extent cx="3134360" cy="2235200"/>
                <wp:effectExtent l="4445" t="5080" r="23495" b="7620"/>
                <wp:wrapNone/>
                <wp:docPr id="6" name="自选图形 6"/>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6" o:spid="_x0000_s1026" o:spt="176" type="#_x0000_t176" style="position:absolute;left:0pt;margin-left:237.4pt;margin-top:13.05pt;height:176pt;width:246.8pt;z-index:251664384;mso-width-relative:page;mso-height-relative:page;" fillcolor="#FFFFFF" filled="t" stroked="t" coordsize="21600,21600" o:gfxdata="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OELoW2QAAAAoBAAAPAAAA&#10;AAAAAAEAIAAAACIAAABkcnMvZG93bnJldi54bWxQSwECFAAUAAAACACHTuJADJ3OQhQCAAA6BAAA&#10;DgAAAAAAAAABACAAAAAoAQAAZHJzL2Uyb0RvYy54bWxQSwUGAAAAAAYABgBZAQAArgUAAAAA&#10;">
                <v:fill on="t" focussize="0,0"/>
                <v:stroke color="#000000" joinstyle="miter"/>
                <v:imagedata o:title=""/>
                <o:lock v:ext="edit" aspectratio="f"/>
              </v:shape>
            </w:pict>
          </mc:Fallback>
        </mc:AlternateContent>
      </w:r>
    </w:p>
    <w:p>
      <w:pPr>
        <w:spacing w:line="360" w:lineRule="auto"/>
        <w:ind w:firstLine="480" w:firstLineChars="200"/>
        <w:rPr>
          <w:rFonts w:ascii="宋体" w:hAnsi="宋体"/>
          <w:sz w:val="24"/>
        </w:rPr>
      </w:pP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r>
        <w:rPr>
          <w:sz w:val="24"/>
        </w:rPr>
        <mc:AlternateContent>
          <mc:Choice Requires="wps">
            <w:drawing>
              <wp:anchor distT="0" distB="0" distL="114300" distR="114300" simplePos="0" relativeHeight="251665408" behindDoc="0" locked="0" layoutInCell="1" allowOverlap="1">
                <wp:simplePos x="0" y="0"/>
                <wp:positionH relativeFrom="column">
                  <wp:posOffset>-27305</wp:posOffset>
                </wp:positionH>
                <wp:positionV relativeFrom="paragraph">
                  <wp:posOffset>82550</wp:posOffset>
                </wp:positionV>
                <wp:extent cx="2810510" cy="296545"/>
                <wp:effectExtent l="4445" t="4445" r="23495" b="22860"/>
                <wp:wrapNone/>
                <wp:docPr id="7" name="文本框 8"/>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sz w:val="24"/>
                              </w:rPr>
                              <w:t>委托代理人身份证复印件粘贴处（正面）</w:t>
                            </w:r>
                          </w:p>
                        </w:txbxContent>
                      </wps:txbx>
                      <wps:bodyPr upright="1"/>
                    </wps:wsp>
                  </a:graphicData>
                </a:graphic>
              </wp:anchor>
            </w:drawing>
          </mc:Choice>
          <mc:Fallback>
            <w:pict>
              <v:shape id="文本框 8" o:spid="_x0000_s1026" o:spt="202" type="#_x0000_t202" style="position:absolute;left:0pt;margin-left:-2.15pt;margin-top:6.5pt;height:23.35pt;width:221.3pt;z-index:251665408;mso-width-relative:page;mso-height-relative:page;" fillcolor="#FFFFFF" filled="t" stroked="t" coordsize="21600,21600" o:gfxdata="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aq+5dcAAAAIAQAADwAAAAAAAAABACAAAAAi&#10;AAAAZHJzL2Rvd25yZXYueG1sUEsBAhQAFAAAAAgAh07iQFBy+2ULAgAANgQAAA4AAAAAAAAAAQAg&#10;AAAAJgEAAGRycy9lMm9Eb2MueG1sUEsFBgAAAAAGAAYAWQEAAKMFAAAAAA==&#10;">
                <v:fill on="t" focussize="0,0"/>
                <v:stroke color="#000000" joinstyle="miter"/>
                <v:imagedata o:title=""/>
                <o:lock v:ext="edit" aspectratio="f"/>
                <v:textbox>
                  <w:txbxContent>
                    <w:p>
                      <w:r>
                        <w:rPr>
                          <w:rFonts w:hint="eastAsia" w:ascii="宋体" w:hAnsi="宋体"/>
                          <w:sz w:val="24"/>
                        </w:rPr>
                        <w:t>委托代理人身份证复印件粘贴处（正面）</w:t>
                      </w:r>
                    </w:p>
                  </w:txbxContent>
                </v:textbox>
              </v:shap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3145155</wp:posOffset>
                </wp:positionH>
                <wp:positionV relativeFrom="paragraph">
                  <wp:posOffset>65405</wp:posOffset>
                </wp:positionV>
                <wp:extent cx="2810510" cy="296545"/>
                <wp:effectExtent l="4445" t="4445" r="23495" b="22860"/>
                <wp:wrapNone/>
                <wp:docPr id="8" name="文本框 9"/>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sz w:val="24"/>
                              </w:rPr>
                              <w:t>委托代理人身份证复印件粘贴处（背面）</w:t>
                            </w:r>
                          </w:p>
                        </w:txbxContent>
                      </wps:txbx>
                      <wps:bodyPr upright="1"/>
                    </wps:wsp>
                  </a:graphicData>
                </a:graphic>
              </wp:anchor>
            </w:drawing>
          </mc:Choice>
          <mc:Fallback>
            <w:pict>
              <v:shape id="文本框 9" o:spid="_x0000_s1026" o:spt="202" type="#_x0000_t202" style="position:absolute;left:0pt;margin-left:247.65pt;margin-top:5.15pt;height:23.35pt;width:221.3pt;z-index:251666432;mso-width-relative:page;mso-height-relative:page;" fillcolor="#FFFFFF" filled="t" stroked="t" coordsize="21600,21600" o:gfxdata="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l7q0dgAAAAJAQAADwAAAAAAAAABACAAAAAi&#10;AAAAZHJzL2Rvd25yZXYueG1sUEsBAhQAFAAAAAgAh07iQLY1UscKAgAANgQAAA4AAAAAAAAAAQAg&#10;AAAAJwEAAGRycy9lMm9Eb2MueG1sUEsFBgAAAAAGAAYAWQEAAKMFAAAAAA==&#10;">
                <v:fill on="t" focussize="0,0"/>
                <v:stroke color="#000000" joinstyle="miter"/>
                <v:imagedata o:title=""/>
                <o:lock v:ext="edit" aspectratio="f"/>
                <v:textbox>
                  <w:txbxContent>
                    <w:p>
                      <w:r>
                        <w:rPr>
                          <w:rFonts w:hint="eastAsia" w:ascii="宋体" w:hAnsi="宋体"/>
                          <w:sz w:val="24"/>
                        </w:rPr>
                        <w:t>委托代理人身份证复印件粘贴处（背面）</w:t>
                      </w:r>
                    </w:p>
                  </w:txbxContent>
                </v:textbox>
              </v:shape>
            </w:pict>
          </mc:Fallback>
        </mc:AlternateContent>
      </w: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r>
        <w:rPr>
          <w:rFonts w:hint="eastAsia" w:ascii="宋体" w:hAnsi="宋体"/>
          <w:sz w:val="24"/>
        </w:rPr>
        <w:t>投标人：</w:t>
      </w:r>
      <w:r>
        <w:rPr>
          <w:rFonts w:hint="eastAsia" w:ascii="宋体" w:hAnsi="宋体"/>
          <w:sz w:val="24"/>
          <w:u w:val="single"/>
        </w:rPr>
        <w:t xml:space="preserve">              </w:t>
      </w:r>
      <w:r>
        <w:rPr>
          <w:rFonts w:hint="eastAsia" w:ascii="宋体" w:hAnsi="宋体"/>
          <w:sz w:val="24"/>
        </w:rPr>
        <w:t xml:space="preserve">（盖单位公章） </w:t>
      </w:r>
    </w:p>
    <w:p>
      <w:pPr>
        <w:spacing w:line="360" w:lineRule="auto"/>
        <w:jc w:val="left"/>
        <w:rPr>
          <w:rFonts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（签字或盖章）</w:t>
      </w:r>
    </w:p>
    <w:p>
      <w:pPr>
        <w:spacing w:line="360" w:lineRule="auto"/>
        <w:jc w:val="left"/>
        <w:rPr>
          <w:rFonts w:ascii="宋体" w:hAnsi="宋体"/>
          <w:sz w:val="24"/>
        </w:rPr>
      </w:pPr>
      <w:r>
        <w:rPr>
          <w:rFonts w:hint="eastAsia" w:ascii="宋体" w:hAnsi="宋体"/>
          <w:sz w:val="24"/>
        </w:rPr>
        <w:t>委托代理人：</w:t>
      </w:r>
      <w:r>
        <w:rPr>
          <w:rFonts w:hint="eastAsia" w:ascii="宋体" w:hAnsi="宋体"/>
          <w:sz w:val="24"/>
          <w:u w:val="single"/>
        </w:rPr>
        <w:t xml:space="preserve">                </w:t>
      </w:r>
      <w:r>
        <w:rPr>
          <w:rFonts w:hint="eastAsia" w:ascii="宋体" w:hAnsi="宋体"/>
          <w:sz w:val="24"/>
        </w:rPr>
        <w:t>（签字或盖章）</w:t>
      </w:r>
    </w:p>
    <w:p>
      <w:pPr>
        <w:spacing w:line="360" w:lineRule="auto"/>
        <w:ind w:firstLine="5040" w:firstLineChars="2100"/>
        <w:rPr>
          <w:rFonts w:ascii="宋体" w:hAnsi="宋体"/>
          <w:sz w:val="24"/>
        </w:rPr>
      </w:pPr>
    </w:p>
    <w:p>
      <w:pPr>
        <w:spacing w:line="360" w:lineRule="auto"/>
        <w:rPr>
          <w:rFonts w:hint="default" w:eastAsia="宋体" w:asciiTheme="minorEastAsia" w:hAnsiTheme="minorEastAsia" w:cstheme="minorEastAsia"/>
          <w:sz w:val="30"/>
          <w:szCs w:val="30"/>
          <w:u w:val="single"/>
          <w:lang w:val="en-US" w:eastAsia="zh-CN"/>
        </w:rPr>
      </w:pPr>
      <w:r>
        <w:rPr>
          <w:rFonts w:hint="eastAsia" w:ascii="宋体" w:hAnsi="宋体"/>
          <w:sz w:val="24"/>
          <w:u w:val="single"/>
        </w:rPr>
        <w:t xml:space="preserve">    </w:t>
      </w:r>
      <w:r>
        <w:rPr>
          <w:rFonts w:hint="eastAsia" w:ascii="宋体" w:hAnsi="宋体"/>
          <w:sz w:val="24"/>
          <w:lang w:eastAsia="zh-CN"/>
        </w:rPr>
        <w:t>年</w:t>
      </w:r>
      <w:r>
        <w:rPr>
          <w:rFonts w:hint="eastAsia" w:ascii="宋体" w:hAnsi="宋体"/>
          <w:sz w:val="24"/>
          <w:u w:val="single"/>
        </w:rPr>
        <w:t xml:space="preserve">    </w:t>
      </w:r>
      <w:bookmarkEnd w:id="241"/>
      <w:r>
        <w:rPr>
          <w:rFonts w:hint="eastAsia" w:ascii="宋体" w:hAnsi="宋体"/>
          <w:sz w:val="24"/>
          <w:lang w:eastAsia="zh-CN"/>
        </w:rPr>
        <w:t>月</w:t>
      </w:r>
      <w:r>
        <w:rPr>
          <w:rFonts w:hint="eastAsia" w:ascii="宋体" w:hAnsi="宋体"/>
          <w:sz w:val="24"/>
          <w:u w:val="single"/>
          <w:lang w:val="en-US" w:eastAsia="zh-CN"/>
        </w:rPr>
        <w:t xml:space="preserve">      日</w:t>
      </w:r>
    </w:p>
    <w:p>
      <w:pPr>
        <w:bidi w:val="0"/>
      </w:pPr>
    </w:p>
    <w:p>
      <w:pPr>
        <w:bidi w:val="0"/>
      </w:pPr>
    </w:p>
    <w:p>
      <w:pPr>
        <w:rPr>
          <w:rFonts w:hint="eastAsia" w:asciiTheme="minorEastAsia" w:hAnsiTheme="minorEastAsia" w:eastAsiaTheme="minorEastAsia" w:cstheme="minorEastAsia"/>
          <w:b/>
          <w:kern w:val="2"/>
          <w:sz w:val="30"/>
          <w:szCs w:val="30"/>
        </w:rPr>
      </w:pPr>
      <w:bookmarkStart w:id="326" w:name="_Toc8304"/>
      <w:bookmarkStart w:id="327" w:name="_Toc18947"/>
      <w:bookmarkStart w:id="328" w:name="_Toc25161"/>
      <w:r>
        <w:rPr>
          <w:rFonts w:hint="eastAsia" w:asciiTheme="minorEastAsia" w:hAnsiTheme="minorEastAsia" w:eastAsiaTheme="minorEastAsia" w:cstheme="minorEastAsia"/>
          <w:b/>
          <w:kern w:val="2"/>
          <w:sz w:val="30"/>
          <w:szCs w:val="30"/>
        </w:rPr>
        <w:br w:type="page"/>
      </w:r>
    </w:p>
    <w:p>
      <w:pPr>
        <w:pStyle w:val="24"/>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bookmarkStart w:id="329" w:name="_Toc8033"/>
      <w:r>
        <w:rPr>
          <w:rFonts w:hint="eastAsia" w:asciiTheme="minorEastAsia" w:hAnsiTheme="minorEastAsia" w:eastAsiaTheme="minorEastAsia" w:cstheme="minorEastAsia"/>
          <w:b/>
          <w:kern w:val="2"/>
          <w:sz w:val="30"/>
          <w:szCs w:val="30"/>
        </w:rPr>
        <w:t>四、</w:t>
      </w:r>
      <w:bookmarkEnd w:id="326"/>
      <w:r>
        <w:rPr>
          <w:rFonts w:hint="eastAsia" w:asciiTheme="minorEastAsia" w:hAnsiTheme="minorEastAsia" w:eastAsiaTheme="minorEastAsia" w:cstheme="minorEastAsia"/>
          <w:b/>
          <w:kern w:val="2"/>
          <w:sz w:val="30"/>
          <w:szCs w:val="30"/>
        </w:rPr>
        <w:t>项目</w:t>
      </w:r>
      <w:r>
        <w:rPr>
          <w:rFonts w:hint="eastAsia" w:asciiTheme="minorEastAsia" w:hAnsiTheme="minorEastAsia" w:eastAsiaTheme="minorEastAsia" w:cstheme="minorEastAsia"/>
          <w:b/>
          <w:kern w:val="2"/>
          <w:sz w:val="30"/>
          <w:szCs w:val="30"/>
          <w:lang w:val="en-US" w:eastAsia="zh-CN"/>
        </w:rPr>
        <w:t>总体</w:t>
      </w:r>
      <w:r>
        <w:rPr>
          <w:rFonts w:hint="eastAsia" w:asciiTheme="minorEastAsia" w:hAnsiTheme="minorEastAsia" w:eastAsiaTheme="minorEastAsia" w:cstheme="minorEastAsia"/>
          <w:b/>
          <w:kern w:val="2"/>
          <w:sz w:val="30"/>
          <w:szCs w:val="30"/>
        </w:rPr>
        <w:t>实施方案</w:t>
      </w:r>
      <w:bookmarkEnd w:id="327"/>
      <w:bookmarkEnd w:id="328"/>
      <w:bookmarkEnd w:id="329"/>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rPr>
          <w:rFonts w:asciiTheme="minorEastAsia" w:hAnsiTheme="minorEastAsia" w:eastAsiaTheme="minorEastAsia" w:cstheme="minorEastAsia"/>
          <w:b/>
          <w:sz w:val="30"/>
          <w:szCs w:val="30"/>
        </w:rPr>
      </w:pPr>
    </w:p>
    <w:p>
      <w:pPr>
        <w:rPr>
          <w:rFonts w:asciiTheme="minorEastAsia" w:hAnsiTheme="minorEastAsia" w:eastAsiaTheme="minorEastAsia" w:cstheme="minorEastAsia"/>
          <w:b/>
          <w:sz w:val="30"/>
          <w:szCs w:val="30"/>
        </w:rPr>
      </w:pPr>
    </w:p>
    <w:p>
      <w:pPr>
        <w:rPr>
          <w:rFonts w:hint="eastAsia" w:asciiTheme="minorEastAsia" w:hAnsiTheme="minorEastAsia" w:eastAsiaTheme="minorEastAsia" w:cstheme="minorEastAsia"/>
          <w:b/>
          <w:kern w:val="2"/>
          <w:sz w:val="30"/>
          <w:szCs w:val="30"/>
        </w:rPr>
      </w:pPr>
      <w:bookmarkStart w:id="330" w:name="_Toc5854"/>
      <w:bookmarkStart w:id="331" w:name="_Toc29492"/>
      <w:bookmarkStart w:id="332" w:name="_Toc30146"/>
      <w:bookmarkStart w:id="333" w:name="_Toc20650"/>
      <w:bookmarkStart w:id="334" w:name="_Toc10043"/>
      <w:r>
        <w:rPr>
          <w:rFonts w:hint="eastAsia" w:asciiTheme="minorEastAsia" w:hAnsiTheme="minorEastAsia" w:eastAsiaTheme="minorEastAsia" w:cstheme="minorEastAsia"/>
          <w:b/>
          <w:kern w:val="2"/>
          <w:sz w:val="30"/>
          <w:szCs w:val="30"/>
        </w:rPr>
        <w:br w:type="page"/>
      </w:r>
    </w:p>
    <w:p>
      <w:pPr>
        <w:pStyle w:val="24"/>
        <w:widowControl w:val="0"/>
        <w:spacing w:before="120" w:beforeAutospacing="0" w:after="0" w:afterAutospacing="0" w:line="500" w:lineRule="exact"/>
        <w:ind w:right="29" w:rightChars="14"/>
        <w:jc w:val="center"/>
        <w:outlineLvl w:val="1"/>
        <w:rPr>
          <w:rFonts w:asciiTheme="minorEastAsia" w:hAnsiTheme="minorEastAsia" w:eastAsiaTheme="minorEastAsia" w:cstheme="minorEastAsia"/>
          <w:sz w:val="30"/>
          <w:szCs w:val="30"/>
        </w:rPr>
      </w:pPr>
      <w:bookmarkStart w:id="335" w:name="_Toc7183"/>
      <w:r>
        <w:rPr>
          <w:rFonts w:hint="eastAsia" w:asciiTheme="minorEastAsia" w:hAnsiTheme="minorEastAsia" w:eastAsiaTheme="minorEastAsia" w:cstheme="minorEastAsia"/>
          <w:b/>
          <w:kern w:val="2"/>
          <w:sz w:val="30"/>
          <w:szCs w:val="30"/>
        </w:rPr>
        <w:t>五、</w:t>
      </w:r>
      <w:bookmarkEnd w:id="330"/>
      <w:bookmarkEnd w:id="331"/>
      <w:bookmarkEnd w:id="332"/>
      <w:bookmarkEnd w:id="333"/>
      <w:bookmarkEnd w:id="334"/>
      <w:r>
        <w:rPr>
          <w:rFonts w:hint="eastAsia" w:ascii="宋体" w:hAnsi="宋体" w:cs="宋体"/>
          <w:b/>
          <w:bCs/>
          <w:color w:val="auto"/>
          <w:sz w:val="32"/>
          <w:szCs w:val="32"/>
          <w:highlight w:val="none"/>
        </w:rPr>
        <w:t>政府采购供应商资格信用承诺函</w:t>
      </w:r>
      <w:bookmarkEnd w:id="335"/>
    </w:p>
    <w:p>
      <w:pPr>
        <w:bidi w:val="0"/>
        <w:rPr>
          <w:rFonts w:hint="eastAsia"/>
          <w:lang w:eastAsia="zh-CN"/>
        </w:rPr>
      </w:pPr>
    </w:p>
    <w:p>
      <w:pPr>
        <w:overflowPunct w:val="0"/>
        <w:adjustRightInd w:val="0"/>
        <w:snapToGrid w:val="0"/>
        <w:spacing w:beforeAutospacing="0" w:line="574" w:lineRule="exact"/>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致</w:t>
      </w:r>
      <w:r>
        <w:rPr>
          <w:rFonts w:hint="eastAsia" w:ascii="仿宋_GB2312" w:hAnsi="仿宋_GB2312" w:cs="仿宋_GB2312"/>
          <w:color w:val="auto"/>
          <w:sz w:val="24"/>
          <w:szCs w:val="24"/>
          <w:highlight w:val="none"/>
          <w:u w:val="single"/>
        </w:rPr>
        <w:t>（采购人）</w:t>
      </w:r>
      <w:r>
        <w:rPr>
          <w:rFonts w:hint="eastAsia" w:ascii="仿宋_GB2312" w:hAnsi="仿宋_GB2312" w:cs="仿宋_GB2312"/>
          <w:color w:val="auto"/>
          <w:sz w:val="24"/>
          <w:szCs w:val="24"/>
          <w:highlight w:val="none"/>
          <w:u w:val="single"/>
          <w:lang w:val="en-US" w:eastAsia="zh-CN"/>
        </w:rPr>
        <w:t xml:space="preserve">    </w:t>
      </w:r>
      <w:r>
        <w:rPr>
          <w:rFonts w:hint="eastAsia" w:ascii="仿宋_GB2312" w:hAnsi="仿宋_GB2312" w:cs="仿宋_GB2312"/>
          <w:color w:val="auto"/>
          <w:sz w:val="24"/>
          <w:szCs w:val="24"/>
          <w:highlight w:val="none"/>
          <w:u w:val="single"/>
        </w:rPr>
        <w:t xml:space="preserve"> </w:t>
      </w:r>
      <w:r>
        <w:rPr>
          <w:rFonts w:hint="eastAsia" w:ascii="仿宋_GB2312" w:hAnsi="仿宋_GB2312" w:cs="仿宋_GB2312"/>
          <w:color w:val="auto"/>
          <w:sz w:val="24"/>
          <w:szCs w:val="24"/>
          <w:highlight w:val="none"/>
        </w:rPr>
        <w:t>：</w:t>
      </w:r>
    </w:p>
    <w:p>
      <w:pPr>
        <w:overflowPunct w:val="0"/>
        <w:adjustRightInd w:val="0"/>
        <w:snapToGrid w:val="0"/>
        <w:spacing w:line="574" w:lineRule="exact"/>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供应商名称：</w:t>
      </w:r>
      <w:r>
        <w:rPr>
          <w:rFonts w:hint="eastAsia" w:ascii="仿宋_GB2312" w:hAnsi="仿宋_GB2312" w:cs="仿宋_GB2312"/>
          <w:color w:val="auto"/>
          <w:sz w:val="24"/>
          <w:szCs w:val="24"/>
          <w:highlight w:val="none"/>
          <w:u w:val="single"/>
        </w:rPr>
        <w:t xml:space="preserve">                                         </w:t>
      </w:r>
      <w:r>
        <w:rPr>
          <w:rFonts w:hint="eastAsia" w:ascii="仿宋_GB2312" w:hAnsi="仿宋_GB2312" w:cs="仿宋_GB2312"/>
          <w:color w:val="auto"/>
          <w:sz w:val="24"/>
          <w:szCs w:val="24"/>
          <w:highlight w:val="none"/>
        </w:rPr>
        <w:t xml:space="preserve">                                  </w:t>
      </w:r>
    </w:p>
    <w:p>
      <w:pPr>
        <w:overflowPunct w:val="0"/>
        <w:adjustRightInd w:val="0"/>
        <w:snapToGrid w:val="0"/>
        <w:spacing w:line="574" w:lineRule="exact"/>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统一社会信用代码：</w:t>
      </w:r>
      <w:r>
        <w:rPr>
          <w:rFonts w:hint="eastAsia" w:ascii="仿宋_GB2312" w:hAnsi="仿宋_GB2312" w:cs="仿宋_GB2312"/>
          <w:color w:val="auto"/>
          <w:sz w:val="24"/>
          <w:szCs w:val="24"/>
          <w:highlight w:val="none"/>
          <w:u w:val="single"/>
        </w:rPr>
        <w:t xml:space="preserve">                                 </w:t>
      </w:r>
      <w:r>
        <w:rPr>
          <w:rFonts w:hint="eastAsia" w:ascii="仿宋_GB2312" w:hAnsi="仿宋_GB2312" w:cs="仿宋_GB2312"/>
          <w:color w:val="auto"/>
          <w:sz w:val="24"/>
          <w:szCs w:val="24"/>
          <w:highlight w:val="none"/>
        </w:rPr>
        <w:t xml:space="preserve">                            </w:t>
      </w:r>
    </w:p>
    <w:p>
      <w:pPr>
        <w:overflowPunct w:val="0"/>
        <w:adjustRightInd w:val="0"/>
        <w:snapToGrid w:val="0"/>
        <w:spacing w:line="574" w:lineRule="exact"/>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供应商地址：</w:t>
      </w:r>
      <w:r>
        <w:rPr>
          <w:rFonts w:hint="eastAsia" w:ascii="仿宋_GB2312" w:hAnsi="仿宋_GB2312" w:cs="仿宋_GB2312"/>
          <w:color w:val="auto"/>
          <w:sz w:val="24"/>
          <w:szCs w:val="24"/>
          <w:highlight w:val="none"/>
          <w:u w:val="single"/>
        </w:rPr>
        <w:t xml:space="preserve">                                         </w:t>
      </w:r>
      <w:r>
        <w:rPr>
          <w:rFonts w:hint="eastAsia" w:ascii="仿宋_GB2312" w:hAnsi="仿宋_GB2312" w:cs="仿宋_GB2312"/>
          <w:color w:val="auto"/>
          <w:sz w:val="24"/>
          <w:szCs w:val="24"/>
          <w:highlight w:val="none"/>
        </w:rPr>
        <w:t xml:space="preserve">                              </w:t>
      </w:r>
    </w:p>
    <w:p>
      <w:pPr>
        <w:overflowPunct w:val="0"/>
        <w:adjustRightInd w:val="0"/>
        <w:snapToGrid w:val="0"/>
        <w:spacing w:line="574" w:lineRule="exact"/>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pPr>
        <w:overflowPunct w:val="0"/>
        <w:adjustRightInd w:val="0"/>
        <w:snapToGrid w:val="0"/>
        <w:spacing w:line="574" w:lineRule="exact"/>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w:t>
      </w:r>
      <w:r>
        <w:rPr>
          <w:rFonts w:hint="eastAsia" w:ascii="Times New Roman" w:hAnsi="Times New Roman" w:cs="仿宋_GB2312"/>
          <w:color w:val="auto"/>
          <w:sz w:val="24"/>
          <w:szCs w:val="24"/>
          <w:highlight w:val="none"/>
        </w:rPr>
        <w:t>1</w:t>
      </w:r>
      <w:r>
        <w:rPr>
          <w:rFonts w:hint="eastAsia" w:ascii="仿宋_GB2312" w:hAnsi="仿宋_GB2312" w:cs="仿宋_GB2312"/>
          <w:color w:val="auto"/>
          <w:sz w:val="24"/>
          <w:szCs w:val="24"/>
          <w:highlight w:val="none"/>
        </w:rPr>
        <w:t>.</w:t>
      </w:r>
      <w:r>
        <w:rPr>
          <w:rFonts w:hint="eastAsia" w:ascii="仿宋_GB2312" w:hAnsi="仿宋_GB2312" w:cs="仿宋_GB2312"/>
          <w:color w:val="auto"/>
          <w:spacing w:val="6"/>
          <w:sz w:val="24"/>
          <w:szCs w:val="24"/>
          <w:highlight w:val="none"/>
        </w:rPr>
        <w:t>我单位具有符合采购文件资格要求独立承担民事责任的能力。</w:t>
      </w:r>
    </w:p>
    <w:p>
      <w:pPr>
        <w:overflowPunct w:val="0"/>
        <w:adjustRightInd w:val="0"/>
        <w:snapToGrid w:val="0"/>
        <w:spacing w:line="574" w:lineRule="exact"/>
        <w:ind w:firstLine="480" w:firstLineChars="200"/>
        <w:rPr>
          <w:rFonts w:hint="eastAsia" w:ascii="仿宋_GB2312" w:hAnsi="仿宋_GB2312" w:cs="仿宋_GB2312"/>
          <w:color w:val="auto"/>
          <w:sz w:val="24"/>
          <w:szCs w:val="24"/>
          <w:highlight w:val="none"/>
        </w:rPr>
      </w:pPr>
      <w:r>
        <w:rPr>
          <w:rFonts w:hint="eastAsia" w:ascii="Times New Roman" w:hAnsi="Times New Roman" w:cs="仿宋_GB2312"/>
          <w:color w:val="auto"/>
          <w:sz w:val="24"/>
          <w:szCs w:val="24"/>
          <w:highlight w:val="none"/>
        </w:rPr>
        <w:t>2</w:t>
      </w:r>
      <w:r>
        <w:rPr>
          <w:rFonts w:hint="eastAsia" w:ascii="仿宋_GB2312" w:hAnsi="仿宋_GB2312" w:cs="仿宋_GB2312"/>
          <w:color w:val="auto"/>
          <w:sz w:val="24"/>
          <w:szCs w:val="24"/>
          <w:highlight w:val="none"/>
        </w:rPr>
        <w:t>.我单位具有符合采购文件资格要求的财务状况报告。</w:t>
      </w:r>
    </w:p>
    <w:p>
      <w:pPr>
        <w:overflowPunct w:val="0"/>
        <w:adjustRightInd w:val="0"/>
        <w:snapToGrid w:val="0"/>
        <w:spacing w:line="574" w:lineRule="exact"/>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w:t>
      </w:r>
      <w:r>
        <w:rPr>
          <w:rFonts w:hint="eastAsia" w:ascii="Times New Roman" w:hAnsi="Times New Roman" w:cs="仿宋_GB2312"/>
          <w:color w:val="auto"/>
          <w:sz w:val="24"/>
          <w:szCs w:val="24"/>
          <w:highlight w:val="none"/>
        </w:rPr>
        <w:t>3</w:t>
      </w:r>
      <w:r>
        <w:rPr>
          <w:rFonts w:hint="eastAsia" w:ascii="仿宋_GB2312" w:hAnsi="仿宋_GB2312" w:cs="仿宋_GB2312"/>
          <w:color w:val="auto"/>
          <w:sz w:val="24"/>
          <w:szCs w:val="24"/>
          <w:highlight w:val="none"/>
        </w:rPr>
        <w:t>.我单位具有符合采购文件资格要求的依法缴纳税收和社会保障记录的良好记录。</w:t>
      </w:r>
    </w:p>
    <w:p>
      <w:pPr>
        <w:overflowPunct w:val="0"/>
        <w:adjustRightInd w:val="0"/>
        <w:snapToGrid w:val="0"/>
        <w:spacing w:line="574" w:lineRule="exact"/>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w:t>
      </w:r>
      <w:r>
        <w:rPr>
          <w:rFonts w:hint="eastAsia" w:ascii="Times New Roman" w:hAnsi="Times New Roman" w:cs="仿宋_GB2312"/>
          <w:color w:val="auto"/>
          <w:sz w:val="24"/>
          <w:szCs w:val="24"/>
          <w:highlight w:val="none"/>
        </w:rPr>
        <w:t>4</w:t>
      </w:r>
      <w:r>
        <w:rPr>
          <w:rFonts w:hint="eastAsia" w:ascii="仿宋_GB2312" w:hAnsi="仿宋_GB2312" w:cs="仿宋_GB2312"/>
          <w:color w:val="auto"/>
          <w:sz w:val="24"/>
          <w:szCs w:val="24"/>
          <w:highlight w:val="none"/>
        </w:rPr>
        <w:t>.我单位具有符合采购文件资格要求履行合同所必需的设备和专业技术能力。</w:t>
      </w:r>
    </w:p>
    <w:p>
      <w:pPr>
        <w:overflowPunct w:val="0"/>
        <w:adjustRightInd w:val="0"/>
        <w:snapToGrid w:val="0"/>
        <w:spacing w:line="574" w:lineRule="exact"/>
        <w:ind w:firstLine="480" w:firstLineChars="200"/>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5.参加政府采购活动前三年内，在经营活动中没有重大违法记录。</w:t>
      </w:r>
    </w:p>
    <w:p>
      <w:pPr>
        <w:overflowPunct w:val="0"/>
        <w:adjustRightInd w:val="0"/>
        <w:snapToGrid w:val="0"/>
        <w:spacing w:line="574" w:lineRule="exact"/>
        <w:ind w:firstLine="480" w:firstLineChars="200"/>
        <w:rPr>
          <w:rFonts w:hint="default" w:ascii="仿宋_GB2312" w:hAnsi="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6.我单位具有林业调查规划设计丙级及以上资质。</w:t>
      </w:r>
    </w:p>
    <w:p>
      <w:pPr>
        <w:overflowPunct w:val="0"/>
        <w:adjustRightInd w:val="0"/>
        <w:snapToGrid w:val="0"/>
        <w:spacing w:line="574" w:lineRule="exact"/>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若我单位承诺不实，自愿承担提供虚假材料谋取中标、成交的法律责任。</w:t>
      </w:r>
    </w:p>
    <w:p>
      <w:pPr>
        <w:overflowPunct w:val="0"/>
        <w:adjustRightInd w:val="0"/>
        <w:snapToGrid w:val="0"/>
        <w:spacing w:line="574" w:lineRule="exact"/>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承诺</w:t>
      </w:r>
      <w:r>
        <w:rPr>
          <w:rFonts w:hint="eastAsia" w:ascii="仿宋_GB2312" w:hAnsi="仿宋_GB2312" w:cs="仿宋_GB2312"/>
          <w:color w:val="auto"/>
          <w:sz w:val="24"/>
          <w:szCs w:val="24"/>
          <w:highlight w:val="none"/>
          <w:lang w:eastAsia="zh-CN"/>
        </w:rPr>
        <w:t>投标人</w:t>
      </w:r>
      <w:r>
        <w:rPr>
          <w:rFonts w:hint="eastAsia" w:ascii="仿宋_GB2312" w:hAnsi="仿宋_GB2312" w:cs="仿宋_GB2312"/>
          <w:color w:val="auto"/>
          <w:sz w:val="24"/>
          <w:szCs w:val="24"/>
          <w:highlight w:val="none"/>
        </w:rPr>
        <w:t>（全称并加盖公章）：</w:t>
      </w:r>
      <w:r>
        <w:rPr>
          <w:rFonts w:hint="eastAsia" w:ascii="仿宋_GB2312" w:hAnsi="仿宋_GB2312" w:cs="仿宋_GB2312"/>
          <w:color w:val="auto"/>
          <w:sz w:val="24"/>
          <w:szCs w:val="24"/>
          <w:highlight w:val="none"/>
          <w:u w:val="single"/>
        </w:rPr>
        <w:t xml:space="preserve">                                          </w:t>
      </w:r>
      <w:r>
        <w:rPr>
          <w:rFonts w:hint="eastAsia" w:ascii="仿宋_GB2312" w:hAnsi="仿宋_GB2312" w:cs="仿宋_GB2312"/>
          <w:color w:val="auto"/>
          <w:sz w:val="24"/>
          <w:szCs w:val="24"/>
          <w:highlight w:val="none"/>
        </w:rPr>
        <w:t xml:space="preserve"> </w:t>
      </w:r>
    </w:p>
    <w:p>
      <w:pPr>
        <w:overflowPunct w:val="0"/>
        <w:adjustRightInd w:val="0"/>
        <w:snapToGrid w:val="0"/>
        <w:spacing w:line="574" w:lineRule="exact"/>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法定代表人或授权代表(签字或签章)：</w:t>
      </w:r>
      <w:r>
        <w:rPr>
          <w:rFonts w:hint="eastAsia" w:ascii="仿宋_GB2312" w:hAnsi="仿宋_GB2312" w:cs="仿宋_GB2312"/>
          <w:color w:val="auto"/>
          <w:sz w:val="24"/>
          <w:szCs w:val="24"/>
          <w:highlight w:val="none"/>
          <w:u w:val="single"/>
        </w:rPr>
        <w:t xml:space="preserve">                                           </w:t>
      </w:r>
      <w:r>
        <w:rPr>
          <w:rFonts w:hint="eastAsia" w:ascii="仿宋_GB2312" w:hAnsi="仿宋_GB2312" w:cs="仿宋_GB2312"/>
          <w:color w:val="auto"/>
          <w:sz w:val="24"/>
          <w:szCs w:val="24"/>
          <w:highlight w:val="none"/>
        </w:rPr>
        <w:t xml:space="preserve">  </w:t>
      </w:r>
    </w:p>
    <w:p>
      <w:pPr>
        <w:overflowPunct w:val="0"/>
        <w:adjustRightInd w:val="0"/>
        <w:snapToGrid w:val="0"/>
        <w:spacing w:line="574" w:lineRule="exact"/>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日期：    年  月  日 </w:t>
      </w:r>
    </w:p>
    <w:p>
      <w:pPr>
        <w:pStyle w:val="5"/>
        <w:rPr>
          <w:rFonts w:hint="eastAsia" w:eastAsia="宋体"/>
          <w:lang w:eastAsia="zh-CN"/>
        </w:rPr>
      </w:pPr>
      <w:r>
        <w:rPr>
          <w:rFonts w:hint="eastAsia" w:ascii="仿宋_GB2312" w:hAnsi="仿宋_GB2312" w:cs="仿宋_GB2312"/>
          <w:color w:val="auto"/>
          <w:sz w:val="24"/>
          <w:szCs w:val="24"/>
          <w:highlight w:val="none"/>
        </w:rPr>
        <w:t xml:space="preserve">    </w:t>
      </w:r>
      <w:r>
        <w:rPr>
          <w:rFonts w:hint="eastAsia" w:ascii="仿宋_GB2312" w:hAnsi="仿宋_GB2312" w:cs="仿宋_GB2312"/>
          <w:b/>
          <w:bCs/>
          <w:color w:val="auto"/>
          <w:sz w:val="24"/>
          <w:szCs w:val="24"/>
          <w:highlight w:val="none"/>
        </w:rPr>
        <w:t>注：</w:t>
      </w:r>
      <w:r>
        <w:rPr>
          <w:rFonts w:hint="eastAsia" w:ascii="Times New Roman" w:hAnsi="Times New Roman" w:cs="仿宋_GB2312"/>
          <w:color w:val="auto"/>
          <w:sz w:val="24"/>
          <w:szCs w:val="24"/>
          <w:highlight w:val="none"/>
        </w:rPr>
        <w:t>1</w:t>
      </w:r>
      <w:r>
        <w:rPr>
          <w:rFonts w:hint="eastAsia" w:ascii="仿宋_GB2312" w:hAnsi="仿宋_GB2312" w:cs="仿宋_GB2312"/>
          <w:color w:val="auto"/>
          <w:sz w:val="24"/>
          <w:szCs w:val="24"/>
          <w:highlight w:val="none"/>
        </w:rPr>
        <w:t>.</w:t>
      </w:r>
      <w:r>
        <w:rPr>
          <w:rFonts w:hint="eastAsia" w:ascii="仿宋_GB2312" w:hAnsi="仿宋_GB2312" w:cs="仿宋_GB2312"/>
          <w:color w:val="auto"/>
          <w:sz w:val="24"/>
          <w:szCs w:val="24"/>
          <w:highlight w:val="none"/>
          <w:lang w:eastAsia="zh-CN"/>
        </w:rPr>
        <w:t>投标人</w:t>
      </w:r>
      <w:r>
        <w:rPr>
          <w:rFonts w:hint="eastAsia" w:ascii="仿宋_GB2312" w:hAnsi="仿宋_GB2312" w:cs="仿宋_GB2312"/>
          <w:color w:val="auto"/>
          <w:sz w:val="24"/>
          <w:szCs w:val="24"/>
          <w:highlight w:val="none"/>
        </w:rPr>
        <w:t>须在投标文件中按此模板提供承诺函，未提供视为未实质性响应招标文件要求，按无效投标处理。</w:t>
      </w:r>
    </w:p>
    <w:p>
      <w:pPr>
        <w:autoSpaceDE w:val="0"/>
        <w:autoSpaceDN w:val="0"/>
        <w:adjustRightInd w:val="0"/>
        <w:spacing w:line="440" w:lineRule="exact"/>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pStyle w:val="2"/>
        <w:ind w:firstLine="281"/>
        <w:rPr>
          <w:rFonts w:hint="default" w:asciiTheme="minorEastAsia" w:hAnsiTheme="minorEastAsia" w:eastAsiaTheme="minorEastAsia" w:cstheme="minorEastAsia"/>
          <w:b/>
          <w:sz w:val="28"/>
        </w:rPr>
      </w:pPr>
    </w:p>
    <w:p>
      <w:pPr>
        <w:pStyle w:val="5"/>
        <w:ind w:firstLine="562"/>
        <w:rPr>
          <w:rFonts w:asciiTheme="minorEastAsia" w:hAnsiTheme="minorEastAsia" w:eastAsiaTheme="minorEastAsia" w:cstheme="minorEastAsia"/>
          <w:b/>
          <w:sz w:val="28"/>
        </w:rPr>
      </w:pPr>
    </w:p>
    <w:p>
      <w:pPr>
        <w:pStyle w:val="5"/>
        <w:ind w:firstLine="562"/>
        <w:rPr>
          <w:rFonts w:asciiTheme="minorEastAsia" w:hAnsiTheme="minorEastAsia" w:eastAsiaTheme="minorEastAsia" w:cstheme="minorEastAsia"/>
          <w:b/>
          <w:sz w:val="28"/>
        </w:rPr>
      </w:pPr>
    </w:p>
    <w:p>
      <w:pPr>
        <w:pStyle w:val="10"/>
        <w:bidi w:val="0"/>
        <w:spacing w:after="0" w:afterAutospacing="0"/>
        <w:rPr>
          <w:rFonts w:hint="eastAsia"/>
          <w:highlight w:val="red"/>
          <w:lang w:eastAsia="zh-CN"/>
        </w:rPr>
      </w:pPr>
      <w:bookmarkStart w:id="336" w:name="_Toc27644"/>
      <w:r>
        <w:rPr>
          <w:rFonts w:hint="eastAsia"/>
          <w:highlight w:val="none"/>
          <w:lang w:eastAsia="zh-CN"/>
        </w:rPr>
        <w:t>六、</w:t>
      </w:r>
      <w:r>
        <w:rPr>
          <w:rFonts w:hint="eastAsia"/>
          <w:lang w:val="en-US" w:eastAsia="zh-CN"/>
        </w:rPr>
        <w:t>拟派项目负责人证明资料</w:t>
      </w:r>
      <w:bookmarkEnd w:id="336"/>
    </w:p>
    <w:p>
      <w:pPr>
        <w:widowControl/>
        <w:spacing w:beforeAutospacing="0"/>
        <w:rPr>
          <w:rFonts w:asciiTheme="minorEastAsia" w:hAnsiTheme="minorEastAsia" w:eastAsiaTheme="minorEastAsia" w:cstheme="minorEastAsia"/>
        </w:rPr>
      </w:pPr>
    </w:p>
    <w:p>
      <w:pPr>
        <w:autoSpaceDE w:val="0"/>
        <w:autoSpaceDN w:val="0"/>
        <w:adjustRightInd w:val="0"/>
        <w:spacing w:line="440" w:lineRule="exact"/>
        <w:jc w:val="center"/>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widowControl/>
        <w:rPr>
          <w:rFonts w:asciiTheme="minorEastAsia" w:hAnsiTheme="minorEastAsia" w:eastAsiaTheme="minorEastAsia" w:cstheme="minorEastAsia"/>
        </w:rPr>
      </w:pPr>
    </w:p>
    <w:p>
      <w:pPr>
        <w:rPr>
          <w:rFonts w:asciiTheme="minorEastAsia" w:hAnsiTheme="minorEastAsia" w:eastAsiaTheme="minorEastAsia" w:cstheme="minorEastAsia"/>
        </w:rPr>
      </w:pPr>
    </w:p>
    <w:p>
      <w:pPr>
        <w:autoSpaceDE w:val="0"/>
        <w:autoSpaceDN w:val="0"/>
        <w:adjustRightInd w:val="0"/>
        <w:spacing w:line="440" w:lineRule="exact"/>
        <w:jc w:val="center"/>
        <w:rPr>
          <w:rFonts w:asciiTheme="minorEastAsia" w:hAnsiTheme="minorEastAsia" w:eastAsiaTheme="minorEastAsia" w:cstheme="minorEastAsia"/>
          <w:b/>
          <w:sz w:val="28"/>
        </w:rPr>
      </w:pPr>
    </w:p>
    <w:p>
      <w:pPr>
        <w:bidi w:val="0"/>
      </w:pPr>
      <w:bookmarkStart w:id="337" w:name="_Toc6465"/>
      <w:bookmarkStart w:id="338" w:name="_Toc8330"/>
      <w:bookmarkStart w:id="339" w:name="_Toc31553"/>
    </w:p>
    <w:p>
      <w:pPr>
        <w:bidi w:val="0"/>
      </w:pPr>
    </w:p>
    <w:p>
      <w:pPr>
        <w:bidi w:val="0"/>
      </w:pPr>
    </w:p>
    <w:p>
      <w:pPr>
        <w:bidi w:val="0"/>
      </w:pPr>
    </w:p>
    <w:p>
      <w:pPr>
        <w:bidi w:val="0"/>
      </w:pPr>
    </w:p>
    <w:p>
      <w:pPr>
        <w:rPr>
          <w:rFonts w:hint="eastAsia" w:asciiTheme="minorEastAsia" w:hAnsiTheme="minorEastAsia" w:eastAsiaTheme="minorEastAsia" w:cstheme="minorEastAsia"/>
          <w:b/>
          <w:kern w:val="2"/>
          <w:sz w:val="30"/>
          <w:szCs w:val="30"/>
        </w:rPr>
      </w:pPr>
      <w:bookmarkStart w:id="340" w:name="_Toc4390"/>
      <w:bookmarkStart w:id="341" w:name="_Toc12355"/>
      <w:r>
        <w:rPr>
          <w:rFonts w:hint="eastAsia" w:asciiTheme="minorEastAsia" w:hAnsiTheme="minorEastAsia" w:eastAsiaTheme="minorEastAsia" w:cstheme="minorEastAsia"/>
          <w:b/>
          <w:kern w:val="2"/>
          <w:sz w:val="30"/>
          <w:szCs w:val="30"/>
        </w:rPr>
        <w:br w:type="page"/>
      </w:r>
    </w:p>
    <w:p>
      <w:pPr>
        <w:pStyle w:val="10"/>
        <w:bidi w:val="0"/>
      </w:pPr>
      <w:bookmarkStart w:id="342" w:name="_Toc17525"/>
      <w:r>
        <w:rPr>
          <w:rFonts w:hint="eastAsia"/>
          <w:lang w:eastAsia="zh-CN"/>
        </w:rPr>
        <w:t>七</w:t>
      </w:r>
      <w:r>
        <w:rPr>
          <w:rFonts w:hint="eastAsia"/>
        </w:rPr>
        <w:t>、投标人服务承诺和优惠承诺</w:t>
      </w:r>
      <w:bookmarkEnd w:id="340"/>
      <w:bookmarkEnd w:id="341"/>
      <w:bookmarkEnd w:id="342"/>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bookmarkEnd w:id="337"/>
    <w:bookmarkEnd w:id="338"/>
    <w:p>
      <w:pPr>
        <w:rPr>
          <w:rFonts w:hint="eastAsia" w:asciiTheme="minorEastAsia" w:hAnsiTheme="minorEastAsia" w:eastAsiaTheme="minorEastAsia" w:cstheme="minorEastAsia"/>
          <w:b/>
          <w:kern w:val="2"/>
          <w:sz w:val="30"/>
          <w:szCs w:val="30"/>
        </w:rPr>
      </w:pPr>
      <w:bookmarkStart w:id="343" w:name="_Toc24850"/>
      <w:bookmarkStart w:id="344" w:name="_Toc23227"/>
      <w:bookmarkStart w:id="345" w:name="_Toc10717"/>
      <w:bookmarkStart w:id="346" w:name="_Toc15396"/>
      <w:r>
        <w:rPr>
          <w:rFonts w:hint="eastAsia" w:asciiTheme="minorEastAsia" w:hAnsiTheme="minorEastAsia" w:eastAsiaTheme="minorEastAsia" w:cstheme="minorEastAsia"/>
          <w:b/>
          <w:kern w:val="2"/>
          <w:sz w:val="30"/>
          <w:szCs w:val="30"/>
        </w:rPr>
        <w:br w:type="page"/>
      </w:r>
    </w:p>
    <w:p>
      <w:pPr>
        <w:pStyle w:val="10"/>
        <w:bidi w:val="0"/>
      </w:pPr>
      <w:bookmarkStart w:id="347" w:name="_Toc31275"/>
      <w:r>
        <w:rPr>
          <w:rFonts w:hint="eastAsia"/>
          <w:lang w:eastAsia="zh-CN"/>
        </w:rPr>
        <w:t>八</w:t>
      </w:r>
      <w:r>
        <w:rPr>
          <w:rFonts w:hint="eastAsia"/>
        </w:rPr>
        <w:t>、中小企业声明函</w:t>
      </w:r>
      <w:bookmarkEnd w:id="343"/>
      <w:bookmarkEnd w:id="344"/>
      <w:bookmarkEnd w:id="345"/>
      <w:bookmarkEnd w:id="346"/>
      <w:bookmarkEnd w:id="34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0"/>
          <w:w w:val="100"/>
          <w:position w:val="0"/>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63"/>
        <w:keepNext w:val="0"/>
        <w:keepLines w:val="0"/>
        <w:pageBreakBefore w:val="0"/>
        <w:widowControl w:val="0"/>
        <w:numPr>
          <w:ilvl w:val="0"/>
          <w:numId w:val="15"/>
        </w:numPr>
        <w:tabs>
          <w:tab w:val="left" w:pos="220"/>
        </w:tabs>
        <w:kinsoku/>
        <w:wordWrap/>
        <w:overflowPunct/>
        <w:topLinePunct w:val="0"/>
        <w:autoSpaceDE w:val="0"/>
        <w:autoSpaceDN w:val="0"/>
        <w:bidi w:val="0"/>
        <w:adjustRightInd/>
        <w:snapToGrid/>
        <w:spacing w:before="0" w:after="0" w:line="440" w:lineRule="exact"/>
        <w:ind w:left="222" w:leftChars="0" w:right="84" w:rightChars="40" w:firstLine="637" w:firstLineChars="0"/>
        <w:jc w:val="left"/>
        <w:textAlignment w:val="auto"/>
        <w:rPr>
          <w:rFonts w:hint="eastAsia" w:ascii="宋体" w:hAnsi="宋体" w:eastAsia="宋体" w:cs="宋体"/>
          <w:spacing w:val="0"/>
          <w:w w:val="100"/>
          <w:position w:val="0"/>
          <w:sz w:val="24"/>
          <w:szCs w:val="24"/>
        </w:rPr>
      </w:pPr>
      <w:r>
        <w:rPr>
          <w:rFonts w:hint="eastAsia" w:ascii="宋体" w:hAnsi="宋体" w:eastAsia="宋体" w:cs="宋体"/>
          <w:i/>
          <w:spacing w:val="0"/>
          <w:w w:val="100"/>
          <w:position w:val="0"/>
          <w:sz w:val="24"/>
          <w:szCs w:val="24"/>
          <w:u w:val="single"/>
        </w:rPr>
        <w:t>（标的名称）</w:t>
      </w:r>
      <w:r>
        <w:rPr>
          <w:rFonts w:hint="eastAsia" w:ascii="宋体" w:hAnsi="宋体" w:eastAsia="宋体" w:cs="宋体"/>
          <w:spacing w:val="0"/>
          <w:w w:val="100"/>
          <w:position w:val="0"/>
          <w:sz w:val="24"/>
          <w:szCs w:val="24"/>
          <w:u w:val="none"/>
        </w:rPr>
        <w:t>，属于</w:t>
      </w:r>
      <w:r>
        <w:rPr>
          <w:rFonts w:hint="eastAsia" w:ascii="宋体" w:hAnsi="宋体" w:eastAsia="宋体" w:cs="宋体"/>
          <w:i/>
          <w:spacing w:val="0"/>
          <w:w w:val="100"/>
          <w:position w:val="0"/>
          <w:sz w:val="24"/>
          <w:szCs w:val="24"/>
          <w:u w:val="none"/>
        </w:rPr>
        <w:t>（</w:t>
      </w:r>
      <w:r>
        <w:rPr>
          <w:rFonts w:hint="eastAsia" w:ascii="宋体" w:hAnsi="宋体" w:eastAsia="宋体" w:cs="宋体"/>
          <w:i/>
          <w:spacing w:val="0"/>
          <w:w w:val="100"/>
          <w:position w:val="0"/>
          <w:sz w:val="24"/>
          <w:szCs w:val="24"/>
          <w:u w:val="single"/>
        </w:rPr>
        <w:t>采购文件中明确的所属行业）</w:t>
      </w:r>
      <w:r>
        <w:rPr>
          <w:rFonts w:hint="eastAsia" w:ascii="宋体" w:hAnsi="宋体" w:eastAsia="宋体" w:cs="宋体"/>
          <w:spacing w:val="0"/>
          <w:w w:val="100"/>
          <w:position w:val="0"/>
          <w:sz w:val="24"/>
          <w:szCs w:val="24"/>
          <w:u w:val="none"/>
        </w:rPr>
        <w:t>；</w:t>
      </w:r>
      <w:r>
        <w:rPr>
          <w:rFonts w:hint="eastAsia" w:ascii="宋体" w:hAnsi="宋体" w:eastAsia="宋体" w:cs="宋体"/>
          <w:spacing w:val="0"/>
          <w:w w:val="100"/>
          <w:position w:val="0"/>
          <w:sz w:val="24"/>
          <w:szCs w:val="24"/>
        </w:rPr>
        <w:t>承建（承接）企业为</w:t>
      </w:r>
      <w:r>
        <w:rPr>
          <w:rFonts w:hint="eastAsia" w:ascii="宋体" w:hAnsi="宋体" w:eastAsia="宋体" w:cs="宋体"/>
          <w:i/>
          <w:spacing w:val="0"/>
          <w:w w:val="100"/>
          <w:position w:val="0"/>
          <w:sz w:val="24"/>
          <w:szCs w:val="24"/>
          <w:u w:val="single"/>
        </w:rPr>
        <w:t>（企业名称）</w:t>
      </w:r>
      <w:r>
        <w:rPr>
          <w:rFonts w:hint="eastAsia" w:ascii="宋体" w:hAnsi="宋体" w:eastAsia="宋体" w:cs="宋体"/>
          <w:spacing w:val="0"/>
          <w:w w:val="100"/>
          <w:position w:val="0"/>
          <w:sz w:val="24"/>
          <w:szCs w:val="24"/>
        </w:rPr>
        <w:t>，从业人员</w:t>
      </w:r>
      <w:r>
        <w:rPr>
          <w:rFonts w:hint="eastAsia" w:ascii="宋体" w:hAnsi="宋体" w:eastAsia="宋体" w:cs="宋体"/>
          <w:spacing w:val="0"/>
          <w:w w:val="100"/>
          <w:position w:val="0"/>
          <w:sz w:val="24"/>
          <w:szCs w:val="24"/>
          <w:u w:val="single"/>
          <w:lang w:val="en-US" w:eastAsia="zh-CN"/>
        </w:rPr>
        <w:t xml:space="preserve">    </w:t>
      </w:r>
      <w:r>
        <w:rPr>
          <w:rFonts w:hint="eastAsia" w:ascii="宋体" w:hAnsi="宋体" w:eastAsia="宋体" w:cs="宋体"/>
          <w:spacing w:val="0"/>
          <w:w w:val="100"/>
          <w:position w:val="0"/>
          <w:sz w:val="24"/>
          <w:szCs w:val="24"/>
        </w:rPr>
        <w:t>人，营业收入为</w:t>
      </w:r>
      <w:r>
        <w:rPr>
          <w:rFonts w:hint="eastAsia" w:ascii="宋体" w:hAnsi="宋体" w:eastAsia="宋体" w:cs="宋体"/>
          <w:spacing w:val="0"/>
          <w:w w:val="100"/>
          <w:position w:val="0"/>
          <w:sz w:val="24"/>
          <w:szCs w:val="24"/>
          <w:u w:val="single"/>
        </w:rPr>
        <w:t xml:space="preserve"> </w:t>
      </w:r>
      <w:r>
        <w:rPr>
          <w:rFonts w:hint="eastAsia" w:ascii="宋体" w:hAnsi="宋体" w:eastAsia="宋体" w:cs="宋体"/>
          <w:spacing w:val="0"/>
          <w:w w:val="100"/>
          <w:position w:val="0"/>
          <w:sz w:val="24"/>
          <w:szCs w:val="24"/>
          <w:u w:val="single"/>
        </w:rPr>
        <w:tab/>
      </w:r>
      <w:r>
        <w:rPr>
          <w:rFonts w:hint="eastAsia" w:ascii="宋体" w:hAnsi="宋体" w:eastAsia="宋体" w:cs="宋体"/>
          <w:spacing w:val="0"/>
          <w:w w:val="100"/>
          <w:position w:val="0"/>
          <w:sz w:val="24"/>
          <w:szCs w:val="24"/>
        </w:rPr>
        <w:t>万元，资产总额为</w:t>
      </w:r>
      <w:r>
        <w:rPr>
          <w:rFonts w:hint="eastAsia" w:ascii="宋体" w:hAnsi="宋体" w:eastAsia="宋体" w:cs="宋体"/>
          <w:spacing w:val="0"/>
          <w:w w:val="100"/>
          <w:position w:val="0"/>
          <w:sz w:val="24"/>
          <w:szCs w:val="24"/>
          <w:u w:val="single"/>
        </w:rPr>
        <w:t xml:space="preserve"> </w:t>
      </w:r>
      <w:r>
        <w:rPr>
          <w:rFonts w:hint="eastAsia" w:ascii="宋体" w:hAnsi="宋体" w:eastAsia="宋体" w:cs="宋体"/>
          <w:spacing w:val="0"/>
          <w:w w:val="100"/>
          <w:position w:val="0"/>
          <w:sz w:val="24"/>
          <w:szCs w:val="24"/>
          <w:u w:val="single"/>
        </w:rPr>
        <w:tab/>
      </w:r>
      <w:r>
        <w:rPr>
          <w:rFonts w:hint="eastAsia" w:ascii="宋体" w:hAnsi="宋体" w:eastAsia="宋体" w:cs="宋体"/>
          <w:spacing w:val="0"/>
          <w:w w:val="100"/>
          <w:position w:val="0"/>
          <w:sz w:val="24"/>
          <w:szCs w:val="24"/>
        </w:rPr>
        <w:t>万元</w:t>
      </w:r>
      <w:r>
        <w:rPr>
          <w:rFonts w:hint="eastAsia" w:ascii="宋体" w:hAnsi="宋体" w:eastAsia="宋体" w:cs="宋体"/>
          <w:spacing w:val="0"/>
          <w:w w:val="100"/>
          <w:position w:val="0"/>
          <w:sz w:val="24"/>
          <w:szCs w:val="24"/>
        </w:rPr>
        <w:fldChar w:fldCharType="begin"/>
      </w:r>
      <w:r>
        <w:rPr>
          <w:rFonts w:hint="eastAsia" w:ascii="宋体" w:hAnsi="宋体" w:eastAsia="宋体" w:cs="宋体"/>
          <w:spacing w:val="0"/>
          <w:w w:val="100"/>
          <w:position w:val="0"/>
          <w:sz w:val="24"/>
          <w:szCs w:val="24"/>
        </w:rPr>
        <w:instrText xml:space="preserve"> HYPERLINK \l "_bookmark1" </w:instrText>
      </w:r>
      <w:r>
        <w:rPr>
          <w:rFonts w:hint="eastAsia" w:ascii="宋体" w:hAnsi="宋体" w:eastAsia="宋体" w:cs="宋体"/>
          <w:spacing w:val="0"/>
          <w:w w:val="100"/>
          <w:position w:val="0"/>
          <w:sz w:val="24"/>
          <w:szCs w:val="24"/>
        </w:rPr>
        <w:fldChar w:fldCharType="separate"/>
      </w:r>
      <w:r>
        <w:rPr>
          <w:rFonts w:hint="eastAsia" w:ascii="宋体" w:hAnsi="宋体" w:eastAsia="宋体" w:cs="宋体"/>
          <w:spacing w:val="0"/>
          <w:w w:val="100"/>
          <w:position w:val="0"/>
          <w:sz w:val="24"/>
          <w:szCs w:val="24"/>
        </w:rPr>
        <w:t>1</w:t>
      </w:r>
      <w:r>
        <w:rPr>
          <w:rFonts w:hint="eastAsia" w:ascii="宋体" w:hAnsi="宋体" w:eastAsia="宋体" w:cs="宋体"/>
          <w:spacing w:val="0"/>
          <w:w w:val="100"/>
          <w:position w:val="0"/>
          <w:sz w:val="24"/>
          <w:szCs w:val="24"/>
        </w:rPr>
        <w:fldChar w:fldCharType="end"/>
      </w:r>
      <w:r>
        <w:rPr>
          <w:rFonts w:hint="eastAsia" w:ascii="宋体" w:hAnsi="宋体" w:eastAsia="宋体" w:cs="宋体"/>
          <w:spacing w:val="0"/>
          <w:w w:val="100"/>
          <w:position w:val="0"/>
          <w:sz w:val="24"/>
          <w:szCs w:val="24"/>
        </w:rPr>
        <w:t>，属于</w:t>
      </w:r>
      <w:r>
        <w:rPr>
          <w:rFonts w:hint="eastAsia" w:ascii="宋体" w:hAnsi="宋体" w:eastAsia="宋体" w:cs="宋体"/>
          <w:i/>
          <w:spacing w:val="0"/>
          <w:w w:val="100"/>
          <w:position w:val="0"/>
          <w:sz w:val="24"/>
          <w:szCs w:val="24"/>
          <w:u w:val="single"/>
        </w:rPr>
        <w:t>（中型企业、小型企业、微型企业）</w:t>
      </w:r>
      <w:r>
        <w:rPr>
          <w:rFonts w:hint="eastAsia" w:ascii="宋体" w:hAnsi="宋体" w:eastAsia="宋体" w:cs="宋体"/>
          <w:spacing w:val="0"/>
          <w:w w:val="100"/>
          <w:position w:val="0"/>
          <w:sz w:val="24"/>
          <w:szCs w:val="24"/>
        </w:rPr>
        <w:t>；</w:t>
      </w:r>
    </w:p>
    <w:p>
      <w:pPr>
        <w:pStyle w:val="63"/>
        <w:keepNext w:val="0"/>
        <w:keepLines w:val="0"/>
        <w:pageBreakBefore w:val="0"/>
        <w:widowControl w:val="0"/>
        <w:numPr>
          <w:ilvl w:val="0"/>
          <w:numId w:val="15"/>
        </w:numPr>
        <w:tabs>
          <w:tab w:val="left" w:pos="1243"/>
          <w:tab w:val="left" w:pos="1806"/>
          <w:tab w:val="left" w:pos="5005"/>
          <w:tab w:val="left" w:pos="7213"/>
        </w:tabs>
        <w:kinsoku/>
        <w:wordWrap/>
        <w:overflowPunct/>
        <w:topLinePunct w:val="0"/>
        <w:autoSpaceDE w:val="0"/>
        <w:autoSpaceDN w:val="0"/>
        <w:bidi w:val="0"/>
        <w:adjustRightInd/>
        <w:snapToGrid/>
        <w:spacing w:before="0" w:after="0" w:line="440" w:lineRule="exact"/>
        <w:ind w:left="205" w:right="84" w:rightChars="40" w:firstLine="655"/>
        <w:jc w:val="left"/>
        <w:textAlignment w:val="auto"/>
        <w:rPr>
          <w:rFonts w:hint="eastAsia" w:ascii="宋体" w:hAnsi="宋体" w:eastAsia="宋体" w:cs="宋体"/>
          <w:spacing w:val="0"/>
          <w:w w:val="100"/>
          <w:position w:val="0"/>
          <w:sz w:val="24"/>
          <w:szCs w:val="24"/>
          <w:u w:val="none"/>
        </w:rPr>
      </w:pPr>
      <w:r>
        <w:rPr>
          <w:rFonts w:hint="eastAsia" w:ascii="宋体" w:hAnsi="宋体" w:eastAsia="宋体" w:cs="宋体"/>
          <w:i/>
          <w:spacing w:val="0"/>
          <w:w w:val="100"/>
          <w:position w:val="0"/>
          <w:sz w:val="24"/>
          <w:szCs w:val="24"/>
          <w:u w:val="single"/>
        </w:rPr>
        <w:t>（标的名称）</w:t>
      </w:r>
      <w:r>
        <w:rPr>
          <w:rFonts w:hint="eastAsia" w:ascii="宋体" w:hAnsi="宋体" w:eastAsia="宋体" w:cs="宋体"/>
          <w:spacing w:val="0"/>
          <w:w w:val="100"/>
          <w:position w:val="0"/>
          <w:sz w:val="24"/>
          <w:szCs w:val="24"/>
          <w:u w:val="none"/>
        </w:rPr>
        <w:t>，属于</w:t>
      </w:r>
      <w:r>
        <w:rPr>
          <w:rFonts w:hint="eastAsia" w:ascii="宋体" w:hAnsi="宋体" w:eastAsia="宋体" w:cs="宋体"/>
          <w:i/>
          <w:spacing w:val="0"/>
          <w:w w:val="100"/>
          <w:position w:val="0"/>
          <w:sz w:val="24"/>
          <w:szCs w:val="24"/>
          <w:u w:val="none"/>
        </w:rPr>
        <w:t>（</w:t>
      </w:r>
      <w:r>
        <w:rPr>
          <w:rFonts w:hint="eastAsia" w:ascii="宋体" w:hAnsi="宋体" w:eastAsia="宋体" w:cs="宋体"/>
          <w:i/>
          <w:spacing w:val="0"/>
          <w:w w:val="100"/>
          <w:position w:val="0"/>
          <w:sz w:val="24"/>
          <w:szCs w:val="24"/>
          <w:u w:val="single"/>
        </w:rPr>
        <w:t>采购文件中明确的所属行业）</w:t>
      </w:r>
      <w:r>
        <w:rPr>
          <w:rFonts w:hint="eastAsia" w:ascii="宋体" w:hAnsi="宋体" w:eastAsia="宋体" w:cs="宋体"/>
          <w:spacing w:val="0"/>
          <w:w w:val="100"/>
          <w:position w:val="0"/>
          <w:sz w:val="24"/>
          <w:szCs w:val="24"/>
          <w:u w:val="none"/>
        </w:rPr>
        <w:t>； 承建（承接）企业为</w:t>
      </w:r>
      <w:r>
        <w:rPr>
          <w:rFonts w:hint="eastAsia" w:ascii="宋体" w:hAnsi="宋体" w:eastAsia="宋体" w:cs="宋体"/>
          <w:i/>
          <w:spacing w:val="0"/>
          <w:w w:val="100"/>
          <w:position w:val="0"/>
          <w:sz w:val="24"/>
          <w:szCs w:val="24"/>
          <w:u w:val="single"/>
        </w:rPr>
        <w:t>（企业名称）</w:t>
      </w:r>
      <w:r>
        <w:rPr>
          <w:rFonts w:hint="eastAsia" w:ascii="宋体" w:hAnsi="宋体" w:eastAsia="宋体" w:cs="宋体"/>
          <w:spacing w:val="0"/>
          <w:w w:val="100"/>
          <w:position w:val="0"/>
          <w:sz w:val="24"/>
          <w:szCs w:val="24"/>
          <w:u w:val="none"/>
        </w:rPr>
        <w:t>，从业人员</w:t>
      </w:r>
      <w:r>
        <w:rPr>
          <w:rFonts w:hint="eastAsia" w:ascii="宋体" w:hAnsi="宋体" w:eastAsia="宋体" w:cs="宋体"/>
          <w:spacing w:val="0"/>
          <w:w w:val="100"/>
          <w:position w:val="0"/>
          <w:sz w:val="24"/>
          <w:szCs w:val="24"/>
          <w:u w:val="single"/>
        </w:rPr>
        <w:t xml:space="preserve"> </w:t>
      </w:r>
      <w:r>
        <w:rPr>
          <w:rFonts w:hint="eastAsia" w:ascii="宋体" w:hAnsi="宋体" w:eastAsia="宋体" w:cs="宋体"/>
          <w:spacing w:val="0"/>
          <w:w w:val="100"/>
          <w:position w:val="0"/>
          <w:sz w:val="24"/>
          <w:szCs w:val="24"/>
          <w:u w:val="single"/>
        </w:rPr>
        <w:tab/>
      </w:r>
      <w:r>
        <w:rPr>
          <w:rFonts w:hint="eastAsia" w:ascii="宋体" w:hAnsi="宋体" w:eastAsia="宋体" w:cs="宋体"/>
          <w:spacing w:val="0"/>
          <w:w w:val="100"/>
          <w:position w:val="0"/>
          <w:sz w:val="24"/>
          <w:szCs w:val="24"/>
          <w:u w:val="none"/>
        </w:rPr>
        <w:t>人，营业收入为</w:t>
      </w:r>
      <w:r>
        <w:rPr>
          <w:rFonts w:hint="eastAsia" w:ascii="宋体" w:hAnsi="宋体" w:eastAsia="宋体" w:cs="宋体"/>
          <w:spacing w:val="0"/>
          <w:w w:val="100"/>
          <w:position w:val="0"/>
          <w:sz w:val="24"/>
          <w:szCs w:val="24"/>
          <w:u w:val="single"/>
        </w:rPr>
        <w:t xml:space="preserve"> </w:t>
      </w:r>
      <w:r>
        <w:rPr>
          <w:rFonts w:hint="eastAsia" w:ascii="宋体" w:hAnsi="宋体" w:eastAsia="宋体" w:cs="宋体"/>
          <w:spacing w:val="0"/>
          <w:w w:val="100"/>
          <w:position w:val="0"/>
          <w:sz w:val="24"/>
          <w:szCs w:val="24"/>
          <w:u w:val="single"/>
        </w:rPr>
        <w:tab/>
      </w:r>
      <w:r>
        <w:rPr>
          <w:rFonts w:hint="eastAsia" w:ascii="宋体" w:hAnsi="宋体" w:eastAsia="宋体" w:cs="宋体"/>
          <w:spacing w:val="0"/>
          <w:w w:val="100"/>
          <w:position w:val="0"/>
          <w:sz w:val="24"/>
          <w:szCs w:val="24"/>
          <w:u w:val="none"/>
        </w:rPr>
        <w:t>万元，资产总额为</w:t>
      </w:r>
      <w:r>
        <w:rPr>
          <w:rFonts w:hint="eastAsia" w:ascii="宋体" w:hAnsi="宋体" w:eastAsia="宋体" w:cs="宋体"/>
          <w:spacing w:val="0"/>
          <w:w w:val="100"/>
          <w:position w:val="0"/>
          <w:sz w:val="24"/>
          <w:szCs w:val="24"/>
          <w:u w:val="single"/>
        </w:rPr>
        <w:t xml:space="preserve"> </w:t>
      </w:r>
      <w:r>
        <w:rPr>
          <w:rFonts w:hint="eastAsia" w:ascii="宋体" w:hAnsi="宋体" w:eastAsia="宋体" w:cs="宋体"/>
          <w:spacing w:val="0"/>
          <w:w w:val="100"/>
          <w:position w:val="0"/>
          <w:sz w:val="24"/>
          <w:szCs w:val="24"/>
          <w:u w:val="single"/>
        </w:rPr>
        <w:tab/>
      </w:r>
      <w:r>
        <w:rPr>
          <w:rFonts w:hint="eastAsia" w:ascii="宋体" w:hAnsi="宋体" w:eastAsia="宋体" w:cs="宋体"/>
          <w:spacing w:val="0"/>
          <w:w w:val="100"/>
          <w:position w:val="0"/>
          <w:sz w:val="24"/>
          <w:szCs w:val="24"/>
          <w:u w:val="none"/>
        </w:rPr>
        <w:t>万元，属于</w:t>
      </w:r>
      <w:r>
        <w:rPr>
          <w:rFonts w:hint="eastAsia" w:ascii="宋体" w:hAnsi="宋体" w:eastAsia="宋体" w:cs="宋体"/>
          <w:i/>
          <w:spacing w:val="0"/>
          <w:w w:val="100"/>
          <w:position w:val="0"/>
          <w:sz w:val="24"/>
          <w:szCs w:val="24"/>
          <w:u w:val="single"/>
        </w:rPr>
        <w:t>（中型企业、小型企业、微型企业）</w:t>
      </w:r>
      <w:r>
        <w:rPr>
          <w:rFonts w:hint="eastAsia" w:ascii="宋体" w:hAnsi="宋体" w:eastAsia="宋体" w:cs="宋体"/>
          <w:spacing w:val="0"/>
          <w:w w:val="100"/>
          <w:position w:val="0"/>
          <w:sz w:val="24"/>
          <w:szCs w:val="24"/>
          <w:u w:val="none"/>
        </w:rPr>
        <w:t>；</w:t>
      </w:r>
    </w:p>
    <w:p>
      <w:pPr>
        <w:pStyle w:val="3"/>
        <w:keepNext w:val="0"/>
        <w:keepLines w:val="0"/>
        <w:pageBreakBefore w:val="0"/>
        <w:widowControl w:val="0"/>
        <w:kinsoku/>
        <w:wordWrap/>
        <w:overflowPunct/>
        <w:topLinePunct w:val="0"/>
        <w:autoSpaceDE w:val="0"/>
        <w:autoSpaceDN w:val="0"/>
        <w:bidi w:val="0"/>
        <w:adjustRightInd/>
        <w:snapToGrid/>
        <w:spacing w:before="0" w:after="0" w:line="440" w:lineRule="exact"/>
        <w:ind w:left="860" w:right="84" w:rightChars="40"/>
        <w:textAlignment w:val="auto"/>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w:t>
      </w:r>
    </w:p>
    <w:p>
      <w:pPr>
        <w:pStyle w:val="3"/>
        <w:keepNext w:val="0"/>
        <w:keepLines w:val="0"/>
        <w:pageBreakBefore w:val="0"/>
        <w:widowControl w:val="0"/>
        <w:kinsoku/>
        <w:wordWrap/>
        <w:overflowPunct/>
        <w:topLinePunct w:val="0"/>
        <w:autoSpaceDE w:val="0"/>
        <w:autoSpaceDN w:val="0"/>
        <w:bidi w:val="0"/>
        <w:adjustRightInd/>
        <w:snapToGrid/>
        <w:spacing w:before="0" w:after="0" w:line="440" w:lineRule="exact"/>
        <w:ind w:right="84" w:rightChars="40" w:firstLine="645"/>
        <w:jc w:val="both"/>
        <w:textAlignment w:val="auto"/>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以上企业，不属于大企业的分支机构，不存在控股股东为大企业的情形，也不存在与大企业的负责人为同一人的情形。</w:t>
      </w:r>
    </w:p>
    <w:p>
      <w:pPr>
        <w:pStyle w:val="3"/>
        <w:keepNext w:val="0"/>
        <w:keepLines w:val="0"/>
        <w:pageBreakBefore w:val="0"/>
        <w:widowControl w:val="0"/>
        <w:kinsoku/>
        <w:wordWrap/>
        <w:overflowPunct/>
        <w:topLinePunct w:val="0"/>
        <w:autoSpaceDE w:val="0"/>
        <w:autoSpaceDN w:val="0"/>
        <w:bidi w:val="0"/>
        <w:adjustRightInd/>
        <w:snapToGrid/>
        <w:spacing w:before="0" w:after="0" w:line="440" w:lineRule="exact"/>
        <w:ind w:right="84" w:rightChars="40" w:firstLine="640"/>
        <w:textAlignment w:val="auto"/>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本企业对上述声明内容的真实性负责。如有虚假，将依法承担相应责任。</w:t>
      </w:r>
    </w:p>
    <w:p>
      <w:pPr>
        <w:pStyle w:val="3"/>
        <w:keepNext w:val="0"/>
        <w:keepLines w:val="0"/>
        <w:pageBreakBefore w:val="0"/>
        <w:widowControl w:val="0"/>
        <w:kinsoku/>
        <w:wordWrap/>
        <w:overflowPunct/>
        <w:topLinePunct w:val="0"/>
        <w:autoSpaceDE w:val="0"/>
        <w:autoSpaceDN w:val="0"/>
        <w:bidi w:val="0"/>
        <w:adjustRightInd/>
        <w:snapToGrid/>
        <w:spacing w:before="0" w:after="0" w:line="440" w:lineRule="exact"/>
        <w:ind w:left="4060" w:right="84" w:rightChars="40"/>
        <w:textAlignment w:val="auto"/>
        <w:rPr>
          <w:rFonts w:hint="eastAsia" w:ascii="宋体" w:hAnsi="宋体" w:eastAsia="宋体" w:cs="宋体"/>
          <w:spacing w:val="0"/>
          <w:w w:val="100"/>
          <w:position w:val="0"/>
          <w:sz w:val="24"/>
          <w:szCs w:val="24"/>
        </w:rPr>
      </w:pPr>
    </w:p>
    <w:p>
      <w:pPr>
        <w:pStyle w:val="3"/>
        <w:keepNext w:val="0"/>
        <w:keepLines w:val="0"/>
        <w:pageBreakBefore w:val="0"/>
        <w:widowControl w:val="0"/>
        <w:kinsoku/>
        <w:wordWrap/>
        <w:overflowPunct/>
        <w:topLinePunct w:val="0"/>
        <w:autoSpaceDE w:val="0"/>
        <w:autoSpaceDN w:val="0"/>
        <w:bidi w:val="0"/>
        <w:adjustRightInd/>
        <w:snapToGrid/>
        <w:spacing w:before="0" w:after="0" w:line="440" w:lineRule="exact"/>
        <w:ind w:left="4060" w:right="84" w:rightChars="40"/>
        <w:textAlignment w:val="auto"/>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企业名称（盖章）：</w:t>
      </w:r>
    </w:p>
    <w:p>
      <w:pPr>
        <w:pStyle w:val="3"/>
        <w:keepNext w:val="0"/>
        <w:keepLines w:val="0"/>
        <w:pageBreakBefore w:val="0"/>
        <w:widowControl w:val="0"/>
        <w:kinsoku/>
        <w:wordWrap/>
        <w:overflowPunct/>
        <w:topLinePunct w:val="0"/>
        <w:autoSpaceDE w:val="0"/>
        <w:autoSpaceDN w:val="0"/>
        <w:bidi w:val="0"/>
        <w:adjustRightInd/>
        <w:snapToGrid/>
        <w:spacing w:before="0" w:after="0" w:line="440" w:lineRule="exact"/>
        <w:ind w:left="4060" w:right="84" w:rightChars="40"/>
        <w:textAlignment w:val="auto"/>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日期：</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right="84" w:rightChars="40"/>
        <w:textAlignment w:val="auto"/>
        <w:rPr>
          <w:rFonts w:hint="eastAsia" w:ascii="宋体" w:hAnsi="宋体" w:eastAsia="宋体" w:cs="宋体"/>
          <w:spacing w:val="0"/>
          <w:w w:val="100"/>
          <w:position w:val="0"/>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right="84" w:rightChars="40"/>
        <w:textAlignment w:val="auto"/>
        <w:rPr>
          <w:rFonts w:hint="eastAsia" w:ascii="宋体" w:hAnsi="宋体" w:eastAsia="宋体" w:cs="宋体"/>
          <w:spacing w:val="0"/>
          <w:w w:val="100"/>
          <w:position w:val="0"/>
          <w:sz w:val="24"/>
          <w:szCs w:val="24"/>
        </w:rPr>
      </w:pPr>
    </w:p>
    <w:p>
      <w:pPr>
        <w:spacing w:line="500" w:lineRule="exact"/>
        <w:ind w:firstLine="480"/>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从业人员、营业收入、资产总额填报上一年度数据，无上一年度数据的新成立企业可不填报。</w:t>
      </w:r>
    </w:p>
    <w:p>
      <w:pPr>
        <w:pStyle w:val="41"/>
        <w:ind w:firstLine="480" w:firstLineChars="200"/>
        <w:rPr>
          <w:rFonts w:hint="eastAsia" w:eastAsia="宋体"/>
          <w:lang w:val="en-US" w:eastAsia="zh-CN"/>
        </w:rPr>
      </w:pPr>
      <w:r>
        <w:rPr>
          <w:rFonts w:hint="eastAsia" w:ascii="宋体" w:hAnsi="宋体" w:eastAsia="宋体" w:cs="宋体"/>
          <w:sz w:val="24"/>
          <w:szCs w:val="24"/>
          <w:lang w:val="en-US" w:eastAsia="zh-CN"/>
        </w:rPr>
        <w:t>2、本项目所属行业为其他未列明行业</w:t>
      </w:r>
    </w:p>
    <w:p>
      <w:pPr>
        <w:spacing w:line="600" w:lineRule="exact"/>
        <w:rPr>
          <w:rFonts w:asciiTheme="minorEastAsia" w:hAnsiTheme="minorEastAsia" w:eastAsiaTheme="minorEastAsia" w:cstheme="minorEastAsia"/>
          <w:sz w:val="30"/>
          <w:szCs w:val="30"/>
        </w:rPr>
      </w:pPr>
    </w:p>
    <w:p>
      <w:pPr>
        <w:pStyle w:val="10"/>
        <w:bidi w:val="0"/>
        <w:rPr>
          <w:rFonts w:asciiTheme="minorEastAsia" w:hAnsiTheme="minorEastAsia" w:eastAsiaTheme="minorEastAsia" w:cstheme="minorEastAsia"/>
          <w:b/>
          <w:kern w:val="2"/>
          <w:sz w:val="30"/>
          <w:szCs w:val="30"/>
        </w:rPr>
      </w:pPr>
      <w:r>
        <w:rPr>
          <w:rFonts w:hint="eastAsia" w:asciiTheme="minorEastAsia" w:hAnsiTheme="minorEastAsia" w:eastAsiaTheme="minorEastAsia" w:cstheme="minorEastAsia"/>
          <w:b/>
          <w:kern w:val="2"/>
          <w:sz w:val="30"/>
          <w:szCs w:val="30"/>
        </w:rPr>
        <w:br w:type="page"/>
      </w:r>
      <w:bookmarkStart w:id="348" w:name="_Toc11708"/>
      <w:bookmarkStart w:id="349" w:name="_Toc32475"/>
      <w:bookmarkStart w:id="350" w:name="_Toc20881"/>
      <w:bookmarkStart w:id="351" w:name="_Toc18562"/>
      <w:bookmarkStart w:id="352" w:name="_Toc30170"/>
      <w:bookmarkStart w:id="353" w:name="_Toc14292"/>
      <w:r>
        <w:rPr>
          <w:rFonts w:hint="eastAsia" w:asciiTheme="minorEastAsia" w:hAnsiTheme="minorEastAsia" w:eastAsiaTheme="minorEastAsia" w:cstheme="minorEastAsia"/>
          <w:b/>
          <w:kern w:val="2"/>
          <w:sz w:val="30"/>
          <w:szCs w:val="30"/>
          <w:lang w:eastAsia="zh-CN"/>
        </w:rPr>
        <w:t>九</w:t>
      </w:r>
      <w:r>
        <w:rPr>
          <w:rFonts w:hint="eastAsia" w:asciiTheme="minorEastAsia" w:hAnsiTheme="minorEastAsia" w:eastAsiaTheme="minorEastAsia" w:cstheme="minorEastAsia"/>
          <w:b/>
          <w:kern w:val="2"/>
          <w:sz w:val="30"/>
          <w:szCs w:val="30"/>
        </w:rPr>
        <w:t>、残疾人福利性单位声明函（如有）</w:t>
      </w:r>
      <w:bookmarkEnd w:id="348"/>
      <w:bookmarkEnd w:id="349"/>
      <w:bookmarkEnd w:id="350"/>
      <w:bookmarkEnd w:id="351"/>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bookmarkEnd w:id="339"/>
    <w:bookmarkEnd w:id="352"/>
    <w:bookmarkEnd w:id="353"/>
    <w:p>
      <w:pPr>
        <w:pStyle w:val="10"/>
        <w:bidi w:val="0"/>
      </w:pPr>
      <w:bookmarkStart w:id="354" w:name="_Toc16608"/>
      <w:bookmarkStart w:id="355" w:name="_Toc18605"/>
      <w:bookmarkStart w:id="356" w:name="_Toc10970"/>
      <w:bookmarkStart w:id="357" w:name="_Toc5570"/>
      <w:r>
        <w:rPr>
          <w:rFonts w:hint="eastAsia"/>
          <w:lang w:eastAsia="zh-CN"/>
        </w:rPr>
        <w:t>十</w:t>
      </w:r>
      <w:r>
        <w:rPr>
          <w:rFonts w:hint="eastAsia"/>
        </w:rPr>
        <w:t>、招标文件要求的或投标人认为须提交的其他材料</w:t>
      </w:r>
      <w:bookmarkEnd w:id="354"/>
      <w:bookmarkEnd w:id="355"/>
      <w:bookmarkEnd w:id="356"/>
      <w:bookmarkEnd w:id="357"/>
    </w:p>
    <w:p>
      <w:pPr>
        <w:spacing w:line="600" w:lineRule="exact"/>
        <w:ind w:firstLine="420" w:firstLineChars="200"/>
        <w:jc w:val="center"/>
        <w:rPr>
          <w:rFonts w:ascii="仿宋" w:hAnsi="仿宋" w:eastAsia="仿宋" w:cs="仿宋"/>
          <w:sz w:val="30"/>
          <w:szCs w:val="30"/>
        </w:rPr>
      </w:pPr>
      <w:r>
        <w:rPr>
          <w:rFonts w:hint="eastAsia" w:ascii="仿宋" w:hAnsi="仿宋" w:eastAsia="仿宋" w:cs="仿宋"/>
          <w:sz w:val="21"/>
          <w:szCs w:val="21"/>
        </w:rPr>
        <w:t>招标文件规定的其他资料及投标人认为需要提交的其他材料。</w:t>
      </w:r>
    </w:p>
    <w:p>
      <w:pPr>
        <w:spacing w:line="600" w:lineRule="exact"/>
        <w:ind w:firstLine="600" w:firstLineChars="200"/>
        <w:rPr>
          <w:rFonts w:ascii="仿宋" w:hAnsi="仿宋" w:eastAsia="仿宋" w:cs="仿宋"/>
          <w:sz w:val="30"/>
          <w:szCs w:val="30"/>
        </w:rPr>
      </w:pPr>
    </w:p>
    <w:p>
      <w:pPr>
        <w:widowControl/>
        <w:spacing w:line="580" w:lineRule="atLeast"/>
        <w:jc w:val="center"/>
        <w:rPr>
          <w:rFonts w:asciiTheme="minorEastAsia" w:hAnsiTheme="minorEastAsia" w:eastAsiaTheme="minorEastAsia" w:cstheme="minorEastAsia"/>
          <w:b/>
          <w:kern w:val="0"/>
          <w:sz w:val="32"/>
          <w:szCs w:val="32"/>
        </w:rPr>
      </w:pPr>
    </w:p>
    <w:p>
      <w:pPr>
        <w:widowControl/>
        <w:spacing w:line="580" w:lineRule="atLeast"/>
        <w:jc w:val="center"/>
        <w:rPr>
          <w:rFonts w:asciiTheme="minorEastAsia" w:hAnsiTheme="minorEastAsia" w:eastAsiaTheme="minorEastAsia" w:cstheme="minorEastAsia"/>
          <w:b/>
          <w:bCs/>
          <w:kern w:val="0"/>
          <w:sz w:val="32"/>
          <w:szCs w:val="32"/>
        </w:rPr>
      </w:pPr>
    </w:p>
    <w:p>
      <w:pPr>
        <w:widowControl/>
        <w:spacing w:line="580" w:lineRule="atLeast"/>
        <w:jc w:val="center"/>
        <w:rPr>
          <w:rFonts w:asciiTheme="minorEastAsia" w:hAnsiTheme="minorEastAsia" w:eastAsiaTheme="minorEastAsia" w:cstheme="minorEastAsia"/>
          <w:b/>
          <w:bCs/>
          <w:kern w:val="0"/>
          <w:sz w:val="32"/>
          <w:szCs w:val="32"/>
        </w:rPr>
      </w:pPr>
    </w:p>
    <w:p>
      <w:pPr>
        <w:pStyle w:val="61"/>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61"/>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61"/>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61"/>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61"/>
        <w:rPr>
          <w:rFonts w:asciiTheme="minorEastAsia" w:hAnsiTheme="minorEastAsia" w:eastAsiaTheme="minorEastAsia" w:cstheme="minorEastAsia"/>
          <w:b/>
          <w:bCs/>
          <w:kern w:val="0"/>
          <w:sz w:val="32"/>
          <w:szCs w:val="32"/>
        </w:rPr>
      </w:pPr>
    </w:p>
    <w:p>
      <w:pPr>
        <w:spacing w:line="440" w:lineRule="exact"/>
        <w:jc w:val="center"/>
        <w:rPr>
          <w:rFonts w:ascii="宋体" w:hAnsi="宋体" w:cs="宋体"/>
          <w:b/>
          <w:sz w:val="36"/>
          <w:szCs w:val="36"/>
        </w:rPr>
      </w:pPr>
    </w:p>
    <w:p>
      <w:pPr>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br w:type="page"/>
      </w:r>
    </w:p>
    <w:p>
      <w:pPr>
        <w:spacing w:line="360" w:lineRule="auto"/>
        <w:jc w:val="center"/>
        <w:rPr>
          <w:rFonts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优化和提升政府采购政策</w:t>
      </w:r>
    </w:p>
    <w:p>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一、全面取消采购文件费用和投标保证金费用。</w:t>
      </w:r>
    </w:p>
    <w:p>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二、免收履约保证金。确因项目需要的，应以保函等非现金形式收取，比例不得超过合同金额的</w:t>
      </w:r>
      <w:r>
        <w:rPr>
          <w:rFonts w:hint="eastAsia" w:asciiTheme="minorEastAsia" w:hAnsiTheme="minorEastAsia" w:eastAsiaTheme="minorEastAsia" w:cstheme="minorEastAsia"/>
          <w:sz w:val="24"/>
          <w:u w:val="single"/>
        </w:rPr>
        <w:t>6%</w:t>
      </w:r>
      <w:r>
        <w:rPr>
          <w:rFonts w:hint="eastAsia" w:asciiTheme="minorEastAsia" w:hAnsiTheme="minorEastAsia" w:eastAsiaTheme="minorEastAsia" w:cstheme="minorEastAsia"/>
          <w:sz w:val="24"/>
        </w:rPr>
        <w:t>，并按约定的时间和条件退还。</w:t>
      </w:r>
    </w:p>
    <w:p>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三、评标结果确认时限。自评标（评审）结束后应2个工作日内确定中标（成交）投标人，5个工作日内公告结果，同时发送中标（成交）通知书。</w:t>
      </w:r>
    </w:p>
    <w:p>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四、合同签订时限。自中标（成交）通知书发出之日起</w:t>
      </w:r>
      <w:r>
        <w:rPr>
          <w:rFonts w:hint="eastAsia" w:asciiTheme="minorEastAsia" w:hAnsiTheme="minorEastAsia" w:eastAsiaTheme="minorEastAsia" w:cstheme="minorEastAsia"/>
          <w:sz w:val="24"/>
          <w:u w:val="single"/>
        </w:rPr>
        <w:t>15</w:t>
      </w:r>
      <w:r>
        <w:rPr>
          <w:rFonts w:hint="eastAsia" w:asciiTheme="minorEastAsia" w:hAnsiTheme="minorEastAsia" w:eastAsiaTheme="minorEastAsia" w:cstheme="minorEastAsia"/>
          <w:sz w:val="24"/>
        </w:rPr>
        <w:t xml:space="preserve">日内，按照采购文件和投标（响应性）文件确定的事项签订政府采购合同。 </w:t>
      </w:r>
    </w:p>
    <w:p>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五、合同公告和备案时限。自合同签订之日起2个工作日内。</w:t>
      </w:r>
    </w:p>
    <w:p>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六、项目验收。自收到投标人项目验收建议之日起5个工作日内组织验收；验收结束后2个工作日内出具《验收报告》，并在焦作市政府采购网公告验收结果。</w:t>
      </w:r>
    </w:p>
    <w:p>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七、资金支付。按照合同约定的条件及时支付资金，不得因机构变更、人员更替、政策调整等原因拒绝或延迟资金支付。</w:t>
      </w:r>
    </w:p>
    <w:p>
      <w:pPr>
        <w:shd w:val="clear" w:color="auto" w:fill="FFFFFF"/>
        <w:spacing w:line="360" w:lineRule="auto"/>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在政府采购活动中，若发现采购人或采购代理机构未按以上政策执行的，可向监督部门举报反映。</w:t>
      </w:r>
    </w:p>
    <w:p>
      <w:pPr>
        <w:shd w:val="clear" w:color="auto" w:fill="FFFFFF"/>
        <w:spacing w:line="360" w:lineRule="auto"/>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监督单位：博爱县财政局政府采购监督管理办公室</w:t>
      </w:r>
    </w:p>
    <w:p>
      <w:pPr>
        <w:shd w:val="clear" w:color="auto" w:fill="FFFFFF"/>
        <w:spacing w:line="360" w:lineRule="auto"/>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监督电话：0391-8683273</w:t>
      </w:r>
    </w:p>
    <w:p>
      <w:pPr>
        <w:shd w:val="clear" w:color="auto" w:fill="FFFFFF"/>
        <w:spacing w:line="360" w:lineRule="auto"/>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地址：博爱县发展大道188号机关综合办公楼主楼1213室</w:t>
      </w:r>
    </w:p>
    <w:p>
      <w:pPr>
        <w:spacing w:line="440" w:lineRule="exact"/>
        <w:jc w:val="center"/>
        <w:rPr>
          <w:rFonts w:ascii="宋体" w:hAnsi="宋体" w:cs="宋体"/>
          <w:b/>
          <w:sz w:val="36"/>
          <w:szCs w:val="36"/>
        </w:rPr>
      </w:pPr>
    </w:p>
    <w:p>
      <w:pPr>
        <w:spacing w:line="440" w:lineRule="exact"/>
        <w:jc w:val="center"/>
        <w:rPr>
          <w:rFonts w:ascii="宋体" w:hAnsi="宋体" w:cs="宋体"/>
          <w:b/>
          <w:sz w:val="36"/>
          <w:szCs w:val="36"/>
        </w:rPr>
      </w:pPr>
    </w:p>
    <w:p>
      <w:pPr>
        <w:pStyle w:val="10"/>
        <w:rPr>
          <w:rFonts w:ascii="宋体" w:hAnsi="宋体" w:cs="宋体"/>
          <w:sz w:val="36"/>
          <w:szCs w:val="36"/>
        </w:rPr>
      </w:pPr>
    </w:p>
    <w:p>
      <w:pPr>
        <w:rPr>
          <w:rFonts w:ascii="宋体" w:hAnsi="宋体" w:cs="宋体"/>
          <w:b/>
          <w:sz w:val="36"/>
          <w:szCs w:val="36"/>
        </w:rPr>
      </w:pPr>
    </w:p>
    <w:p>
      <w:pPr>
        <w:spacing w:line="440" w:lineRule="exact"/>
        <w:jc w:val="center"/>
        <w:rPr>
          <w:rFonts w:ascii="宋体" w:hAnsi="宋体" w:cs="宋体"/>
          <w:b/>
          <w:sz w:val="36"/>
          <w:szCs w:val="36"/>
        </w:rPr>
      </w:pPr>
    </w:p>
    <w:p>
      <w:pPr>
        <w:spacing w:line="440" w:lineRule="exact"/>
        <w:jc w:val="center"/>
        <w:rPr>
          <w:rFonts w:ascii="宋体" w:hAnsi="宋体" w:cs="宋体"/>
          <w:b/>
          <w:sz w:val="36"/>
          <w:szCs w:val="36"/>
        </w:rPr>
      </w:pPr>
      <w:r>
        <w:rPr>
          <w:rFonts w:hint="eastAsia" w:ascii="宋体" w:hAnsi="宋体" w:cs="宋体"/>
          <w:b/>
          <w:sz w:val="36"/>
          <w:szCs w:val="36"/>
        </w:rPr>
        <w:t>河南省政府采购合同融资政策告知函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bCs/>
          <w:sz w:val="24"/>
        </w:rPr>
      </w:pPr>
      <w:r>
        <w:rPr>
          <w:rFonts w:hint="eastAsia" w:ascii="宋体" w:hAnsi="宋体" w:cs="宋体"/>
          <w:bCs/>
          <w:sz w:val="24"/>
        </w:rPr>
        <w:t>各投标人：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bCs/>
          <w:sz w:val="24"/>
        </w:rPr>
      </w:pPr>
      <w:r>
        <w:rPr>
          <w:rFonts w:hint="eastAsia" w:ascii="宋体" w:hAnsi="宋体" w:cs="宋体"/>
          <w:bCs/>
          <w:sz w:val="24"/>
        </w:rPr>
        <w:t>欢迎贵公司参与河南省政府采购活动！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bCs/>
          <w:sz w:val="24"/>
        </w:rPr>
      </w:pPr>
      <w:r>
        <w:rPr>
          <w:rFonts w:hint="eastAsia" w:ascii="宋体" w:hAnsi="宋体" w:cs="宋体"/>
          <w:bCs/>
          <w:sz w:val="24"/>
        </w:rPr>
        <w:t>政府采购合同融资是河南省财政厅支持中小微企业发展，针对参与政府采购活动的投标人融资难、融资贵问题推出的一项融资政策。贵公司若成为本次政府采购项目的中标成交投标人，可持政府采购合同向金融机构申请贷款，无需抵押、担保，融资机构将依据《河南省采购合同融资工作实施方案》（豫财购[2017]10号），按照双方自愿的原则提供便捷、优惠的贷款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bCs/>
          <w:sz w:val="24"/>
        </w:rPr>
      </w:pPr>
      <w:r>
        <w:rPr>
          <w:rFonts w:hint="eastAsia" w:ascii="宋体" w:hAnsi="宋体" w:cs="宋体"/>
          <w:bCs/>
          <w:sz w:val="24"/>
        </w:rPr>
        <w:t>贷款渠道和提供贷款的金融机构，可在河南省政府采购网“河南省政府采购合同融资平台”查询联系。</w:t>
      </w:r>
    </w:p>
    <w:p>
      <w:pPr>
        <w:jc w:val="center"/>
        <w:rPr>
          <w:rFonts w:ascii="宋体" w:hAnsi="宋体"/>
          <w:b/>
          <w:sz w:val="32"/>
          <w:szCs w:val="32"/>
        </w:rPr>
      </w:pPr>
      <w:r>
        <w:rPr>
          <w:rFonts w:hint="eastAsia" w:ascii="宋体" w:hAnsi="宋体"/>
          <w:b/>
          <w:sz w:val="32"/>
          <w:szCs w:val="32"/>
        </w:rPr>
        <w:t>焦作市政府采购合同融资合作企业</w:t>
      </w:r>
    </w:p>
    <w:tbl>
      <w:tblPr>
        <w:tblStyle w:val="27"/>
        <w:tblW w:w="0" w:type="auto"/>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8"/>
        <w:gridCol w:w="1353"/>
        <w:gridCol w:w="2064"/>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108" w:type="dxa"/>
            <w:vAlign w:val="center"/>
          </w:tcPr>
          <w:p>
            <w:pPr>
              <w:widowControl/>
              <w:tabs>
                <w:tab w:val="left" w:pos="0"/>
              </w:tabs>
              <w:jc w:val="center"/>
              <w:rPr>
                <w:rFonts w:ascii="黑体" w:hAnsi="黑体" w:eastAsia="黑体"/>
                <w:sz w:val="30"/>
                <w:szCs w:val="30"/>
              </w:rPr>
            </w:pPr>
            <w:r>
              <w:rPr>
                <w:rFonts w:hint="eastAsia" w:ascii="黑体" w:hAnsi="黑体" w:eastAsia="黑体"/>
                <w:sz w:val="30"/>
                <w:szCs w:val="30"/>
              </w:rPr>
              <w:t>名称</w:t>
            </w:r>
          </w:p>
        </w:tc>
        <w:tc>
          <w:tcPr>
            <w:tcW w:w="1353" w:type="dxa"/>
            <w:vAlign w:val="center"/>
          </w:tcPr>
          <w:p>
            <w:pPr>
              <w:widowControl/>
              <w:tabs>
                <w:tab w:val="left" w:pos="0"/>
              </w:tabs>
              <w:jc w:val="center"/>
              <w:rPr>
                <w:rFonts w:ascii="黑体" w:hAnsi="黑体" w:eastAsia="黑体"/>
                <w:sz w:val="30"/>
                <w:szCs w:val="30"/>
              </w:rPr>
            </w:pPr>
            <w:r>
              <w:rPr>
                <w:rFonts w:hint="eastAsia" w:ascii="黑体" w:hAnsi="黑体" w:eastAsia="黑体"/>
                <w:sz w:val="30"/>
                <w:szCs w:val="30"/>
              </w:rPr>
              <w:t>联系人</w:t>
            </w:r>
          </w:p>
        </w:tc>
        <w:tc>
          <w:tcPr>
            <w:tcW w:w="2064" w:type="dxa"/>
            <w:vAlign w:val="center"/>
          </w:tcPr>
          <w:p>
            <w:pPr>
              <w:widowControl/>
              <w:tabs>
                <w:tab w:val="left" w:pos="0"/>
              </w:tabs>
              <w:jc w:val="center"/>
              <w:rPr>
                <w:rFonts w:ascii="黑体" w:hAnsi="黑体" w:eastAsia="黑体"/>
                <w:sz w:val="30"/>
                <w:szCs w:val="30"/>
              </w:rPr>
            </w:pPr>
            <w:r>
              <w:rPr>
                <w:rFonts w:hint="eastAsia" w:ascii="黑体" w:hAnsi="黑体" w:eastAsia="黑体"/>
                <w:sz w:val="30"/>
                <w:szCs w:val="30"/>
              </w:rPr>
              <w:t>联系电话</w:t>
            </w:r>
          </w:p>
        </w:tc>
        <w:tc>
          <w:tcPr>
            <w:tcW w:w="2558" w:type="dxa"/>
            <w:vAlign w:val="center"/>
          </w:tcPr>
          <w:p>
            <w:pPr>
              <w:widowControl/>
              <w:tabs>
                <w:tab w:val="left" w:pos="0"/>
              </w:tabs>
              <w:jc w:val="center"/>
              <w:rPr>
                <w:rFonts w:ascii="黑体" w:hAnsi="黑体" w:eastAsia="黑体"/>
                <w:sz w:val="30"/>
                <w:szCs w:val="30"/>
              </w:rPr>
            </w:pPr>
            <w:r>
              <w:rPr>
                <w:rFonts w:hint="eastAsia" w:ascii="黑体" w:hAnsi="黑体" w:eastAsia="黑体"/>
                <w:sz w:val="30"/>
                <w:szCs w:val="3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4108"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中国农业银行股份有限公司</w:t>
            </w:r>
          </w:p>
          <w:p>
            <w:pPr>
              <w:widowControl/>
              <w:tabs>
                <w:tab w:val="left" w:pos="0"/>
              </w:tabs>
              <w:spacing w:line="360" w:lineRule="exact"/>
              <w:rPr>
                <w:rFonts w:ascii="宋体" w:hAnsi="宋体" w:cs="宋体"/>
                <w:sz w:val="24"/>
              </w:rPr>
            </w:pPr>
            <w:r>
              <w:rPr>
                <w:rFonts w:hint="eastAsia" w:ascii="宋体" w:hAnsi="宋体" w:cs="宋体"/>
                <w:sz w:val="24"/>
              </w:rPr>
              <w:t>焦作分行</w:t>
            </w:r>
          </w:p>
        </w:tc>
        <w:tc>
          <w:tcPr>
            <w:tcW w:w="135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薛国战</w:t>
            </w:r>
          </w:p>
        </w:tc>
        <w:tc>
          <w:tcPr>
            <w:tcW w:w="2064"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0391-2878039       13839109026</w:t>
            </w:r>
          </w:p>
        </w:tc>
        <w:tc>
          <w:tcPr>
            <w:tcW w:w="2558"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焦作市民主南路88号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8"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中国银行股份有限公司焦作分行</w:t>
            </w:r>
          </w:p>
        </w:tc>
        <w:tc>
          <w:tcPr>
            <w:tcW w:w="135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曹阳</w:t>
            </w:r>
          </w:p>
        </w:tc>
        <w:tc>
          <w:tcPr>
            <w:tcW w:w="2064"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0391-8825171  13839118160</w:t>
            </w:r>
          </w:p>
        </w:tc>
        <w:tc>
          <w:tcPr>
            <w:tcW w:w="2558"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焦作市丰收路159号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08"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中国建设银行股份有限公司焦作分行</w:t>
            </w:r>
          </w:p>
        </w:tc>
        <w:tc>
          <w:tcPr>
            <w:tcW w:w="1353" w:type="dxa"/>
            <w:shd w:val="clear" w:color="auto" w:fill="auto"/>
            <w:vAlign w:val="center"/>
          </w:tcPr>
          <w:p>
            <w:pPr>
              <w:widowControl/>
              <w:tabs>
                <w:tab w:val="left" w:pos="0"/>
              </w:tabs>
              <w:spacing w:line="360" w:lineRule="exact"/>
              <w:jc w:val="center"/>
              <w:rPr>
                <w:rFonts w:ascii="宋体" w:hAnsi="宋体" w:cs="宋体"/>
                <w:sz w:val="24"/>
              </w:rPr>
            </w:pPr>
            <w:r>
              <w:rPr>
                <w:rFonts w:hint="eastAsia" w:ascii="宋体" w:hAnsi="宋体" w:cs="宋体"/>
                <w:sz w:val="24"/>
              </w:rPr>
              <w:t>李华莹</w:t>
            </w:r>
          </w:p>
        </w:tc>
        <w:tc>
          <w:tcPr>
            <w:tcW w:w="2064" w:type="dxa"/>
            <w:shd w:val="clear" w:color="auto" w:fill="auto"/>
            <w:vAlign w:val="center"/>
          </w:tcPr>
          <w:p>
            <w:pPr>
              <w:widowControl/>
              <w:tabs>
                <w:tab w:val="left" w:pos="0"/>
              </w:tabs>
              <w:spacing w:line="360" w:lineRule="exact"/>
              <w:jc w:val="center"/>
              <w:rPr>
                <w:rFonts w:ascii="宋体" w:hAnsi="宋体" w:cs="宋体"/>
                <w:sz w:val="24"/>
              </w:rPr>
            </w:pPr>
            <w:r>
              <w:rPr>
                <w:rFonts w:hint="eastAsia" w:ascii="宋体" w:hAnsi="宋体" w:cs="宋体"/>
                <w:sz w:val="24"/>
              </w:rPr>
              <w:t>0391-3918471</w:t>
            </w:r>
          </w:p>
        </w:tc>
        <w:tc>
          <w:tcPr>
            <w:tcW w:w="2558" w:type="dxa"/>
            <w:shd w:val="solid" w:color="FFFFFF" w:fill="auto"/>
            <w:vAlign w:val="center"/>
          </w:tcPr>
          <w:p>
            <w:pPr>
              <w:widowControl/>
              <w:tabs>
                <w:tab w:val="left" w:pos="0"/>
              </w:tabs>
              <w:spacing w:line="360" w:lineRule="exact"/>
              <w:rPr>
                <w:rFonts w:ascii="宋体" w:hAnsi="宋体" w:cs="宋体"/>
                <w:sz w:val="24"/>
              </w:rPr>
            </w:pPr>
            <w:r>
              <w:rPr>
                <w:rFonts w:hint="eastAsia" w:ascii="宋体" w:hAnsi="宋体" w:cs="宋体"/>
                <w:sz w:val="24"/>
              </w:rPr>
              <w:t>焦作市建设东路152号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8"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中国邮政储蓄银行股份有限公司焦作市分行</w:t>
            </w:r>
          </w:p>
        </w:tc>
        <w:tc>
          <w:tcPr>
            <w:tcW w:w="135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李天祥</w:t>
            </w:r>
          </w:p>
        </w:tc>
        <w:tc>
          <w:tcPr>
            <w:tcW w:w="2064"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0391-2981968 13523359082</w:t>
            </w:r>
          </w:p>
        </w:tc>
        <w:tc>
          <w:tcPr>
            <w:tcW w:w="2558"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焦作市丰收中路2233号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108"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焦作中旅银行股份有限公司</w:t>
            </w:r>
          </w:p>
        </w:tc>
        <w:tc>
          <w:tcPr>
            <w:tcW w:w="135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周建林</w:t>
            </w:r>
          </w:p>
        </w:tc>
        <w:tc>
          <w:tcPr>
            <w:tcW w:w="2064"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 xml:space="preserve">0391-2116963 15893053027 </w:t>
            </w:r>
          </w:p>
        </w:tc>
        <w:tc>
          <w:tcPr>
            <w:tcW w:w="2558"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焦作市山阳区迎宾路1号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4108"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中信银行股份有限公司焦作分行</w:t>
            </w:r>
          </w:p>
        </w:tc>
        <w:tc>
          <w:tcPr>
            <w:tcW w:w="1353" w:type="dxa"/>
            <w:shd w:val="clear" w:color="auto" w:fill="auto"/>
            <w:vAlign w:val="center"/>
          </w:tcPr>
          <w:p>
            <w:pPr>
              <w:widowControl/>
              <w:tabs>
                <w:tab w:val="left" w:pos="0"/>
              </w:tabs>
              <w:spacing w:line="360" w:lineRule="exact"/>
              <w:jc w:val="center"/>
              <w:rPr>
                <w:rFonts w:ascii="宋体" w:hAnsi="宋体" w:cs="宋体"/>
                <w:sz w:val="24"/>
              </w:rPr>
            </w:pPr>
            <w:r>
              <w:rPr>
                <w:rFonts w:hint="eastAsia" w:ascii="宋体" w:hAnsi="宋体" w:cs="宋体"/>
                <w:sz w:val="24"/>
              </w:rPr>
              <w:t>周江江</w:t>
            </w:r>
          </w:p>
        </w:tc>
        <w:tc>
          <w:tcPr>
            <w:tcW w:w="2064"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17639185001</w:t>
            </w:r>
          </w:p>
        </w:tc>
        <w:tc>
          <w:tcPr>
            <w:tcW w:w="2558" w:type="dxa"/>
            <w:shd w:val="solid" w:color="FFFFFF" w:fill="auto"/>
            <w:vAlign w:val="center"/>
          </w:tcPr>
          <w:p>
            <w:pPr>
              <w:widowControl/>
              <w:tabs>
                <w:tab w:val="left" w:pos="0"/>
              </w:tabs>
              <w:spacing w:line="360" w:lineRule="exact"/>
              <w:rPr>
                <w:rFonts w:ascii="宋体" w:hAnsi="宋体" w:cs="宋体"/>
                <w:sz w:val="24"/>
              </w:rPr>
            </w:pPr>
            <w:r>
              <w:rPr>
                <w:rFonts w:hint="eastAsia" w:ascii="宋体" w:hAnsi="宋体" w:cs="宋体"/>
                <w:sz w:val="24"/>
              </w:rPr>
              <w:t>焦作市塔南路1736号嘉隆国际中心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108"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bCs/>
                <w:sz w:val="24"/>
              </w:rPr>
              <w:t>中国光大银行股份有限公司焦作分行</w:t>
            </w:r>
          </w:p>
        </w:tc>
        <w:tc>
          <w:tcPr>
            <w:tcW w:w="135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王海宾</w:t>
            </w:r>
          </w:p>
        </w:tc>
        <w:tc>
          <w:tcPr>
            <w:tcW w:w="2064"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0391-8787996 13598534626</w:t>
            </w:r>
          </w:p>
        </w:tc>
        <w:tc>
          <w:tcPr>
            <w:tcW w:w="2558"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焦作市塔南路1736号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08"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中原银行股份有限公司焦作分行</w:t>
            </w:r>
          </w:p>
        </w:tc>
        <w:tc>
          <w:tcPr>
            <w:tcW w:w="135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赵伟</w:t>
            </w:r>
          </w:p>
        </w:tc>
        <w:tc>
          <w:tcPr>
            <w:tcW w:w="2064"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0391-8796520 15738533033</w:t>
            </w:r>
          </w:p>
        </w:tc>
        <w:tc>
          <w:tcPr>
            <w:tcW w:w="2558"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焦作市解放区人民路479号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108"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广发银行股份有限公司焦作分行</w:t>
            </w:r>
          </w:p>
        </w:tc>
        <w:tc>
          <w:tcPr>
            <w:tcW w:w="135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张嘉强</w:t>
            </w:r>
          </w:p>
        </w:tc>
        <w:tc>
          <w:tcPr>
            <w:tcW w:w="2064"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0391-653785 13203910032</w:t>
            </w:r>
          </w:p>
        </w:tc>
        <w:tc>
          <w:tcPr>
            <w:tcW w:w="2558" w:type="dxa"/>
            <w:shd w:val="solid" w:color="FFFFFF" w:fill="auto"/>
            <w:vAlign w:val="center"/>
          </w:tcPr>
          <w:p>
            <w:pPr>
              <w:shd w:val="solid" w:color="FFFFFF" w:fill="auto"/>
              <w:autoSpaceDN w:val="0"/>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焦作市塔南路1736号嘉隆金融中心</w:t>
            </w:r>
          </w:p>
        </w:tc>
      </w:tr>
    </w:tbl>
    <w:p>
      <w:pPr>
        <w:rPr>
          <w:rFonts w:ascii="宋体" w:hAnsi="宋体" w:cs="宋体"/>
          <w:sz w:val="24"/>
        </w:rPr>
      </w:pPr>
      <w:r>
        <w:rPr>
          <w:rFonts w:hint="eastAsia" w:ascii="宋体" w:hAnsi="宋体" w:cs="宋体"/>
          <w:sz w:val="24"/>
        </w:rPr>
        <w:t>备注：融资服务机构名单和人员联系方式会随时变化。具体情况可登录“焦作市政府采购网”政府采购合同融资平台查询。</w:t>
      </w:r>
    </w:p>
    <w:sectPr>
      <w:pgSz w:w="11907" w:h="16840"/>
      <w:pgMar w:top="1276" w:right="1117" w:bottom="1417" w:left="913" w:header="850" w:footer="998" w:gutter="0"/>
      <w:pgNumType w:fmt="numberInDash"/>
      <w:cols w:space="0" w:num="1"/>
      <w:docGrid w:type="lines" w:linePitch="3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ok Antiqua">
    <w:altName w:val="Segoe Print"/>
    <w:panose1 w:val="02040602050305030304"/>
    <w:charset w:val="00"/>
    <w:family w:val="roman"/>
    <w:pitch w:val="default"/>
    <w:sig w:usb0="00000000" w:usb1="00000000" w:usb2="00000000" w:usb3="00000000" w:csb0="2000009F" w:csb1="DFD70000"/>
  </w:font>
  <w:font w:name="Calibri Light">
    <w:panose1 w:val="020F0302020204030204"/>
    <w:charset w:val="00"/>
    <w:family w:val="swiss"/>
    <w:pitch w:val="default"/>
    <w:sig w:usb0="A00002EF" w:usb1="4000207B"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0"/>
                          </w:pPr>
                          <w:r>
                            <w:fldChar w:fldCharType="begin"/>
                          </w:r>
                          <w:r>
                            <w:instrText xml:space="preserve"> PAGE  \* MERGEFORMAT </w:instrText>
                          </w:r>
                          <w:r>
                            <w:fldChar w:fldCharType="separate"/>
                          </w:r>
                          <w: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NlpgY4AgAAcA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2WmBjgCAABwBAAADgAAAAAAAAABACAAAAAfAQAAZHJzL2Uyb0RvYy54&#10;bWxQSwUGAAAAAAYABgBZAQAAyQ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LMi84AgAAcA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8AsyLzgCAABwBAAADgAAAAAAAAABACAAAAAfAQAAZHJzL2Uyb0RvYy54&#10;bWxQSwUGAAAAAAYABgBZAQAAyQ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- 1 -</w:t>
                    </w:r>
                    <w:r>
                      <w:fldChar w:fldCharType="end"/>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posOffset>2403475</wp:posOffset>
              </wp:positionH>
              <wp:positionV relativeFrom="paragraph">
                <wp:posOffset>-276225</wp:posOffset>
              </wp:positionV>
              <wp:extent cx="1514475" cy="2105025"/>
              <wp:effectExtent l="0" t="0" r="0" b="0"/>
              <wp:wrapNone/>
              <wp:docPr id="10" name="文本框 1"/>
              <wp:cNvGraphicFramePr/>
              <a:graphic xmlns:a="http://schemas.openxmlformats.org/drawingml/2006/main">
                <a:graphicData uri="http://schemas.microsoft.com/office/word/2010/wordprocessingShape">
                  <wps:wsp>
                    <wps:cNvSpPr txBox="1"/>
                    <wps:spPr>
                      <a:xfrm>
                        <a:off x="0" y="0"/>
                        <a:ext cx="1514475" cy="2105025"/>
                      </a:xfrm>
                      <a:prstGeom prst="rect">
                        <a:avLst/>
                      </a:prstGeom>
                      <a:noFill/>
                      <a:ln>
                        <a:noFill/>
                      </a:ln>
                      <a:effectLst/>
                    </wps:spPr>
                    <wps:txbx>
                      <w:txbxContent>
                        <w:p>
                          <w:pPr>
                            <w:snapToGrid w:val="0"/>
                            <w:rPr>
                              <w:sz w:val="18"/>
                            </w:rPr>
                          </w:pPr>
                        </w:p>
                      </w:txbxContent>
                    </wps:txbx>
                    <wps:bodyPr upright="1"/>
                  </wps:wsp>
                </a:graphicData>
              </a:graphic>
            </wp:anchor>
          </w:drawing>
        </mc:Choice>
        <mc:Fallback>
          <w:pict>
            <v:shape id="文本框 1" o:spid="_x0000_s1026" o:spt="202" type="#_x0000_t202" style="position:absolute;left:0pt;margin-left:189.25pt;margin-top:-21.75pt;height:165.75pt;width:119.25pt;mso-position-horizontal-relative:margin;z-index:251667456;mso-width-relative:page;mso-height-relative:page;" filled="f" stroked="f" coordsize="21600,21600" o:gfxdata="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49&#10;/6bYAAAACwEAAA8AAAAAAAAAAQAgAAAAIgAAAGRycy9kb3ducmV2LnhtbFBLAQIUABQAAAAIAIdO&#10;4kBN1W2/sQEAAF4DAAAOAAAAAAAAAAEAIAAAACcBAABkcnMvZTJvRG9jLnhtbFBLBQYAAAAABgAG&#10;AFkBAABKBQAAAAA=&#10;">
              <v:fill on="f" focussize="0,0"/>
              <v:stroke on="f"/>
              <v:imagedata o:title=""/>
              <o:lock v:ext="edit" aspectratio="f"/>
              <v:textbox>
                <w:txbxContent>
                  <w:p>
                    <w:pPr>
                      <w:snapToGrid w:val="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sz w:val="16"/>
        <w:szCs w:val="22"/>
      </w:rPr>
    </w:pPr>
    <w:r>
      <w:rPr>
        <w:sz w:val="20"/>
        <w:szCs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9" name="文本框 3"/>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a:noFill/>
                      </a:ln>
                      <a:effectLst/>
                    </wps:spPr>
                    <wps:txbx>
                      <w:txbxContent>
                        <w:p>
                          <w:pPr>
                            <w:pStyle w:val="20"/>
                          </w:pPr>
                          <w:r>
                            <w:fldChar w:fldCharType="begin"/>
                          </w:r>
                          <w:r>
                            <w:instrText xml:space="preserve"> PAGE  \* MERGEFORMAT </w:instrText>
                          </w:r>
                          <w:r>
                            <w:fldChar w:fldCharType="separate"/>
                          </w:r>
                          <w:r>
                            <w:t>- 24 -</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oqRS7NAAAAADAQAADwAAAAAAAAABACAAAAAiAAAAZHJz&#10;L2Rvd25yZXYueG1sUEsBAhQAFAAAAAgAh07iQOg4rLnTAQAApQMAAA4AAAAAAAAAAQAgAAAAHwEA&#10;AGRycy9lMm9Eb2MueG1sUEsFBgAAAAAGAAYAWQEAAGQFAA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- 24 -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1C7613"/>
    <w:multiLevelType w:val="multilevel"/>
    <w:tmpl w:val="991C7613"/>
    <w:lvl w:ilvl="0" w:tentative="0">
      <w:start w:val="1"/>
      <w:numFmt w:val="decimal"/>
      <w:lvlText w:val="%1."/>
      <w:lvlJc w:val="left"/>
      <w:pPr>
        <w:ind w:left="567" w:hanging="567"/>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9FB039FA"/>
    <w:multiLevelType w:val="singleLevel"/>
    <w:tmpl w:val="9FB039FA"/>
    <w:lvl w:ilvl="0" w:tentative="0">
      <w:start w:val="2"/>
      <w:numFmt w:val="chineseCounting"/>
      <w:suff w:val="nothing"/>
      <w:lvlText w:val="%1、"/>
      <w:lvlJc w:val="left"/>
      <w:rPr>
        <w:rFonts w:hint="eastAsia"/>
      </w:rPr>
    </w:lvl>
  </w:abstractNum>
  <w:abstractNum w:abstractNumId="2">
    <w:nsid w:val="A58974FB"/>
    <w:multiLevelType w:val="singleLevel"/>
    <w:tmpl w:val="A58974FB"/>
    <w:lvl w:ilvl="0" w:tentative="0">
      <w:start w:val="1"/>
      <w:numFmt w:val="decimal"/>
      <w:suff w:val="space"/>
      <w:lvlText w:val="%1."/>
      <w:lvlJc w:val="left"/>
    </w:lvl>
  </w:abstractNum>
  <w:abstractNum w:abstractNumId="3">
    <w:nsid w:val="B35C2360"/>
    <w:multiLevelType w:val="singleLevel"/>
    <w:tmpl w:val="B35C2360"/>
    <w:lvl w:ilvl="0" w:tentative="0">
      <w:start w:val="1"/>
      <w:numFmt w:val="chineseCounting"/>
      <w:suff w:val="nothing"/>
      <w:lvlText w:val="（%1）"/>
      <w:lvlJc w:val="left"/>
      <w:rPr>
        <w:rFonts w:hint="eastAsia"/>
      </w:rPr>
    </w:lvl>
  </w:abstractNum>
  <w:abstractNum w:abstractNumId="4">
    <w:nsid w:val="B940B7CB"/>
    <w:multiLevelType w:val="singleLevel"/>
    <w:tmpl w:val="B940B7CB"/>
    <w:lvl w:ilvl="0" w:tentative="0">
      <w:start w:val="3"/>
      <w:numFmt w:val="decimal"/>
      <w:suff w:val="nothing"/>
      <w:lvlText w:val="%1、"/>
      <w:lvlJc w:val="left"/>
    </w:lvl>
  </w:abstractNum>
  <w:abstractNum w:abstractNumId="5">
    <w:nsid w:val="CF092B84"/>
    <w:multiLevelType w:val="multilevel"/>
    <w:tmpl w:val="CF092B84"/>
    <w:lvl w:ilvl="0" w:tentative="0">
      <w:start w:val="1"/>
      <w:numFmt w:val="decimal"/>
      <w:lvlText w:val="%1."/>
      <w:lvlJc w:val="left"/>
      <w:pPr>
        <w:ind w:left="1242" w:hanging="382"/>
        <w:jc w:val="left"/>
      </w:pPr>
      <w:rPr>
        <w:rFonts w:hint="default" w:ascii="仿宋" w:hAnsi="仿宋" w:eastAsia="仿宋" w:cs="仿宋"/>
        <w:spacing w:val="0"/>
        <w:w w:val="99"/>
        <w:sz w:val="32"/>
        <w:szCs w:val="32"/>
        <w:lang w:val="zh-CN" w:eastAsia="zh-CN" w:bidi="zh-CN"/>
      </w:rPr>
    </w:lvl>
    <w:lvl w:ilvl="1" w:tentative="0">
      <w:start w:val="0"/>
      <w:numFmt w:val="bullet"/>
      <w:lvlText w:val="•"/>
      <w:lvlJc w:val="left"/>
      <w:pPr>
        <w:ind w:left="2004" w:hanging="382"/>
      </w:pPr>
      <w:rPr>
        <w:rFonts w:hint="default"/>
        <w:lang w:val="zh-CN" w:eastAsia="zh-CN" w:bidi="zh-CN"/>
      </w:rPr>
    </w:lvl>
    <w:lvl w:ilvl="2" w:tentative="0">
      <w:start w:val="0"/>
      <w:numFmt w:val="bullet"/>
      <w:lvlText w:val="•"/>
      <w:lvlJc w:val="left"/>
      <w:pPr>
        <w:ind w:left="2769" w:hanging="382"/>
      </w:pPr>
      <w:rPr>
        <w:rFonts w:hint="default"/>
        <w:lang w:val="zh-CN" w:eastAsia="zh-CN" w:bidi="zh-CN"/>
      </w:rPr>
    </w:lvl>
    <w:lvl w:ilvl="3" w:tentative="0">
      <w:start w:val="0"/>
      <w:numFmt w:val="bullet"/>
      <w:lvlText w:val="•"/>
      <w:lvlJc w:val="left"/>
      <w:pPr>
        <w:ind w:left="3533" w:hanging="382"/>
      </w:pPr>
      <w:rPr>
        <w:rFonts w:hint="default"/>
        <w:lang w:val="zh-CN" w:eastAsia="zh-CN" w:bidi="zh-CN"/>
      </w:rPr>
    </w:lvl>
    <w:lvl w:ilvl="4" w:tentative="0">
      <w:start w:val="0"/>
      <w:numFmt w:val="bullet"/>
      <w:lvlText w:val="•"/>
      <w:lvlJc w:val="left"/>
      <w:pPr>
        <w:ind w:left="4298" w:hanging="382"/>
      </w:pPr>
      <w:rPr>
        <w:rFonts w:hint="default"/>
        <w:lang w:val="zh-CN" w:eastAsia="zh-CN" w:bidi="zh-CN"/>
      </w:rPr>
    </w:lvl>
    <w:lvl w:ilvl="5" w:tentative="0">
      <w:start w:val="0"/>
      <w:numFmt w:val="bullet"/>
      <w:lvlText w:val="•"/>
      <w:lvlJc w:val="left"/>
      <w:pPr>
        <w:ind w:left="5063" w:hanging="382"/>
      </w:pPr>
      <w:rPr>
        <w:rFonts w:hint="default"/>
        <w:lang w:val="zh-CN" w:eastAsia="zh-CN" w:bidi="zh-CN"/>
      </w:rPr>
    </w:lvl>
    <w:lvl w:ilvl="6" w:tentative="0">
      <w:start w:val="0"/>
      <w:numFmt w:val="bullet"/>
      <w:lvlText w:val="•"/>
      <w:lvlJc w:val="left"/>
      <w:pPr>
        <w:ind w:left="5827" w:hanging="382"/>
      </w:pPr>
      <w:rPr>
        <w:rFonts w:hint="default"/>
        <w:lang w:val="zh-CN" w:eastAsia="zh-CN" w:bidi="zh-CN"/>
      </w:rPr>
    </w:lvl>
    <w:lvl w:ilvl="7" w:tentative="0">
      <w:start w:val="0"/>
      <w:numFmt w:val="bullet"/>
      <w:lvlText w:val="•"/>
      <w:lvlJc w:val="left"/>
      <w:pPr>
        <w:ind w:left="6592" w:hanging="382"/>
      </w:pPr>
      <w:rPr>
        <w:rFonts w:hint="default"/>
        <w:lang w:val="zh-CN" w:eastAsia="zh-CN" w:bidi="zh-CN"/>
      </w:rPr>
    </w:lvl>
    <w:lvl w:ilvl="8" w:tentative="0">
      <w:start w:val="0"/>
      <w:numFmt w:val="bullet"/>
      <w:lvlText w:val="•"/>
      <w:lvlJc w:val="left"/>
      <w:pPr>
        <w:ind w:left="7356" w:hanging="382"/>
      </w:pPr>
      <w:rPr>
        <w:rFonts w:hint="default"/>
        <w:lang w:val="zh-CN" w:eastAsia="zh-CN" w:bidi="zh-CN"/>
      </w:rPr>
    </w:lvl>
  </w:abstractNum>
  <w:abstractNum w:abstractNumId="6">
    <w:nsid w:val="E25B3C03"/>
    <w:multiLevelType w:val="singleLevel"/>
    <w:tmpl w:val="E25B3C03"/>
    <w:lvl w:ilvl="0" w:tentative="0">
      <w:start w:val="1"/>
      <w:numFmt w:val="decimal"/>
      <w:suff w:val="nothing"/>
      <w:lvlText w:val="（%1）"/>
      <w:lvlJc w:val="left"/>
    </w:lvl>
  </w:abstractNum>
  <w:abstractNum w:abstractNumId="7">
    <w:nsid w:val="EABEACDD"/>
    <w:multiLevelType w:val="singleLevel"/>
    <w:tmpl w:val="EABEACDD"/>
    <w:lvl w:ilvl="0" w:tentative="0">
      <w:start w:val="1"/>
      <w:numFmt w:val="decimal"/>
      <w:suff w:val="nothing"/>
      <w:lvlText w:val="%1、"/>
      <w:lvlJc w:val="left"/>
    </w:lvl>
  </w:abstractNum>
  <w:abstractNum w:abstractNumId="8">
    <w:nsid w:val="074054F6"/>
    <w:multiLevelType w:val="multilevel"/>
    <w:tmpl w:val="074054F6"/>
    <w:lvl w:ilvl="0" w:tentative="0">
      <w:start w:val="1"/>
      <w:numFmt w:val="decimal"/>
      <w:pStyle w:val="42"/>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9">
    <w:nsid w:val="0E4FA915"/>
    <w:multiLevelType w:val="singleLevel"/>
    <w:tmpl w:val="0E4FA915"/>
    <w:lvl w:ilvl="0" w:tentative="0">
      <w:start w:val="1"/>
      <w:numFmt w:val="chineseCounting"/>
      <w:suff w:val="nothing"/>
      <w:lvlText w:val="%1、"/>
      <w:lvlJc w:val="left"/>
      <w:rPr>
        <w:rFonts w:hint="eastAsia"/>
      </w:rPr>
    </w:lvl>
  </w:abstractNum>
  <w:abstractNum w:abstractNumId="10">
    <w:nsid w:val="1C58BAF0"/>
    <w:multiLevelType w:val="singleLevel"/>
    <w:tmpl w:val="1C58BAF0"/>
    <w:lvl w:ilvl="0" w:tentative="0">
      <w:start w:val="1"/>
      <w:numFmt w:val="decimal"/>
      <w:suff w:val="nothing"/>
      <w:lvlText w:val="（%1）"/>
      <w:lvlJc w:val="left"/>
    </w:lvl>
  </w:abstractNum>
  <w:abstractNum w:abstractNumId="11">
    <w:nsid w:val="1D491617"/>
    <w:multiLevelType w:val="multilevel"/>
    <w:tmpl w:val="1D491617"/>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2">
    <w:nsid w:val="5A693C2F"/>
    <w:multiLevelType w:val="singleLevel"/>
    <w:tmpl w:val="5A693C2F"/>
    <w:lvl w:ilvl="0" w:tentative="0">
      <w:start w:val="3"/>
      <w:numFmt w:val="chineseCounting"/>
      <w:suff w:val="space"/>
      <w:lvlText w:val="第%1章"/>
      <w:lvlJc w:val="left"/>
    </w:lvl>
  </w:abstractNum>
  <w:abstractNum w:abstractNumId="13">
    <w:nsid w:val="75324FB0"/>
    <w:multiLevelType w:val="singleLevel"/>
    <w:tmpl w:val="75324FB0"/>
    <w:lvl w:ilvl="0" w:tentative="0">
      <w:start w:val="1"/>
      <w:numFmt w:val="chineseCounting"/>
      <w:suff w:val="space"/>
      <w:lvlText w:val="第%1章"/>
      <w:lvlJc w:val="left"/>
      <w:pPr>
        <w:ind w:left="630"/>
      </w:pPr>
      <w:rPr>
        <w:rFonts w:hint="eastAsia"/>
      </w:rPr>
    </w:lvl>
  </w:abstractNum>
  <w:abstractNum w:abstractNumId="14">
    <w:nsid w:val="768FB672"/>
    <w:multiLevelType w:val="singleLevel"/>
    <w:tmpl w:val="768FB672"/>
    <w:lvl w:ilvl="0" w:tentative="0">
      <w:start w:val="4"/>
      <w:numFmt w:val="chineseCounting"/>
      <w:suff w:val="nothing"/>
      <w:lvlText w:val="%1、"/>
      <w:lvlJc w:val="left"/>
      <w:pPr>
        <w:ind w:left="-60"/>
      </w:pPr>
      <w:rPr>
        <w:rFonts w:hint="eastAsia"/>
      </w:rPr>
    </w:lvl>
  </w:abstractNum>
  <w:num w:numId="1">
    <w:abstractNumId w:val="8"/>
  </w:num>
  <w:num w:numId="2">
    <w:abstractNumId w:val="4"/>
  </w:num>
  <w:num w:numId="3">
    <w:abstractNumId w:val="13"/>
  </w:num>
  <w:num w:numId="4">
    <w:abstractNumId w:val="12"/>
  </w:num>
  <w:num w:numId="5">
    <w:abstractNumId w:val="3"/>
  </w:num>
  <w:num w:numId="6">
    <w:abstractNumId w:val="0"/>
  </w:num>
  <w:num w:numId="7">
    <w:abstractNumId w:val="10"/>
  </w:num>
  <w:num w:numId="8">
    <w:abstractNumId w:val="6"/>
  </w:num>
  <w:num w:numId="9">
    <w:abstractNumId w:val="14"/>
  </w:num>
  <w:num w:numId="10">
    <w:abstractNumId w:val="9"/>
  </w:num>
  <w:num w:numId="11">
    <w:abstractNumId w:val="7"/>
  </w:num>
  <w:num w:numId="12">
    <w:abstractNumId w:val="11"/>
  </w:num>
  <w:num w:numId="13">
    <w:abstractNumId w:val="2"/>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90"/>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yOGU4Mjg2YzM0NzBhN2UyNjdmZTE3OTI4Nzk5OGIifQ=="/>
  </w:docVars>
  <w:rsids>
    <w:rsidRoot w:val="00CF3BAF"/>
    <w:rsid w:val="00013654"/>
    <w:rsid w:val="000720C4"/>
    <w:rsid w:val="00145803"/>
    <w:rsid w:val="00281BCC"/>
    <w:rsid w:val="002A1364"/>
    <w:rsid w:val="0034193D"/>
    <w:rsid w:val="00382698"/>
    <w:rsid w:val="003840CE"/>
    <w:rsid w:val="00515F67"/>
    <w:rsid w:val="005315C8"/>
    <w:rsid w:val="005B5440"/>
    <w:rsid w:val="00666E50"/>
    <w:rsid w:val="006838D7"/>
    <w:rsid w:val="006B2CA3"/>
    <w:rsid w:val="007074F1"/>
    <w:rsid w:val="008A148B"/>
    <w:rsid w:val="00A13C3D"/>
    <w:rsid w:val="00A61B02"/>
    <w:rsid w:val="00AA4C85"/>
    <w:rsid w:val="00B22521"/>
    <w:rsid w:val="00B3402D"/>
    <w:rsid w:val="00BC45CD"/>
    <w:rsid w:val="00BC47C8"/>
    <w:rsid w:val="00C15FCB"/>
    <w:rsid w:val="00C71C7E"/>
    <w:rsid w:val="00C94A06"/>
    <w:rsid w:val="00C94AF7"/>
    <w:rsid w:val="00CF3BAF"/>
    <w:rsid w:val="00D833BE"/>
    <w:rsid w:val="00E61A34"/>
    <w:rsid w:val="00F8584C"/>
    <w:rsid w:val="00FB3E02"/>
    <w:rsid w:val="00FF5EE5"/>
    <w:rsid w:val="01180CA1"/>
    <w:rsid w:val="01597611"/>
    <w:rsid w:val="019C74BD"/>
    <w:rsid w:val="01A249C3"/>
    <w:rsid w:val="01A83B36"/>
    <w:rsid w:val="01CD0413"/>
    <w:rsid w:val="02023511"/>
    <w:rsid w:val="02204E7D"/>
    <w:rsid w:val="023F2212"/>
    <w:rsid w:val="02407E32"/>
    <w:rsid w:val="02534437"/>
    <w:rsid w:val="02A079AD"/>
    <w:rsid w:val="02AD7AC3"/>
    <w:rsid w:val="031F2043"/>
    <w:rsid w:val="03345AEF"/>
    <w:rsid w:val="03411FE4"/>
    <w:rsid w:val="03A34A22"/>
    <w:rsid w:val="03DF62D5"/>
    <w:rsid w:val="04351B1E"/>
    <w:rsid w:val="04764B57"/>
    <w:rsid w:val="049A5F70"/>
    <w:rsid w:val="04A46CA4"/>
    <w:rsid w:val="05154305"/>
    <w:rsid w:val="054378A1"/>
    <w:rsid w:val="0588612B"/>
    <w:rsid w:val="064B3EA8"/>
    <w:rsid w:val="06A27213"/>
    <w:rsid w:val="06B37672"/>
    <w:rsid w:val="06C929F2"/>
    <w:rsid w:val="06F1337E"/>
    <w:rsid w:val="06F21FF8"/>
    <w:rsid w:val="07017D69"/>
    <w:rsid w:val="07026E07"/>
    <w:rsid w:val="07302A71"/>
    <w:rsid w:val="0740516B"/>
    <w:rsid w:val="074D4119"/>
    <w:rsid w:val="0753050D"/>
    <w:rsid w:val="07554ACD"/>
    <w:rsid w:val="07997BA5"/>
    <w:rsid w:val="07BA3B46"/>
    <w:rsid w:val="07CB4548"/>
    <w:rsid w:val="082509A7"/>
    <w:rsid w:val="08297BEC"/>
    <w:rsid w:val="083A174E"/>
    <w:rsid w:val="08B6562F"/>
    <w:rsid w:val="08D12D1A"/>
    <w:rsid w:val="08D370D1"/>
    <w:rsid w:val="091A12E3"/>
    <w:rsid w:val="092509E7"/>
    <w:rsid w:val="09714F13"/>
    <w:rsid w:val="09A514F4"/>
    <w:rsid w:val="0A083831"/>
    <w:rsid w:val="0A3E54A5"/>
    <w:rsid w:val="0AB44F17"/>
    <w:rsid w:val="0ABF4545"/>
    <w:rsid w:val="0B1A1A6E"/>
    <w:rsid w:val="0B344BF6"/>
    <w:rsid w:val="0B61144B"/>
    <w:rsid w:val="0B985065"/>
    <w:rsid w:val="0BC1013B"/>
    <w:rsid w:val="0BE77385"/>
    <w:rsid w:val="0BF75D62"/>
    <w:rsid w:val="0C076843"/>
    <w:rsid w:val="0C2D57D1"/>
    <w:rsid w:val="0C4D19CF"/>
    <w:rsid w:val="0CD05128"/>
    <w:rsid w:val="0D1F511A"/>
    <w:rsid w:val="0D610B1D"/>
    <w:rsid w:val="0D674D12"/>
    <w:rsid w:val="0D792EC2"/>
    <w:rsid w:val="0D81592D"/>
    <w:rsid w:val="0DEE2D3E"/>
    <w:rsid w:val="0E0D2F3E"/>
    <w:rsid w:val="0EA33B28"/>
    <w:rsid w:val="0EDC105C"/>
    <w:rsid w:val="0EDE6CBA"/>
    <w:rsid w:val="0EFC7167"/>
    <w:rsid w:val="0F0410E0"/>
    <w:rsid w:val="0FE278B1"/>
    <w:rsid w:val="0FE563E7"/>
    <w:rsid w:val="0FE73EE9"/>
    <w:rsid w:val="1012372A"/>
    <w:rsid w:val="1031492B"/>
    <w:rsid w:val="10374E70"/>
    <w:rsid w:val="10544429"/>
    <w:rsid w:val="10F72A7F"/>
    <w:rsid w:val="110A2E9D"/>
    <w:rsid w:val="110F5D25"/>
    <w:rsid w:val="113D3D5C"/>
    <w:rsid w:val="115630D4"/>
    <w:rsid w:val="11A25357"/>
    <w:rsid w:val="11A33559"/>
    <w:rsid w:val="11B34CF4"/>
    <w:rsid w:val="1255782F"/>
    <w:rsid w:val="126E269F"/>
    <w:rsid w:val="128B34F8"/>
    <w:rsid w:val="129F0B79"/>
    <w:rsid w:val="12D032FB"/>
    <w:rsid w:val="13196E1B"/>
    <w:rsid w:val="1323348A"/>
    <w:rsid w:val="13432851"/>
    <w:rsid w:val="13651CF4"/>
    <w:rsid w:val="13D308D7"/>
    <w:rsid w:val="143C687A"/>
    <w:rsid w:val="144162BD"/>
    <w:rsid w:val="1457163D"/>
    <w:rsid w:val="14860849"/>
    <w:rsid w:val="148D32B1"/>
    <w:rsid w:val="14C80D54"/>
    <w:rsid w:val="14D233B9"/>
    <w:rsid w:val="14E629C1"/>
    <w:rsid w:val="15883A78"/>
    <w:rsid w:val="167928D2"/>
    <w:rsid w:val="16985F3D"/>
    <w:rsid w:val="16997753"/>
    <w:rsid w:val="169D288C"/>
    <w:rsid w:val="16A62408"/>
    <w:rsid w:val="179C380B"/>
    <w:rsid w:val="18D3325C"/>
    <w:rsid w:val="196A7BE4"/>
    <w:rsid w:val="19CA0B03"/>
    <w:rsid w:val="19EF2318"/>
    <w:rsid w:val="1A913822"/>
    <w:rsid w:val="1A9D1D74"/>
    <w:rsid w:val="1B1E4680"/>
    <w:rsid w:val="1B33310F"/>
    <w:rsid w:val="1BC81072"/>
    <w:rsid w:val="1BD529D4"/>
    <w:rsid w:val="1BE9127A"/>
    <w:rsid w:val="1BF9122C"/>
    <w:rsid w:val="1C0320AA"/>
    <w:rsid w:val="1C5823F6"/>
    <w:rsid w:val="1CD57C9C"/>
    <w:rsid w:val="1CD852E5"/>
    <w:rsid w:val="1CDD28FB"/>
    <w:rsid w:val="1D2E3157"/>
    <w:rsid w:val="1D5A65E9"/>
    <w:rsid w:val="1D874F90"/>
    <w:rsid w:val="1DAD0520"/>
    <w:rsid w:val="1DD106B2"/>
    <w:rsid w:val="1E212A6F"/>
    <w:rsid w:val="1E360353"/>
    <w:rsid w:val="1E37603B"/>
    <w:rsid w:val="1EB33136"/>
    <w:rsid w:val="1EE61C9C"/>
    <w:rsid w:val="1EE937D9"/>
    <w:rsid w:val="1F5238BB"/>
    <w:rsid w:val="1FA2174D"/>
    <w:rsid w:val="1FB04E84"/>
    <w:rsid w:val="202F18A7"/>
    <w:rsid w:val="205C7FDB"/>
    <w:rsid w:val="21C85928"/>
    <w:rsid w:val="22075B11"/>
    <w:rsid w:val="223F3A67"/>
    <w:rsid w:val="22956B6C"/>
    <w:rsid w:val="22DF6424"/>
    <w:rsid w:val="23C21A0E"/>
    <w:rsid w:val="24044C11"/>
    <w:rsid w:val="241E5CD3"/>
    <w:rsid w:val="24581EC9"/>
    <w:rsid w:val="245D7AC3"/>
    <w:rsid w:val="245F3E5F"/>
    <w:rsid w:val="24800452"/>
    <w:rsid w:val="24AC7783"/>
    <w:rsid w:val="24D32F62"/>
    <w:rsid w:val="24ED3BD2"/>
    <w:rsid w:val="251126D4"/>
    <w:rsid w:val="2556149D"/>
    <w:rsid w:val="257C53A7"/>
    <w:rsid w:val="258532A7"/>
    <w:rsid w:val="25BB6827"/>
    <w:rsid w:val="25F10BAD"/>
    <w:rsid w:val="26557F83"/>
    <w:rsid w:val="2671382C"/>
    <w:rsid w:val="26AF355A"/>
    <w:rsid w:val="26F251F5"/>
    <w:rsid w:val="27DD7C53"/>
    <w:rsid w:val="27F74016"/>
    <w:rsid w:val="28013942"/>
    <w:rsid w:val="2858552C"/>
    <w:rsid w:val="287019A1"/>
    <w:rsid w:val="287E4274"/>
    <w:rsid w:val="28915683"/>
    <w:rsid w:val="28BD1C36"/>
    <w:rsid w:val="28CA467C"/>
    <w:rsid w:val="28E62B38"/>
    <w:rsid w:val="29345F99"/>
    <w:rsid w:val="29712D49"/>
    <w:rsid w:val="29AD1F3E"/>
    <w:rsid w:val="29B67920"/>
    <w:rsid w:val="2A1F4553"/>
    <w:rsid w:val="2A334727"/>
    <w:rsid w:val="2AB05E23"/>
    <w:rsid w:val="2AFC77ED"/>
    <w:rsid w:val="2B7E0BF1"/>
    <w:rsid w:val="2BA07916"/>
    <w:rsid w:val="2C120077"/>
    <w:rsid w:val="2C293467"/>
    <w:rsid w:val="2C5E36B7"/>
    <w:rsid w:val="2C7566AC"/>
    <w:rsid w:val="2CA70830"/>
    <w:rsid w:val="2D104627"/>
    <w:rsid w:val="2D137C54"/>
    <w:rsid w:val="2D4759F0"/>
    <w:rsid w:val="2D4B17C9"/>
    <w:rsid w:val="2D746964"/>
    <w:rsid w:val="2D83073A"/>
    <w:rsid w:val="2E2D06C1"/>
    <w:rsid w:val="2E3D58F0"/>
    <w:rsid w:val="2E7164C1"/>
    <w:rsid w:val="2E8C4181"/>
    <w:rsid w:val="2E996D68"/>
    <w:rsid w:val="2ED6354F"/>
    <w:rsid w:val="2ED80964"/>
    <w:rsid w:val="2EE70873"/>
    <w:rsid w:val="2F312BCB"/>
    <w:rsid w:val="2F8B27CE"/>
    <w:rsid w:val="30204B81"/>
    <w:rsid w:val="3054090C"/>
    <w:rsid w:val="305823F6"/>
    <w:rsid w:val="31466F7E"/>
    <w:rsid w:val="315E08FB"/>
    <w:rsid w:val="31600FDA"/>
    <w:rsid w:val="316A0035"/>
    <w:rsid w:val="31B94039"/>
    <w:rsid w:val="32243EA7"/>
    <w:rsid w:val="326E1ADA"/>
    <w:rsid w:val="32AC094E"/>
    <w:rsid w:val="32BD2B5B"/>
    <w:rsid w:val="32D560F7"/>
    <w:rsid w:val="330C04D6"/>
    <w:rsid w:val="335039CF"/>
    <w:rsid w:val="33896EE1"/>
    <w:rsid w:val="33947D60"/>
    <w:rsid w:val="3442156A"/>
    <w:rsid w:val="34572E48"/>
    <w:rsid w:val="34BF0E0C"/>
    <w:rsid w:val="34C74165"/>
    <w:rsid w:val="351B1DBB"/>
    <w:rsid w:val="356103C1"/>
    <w:rsid w:val="35773495"/>
    <w:rsid w:val="35773B55"/>
    <w:rsid w:val="359F479A"/>
    <w:rsid w:val="3608233F"/>
    <w:rsid w:val="36370E76"/>
    <w:rsid w:val="364C5C5D"/>
    <w:rsid w:val="36525CB0"/>
    <w:rsid w:val="367B0D63"/>
    <w:rsid w:val="36AA33F6"/>
    <w:rsid w:val="36F2243E"/>
    <w:rsid w:val="372A4537"/>
    <w:rsid w:val="37533A8E"/>
    <w:rsid w:val="37D13E88"/>
    <w:rsid w:val="38C56745"/>
    <w:rsid w:val="395221DE"/>
    <w:rsid w:val="3A323E2F"/>
    <w:rsid w:val="3A414072"/>
    <w:rsid w:val="3A864B89"/>
    <w:rsid w:val="3AAA15E3"/>
    <w:rsid w:val="3AC405E4"/>
    <w:rsid w:val="3B680882"/>
    <w:rsid w:val="3B9D352A"/>
    <w:rsid w:val="3C5740DD"/>
    <w:rsid w:val="3C5E67DC"/>
    <w:rsid w:val="3C617ADE"/>
    <w:rsid w:val="3C875BD5"/>
    <w:rsid w:val="3D3F6549"/>
    <w:rsid w:val="3D6E3B32"/>
    <w:rsid w:val="3DA476DF"/>
    <w:rsid w:val="3DC254CA"/>
    <w:rsid w:val="3DCB7BB1"/>
    <w:rsid w:val="3E5B7207"/>
    <w:rsid w:val="3E5E0144"/>
    <w:rsid w:val="3E7460A7"/>
    <w:rsid w:val="3E8E1D06"/>
    <w:rsid w:val="3EA91C86"/>
    <w:rsid w:val="3EC86B10"/>
    <w:rsid w:val="3F4505E5"/>
    <w:rsid w:val="3F51170A"/>
    <w:rsid w:val="3FD66319"/>
    <w:rsid w:val="3FF840EB"/>
    <w:rsid w:val="400C231E"/>
    <w:rsid w:val="407C1AED"/>
    <w:rsid w:val="40AE6405"/>
    <w:rsid w:val="410D1152"/>
    <w:rsid w:val="417B430D"/>
    <w:rsid w:val="419212F6"/>
    <w:rsid w:val="41A82C28"/>
    <w:rsid w:val="420C4EF5"/>
    <w:rsid w:val="42181E5B"/>
    <w:rsid w:val="425354B0"/>
    <w:rsid w:val="427215D9"/>
    <w:rsid w:val="42E303BC"/>
    <w:rsid w:val="42F65BA4"/>
    <w:rsid w:val="43463A73"/>
    <w:rsid w:val="434A67A6"/>
    <w:rsid w:val="435B61A4"/>
    <w:rsid w:val="435E3058"/>
    <w:rsid w:val="43EA7528"/>
    <w:rsid w:val="4453447A"/>
    <w:rsid w:val="447514E8"/>
    <w:rsid w:val="44760DBC"/>
    <w:rsid w:val="44823C05"/>
    <w:rsid w:val="44F506CB"/>
    <w:rsid w:val="46001285"/>
    <w:rsid w:val="46337F86"/>
    <w:rsid w:val="467D28D5"/>
    <w:rsid w:val="46B1280A"/>
    <w:rsid w:val="46C67DA0"/>
    <w:rsid w:val="47503B46"/>
    <w:rsid w:val="47CD2D22"/>
    <w:rsid w:val="47F673B3"/>
    <w:rsid w:val="485633DE"/>
    <w:rsid w:val="486E372E"/>
    <w:rsid w:val="48C22822"/>
    <w:rsid w:val="48D04411"/>
    <w:rsid w:val="49080B7C"/>
    <w:rsid w:val="49386CA6"/>
    <w:rsid w:val="495261A3"/>
    <w:rsid w:val="497A68DE"/>
    <w:rsid w:val="499F2B63"/>
    <w:rsid w:val="49B4660E"/>
    <w:rsid w:val="49BC1967"/>
    <w:rsid w:val="4A373881"/>
    <w:rsid w:val="4A7D3F9C"/>
    <w:rsid w:val="4BA55B26"/>
    <w:rsid w:val="4BB943B0"/>
    <w:rsid w:val="4BC6087B"/>
    <w:rsid w:val="4BCD1C09"/>
    <w:rsid w:val="4C4814B5"/>
    <w:rsid w:val="4D246DA4"/>
    <w:rsid w:val="4D477799"/>
    <w:rsid w:val="4D66012C"/>
    <w:rsid w:val="4D702B40"/>
    <w:rsid w:val="4D8C494F"/>
    <w:rsid w:val="4D987FF5"/>
    <w:rsid w:val="4E7C3AE4"/>
    <w:rsid w:val="4EB16272"/>
    <w:rsid w:val="4ED84B4D"/>
    <w:rsid w:val="4FDA48F5"/>
    <w:rsid w:val="4FDD6193"/>
    <w:rsid w:val="50067E95"/>
    <w:rsid w:val="50091D29"/>
    <w:rsid w:val="50357D7D"/>
    <w:rsid w:val="5038161B"/>
    <w:rsid w:val="50506C38"/>
    <w:rsid w:val="505B3C87"/>
    <w:rsid w:val="50B07D90"/>
    <w:rsid w:val="50FC2E79"/>
    <w:rsid w:val="51B11685"/>
    <w:rsid w:val="51F1490D"/>
    <w:rsid w:val="51F82BBB"/>
    <w:rsid w:val="520E4D2A"/>
    <w:rsid w:val="522B7DE8"/>
    <w:rsid w:val="52DC6BD6"/>
    <w:rsid w:val="52E955F3"/>
    <w:rsid w:val="52EB6588"/>
    <w:rsid w:val="53A43CC8"/>
    <w:rsid w:val="53A948E5"/>
    <w:rsid w:val="53CF72B2"/>
    <w:rsid w:val="53D14261"/>
    <w:rsid w:val="542F72CC"/>
    <w:rsid w:val="544704A9"/>
    <w:rsid w:val="55004DFD"/>
    <w:rsid w:val="55161DC8"/>
    <w:rsid w:val="5549056E"/>
    <w:rsid w:val="55C81AB9"/>
    <w:rsid w:val="55FB20AD"/>
    <w:rsid w:val="5664557C"/>
    <w:rsid w:val="569F2D39"/>
    <w:rsid w:val="56A31EE4"/>
    <w:rsid w:val="56B85264"/>
    <w:rsid w:val="56BB3C75"/>
    <w:rsid w:val="56DE7067"/>
    <w:rsid w:val="570620A6"/>
    <w:rsid w:val="570955B4"/>
    <w:rsid w:val="573237C5"/>
    <w:rsid w:val="574F7976"/>
    <w:rsid w:val="57527C3E"/>
    <w:rsid w:val="575A4DA8"/>
    <w:rsid w:val="5783793E"/>
    <w:rsid w:val="578810DA"/>
    <w:rsid w:val="57964022"/>
    <w:rsid w:val="57B43C7D"/>
    <w:rsid w:val="57CC2BA0"/>
    <w:rsid w:val="586C4DA8"/>
    <w:rsid w:val="58BC103B"/>
    <w:rsid w:val="58BF28DA"/>
    <w:rsid w:val="59441031"/>
    <w:rsid w:val="594828CF"/>
    <w:rsid w:val="594F1EAF"/>
    <w:rsid w:val="596F62C5"/>
    <w:rsid w:val="599F77C9"/>
    <w:rsid w:val="59C95F43"/>
    <w:rsid w:val="59D73707"/>
    <w:rsid w:val="59E76456"/>
    <w:rsid w:val="5A7A2F5C"/>
    <w:rsid w:val="5A8042EB"/>
    <w:rsid w:val="5A851901"/>
    <w:rsid w:val="5A93268F"/>
    <w:rsid w:val="5A957D96"/>
    <w:rsid w:val="5AB2046A"/>
    <w:rsid w:val="5AE6318E"/>
    <w:rsid w:val="5B5A4FB3"/>
    <w:rsid w:val="5B797C0D"/>
    <w:rsid w:val="5BB00E41"/>
    <w:rsid w:val="5BB31F68"/>
    <w:rsid w:val="5C1B251D"/>
    <w:rsid w:val="5C296787"/>
    <w:rsid w:val="5C3E7FB9"/>
    <w:rsid w:val="5C8E651C"/>
    <w:rsid w:val="5C917CF5"/>
    <w:rsid w:val="5D120EE1"/>
    <w:rsid w:val="5D7C6FEB"/>
    <w:rsid w:val="5D886CB3"/>
    <w:rsid w:val="5DB443B5"/>
    <w:rsid w:val="5E313880"/>
    <w:rsid w:val="5E803BCC"/>
    <w:rsid w:val="5E893766"/>
    <w:rsid w:val="5EAE4FD3"/>
    <w:rsid w:val="5ECC0D8F"/>
    <w:rsid w:val="5ED73C45"/>
    <w:rsid w:val="5EE74938"/>
    <w:rsid w:val="5F09244A"/>
    <w:rsid w:val="5F1514A5"/>
    <w:rsid w:val="5F9177D9"/>
    <w:rsid w:val="5FB7255D"/>
    <w:rsid w:val="5FEF619A"/>
    <w:rsid w:val="60082DB8"/>
    <w:rsid w:val="60115C72"/>
    <w:rsid w:val="60B25AEA"/>
    <w:rsid w:val="60FF35F5"/>
    <w:rsid w:val="615C6151"/>
    <w:rsid w:val="61BC3E5A"/>
    <w:rsid w:val="62047871"/>
    <w:rsid w:val="622B3906"/>
    <w:rsid w:val="623054B0"/>
    <w:rsid w:val="62D6719E"/>
    <w:rsid w:val="62DD22DA"/>
    <w:rsid w:val="62EF46F3"/>
    <w:rsid w:val="63100901"/>
    <w:rsid w:val="633148D2"/>
    <w:rsid w:val="63BE035D"/>
    <w:rsid w:val="64852E60"/>
    <w:rsid w:val="64CA3CB4"/>
    <w:rsid w:val="652266CA"/>
    <w:rsid w:val="65A442CC"/>
    <w:rsid w:val="65EF7DA6"/>
    <w:rsid w:val="66342B59"/>
    <w:rsid w:val="66373858"/>
    <w:rsid w:val="66521231"/>
    <w:rsid w:val="666845B1"/>
    <w:rsid w:val="66D734E4"/>
    <w:rsid w:val="66DE4873"/>
    <w:rsid w:val="66E3632D"/>
    <w:rsid w:val="66F10A4A"/>
    <w:rsid w:val="67477DD7"/>
    <w:rsid w:val="67923FAF"/>
    <w:rsid w:val="67AB689B"/>
    <w:rsid w:val="67F105D6"/>
    <w:rsid w:val="682E6AFE"/>
    <w:rsid w:val="68B476C6"/>
    <w:rsid w:val="69431305"/>
    <w:rsid w:val="69676C0C"/>
    <w:rsid w:val="69AE1092"/>
    <w:rsid w:val="69D37A82"/>
    <w:rsid w:val="69E71C90"/>
    <w:rsid w:val="6A425119"/>
    <w:rsid w:val="6AE54422"/>
    <w:rsid w:val="6AE9729B"/>
    <w:rsid w:val="6BCF1CE1"/>
    <w:rsid w:val="6BD36CF4"/>
    <w:rsid w:val="6CD72490"/>
    <w:rsid w:val="6D0A63C2"/>
    <w:rsid w:val="6D2917A9"/>
    <w:rsid w:val="6D3563AF"/>
    <w:rsid w:val="6D486EEA"/>
    <w:rsid w:val="6D4E6E2B"/>
    <w:rsid w:val="6D67660A"/>
    <w:rsid w:val="6D8A1C5D"/>
    <w:rsid w:val="6DC41DD2"/>
    <w:rsid w:val="6DC81DD9"/>
    <w:rsid w:val="6F33431F"/>
    <w:rsid w:val="6F54601A"/>
    <w:rsid w:val="6F6F3A30"/>
    <w:rsid w:val="6FB07BA6"/>
    <w:rsid w:val="6FB37B49"/>
    <w:rsid w:val="6FC576F1"/>
    <w:rsid w:val="6FE0340A"/>
    <w:rsid w:val="70136E2A"/>
    <w:rsid w:val="706B0FD9"/>
    <w:rsid w:val="70822713"/>
    <w:rsid w:val="70B46F74"/>
    <w:rsid w:val="714B51FB"/>
    <w:rsid w:val="71801EBF"/>
    <w:rsid w:val="718F0D21"/>
    <w:rsid w:val="71DF0C7B"/>
    <w:rsid w:val="71EE109B"/>
    <w:rsid w:val="71FA2DDC"/>
    <w:rsid w:val="721049DF"/>
    <w:rsid w:val="725D01F5"/>
    <w:rsid w:val="727442DD"/>
    <w:rsid w:val="72A42EE3"/>
    <w:rsid w:val="72F96528"/>
    <w:rsid w:val="72FD1EE3"/>
    <w:rsid w:val="733A6AF9"/>
    <w:rsid w:val="73533F45"/>
    <w:rsid w:val="73900C02"/>
    <w:rsid w:val="73AF2BF8"/>
    <w:rsid w:val="73BE334D"/>
    <w:rsid w:val="73C80D84"/>
    <w:rsid w:val="73C92407"/>
    <w:rsid w:val="73D90859"/>
    <w:rsid w:val="73DC1ABD"/>
    <w:rsid w:val="74566390"/>
    <w:rsid w:val="746A5998"/>
    <w:rsid w:val="75BA38FC"/>
    <w:rsid w:val="75F6021B"/>
    <w:rsid w:val="765C2A04"/>
    <w:rsid w:val="77062AB4"/>
    <w:rsid w:val="77463913"/>
    <w:rsid w:val="777204E3"/>
    <w:rsid w:val="778925D9"/>
    <w:rsid w:val="782A609B"/>
    <w:rsid w:val="786F17CF"/>
    <w:rsid w:val="78767001"/>
    <w:rsid w:val="787B0173"/>
    <w:rsid w:val="78D6184E"/>
    <w:rsid w:val="7957206C"/>
    <w:rsid w:val="79631BE1"/>
    <w:rsid w:val="797A2798"/>
    <w:rsid w:val="79981A71"/>
    <w:rsid w:val="79992F3A"/>
    <w:rsid w:val="799A0ACD"/>
    <w:rsid w:val="79C773E8"/>
    <w:rsid w:val="79EC68CF"/>
    <w:rsid w:val="7A5779B3"/>
    <w:rsid w:val="7A792DD8"/>
    <w:rsid w:val="7A921700"/>
    <w:rsid w:val="7ADC6EC3"/>
    <w:rsid w:val="7B1D3764"/>
    <w:rsid w:val="7B811F45"/>
    <w:rsid w:val="7BC67A39"/>
    <w:rsid w:val="7C1A207B"/>
    <w:rsid w:val="7C4D62CB"/>
    <w:rsid w:val="7C537629"/>
    <w:rsid w:val="7C56148B"/>
    <w:rsid w:val="7C574A54"/>
    <w:rsid w:val="7CAA0983"/>
    <w:rsid w:val="7CC83F86"/>
    <w:rsid w:val="7CCA3711"/>
    <w:rsid w:val="7DD0308E"/>
    <w:rsid w:val="7DE76694"/>
    <w:rsid w:val="7EF95A5A"/>
    <w:rsid w:val="7EFB200E"/>
    <w:rsid w:val="7F301526"/>
    <w:rsid w:val="7F3E1EFB"/>
    <w:rsid w:val="7F463BFE"/>
    <w:rsid w:val="7FE725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Times New Roman"/>
      <w:kern w:val="2"/>
      <w:sz w:val="21"/>
      <w:szCs w:val="24"/>
      <w:lang w:val="en-US" w:eastAsia="zh-CN" w:bidi="ar-SA"/>
    </w:rPr>
  </w:style>
  <w:style w:type="paragraph" w:styleId="9">
    <w:name w:val="heading 1"/>
    <w:basedOn w:val="1"/>
    <w:next w:val="1"/>
    <w:qFormat/>
    <w:uiPriority w:val="0"/>
    <w:pPr>
      <w:keepNext/>
      <w:keepLines/>
      <w:spacing w:before="340" w:after="330" w:line="578" w:lineRule="auto"/>
      <w:jc w:val="center"/>
      <w:outlineLvl w:val="0"/>
    </w:pPr>
    <w:rPr>
      <w:rFonts w:eastAsia="宋体"/>
      <w:b/>
      <w:bCs/>
      <w:kern w:val="44"/>
      <w:sz w:val="32"/>
      <w:szCs w:val="44"/>
    </w:rPr>
  </w:style>
  <w:style w:type="paragraph" w:styleId="10">
    <w:name w:val="heading 2"/>
    <w:basedOn w:val="1"/>
    <w:next w:val="1"/>
    <w:link w:val="77"/>
    <w:qFormat/>
    <w:uiPriority w:val="99"/>
    <w:pPr>
      <w:keepNext/>
      <w:keepLines/>
      <w:spacing w:before="260" w:after="260" w:line="416" w:lineRule="auto"/>
      <w:jc w:val="center"/>
      <w:outlineLvl w:val="1"/>
    </w:pPr>
    <w:rPr>
      <w:rFonts w:ascii="Calibri Light" w:hAnsi="Calibri Light" w:eastAsia="宋体"/>
      <w:b/>
      <w:bCs/>
      <w:sz w:val="30"/>
      <w:szCs w:val="32"/>
    </w:rPr>
  </w:style>
  <w:style w:type="paragraph" w:styleId="11">
    <w:name w:val="heading 3"/>
    <w:basedOn w:val="1"/>
    <w:next w:val="1"/>
    <w:unhideWhenUsed/>
    <w:qFormat/>
    <w:uiPriority w:val="0"/>
    <w:pPr>
      <w:keepNext/>
      <w:keepLines/>
      <w:spacing w:before="260" w:beforeLines="0" w:beforeAutospacing="0" w:after="260" w:afterLines="0" w:afterAutospacing="0" w:line="413" w:lineRule="auto"/>
      <w:jc w:val="center"/>
      <w:outlineLvl w:val="2"/>
    </w:pPr>
    <w:rPr>
      <w:rFonts w:eastAsia="宋体"/>
      <w:b/>
      <w:sz w:val="28"/>
    </w:rPr>
  </w:style>
  <w:style w:type="paragraph" w:styleId="12">
    <w:name w:val="heading 4"/>
    <w:basedOn w:val="1"/>
    <w:next w:val="1"/>
    <w:qFormat/>
    <w:uiPriority w:val="0"/>
    <w:pPr>
      <w:keepNext/>
      <w:keepLines/>
      <w:spacing w:before="280" w:after="290" w:line="376" w:lineRule="auto"/>
      <w:outlineLvl w:val="3"/>
    </w:pPr>
    <w:rPr>
      <w:rFonts w:ascii="Times New Roman" w:hAnsi="Times New Roman"/>
      <w:sz w:val="32"/>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unhideWhenUsed/>
    <w:qFormat/>
    <w:uiPriority w:val="0"/>
    <w:pPr>
      <w:ind w:firstLine="420" w:firstLineChars="100"/>
    </w:pPr>
    <w:rPr>
      <w:rFonts w:hint="eastAsia" w:ascii="楷体_GB2312" w:eastAsia="楷体_GB2312"/>
      <w:sz w:val="32"/>
    </w:rPr>
  </w:style>
  <w:style w:type="paragraph" w:styleId="3">
    <w:name w:val="Body Text"/>
    <w:basedOn w:val="1"/>
    <w:next w:val="4"/>
    <w:qFormat/>
    <w:uiPriority w:val="0"/>
    <w:rPr>
      <w:rFonts w:ascii="Times New Roman" w:hAnsi="Times New Roman"/>
    </w:rPr>
  </w:style>
  <w:style w:type="paragraph" w:styleId="4">
    <w:name w:val="Body Text 2"/>
    <w:basedOn w:val="1"/>
    <w:next w:val="3"/>
    <w:unhideWhenUsed/>
    <w:qFormat/>
    <w:uiPriority w:val="0"/>
    <w:pPr>
      <w:spacing w:after="120" w:line="480" w:lineRule="auto"/>
    </w:pPr>
    <w:rPr>
      <w:rFonts w:ascii="Times New Roman" w:hAnsi="Times New Roman"/>
    </w:rPr>
  </w:style>
  <w:style w:type="paragraph" w:styleId="5">
    <w:name w:val="Body Text First Indent 2"/>
    <w:basedOn w:val="6"/>
    <w:next w:val="8"/>
    <w:qFormat/>
    <w:uiPriority w:val="0"/>
    <w:pPr>
      <w:ind w:firstLine="420"/>
    </w:pPr>
  </w:style>
  <w:style w:type="paragraph" w:styleId="6">
    <w:name w:val="Body Text Indent"/>
    <w:basedOn w:val="1"/>
    <w:next w:val="7"/>
    <w:qFormat/>
    <w:uiPriority w:val="0"/>
    <w:pPr>
      <w:ind w:firstLine="560" w:firstLineChars="200"/>
    </w:pPr>
    <w:rPr>
      <w:rFonts w:ascii="Times New Roman" w:hAnsi="Times New Roman"/>
    </w:rPr>
  </w:style>
  <w:style w:type="paragraph" w:styleId="7">
    <w:name w:val="envelope return"/>
    <w:basedOn w:val="1"/>
    <w:qFormat/>
    <w:uiPriority w:val="99"/>
    <w:pPr>
      <w:snapToGrid w:val="0"/>
    </w:pPr>
    <w:rPr>
      <w:rFonts w:ascii="Arial" w:hAnsi="Arial" w:cs="Arial"/>
    </w:rPr>
  </w:style>
  <w:style w:type="paragraph" w:styleId="8">
    <w:name w:val="Normal Indent"/>
    <w:basedOn w:val="1"/>
    <w:unhideWhenUsed/>
    <w:qFormat/>
    <w:uiPriority w:val="99"/>
    <w:pPr>
      <w:ind w:firstLine="420"/>
    </w:pPr>
    <w:rPr>
      <w:rFonts w:ascii="Calibri" w:hAnsi="Calibri"/>
    </w:rPr>
  </w:style>
  <w:style w:type="paragraph" w:styleId="13">
    <w:name w:val="caption"/>
    <w:basedOn w:val="1"/>
    <w:next w:val="1"/>
    <w:qFormat/>
    <w:uiPriority w:val="0"/>
    <w:rPr>
      <w:rFonts w:ascii="Arial" w:hAnsi="Arial" w:eastAsia="黑体" w:cstheme="minorBidi"/>
      <w:sz w:val="20"/>
    </w:rPr>
  </w:style>
  <w:style w:type="paragraph" w:styleId="14">
    <w:name w:val="Document Map"/>
    <w:basedOn w:val="1"/>
    <w:unhideWhenUsed/>
    <w:qFormat/>
    <w:uiPriority w:val="0"/>
    <w:rPr>
      <w:rFonts w:ascii="宋体"/>
      <w:sz w:val="18"/>
      <w:szCs w:val="18"/>
    </w:rPr>
  </w:style>
  <w:style w:type="paragraph" w:styleId="15">
    <w:name w:val="toa heading"/>
    <w:basedOn w:val="1"/>
    <w:next w:val="1"/>
    <w:unhideWhenUsed/>
    <w:qFormat/>
    <w:uiPriority w:val="99"/>
    <w:pPr>
      <w:spacing w:before="120"/>
    </w:pPr>
    <w:rPr>
      <w:rFonts w:ascii="Arial" w:hAnsi="Arial" w:cs="Arial"/>
      <w:sz w:val="24"/>
    </w:rPr>
  </w:style>
  <w:style w:type="paragraph" w:styleId="16">
    <w:name w:val="annotation text"/>
    <w:basedOn w:val="1"/>
    <w:qFormat/>
    <w:uiPriority w:val="0"/>
    <w:pPr>
      <w:jc w:val="left"/>
    </w:pPr>
  </w:style>
  <w:style w:type="paragraph" w:styleId="17">
    <w:name w:val="Body Text 3"/>
    <w:basedOn w:val="1"/>
    <w:unhideWhenUsed/>
    <w:qFormat/>
    <w:uiPriority w:val="0"/>
    <w:pPr>
      <w:spacing w:after="120"/>
    </w:pPr>
    <w:rPr>
      <w:rFonts w:ascii="Times New Roman" w:hAnsi="Times New Roman"/>
      <w:sz w:val="16"/>
      <w:szCs w:val="16"/>
    </w:rPr>
  </w:style>
  <w:style w:type="paragraph" w:styleId="18">
    <w:name w:val="toc 3"/>
    <w:basedOn w:val="1"/>
    <w:next w:val="1"/>
    <w:qFormat/>
    <w:uiPriority w:val="0"/>
    <w:pPr>
      <w:ind w:left="840" w:leftChars="400"/>
    </w:pPr>
  </w:style>
  <w:style w:type="paragraph" w:styleId="19">
    <w:name w:val="Plain Text"/>
    <w:basedOn w:val="1"/>
    <w:qFormat/>
    <w:uiPriority w:val="0"/>
    <w:rPr>
      <w:rFonts w:hint="eastAsia" w:ascii="宋体" w:hAnsi="Courier New"/>
      <w:szCs w:val="21"/>
    </w:rPr>
  </w:style>
  <w:style w:type="paragraph" w:styleId="20">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2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szCs w:val="18"/>
    </w:rPr>
  </w:style>
  <w:style w:type="paragraph" w:styleId="22">
    <w:name w:val="toc 1"/>
    <w:basedOn w:val="1"/>
    <w:next w:val="1"/>
    <w:qFormat/>
    <w:uiPriority w:val="0"/>
    <w:rPr>
      <w:rFonts w:ascii="Times New Roman" w:hAnsi="Times New Roman"/>
    </w:rPr>
  </w:style>
  <w:style w:type="paragraph" w:styleId="23">
    <w:name w:val="toc 2"/>
    <w:basedOn w:val="1"/>
    <w:next w:val="1"/>
    <w:qFormat/>
    <w:uiPriority w:val="0"/>
    <w:pPr>
      <w:ind w:left="420" w:leftChars="200"/>
    </w:pPr>
  </w:style>
  <w:style w:type="paragraph" w:styleId="2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5">
    <w:name w:val="Title"/>
    <w:basedOn w:val="1"/>
    <w:next w:val="1"/>
    <w:qFormat/>
    <w:uiPriority w:val="0"/>
    <w:pPr>
      <w:spacing w:before="240" w:after="60"/>
      <w:jc w:val="center"/>
      <w:outlineLvl w:val="0"/>
    </w:pPr>
    <w:rPr>
      <w:rFonts w:ascii="Calibri Light" w:hAnsi="Calibri Light" w:eastAsia="Calibri Light"/>
      <w:b/>
      <w:sz w:val="32"/>
      <w:szCs w:val="32"/>
    </w:rPr>
  </w:style>
  <w:style w:type="paragraph" w:styleId="26">
    <w:name w:val="annotation subject"/>
    <w:basedOn w:val="16"/>
    <w:next w:val="1"/>
    <w:qFormat/>
    <w:uiPriority w:val="0"/>
    <w:rPr>
      <w:b/>
      <w:bCs/>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FollowedHyperlink"/>
    <w:basedOn w:val="29"/>
    <w:qFormat/>
    <w:uiPriority w:val="0"/>
    <w:rPr>
      <w:color w:val="800080"/>
      <w:u w:val="none"/>
    </w:rPr>
  </w:style>
  <w:style w:type="character" w:styleId="31">
    <w:name w:val="Emphasis"/>
    <w:basedOn w:val="29"/>
    <w:qFormat/>
    <w:uiPriority w:val="0"/>
    <w:rPr>
      <w:color w:val="F73131"/>
    </w:rPr>
  </w:style>
  <w:style w:type="character" w:styleId="32">
    <w:name w:val="HTML Definition"/>
    <w:basedOn w:val="29"/>
    <w:qFormat/>
    <w:uiPriority w:val="0"/>
  </w:style>
  <w:style w:type="character" w:styleId="33">
    <w:name w:val="HTML Typewriter"/>
    <w:basedOn w:val="29"/>
    <w:qFormat/>
    <w:uiPriority w:val="0"/>
    <w:rPr>
      <w:rFonts w:hint="default" w:ascii="monospace" w:hAnsi="monospace" w:eastAsia="monospace" w:cs="monospace"/>
      <w:sz w:val="20"/>
    </w:rPr>
  </w:style>
  <w:style w:type="character" w:styleId="34">
    <w:name w:val="HTML Acronym"/>
    <w:basedOn w:val="29"/>
    <w:qFormat/>
    <w:uiPriority w:val="0"/>
  </w:style>
  <w:style w:type="character" w:styleId="35">
    <w:name w:val="HTML Variable"/>
    <w:basedOn w:val="29"/>
    <w:qFormat/>
    <w:uiPriority w:val="0"/>
  </w:style>
  <w:style w:type="character" w:styleId="36">
    <w:name w:val="Hyperlink"/>
    <w:qFormat/>
    <w:uiPriority w:val="99"/>
    <w:rPr>
      <w:rFonts w:cs="Times New Roman"/>
      <w:color w:val="0000FF"/>
      <w:u w:val="single"/>
    </w:rPr>
  </w:style>
  <w:style w:type="character" w:styleId="37">
    <w:name w:val="HTML Code"/>
    <w:basedOn w:val="29"/>
    <w:qFormat/>
    <w:uiPriority w:val="0"/>
    <w:rPr>
      <w:rFonts w:hint="default" w:ascii="monospace" w:hAnsi="monospace" w:eastAsia="monospace" w:cs="monospace"/>
      <w:sz w:val="20"/>
    </w:rPr>
  </w:style>
  <w:style w:type="character" w:styleId="38">
    <w:name w:val="HTML Cite"/>
    <w:basedOn w:val="29"/>
    <w:qFormat/>
    <w:uiPriority w:val="0"/>
  </w:style>
  <w:style w:type="character" w:styleId="39">
    <w:name w:val="HTML Keyboard"/>
    <w:basedOn w:val="29"/>
    <w:qFormat/>
    <w:uiPriority w:val="0"/>
    <w:rPr>
      <w:rFonts w:ascii="monospace" w:hAnsi="monospace" w:eastAsia="monospace" w:cs="monospace"/>
      <w:sz w:val="20"/>
    </w:rPr>
  </w:style>
  <w:style w:type="character" w:styleId="40">
    <w:name w:val="HTML Sample"/>
    <w:basedOn w:val="29"/>
    <w:qFormat/>
    <w:uiPriority w:val="0"/>
    <w:rPr>
      <w:rFonts w:hint="default" w:ascii="monospace" w:hAnsi="monospace" w:eastAsia="monospace" w:cs="monospace"/>
    </w:rPr>
  </w:style>
  <w:style w:type="paragraph" w:customStyle="1" w:styleId="41">
    <w:name w:val="无间隔1"/>
    <w:basedOn w:val="1"/>
    <w:qFormat/>
    <w:uiPriority w:val="1"/>
    <w:pPr>
      <w:spacing w:line="400" w:lineRule="exact"/>
    </w:pPr>
    <w:rPr>
      <w:sz w:val="24"/>
      <w:szCs w:val="20"/>
    </w:rPr>
  </w:style>
  <w:style w:type="paragraph" w:customStyle="1" w:styleId="42">
    <w:name w:val="Style1"/>
    <w:next w:val="43"/>
    <w:qFormat/>
    <w:uiPriority w:val="0"/>
    <w:pPr>
      <w:numPr>
        <w:ilvl w:val="0"/>
        <w:numId w:val="1"/>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lang w:val="en-GB" w:eastAsia="zh-CN" w:bidi="ar-SA"/>
    </w:rPr>
  </w:style>
  <w:style w:type="paragraph" w:customStyle="1" w:styleId="43">
    <w:name w:val="*正文"/>
    <w:basedOn w:val="1"/>
    <w:qFormat/>
    <w:uiPriority w:val="0"/>
    <w:pPr>
      <w:ind w:firstLine="200" w:firstLineChars="200"/>
    </w:pPr>
    <w:rPr>
      <w:rFonts w:ascii="宋体" w:hAnsi="宋体"/>
      <w:szCs w:val="22"/>
    </w:rPr>
  </w:style>
  <w:style w:type="paragraph" w:customStyle="1" w:styleId="44">
    <w:name w:val="正文文本 21"/>
    <w:basedOn w:val="1"/>
    <w:qFormat/>
    <w:uiPriority w:val="0"/>
    <w:rPr>
      <w:rFonts w:ascii="Times New Roman" w:hAnsi="Times New Roman"/>
      <w:sz w:val="28"/>
    </w:rPr>
  </w:style>
  <w:style w:type="paragraph" w:customStyle="1" w:styleId="45">
    <w:name w:val="style4"/>
    <w:basedOn w:val="46"/>
    <w:next w:val="47"/>
    <w:qFormat/>
    <w:uiPriority w:val="0"/>
    <w:pPr>
      <w:widowControl/>
      <w:spacing w:beforeAutospacing="1" w:afterAutospacing="1"/>
      <w:jc w:val="left"/>
    </w:pPr>
    <w:rPr>
      <w:rFonts w:ascii="宋体" w:hAnsi="宋体" w:cs="宋体"/>
      <w:kern w:val="0"/>
      <w:sz w:val="18"/>
      <w:szCs w:val="18"/>
    </w:rPr>
  </w:style>
  <w:style w:type="paragraph" w:customStyle="1" w:styleId="46">
    <w:name w:val="正文_0"/>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Body Text First Indent1"/>
    <w:basedOn w:val="3"/>
    <w:qFormat/>
    <w:uiPriority w:val="0"/>
    <w:pPr>
      <w:ind w:firstLine="420" w:firstLineChars="100"/>
    </w:pPr>
  </w:style>
  <w:style w:type="paragraph" w:customStyle="1" w:styleId="49">
    <w:name w:val="列出段落2"/>
    <w:basedOn w:val="1"/>
    <w:qFormat/>
    <w:uiPriority w:val="34"/>
    <w:pPr>
      <w:autoSpaceDE w:val="0"/>
      <w:autoSpaceDN w:val="0"/>
      <w:ind w:left="111" w:firstLine="420"/>
      <w:jc w:val="left"/>
    </w:pPr>
    <w:rPr>
      <w:rFonts w:ascii="宋体" w:hAnsi="宋体" w:cs="宋体"/>
      <w:kern w:val="0"/>
      <w:sz w:val="22"/>
      <w:szCs w:val="22"/>
      <w:lang w:eastAsia="en-US"/>
    </w:rPr>
  </w:style>
  <w:style w:type="paragraph" w:customStyle="1" w:styleId="50">
    <w:name w:val="Default"/>
    <w:basedOn w:val="1"/>
    <w:next w:val="1"/>
    <w:qFormat/>
    <w:uiPriority w:val="0"/>
    <w:pPr>
      <w:autoSpaceDE w:val="0"/>
      <w:autoSpaceDN w:val="0"/>
      <w:adjustRightInd w:val="0"/>
      <w:jc w:val="left"/>
    </w:pPr>
    <w:rPr>
      <w:rFonts w:hint="eastAsia" w:ascii="宋体" w:hAnsi="Calibri"/>
      <w:color w:val="000000"/>
      <w:kern w:val="0"/>
      <w:sz w:val="24"/>
    </w:rPr>
  </w:style>
  <w:style w:type="paragraph" w:customStyle="1" w:styleId="51">
    <w:name w:val="表格文字"/>
    <w:basedOn w:val="1"/>
    <w:next w:val="3"/>
    <w:qFormat/>
    <w:uiPriority w:val="0"/>
    <w:pPr>
      <w:adjustRightInd w:val="0"/>
      <w:spacing w:line="420" w:lineRule="atLeast"/>
      <w:jc w:val="left"/>
      <w:textAlignment w:val="baseline"/>
    </w:pPr>
    <w:rPr>
      <w:kern w:val="0"/>
    </w:rPr>
  </w:style>
  <w:style w:type="paragraph" w:customStyle="1" w:styleId="52">
    <w:name w:val="p0"/>
    <w:basedOn w:val="53"/>
    <w:qFormat/>
    <w:uiPriority w:val="0"/>
    <w:pPr>
      <w:widowControl/>
    </w:pPr>
    <w:rPr>
      <w:kern w:val="0"/>
      <w:szCs w:val="21"/>
    </w:rPr>
  </w:style>
  <w:style w:type="paragraph" w:customStyle="1" w:styleId="53">
    <w:name w:val="正文1"/>
    <w:next w:val="5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文本1"/>
    <w:basedOn w:val="53"/>
    <w:qFormat/>
    <w:uiPriority w:val="99"/>
    <w:rPr>
      <w:rFonts w:eastAsia="楷体_GB2312"/>
      <w:sz w:val="28"/>
    </w:rPr>
  </w:style>
  <w:style w:type="character" w:customStyle="1" w:styleId="55">
    <w:name w:val="NormalCharacter"/>
    <w:qFormat/>
    <w:uiPriority w:val="0"/>
    <w:rPr>
      <w:rFonts w:ascii="Book Antiqua" w:hAnsi="Book Antiqua" w:eastAsia="宋体" w:cs="Times New Roman"/>
      <w:kern w:val="2"/>
      <w:sz w:val="21"/>
      <w:szCs w:val="24"/>
      <w:lang w:val="en-US" w:eastAsia="zh-CN" w:bidi="ar-SA"/>
    </w:rPr>
  </w:style>
  <w:style w:type="paragraph" w:customStyle="1" w:styleId="56">
    <w:name w:val="BodyText1I"/>
    <w:basedOn w:val="57"/>
    <w:next w:val="59"/>
    <w:qFormat/>
    <w:uiPriority w:val="0"/>
    <w:pPr>
      <w:ind w:firstLine="420" w:firstLineChars="100"/>
    </w:pPr>
    <w:rPr>
      <w:rFonts w:ascii="楷体_GB2312"/>
      <w:sz w:val="32"/>
    </w:rPr>
  </w:style>
  <w:style w:type="paragraph" w:customStyle="1" w:styleId="57">
    <w:name w:val="BodyText"/>
    <w:basedOn w:val="1"/>
    <w:next w:val="58"/>
    <w:qFormat/>
    <w:uiPriority w:val="0"/>
    <w:pPr>
      <w:textAlignment w:val="baseline"/>
    </w:pPr>
    <w:rPr>
      <w:rFonts w:ascii="Calibri" w:hAnsi="Calibri" w:eastAsia="楷体_GB2312"/>
      <w:kern w:val="0"/>
      <w:sz w:val="28"/>
    </w:rPr>
  </w:style>
  <w:style w:type="paragraph" w:customStyle="1" w:styleId="58">
    <w:name w:val="BodyText2"/>
    <w:basedOn w:val="1"/>
    <w:next w:val="57"/>
    <w:qFormat/>
    <w:uiPriority w:val="0"/>
    <w:pPr>
      <w:spacing w:after="120" w:line="480" w:lineRule="auto"/>
      <w:textAlignment w:val="baseline"/>
    </w:pPr>
  </w:style>
  <w:style w:type="paragraph" w:customStyle="1" w:styleId="59">
    <w:name w:val="BodyText1I2"/>
    <w:basedOn w:val="60"/>
    <w:qFormat/>
    <w:uiPriority w:val="0"/>
    <w:pPr>
      <w:ind w:firstLine="420" w:firstLineChars="200"/>
    </w:pPr>
  </w:style>
  <w:style w:type="paragraph" w:customStyle="1" w:styleId="60">
    <w:name w:val="BodyTextIndent"/>
    <w:basedOn w:val="1"/>
    <w:qFormat/>
    <w:uiPriority w:val="0"/>
    <w:pPr>
      <w:spacing w:after="120"/>
      <w:ind w:left="420" w:leftChars="200"/>
      <w:textAlignment w:val="baseline"/>
    </w:pPr>
  </w:style>
  <w:style w:type="paragraph" w:customStyle="1" w:styleId="61">
    <w:name w:val="TOAHeading"/>
    <w:basedOn w:val="1"/>
    <w:next w:val="1"/>
    <w:qFormat/>
    <w:uiPriority w:val="0"/>
    <w:pPr>
      <w:spacing w:before="120"/>
      <w:textAlignment w:val="baseline"/>
    </w:pPr>
    <w:rPr>
      <w:rFonts w:ascii="Arial" w:hAnsi="Arial"/>
      <w:sz w:val="24"/>
      <w:szCs w:val="22"/>
    </w:rPr>
  </w:style>
  <w:style w:type="paragraph" w:customStyle="1" w:styleId="62">
    <w:name w:val="Table Paragraph"/>
    <w:basedOn w:val="53"/>
    <w:qFormat/>
    <w:uiPriority w:val="1"/>
    <w:rPr>
      <w:rFonts w:ascii="宋体" w:hAnsi="宋体" w:cs="宋体"/>
      <w:lang w:val="zh-CN" w:bidi="zh-CN"/>
    </w:rPr>
  </w:style>
  <w:style w:type="paragraph" w:styleId="63">
    <w:name w:val="List Paragraph"/>
    <w:basedOn w:val="1"/>
    <w:qFormat/>
    <w:uiPriority w:val="0"/>
    <w:pPr>
      <w:widowControl/>
      <w:ind w:left="720"/>
      <w:jc w:val="left"/>
    </w:pPr>
    <w:rPr>
      <w:rFonts w:hint="eastAsia" w:ascii="Calibri" w:hAnsi="Calibri"/>
      <w:kern w:val="0"/>
      <w:sz w:val="24"/>
      <w:lang w:eastAsia="en-US" w:bidi="en-US"/>
    </w:rPr>
  </w:style>
  <w:style w:type="paragraph" w:customStyle="1" w:styleId="64">
    <w:name w:val="_Style 41"/>
    <w:basedOn w:val="1"/>
    <w:next w:val="63"/>
    <w:qFormat/>
    <w:uiPriority w:val="34"/>
    <w:pPr>
      <w:ind w:firstLine="420" w:firstLineChars="200"/>
    </w:pPr>
    <w:rPr>
      <w:rFonts w:ascii="等线" w:hAnsi="等线" w:eastAsia="等线"/>
      <w:szCs w:val="22"/>
    </w:rPr>
  </w:style>
  <w:style w:type="paragraph" w:customStyle="1" w:styleId="65">
    <w:name w:val="首行缩进"/>
    <w:basedOn w:val="1"/>
    <w:next w:val="1"/>
    <w:qFormat/>
    <w:uiPriority w:val="0"/>
    <w:pPr>
      <w:spacing w:line="360" w:lineRule="auto"/>
      <w:ind w:left="210" w:leftChars="100" w:firstLine="420" w:firstLineChars="200"/>
    </w:pPr>
    <w:rPr>
      <w:rFonts w:ascii="宋体" w:hAnsi="宋体" w:eastAsia="宋体" w:cs="Times New Roman"/>
      <w:szCs w:val="24"/>
    </w:rPr>
  </w:style>
  <w:style w:type="character" w:customStyle="1" w:styleId="66">
    <w:name w:val="hover16"/>
    <w:basedOn w:val="29"/>
    <w:qFormat/>
    <w:uiPriority w:val="0"/>
  </w:style>
  <w:style w:type="character" w:customStyle="1" w:styleId="67">
    <w:name w:val="hover17"/>
    <w:basedOn w:val="29"/>
    <w:qFormat/>
    <w:uiPriority w:val="0"/>
  </w:style>
  <w:style w:type="character" w:customStyle="1" w:styleId="68">
    <w:name w:val="c-icon28"/>
    <w:basedOn w:val="29"/>
    <w:qFormat/>
    <w:uiPriority w:val="0"/>
  </w:style>
  <w:style w:type="character" w:customStyle="1" w:styleId="69">
    <w:name w:val="hover27"/>
    <w:basedOn w:val="29"/>
    <w:qFormat/>
    <w:uiPriority w:val="0"/>
  </w:style>
  <w:style w:type="character" w:customStyle="1" w:styleId="70">
    <w:name w:val="hover28"/>
    <w:basedOn w:val="29"/>
    <w:qFormat/>
    <w:uiPriority w:val="0"/>
    <w:rPr>
      <w:color w:val="315EFB"/>
    </w:rPr>
  </w:style>
  <w:style w:type="character" w:customStyle="1" w:styleId="71">
    <w:name w:val="hover29"/>
    <w:basedOn w:val="29"/>
    <w:qFormat/>
    <w:uiPriority w:val="0"/>
    <w:rPr>
      <w:color w:val="315EFB"/>
    </w:rPr>
  </w:style>
  <w:style w:type="character" w:customStyle="1" w:styleId="72">
    <w:name w:val="hover"/>
    <w:basedOn w:val="29"/>
    <w:qFormat/>
    <w:uiPriority w:val="0"/>
    <w:rPr>
      <w:color w:val="315EFB"/>
    </w:rPr>
  </w:style>
  <w:style w:type="character" w:customStyle="1" w:styleId="73">
    <w:name w:val="hover1"/>
    <w:basedOn w:val="29"/>
    <w:qFormat/>
    <w:uiPriority w:val="0"/>
  </w:style>
  <w:style w:type="character" w:customStyle="1" w:styleId="74">
    <w:name w:val="hover2"/>
    <w:basedOn w:val="29"/>
    <w:qFormat/>
    <w:uiPriority w:val="0"/>
    <w:rPr>
      <w:color w:val="315EFB"/>
    </w:rPr>
  </w:style>
  <w:style w:type="character" w:customStyle="1" w:styleId="75">
    <w:name w:val="c-icon30"/>
    <w:basedOn w:val="29"/>
    <w:qFormat/>
    <w:uiPriority w:val="0"/>
  </w:style>
  <w:style w:type="paragraph" w:customStyle="1" w:styleId="76">
    <w:name w:val="页脚1"/>
    <w:basedOn w:val="53"/>
    <w:unhideWhenUsed/>
    <w:qFormat/>
    <w:uiPriority w:val="0"/>
    <w:pPr>
      <w:tabs>
        <w:tab w:val="center" w:pos="4153"/>
        <w:tab w:val="right" w:pos="8306"/>
      </w:tabs>
      <w:snapToGrid w:val="0"/>
      <w:jc w:val="left"/>
    </w:pPr>
    <w:rPr>
      <w:sz w:val="18"/>
      <w:szCs w:val="18"/>
    </w:rPr>
  </w:style>
  <w:style w:type="character" w:customStyle="1" w:styleId="77">
    <w:name w:val="标题 2 Char"/>
    <w:link w:val="10"/>
    <w:uiPriority w:val="99"/>
    <w:rPr>
      <w:rFonts w:ascii="Calibri Light" w:hAnsi="Calibri Light" w:eastAsia="宋体"/>
      <w:b/>
      <w:bCs/>
      <w:sz w:val="30"/>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F85D03-FBD8-40A3-B3B3-ABF82DB811E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58</Pages>
  <Words>24212</Words>
  <Characters>26048</Characters>
  <Lines>217</Lines>
  <Paragraphs>61</Paragraphs>
  <TotalTime>122</TotalTime>
  <ScaleCrop>false</ScaleCrop>
  <LinksUpToDate>false</LinksUpToDate>
  <CharactersWithSpaces>27667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2022-05-27T00:38:00Z</dcterms:created>
  <dc:creator>DELL</dc:creator>
  <cp:lastModifiedBy>心跳-270℃</cp:lastModifiedBy>
  <cp:lastPrinted>2022-08-18T08:13:00Z</cp:lastPrinted>
  <dcterms:modified xsi:type="dcterms:W3CDTF">2023-08-30T03:36:06Z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C93C7B15265248DF9B9F4046CB4E604E_13</vt:lpwstr>
  </property>
</Properties>
</file>