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outlineLvl w:val="0"/>
        <w:rPr>
          <w:color w:val="auto"/>
          <w:sz w:val="52"/>
          <w:szCs w:val="52"/>
        </w:rPr>
      </w:pPr>
      <w:r>
        <w:rPr>
          <w:rFonts w:hint="eastAsia" w:ascii="宋体" w:hAnsi="宋体" w:cs="宋体"/>
          <w:b/>
          <w:color w:val="auto"/>
          <w:kern w:val="0"/>
          <w:sz w:val="52"/>
          <w:szCs w:val="52"/>
        </w:rPr>
        <w:t>博爱县第一中学理化生实验室采购项目</w:t>
      </w:r>
    </w:p>
    <w:p>
      <w:pPr>
        <w:snapToGrid w:val="0"/>
        <w:spacing w:line="360" w:lineRule="auto"/>
        <w:jc w:val="center"/>
        <w:rPr>
          <w:rFonts w:hint="eastAsia" w:ascii="宋体" w:hAnsi="宋体" w:cs="宋体"/>
          <w:b/>
          <w:bCs/>
          <w:color w:val="auto"/>
          <w:sz w:val="30"/>
          <w:szCs w:val="30"/>
          <w:lang w:eastAsia="zh-CN"/>
        </w:rPr>
      </w:pPr>
      <w:r>
        <w:rPr>
          <w:rFonts w:hint="eastAsia" w:ascii="宋体" w:hAnsi="宋体" w:cs="宋体"/>
          <w:b/>
          <w:bCs/>
          <w:color w:val="auto"/>
          <w:sz w:val="36"/>
          <w:szCs w:val="36"/>
          <w:lang w:eastAsia="zh-CN"/>
        </w:rPr>
        <w:t>（本</w:t>
      </w:r>
      <w:r>
        <w:rPr>
          <w:rFonts w:hint="eastAsia" w:ascii="宋体" w:hAnsi="宋体" w:cs="宋体"/>
          <w:b/>
          <w:bCs/>
          <w:color w:val="auto"/>
          <w:sz w:val="36"/>
          <w:szCs w:val="36"/>
        </w:rPr>
        <w:t>项目全额面向中小企业采购</w:t>
      </w:r>
      <w:r>
        <w:rPr>
          <w:rFonts w:hint="eastAsia" w:ascii="宋体" w:hAnsi="宋体" w:cs="宋体"/>
          <w:b/>
          <w:bCs/>
          <w:color w:val="auto"/>
          <w:sz w:val="36"/>
          <w:szCs w:val="36"/>
          <w:lang w:eastAsia="zh-CN"/>
        </w:rPr>
        <w:t>）</w:t>
      </w:r>
    </w:p>
    <w:p>
      <w:pPr>
        <w:pStyle w:val="2"/>
        <w:rPr>
          <w:rFonts w:hint="eastAsia" w:ascii="宋体" w:hAnsi="宋体" w:cs="宋体"/>
          <w:color w:val="auto"/>
          <w:sz w:val="24"/>
          <w:lang w:eastAsia="zh-CN"/>
        </w:rPr>
      </w:pPr>
    </w:p>
    <w:p>
      <w:pPr>
        <w:pStyle w:val="5"/>
        <w:rPr>
          <w:rFonts w:hint="eastAsia" w:ascii="宋体" w:hAnsi="宋体" w:cs="宋体"/>
          <w:color w:val="auto"/>
          <w:sz w:val="24"/>
          <w:lang w:eastAsia="zh-CN"/>
        </w:rPr>
      </w:pPr>
    </w:p>
    <w:p>
      <w:pPr>
        <w:pStyle w:val="8"/>
        <w:rPr>
          <w:rFonts w:hint="eastAsia" w:ascii="宋体" w:hAnsi="宋体" w:cs="宋体"/>
          <w:color w:val="auto"/>
          <w:sz w:val="24"/>
          <w:lang w:eastAsia="zh-CN"/>
        </w:rPr>
      </w:pPr>
    </w:p>
    <w:p>
      <w:pPr>
        <w:pStyle w:val="8"/>
        <w:rPr>
          <w:rFonts w:hint="eastAsia" w:ascii="宋体" w:hAnsi="宋体" w:cs="宋体"/>
          <w:color w:val="auto"/>
          <w:sz w:val="24"/>
          <w:lang w:eastAsia="zh-CN"/>
        </w:rPr>
      </w:pPr>
    </w:p>
    <w:p>
      <w:pPr>
        <w:pStyle w:val="8"/>
        <w:rPr>
          <w:rFonts w:hint="eastAsia" w:ascii="宋体" w:hAnsi="宋体" w:cs="宋体"/>
          <w:color w:val="auto"/>
          <w:sz w:val="24"/>
          <w:lang w:eastAsia="zh-CN"/>
        </w:rPr>
      </w:pPr>
    </w:p>
    <w:p>
      <w:pPr>
        <w:pStyle w:val="8"/>
        <w:rPr>
          <w:rFonts w:hint="eastAsia" w:ascii="宋体" w:hAnsi="宋体" w:cs="宋体"/>
          <w:color w:val="auto"/>
          <w:sz w:val="24"/>
          <w:lang w:eastAsia="zh-CN"/>
        </w:rPr>
      </w:pPr>
    </w:p>
    <w:p>
      <w:pPr>
        <w:pStyle w:val="8"/>
        <w:rPr>
          <w:rFonts w:hint="eastAsia" w:ascii="宋体" w:hAnsi="宋体" w:cs="宋体"/>
          <w:color w:val="auto"/>
          <w:sz w:val="24"/>
          <w:lang w:eastAsia="zh-CN"/>
        </w:rPr>
      </w:pPr>
    </w:p>
    <w:p>
      <w:pPr>
        <w:pStyle w:val="8"/>
        <w:rPr>
          <w:rFonts w:hint="eastAsia" w:ascii="宋体" w:hAnsi="宋体" w:cs="宋体"/>
          <w:color w:val="auto"/>
          <w:sz w:val="24"/>
          <w:lang w:eastAsia="zh-CN"/>
        </w:rPr>
      </w:pPr>
    </w:p>
    <w:p>
      <w:pPr>
        <w:snapToGrid w:val="0"/>
        <w:jc w:val="center"/>
        <w:rPr>
          <w:rFonts w:ascii="宋体" w:hAnsi="宋体" w:cs="宋体"/>
          <w:b/>
          <w:color w:val="auto"/>
          <w:kern w:val="0"/>
          <w:sz w:val="100"/>
          <w:szCs w:val="100"/>
        </w:rPr>
      </w:pPr>
      <w:r>
        <w:rPr>
          <w:rFonts w:hint="eastAsia" w:ascii="宋体" w:hAnsi="宋体" w:cs="宋体"/>
          <w:b/>
          <w:color w:val="auto"/>
          <w:kern w:val="0"/>
          <w:sz w:val="100"/>
          <w:szCs w:val="100"/>
        </w:rPr>
        <w:t>竞争性谈判文件</w:t>
      </w:r>
    </w:p>
    <w:p>
      <w:pPr>
        <w:snapToGrid w:val="0"/>
        <w:jc w:val="center"/>
        <w:outlineLvl w:val="0"/>
        <w:rPr>
          <w:rFonts w:ascii="宋体" w:hAnsi="宋体" w:cs="宋体"/>
          <w:b/>
          <w:color w:val="auto"/>
          <w:spacing w:val="-6"/>
          <w:sz w:val="30"/>
          <w:szCs w:val="30"/>
        </w:rPr>
      </w:pPr>
      <w:bookmarkStart w:id="0" w:name="_Toc1787"/>
      <w:r>
        <w:rPr>
          <w:rFonts w:hint="eastAsia" w:ascii="宋体" w:hAnsi="宋体" w:cs="宋体"/>
          <w:b/>
          <w:color w:val="auto"/>
          <w:spacing w:val="-6"/>
          <w:sz w:val="30"/>
          <w:szCs w:val="30"/>
        </w:rPr>
        <w:t>采购编号：博政采购〔2023〕84号</w:t>
      </w:r>
      <w:bookmarkEnd w:id="0"/>
    </w:p>
    <w:p>
      <w:pPr>
        <w:snapToGrid w:val="0"/>
        <w:spacing w:line="360" w:lineRule="auto"/>
        <w:rPr>
          <w:rFonts w:ascii="宋体" w:hAnsi="宋体" w:cs="宋体"/>
          <w:b/>
          <w:color w:val="auto"/>
          <w:spacing w:val="-6"/>
          <w:sz w:val="30"/>
          <w:szCs w:val="30"/>
        </w:rPr>
      </w:pPr>
    </w:p>
    <w:p>
      <w:pPr>
        <w:snapToGrid w:val="0"/>
        <w:spacing w:line="360" w:lineRule="auto"/>
        <w:rPr>
          <w:rFonts w:ascii="宋体" w:hAnsi="宋体" w:cs="宋体"/>
          <w:b/>
          <w:color w:val="auto"/>
          <w:spacing w:val="-6"/>
          <w:sz w:val="30"/>
          <w:szCs w:val="30"/>
        </w:rPr>
      </w:pPr>
    </w:p>
    <w:p>
      <w:pPr>
        <w:snapToGrid w:val="0"/>
        <w:spacing w:line="360" w:lineRule="auto"/>
        <w:rPr>
          <w:rFonts w:ascii="宋体" w:hAnsi="宋体" w:cs="宋体"/>
          <w:b/>
          <w:color w:val="auto"/>
          <w:spacing w:val="-6"/>
          <w:sz w:val="30"/>
          <w:szCs w:val="30"/>
        </w:rPr>
      </w:pPr>
    </w:p>
    <w:p>
      <w:pPr>
        <w:snapToGrid w:val="0"/>
        <w:spacing w:line="360" w:lineRule="auto"/>
        <w:rPr>
          <w:rFonts w:ascii="宋体" w:hAnsi="宋体" w:cs="宋体"/>
          <w:b/>
          <w:color w:val="auto"/>
          <w:spacing w:val="-6"/>
          <w:sz w:val="30"/>
          <w:szCs w:val="30"/>
        </w:rPr>
      </w:pPr>
    </w:p>
    <w:p>
      <w:pPr>
        <w:pStyle w:val="10"/>
        <w:rPr>
          <w:color w:val="auto"/>
        </w:rPr>
      </w:pPr>
    </w:p>
    <w:p>
      <w:pPr>
        <w:rPr>
          <w:color w:val="auto"/>
        </w:rPr>
      </w:pPr>
    </w:p>
    <w:p>
      <w:pPr>
        <w:snapToGrid w:val="0"/>
        <w:spacing w:line="360" w:lineRule="auto"/>
        <w:ind w:left="1260" w:leftChars="600" w:firstLine="578" w:firstLineChars="200"/>
        <w:outlineLvl w:val="0"/>
        <w:rPr>
          <w:rFonts w:ascii="宋体"/>
          <w:bCs/>
          <w:i/>
          <w:iCs/>
          <w:color w:val="auto"/>
          <w:kern w:val="0"/>
          <w:sz w:val="30"/>
          <w:szCs w:val="30"/>
          <w:u w:val="single"/>
        </w:rPr>
      </w:pPr>
      <w:bookmarkStart w:id="1" w:name="_Toc15163"/>
      <w:r>
        <w:rPr>
          <w:rFonts w:hint="eastAsia" w:ascii="宋体" w:hAnsi="宋体" w:cs="宋体"/>
          <w:b/>
          <w:color w:val="auto"/>
          <w:spacing w:val="-6"/>
          <w:sz w:val="30"/>
          <w:szCs w:val="30"/>
        </w:rPr>
        <w:t>采 购 人：</w:t>
      </w:r>
      <w:r>
        <w:rPr>
          <w:rFonts w:hint="eastAsia" w:ascii="宋体" w:hAnsi="宋体" w:cs="宋体"/>
          <w:b/>
          <w:color w:val="auto"/>
          <w:spacing w:val="-6"/>
          <w:sz w:val="32"/>
          <w:szCs w:val="32"/>
        </w:rPr>
        <w:t>博爱县第一中学</w:t>
      </w:r>
      <w:bookmarkEnd w:id="1"/>
    </w:p>
    <w:p>
      <w:pPr>
        <w:snapToGrid w:val="0"/>
        <w:spacing w:line="360" w:lineRule="auto"/>
        <w:ind w:left="1260" w:leftChars="600" w:firstLine="578" w:firstLineChars="200"/>
        <w:outlineLvl w:val="0"/>
        <w:rPr>
          <w:rFonts w:ascii="宋体" w:cs="宋体"/>
          <w:b/>
          <w:color w:val="auto"/>
          <w:spacing w:val="-6"/>
          <w:sz w:val="30"/>
          <w:szCs w:val="30"/>
        </w:rPr>
      </w:pPr>
      <w:bookmarkStart w:id="2" w:name="_Toc7363"/>
      <w:r>
        <w:rPr>
          <w:rFonts w:hint="eastAsia" w:ascii="宋体" w:hAnsi="宋体" w:cs="宋体"/>
          <w:b/>
          <w:color w:val="auto"/>
          <w:spacing w:val="-6"/>
          <w:sz w:val="30"/>
          <w:szCs w:val="30"/>
        </w:rPr>
        <w:t>代理机构：</w:t>
      </w:r>
      <w:r>
        <w:rPr>
          <w:rFonts w:hint="eastAsia" w:ascii="宋体" w:hAnsi="宋体" w:cs="宋体"/>
          <w:b/>
          <w:bCs/>
          <w:color w:val="auto"/>
          <w:sz w:val="32"/>
          <w:szCs w:val="32"/>
        </w:rPr>
        <w:t>河南金迪辉全过程工程咨询有限公司</w:t>
      </w:r>
      <w:bookmarkEnd w:id="2"/>
    </w:p>
    <w:p>
      <w:pPr>
        <w:snapToGrid w:val="0"/>
        <w:spacing w:line="360" w:lineRule="auto"/>
        <w:ind w:left="1260" w:leftChars="600" w:firstLine="578" w:firstLineChars="200"/>
        <w:outlineLvl w:val="0"/>
        <w:rPr>
          <w:rFonts w:ascii="宋体"/>
          <w:b/>
          <w:color w:val="auto"/>
          <w:sz w:val="44"/>
          <w:szCs w:val="44"/>
          <w:u w:val="single"/>
        </w:rPr>
        <w:sectPr>
          <w:footerReference r:id="rId4" w:type="first"/>
          <w:footerReference r:id="rId3" w:type="default"/>
          <w:pgSz w:w="11907" w:h="16840"/>
          <w:pgMar w:top="1417" w:right="1474" w:bottom="1417" w:left="1474" w:header="567" w:footer="998" w:gutter="0"/>
          <w:pgNumType w:fmt="numberInDash" w:start="1"/>
          <w:cols w:space="720" w:num="1"/>
          <w:docGrid w:type="lines" w:linePitch="380" w:charSpace="0"/>
        </w:sectPr>
      </w:pPr>
      <w:bookmarkStart w:id="3" w:name="_Toc10179"/>
      <w:r>
        <w:rPr>
          <w:rFonts w:hint="eastAsia" w:ascii="宋体" w:hAnsi="宋体" w:cs="宋体"/>
          <w:b/>
          <w:color w:val="auto"/>
          <w:spacing w:val="-6"/>
          <w:sz w:val="30"/>
          <w:szCs w:val="30"/>
        </w:rPr>
        <w:t>日    期：二〇二三年</w:t>
      </w:r>
      <w:bookmarkEnd w:id="3"/>
      <w:r>
        <w:rPr>
          <w:rFonts w:hint="eastAsia" w:ascii="宋体" w:hAnsi="宋体" w:cs="宋体"/>
          <w:b/>
          <w:color w:val="auto"/>
          <w:spacing w:val="-6"/>
          <w:sz w:val="30"/>
          <w:szCs w:val="30"/>
        </w:rPr>
        <w:t>九月</w:t>
      </w:r>
    </w:p>
    <w:p>
      <w:pPr>
        <w:pStyle w:val="20"/>
        <w:tabs>
          <w:tab w:val="right" w:leader="dot" w:pos="8890"/>
        </w:tabs>
        <w:spacing w:line="360" w:lineRule="auto"/>
        <w:rPr>
          <w:rStyle w:val="35"/>
          <w:rFonts w:ascii="方正小标宋简体" w:hAnsi="方正小标宋简体" w:eastAsia="方正小标宋简体" w:cs="方正小标宋简体"/>
          <w:color w:val="auto"/>
          <w:kern w:val="0"/>
          <w:sz w:val="44"/>
          <w:szCs w:val="44"/>
          <w:u w:val="none"/>
        </w:rPr>
      </w:pPr>
    </w:p>
    <w:sdt>
      <w:sdtPr>
        <w:rPr>
          <w:rFonts w:ascii="宋体" w:hAnsi="宋体"/>
          <w:color w:val="auto"/>
          <w:u w:val="single"/>
        </w:rPr>
        <w:id w:val="147455535"/>
        <w:docPartObj>
          <w:docPartGallery w:val="Table of Contents"/>
          <w:docPartUnique/>
        </w:docPartObj>
      </w:sdtPr>
      <w:sdtEndPr>
        <w:rPr>
          <w:rFonts w:ascii="方正小标宋简体" w:hAnsi="方正小标宋简体" w:eastAsia="方正小标宋简体" w:cs="方正小标宋简体"/>
          <w:color w:val="auto"/>
          <w:szCs w:val="36"/>
          <w:u w:val="single"/>
        </w:rPr>
      </w:sdtEndPr>
      <w:sdtContent>
        <w:p>
          <w:pPr>
            <w:jc w:val="center"/>
            <w:rPr>
              <w:b/>
              <w:bCs/>
              <w:color w:val="auto"/>
              <w:sz w:val="36"/>
              <w:szCs w:val="36"/>
            </w:rPr>
          </w:pPr>
          <w:bookmarkStart w:id="4" w:name="_Toc533668867"/>
          <w:bookmarkStart w:id="5" w:name="_Toc19411"/>
          <w:bookmarkStart w:id="6" w:name="_Toc760"/>
          <w:r>
            <w:rPr>
              <w:rFonts w:ascii="宋体" w:hAnsi="宋体"/>
              <w:b/>
              <w:bCs/>
              <w:color w:val="auto"/>
              <w:sz w:val="36"/>
              <w:szCs w:val="36"/>
            </w:rPr>
            <w:t>目录</w:t>
          </w:r>
        </w:p>
        <w:p>
          <w:pPr>
            <w:pStyle w:val="83"/>
            <w:tabs>
              <w:tab w:val="right" w:leader="dot" w:pos="8900"/>
            </w:tabs>
            <w:rPr>
              <w:color w:val="auto"/>
            </w:rPr>
          </w:pPr>
          <w:r>
            <w:rPr>
              <w:rFonts w:ascii="方正小标宋简体" w:hAnsi="方正小标宋简体" w:eastAsia="方正小标宋简体" w:cs="方正小标宋简体"/>
              <w:color w:val="auto"/>
              <w:sz w:val="36"/>
              <w:szCs w:val="36"/>
            </w:rPr>
            <w:fldChar w:fldCharType="begin"/>
          </w:r>
          <w:r>
            <w:rPr>
              <w:rFonts w:ascii="方正小标宋简体" w:hAnsi="方正小标宋简体" w:eastAsia="方正小标宋简体" w:cs="方正小标宋简体"/>
              <w:color w:val="auto"/>
              <w:sz w:val="36"/>
              <w:szCs w:val="36"/>
            </w:rPr>
            <w:instrText xml:space="preserve">TOC \o "1-1" \h \u </w:instrText>
          </w:r>
          <w:r>
            <w:rPr>
              <w:rFonts w:ascii="方正小标宋简体" w:hAnsi="方正小标宋简体" w:eastAsia="方正小标宋简体" w:cs="方正小标宋简体"/>
              <w:color w:val="auto"/>
              <w:sz w:val="36"/>
              <w:szCs w:val="36"/>
            </w:rPr>
            <w:fldChar w:fldCharType="separate"/>
          </w:r>
        </w:p>
        <w:p>
          <w:pPr>
            <w:pStyle w:val="83"/>
            <w:tabs>
              <w:tab w:val="right" w:leader="dot" w:pos="8900"/>
            </w:tabs>
            <w:spacing w:line="360" w:lineRule="auto"/>
            <w:rPr>
              <w:color w:val="auto"/>
            </w:rPr>
          </w:pPr>
          <w:r>
            <w:rPr>
              <w:color w:val="auto"/>
            </w:rPr>
            <w:fldChar w:fldCharType="begin"/>
          </w:r>
          <w:r>
            <w:rPr>
              <w:color w:val="auto"/>
            </w:rPr>
            <w:instrText xml:space="preserve"> HYPERLINK \l "_Toc14507" </w:instrText>
          </w:r>
          <w:r>
            <w:rPr>
              <w:color w:val="auto"/>
            </w:rPr>
            <w:fldChar w:fldCharType="separate"/>
          </w:r>
          <w:r>
            <w:rPr>
              <w:rFonts w:hint="eastAsia" w:ascii="宋体" w:hAnsi="宋体" w:cs="宋体"/>
              <w:bCs/>
              <w:color w:val="auto"/>
              <w:szCs w:val="44"/>
            </w:rPr>
            <w:t>重要事项提示</w:t>
          </w:r>
          <w:r>
            <w:rPr>
              <w:color w:val="auto"/>
            </w:rPr>
            <w:tab/>
          </w:r>
          <w:r>
            <w:rPr>
              <w:color w:val="auto"/>
            </w:rPr>
            <w:fldChar w:fldCharType="begin"/>
          </w:r>
          <w:r>
            <w:rPr>
              <w:color w:val="auto"/>
            </w:rPr>
            <w:instrText xml:space="preserve"> PAGEREF _Toc14507 \h </w:instrText>
          </w:r>
          <w:r>
            <w:rPr>
              <w:color w:val="auto"/>
            </w:rPr>
            <w:fldChar w:fldCharType="separate"/>
          </w:r>
          <w:r>
            <w:rPr>
              <w:color w:val="auto"/>
            </w:rPr>
            <w:t>- 2 -</w:t>
          </w:r>
          <w:r>
            <w:rPr>
              <w:color w:val="auto"/>
            </w:rPr>
            <w:fldChar w:fldCharType="end"/>
          </w:r>
          <w:r>
            <w:rPr>
              <w:color w:val="auto"/>
            </w:rPr>
            <w:fldChar w:fldCharType="end"/>
          </w:r>
        </w:p>
        <w:p>
          <w:pPr>
            <w:pStyle w:val="83"/>
            <w:tabs>
              <w:tab w:val="right" w:leader="dot" w:pos="8900"/>
            </w:tabs>
            <w:spacing w:line="360" w:lineRule="auto"/>
            <w:rPr>
              <w:color w:val="auto"/>
            </w:rPr>
          </w:pPr>
          <w:r>
            <w:rPr>
              <w:color w:val="auto"/>
            </w:rPr>
            <w:fldChar w:fldCharType="begin"/>
          </w:r>
          <w:r>
            <w:rPr>
              <w:color w:val="auto"/>
            </w:rPr>
            <w:instrText xml:space="preserve"> HYPERLINK \l "_Toc23330" </w:instrText>
          </w:r>
          <w:r>
            <w:rPr>
              <w:color w:val="auto"/>
            </w:rPr>
            <w:fldChar w:fldCharType="separate"/>
          </w:r>
          <w:r>
            <w:rPr>
              <w:rFonts w:hint="eastAsia" w:ascii="宋体" w:hAnsi="宋体" w:cs="宋体"/>
              <w:color w:val="auto"/>
              <w:szCs w:val="30"/>
            </w:rPr>
            <w:t>竞争性谈判公告（不见面开标）</w:t>
          </w:r>
          <w:r>
            <w:rPr>
              <w:color w:val="auto"/>
            </w:rPr>
            <w:tab/>
          </w:r>
          <w:r>
            <w:rPr>
              <w:color w:val="auto"/>
            </w:rPr>
            <w:fldChar w:fldCharType="begin"/>
          </w:r>
          <w:r>
            <w:rPr>
              <w:color w:val="auto"/>
            </w:rPr>
            <w:instrText xml:space="preserve"> PAGEREF _Toc23330 \h </w:instrText>
          </w:r>
          <w:r>
            <w:rPr>
              <w:color w:val="auto"/>
            </w:rPr>
            <w:fldChar w:fldCharType="separate"/>
          </w:r>
          <w:r>
            <w:rPr>
              <w:color w:val="auto"/>
            </w:rPr>
            <w:t>- 4 -</w:t>
          </w:r>
          <w:r>
            <w:rPr>
              <w:color w:val="auto"/>
            </w:rPr>
            <w:fldChar w:fldCharType="end"/>
          </w:r>
          <w:r>
            <w:rPr>
              <w:color w:val="auto"/>
            </w:rPr>
            <w:fldChar w:fldCharType="end"/>
          </w:r>
        </w:p>
        <w:p>
          <w:pPr>
            <w:pStyle w:val="83"/>
            <w:tabs>
              <w:tab w:val="right" w:leader="dot" w:pos="8900"/>
            </w:tabs>
            <w:spacing w:line="360" w:lineRule="auto"/>
            <w:rPr>
              <w:color w:val="auto"/>
            </w:rPr>
          </w:pPr>
          <w:r>
            <w:rPr>
              <w:color w:val="auto"/>
            </w:rPr>
            <w:fldChar w:fldCharType="begin"/>
          </w:r>
          <w:r>
            <w:rPr>
              <w:color w:val="auto"/>
            </w:rPr>
            <w:instrText xml:space="preserve"> HYPERLINK \l "_Toc22846" </w:instrText>
          </w:r>
          <w:r>
            <w:rPr>
              <w:color w:val="auto"/>
            </w:rPr>
            <w:fldChar w:fldCharType="separate"/>
          </w:r>
          <w:r>
            <w:rPr>
              <w:rFonts w:hint="eastAsia"/>
              <w:color w:val="auto"/>
            </w:rPr>
            <w:t>投标须知前附表</w:t>
          </w:r>
          <w:r>
            <w:rPr>
              <w:color w:val="auto"/>
            </w:rPr>
            <w:tab/>
          </w:r>
          <w:r>
            <w:rPr>
              <w:color w:val="auto"/>
            </w:rPr>
            <w:fldChar w:fldCharType="begin"/>
          </w:r>
          <w:r>
            <w:rPr>
              <w:color w:val="auto"/>
            </w:rPr>
            <w:instrText xml:space="preserve"> PAGEREF _Toc22846 \h </w:instrText>
          </w:r>
          <w:r>
            <w:rPr>
              <w:color w:val="auto"/>
            </w:rPr>
            <w:fldChar w:fldCharType="separate"/>
          </w:r>
          <w:r>
            <w:rPr>
              <w:color w:val="auto"/>
            </w:rPr>
            <w:t>- 7 -</w:t>
          </w:r>
          <w:r>
            <w:rPr>
              <w:color w:val="auto"/>
            </w:rPr>
            <w:fldChar w:fldCharType="end"/>
          </w:r>
          <w:r>
            <w:rPr>
              <w:color w:val="auto"/>
            </w:rPr>
            <w:fldChar w:fldCharType="end"/>
          </w:r>
        </w:p>
        <w:p>
          <w:pPr>
            <w:pStyle w:val="83"/>
            <w:tabs>
              <w:tab w:val="right" w:leader="dot" w:pos="8900"/>
            </w:tabs>
            <w:spacing w:line="360" w:lineRule="auto"/>
            <w:rPr>
              <w:color w:val="auto"/>
            </w:rPr>
          </w:pPr>
          <w:r>
            <w:rPr>
              <w:color w:val="auto"/>
            </w:rPr>
            <w:fldChar w:fldCharType="begin"/>
          </w:r>
          <w:r>
            <w:rPr>
              <w:color w:val="auto"/>
            </w:rPr>
            <w:instrText xml:space="preserve"> HYPERLINK \l "_Toc1964" </w:instrText>
          </w:r>
          <w:r>
            <w:rPr>
              <w:color w:val="auto"/>
            </w:rPr>
            <w:fldChar w:fldCharType="separate"/>
          </w:r>
          <w:r>
            <w:rPr>
              <w:rFonts w:hint="eastAsia"/>
              <w:color w:val="auto"/>
            </w:rPr>
            <w:t>第一部分 采购项目相关内容及要求</w:t>
          </w:r>
          <w:r>
            <w:rPr>
              <w:color w:val="auto"/>
            </w:rPr>
            <w:tab/>
          </w:r>
          <w:r>
            <w:rPr>
              <w:color w:val="auto"/>
            </w:rPr>
            <w:fldChar w:fldCharType="begin"/>
          </w:r>
          <w:r>
            <w:rPr>
              <w:color w:val="auto"/>
            </w:rPr>
            <w:instrText xml:space="preserve"> PAGEREF _Toc1964 \h </w:instrText>
          </w:r>
          <w:r>
            <w:rPr>
              <w:color w:val="auto"/>
            </w:rPr>
            <w:fldChar w:fldCharType="separate"/>
          </w:r>
          <w:r>
            <w:rPr>
              <w:color w:val="auto"/>
            </w:rPr>
            <w:t>- 10 -</w:t>
          </w:r>
          <w:r>
            <w:rPr>
              <w:color w:val="auto"/>
            </w:rPr>
            <w:fldChar w:fldCharType="end"/>
          </w:r>
          <w:r>
            <w:rPr>
              <w:color w:val="auto"/>
            </w:rPr>
            <w:fldChar w:fldCharType="end"/>
          </w:r>
        </w:p>
        <w:p>
          <w:pPr>
            <w:pStyle w:val="83"/>
            <w:tabs>
              <w:tab w:val="right" w:leader="dot" w:pos="8900"/>
            </w:tabs>
            <w:spacing w:line="360" w:lineRule="auto"/>
            <w:rPr>
              <w:color w:val="auto"/>
            </w:rPr>
          </w:pPr>
          <w:r>
            <w:rPr>
              <w:color w:val="auto"/>
            </w:rPr>
            <w:fldChar w:fldCharType="begin"/>
          </w:r>
          <w:r>
            <w:rPr>
              <w:color w:val="auto"/>
            </w:rPr>
            <w:instrText xml:space="preserve"> HYPERLINK \l "_Toc23310" </w:instrText>
          </w:r>
          <w:r>
            <w:rPr>
              <w:color w:val="auto"/>
            </w:rPr>
            <w:fldChar w:fldCharType="separate"/>
          </w:r>
          <w:r>
            <w:rPr>
              <w:rFonts w:hint="eastAsia"/>
              <w:color w:val="auto"/>
            </w:rPr>
            <w:t>第二部分  参与采购须知</w:t>
          </w:r>
          <w:r>
            <w:rPr>
              <w:color w:val="auto"/>
            </w:rPr>
            <w:tab/>
          </w:r>
          <w:r>
            <w:rPr>
              <w:color w:val="auto"/>
            </w:rPr>
            <w:fldChar w:fldCharType="begin"/>
          </w:r>
          <w:r>
            <w:rPr>
              <w:color w:val="auto"/>
            </w:rPr>
            <w:instrText xml:space="preserve"> PAGEREF _Toc23310 \h </w:instrText>
          </w:r>
          <w:r>
            <w:rPr>
              <w:color w:val="auto"/>
            </w:rPr>
            <w:fldChar w:fldCharType="separate"/>
          </w:r>
          <w:r>
            <w:rPr>
              <w:color w:val="auto"/>
            </w:rPr>
            <w:t>- 12 -</w:t>
          </w:r>
          <w:r>
            <w:rPr>
              <w:color w:val="auto"/>
            </w:rPr>
            <w:fldChar w:fldCharType="end"/>
          </w:r>
          <w:r>
            <w:rPr>
              <w:color w:val="auto"/>
            </w:rPr>
            <w:fldChar w:fldCharType="end"/>
          </w:r>
        </w:p>
        <w:p>
          <w:pPr>
            <w:pStyle w:val="83"/>
            <w:tabs>
              <w:tab w:val="right" w:leader="dot" w:pos="8900"/>
            </w:tabs>
            <w:spacing w:line="360" w:lineRule="auto"/>
            <w:rPr>
              <w:color w:val="auto"/>
            </w:rPr>
          </w:pPr>
          <w:r>
            <w:rPr>
              <w:color w:val="auto"/>
            </w:rPr>
            <w:fldChar w:fldCharType="begin"/>
          </w:r>
          <w:r>
            <w:rPr>
              <w:color w:val="auto"/>
            </w:rPr>
            <w:instrText xml:space="preserve"> HYPERLINK \l "_Toc31253" </w:instrText>
          </w:r>
          <w:r>
            <w:rPr>
              <w:color w:val="auto"/>
            </w:rPr>
            <w:fldChar w:fldCharType="separate"/>
          </w:r>
          <w:r>
            <w:rPr>
              <w:rFonts w:hint="eastAsia"/>
              <w:color w:val="auto"/>
            </w:rPr>
            <w:t>第三部分 其他要求</w:t>
          </w:r>
          <w:r>
            <w:rPr>
              <w:color w:val="auto"/>
            </w:rPr>
            <w:tab/>
          </w:r>
          <w:r>
            <w:rPr>
              <w:color w:val="auto"/>
            </w:rPr>
            <w:fldChar w:fldCharType="begin"/>
          </w:r>
          <w:r>
            <w:rPr>
              <w:color w:val="auto"/>
            </w:rPr>
            <w:instrText xml:space="preserve"> PAGEREF _Toc31253 \h </w:instrText>
          </w:r>
          <w:r>
            <w:rPr>
              <w:color w:val="auto"/>
            </w:rPr>
            <w:fldChar w:fldCharType="separate"/>
          </w:r>
          <w:r>
            <w:rPr>
              <w:color w:val="auto"/>
            </w:rPr>
            <w:t>- 24 -</w:t>
          </w:r>
          <w:r>
            <w:rPr>
              <w:color w:val="auto"/>
            </w:rPr>
            <w:fldChar w:fldCharType="end"/>
          </w:r>
          <w:r>
            <w:rPr>
              <w:color w:val="auto"/>
            </w:rPr>
            <w:fldChar w:fldCharType="end"/>
          </w:r>
        </w:p>
        <w:p>
          <w:pPr>
            <w:pStyle w:val="83"/>
            <w:tabs>
              <w:tab w:val="right" w:leader="dot" w:pos="8900"/>
            </w:tabs>
            <w:spacing w:line="360" w:lineRule="auto"/>
            <w:rPr>
              <w:color w:val="auto"/>
            </w:rPr>
          </w:pPr>
          <w:r>
            <w:rPr>
              <w:color w:val="auto"/>
            </w:rPr>
            <w:fldChar w:fldCharType="begin"/>
          </w:r>
          <w:r>
            <w:rPr>
              <w:color w:val="auto"/>
            </w:rPr>
            <w:instrText xml:space="preserve"> HYPERLINK \l "_Toc29162" </w:instrText>
          </w:r>
          <w:r>
            <w:rPr>
              <w:color w:val="auto"/>
            </w:rPr>
            <w:fldChar w:fldCharType="separate"/>
          </w:r>
          <w:r>
            <w:rPr>
              <w:rFonts w:hint="eastAsia"/>
              <w:color w:val="auto"/>
            </w:rPr>
            <w:t>第四部分质疑与投诉</w:t>
          </w:r>
          <w:r>
            <w:rPr>
              <w:color w:val="auto"/>
            </w:rPr>
            <w:tab/>
          </w:r>
          <w:r>
            <w:rPr>
              <w:color w:val="auto"/>
            </w:rPr>
            <w:fldChar w:fldCharType="begin"/>
          </w:r>
          <w:r>
            <w:rPr>
              <w:color w:val="auto"/>
            </w:rPr>
            <w:instrText xml:space="preserve"> PAGEREF _Toc29162 \h </w:instrText>
          </w:r>
          <w:r>
            <w:rPr>
              <w:color w:val="auto"/>
            </w:rPr>
            <w:fldChar w:fldCharType="separate"/>
          </w:r>
          <w:r>
            <w:rPr>
              <w:color w:val="auto"/>
            </w:rPr>
            <w:t>- 25 -</w:t>
          </w:r>
          <w:r>
            <w:rPr>
              <w:color w:val="auto"/>
            </w:rPr>
            <w:fldChar w:fldCharType="end"/>
          </w:r>
          <w:r>
            <w:rPr>
              <w:color w:val="auto"/>
            </w:rPr>
            <w:fldChar w:fldCharType="end"/>
          </w:r>
        </w:p>
        <w:p>
          <w:pPr>
            <w:pStyle w:val="83"/>
            <w:tabs>
              <w:tab w:val="right" w:leader="dot" w:pos="8900"/>
            </w:tabs>
            <w:spacing w:line="360" w:lineRule="auto"/>
            <w:rPr>
              <w:color w:val="auto"/>
            </w:rPr>
          </w:pPr>
          <w:r>
            <w:rPr>
              <w:color w:val="auto"/>
            </w:rPr>
            <w:fldChar w:fldCharType="begin"/>
          </w:r>
          <w:r>
            <w:rPr>
              <w:color w:val="auto"/>
            </w:rPr>
            <w:instrText xml:space="preserve"> HYPERLINK \l "_Toc1277" </w:instrText>
          </w:r>
          <w:r>
            <w:rPr>
              <w:color w:val="auto"/>
            </w:rPr>
            <w:fldChar w:fldCharType="separate"/>
          </w:r>
          <w:r>
            <w:rPr>
              <w:rFonts w:hint="eastAsia"/>
              <w:color w:val="auto"/>
            </w:rPr>
            <w:t>第五部分 采购内容及技术要求</w:t>
          </w:r>
          <w:r>
            <w:rPr>
              <w:color w:val="auto"/>
            </w:rPr>
            <w:tab/>
          </w:r>
          <w:r>
            <w:rPr>
              <w:color w:val="auto"/>
            </w:rPr>
            <w:fldChar w:fldCharType="begin"/>
          </w:r>
          <w:r>
            <w:rPr>
              <w:color w:val="auto"/>
            </w:rPr>
            <w:instrText xml:space="preserve"> PAGEREF _Toc1277 \h </w:instrText>
          </w:r>
          <w:r>
            <w:rPr>
              <w:color w:val="auto"/>
            </w:rPr>
            <w:fldChar w:fldCharType="separate"/>
          </w:r>
          <w:r>
            <w:rPr>
              <w:color w:val="auto"/>
            </w:rPr>
            <w:t>- 27 -</w:t>
          </w:r>
          <w:r>
            <w:rPr>
              <w:color w:val="auto"/>
            </w:rPr>
            <w:fldChar w:fldCharType="end"/>
          </w:r>
          <w:r>
            <w:rPr>
              <w:color w:val="auto"/>
            </w:rPr>
            <w:fldChar w:fldCharType="end"/>
          </w:r>
        </w:p>
        <w:p>
          <w:pPr>
            <w:pStyle w:val="83"/>
            <w:tabs>
              <w:tab w:val="right" w:leader="dot" w:pos="8900"/>
            </w:tabs>
            <w:spacing w:line="360" w:lineRule="auto"/>
            <w:rPr>
              <w:color w:val="auto"/>
            </w:rPr>
          </w:pPr>
          <w:r>
            <w:rPr>
              <w:color w:val="auto"/>
            </w:rPr>
            <w:fldChar w:fldCharType="begin"/>
          </w:r>
          <w:r>
            <w:rPr>
              <w:color w:val="auto"/>
            </w:rPr>
            <w:instrText xml:space="preserve"> HYPERLINK \l "_Toc32074" </w:instrText>
          </w:r>
          <w:r>
            <w:rPr>
              <w:color w:val="auto"/>
            </w:rPr>
            <w:fldChar w:fldCharType="separate"/>
          </w:r>
          <w:r>
            <w:rPr>
              <w:rFonts w:hint="eastAsia"/>
              <w:color w:val="auto"/>
            </w:rPr>
            <w:t>第六部分  合同格式及主要条款</w:t>
          </w:r>
          <w:r>
            <w:rPr>
              <w:color w:val="auto"/>
            </w:rPr>
            <w:tab/>
          </w:r>
          <w:r>
            <w:rPr>
              <w:color w:val="auto"/>
            </w:rPr>
            <w:fldChar w:fldCharType="begin"/>
          </w:r>
          <w:r>
            <w:rPr>
              <w:color w:val="auto"/>
            </w:rPr>
            <w:instrText xml:space="preserve"> PAGEREF _Toc32074 \h </w:instrText>
          </w:r>
          <w:r>
            <w:rPr>
              <w:color w:val="auto"/>
            </w:rPr>
            <w:fldChar w:fldCharType="separate"/>
          </w:r>
          <w:r>
            <w:rPr>
              <w:color w:val="auto"/>
            </w:rPr>
            <w:t>50</w:t>
          </w:r>
          <w:r>
            <w:rPr>
              <w:color w:val="auto"/>
            </w:rPr>
            <w:fldChar w:fldCharType="end"/>
          </w:r>
          <w:r>
            <w:rPr>
              <w:color w:val="auto"/>
            </w:rPr>
            <w:fldChar w:fldCharType="end"/>
          </w:r>
        </w:p>
        <w:p>
          <w:pPr>
            <w:pStyle w:val="83"/>
            <w:tabs>
              <w:tab w:val="right" w:leader="dot" w:pos="8900"/>
            </w:tabs>
            <w:spacing w:line="360" w:lineRule="auto"/>
            <w:rPr>
              <w:color w:val="auto"/>
            </w:rPr>
          </w:pPr>
          <w:r>
            <w:rPr>
              <w:color w:val="auto"/>
            </w:rPr>
            <w:fldChar w:fldCharType="begin"/>
          </w:r>
          <w:r>
            <w:rPr>
              <w:color w:val="auto"/>
            </w:rPr>
            <w:instrText xml:space="preserve"> HYPERLINK \l "_Toc32644" </w:instrText>
          </w:r>
          <w:r>
            <w:rPr>
              <w:color w:val="auto"/>
            </w:rPr>
            <w:fldChar w:fldCharType="separate"/>
          </w:r>
          <w:r>
            <w:rPr>
              <w:rFonts w:hint="eastAsia" w:ascii="Book Antiqua" w:hAnsi="Book Antiqua"/>
              <w:bCs/>
              <w:color w:val="auto"/>
              <w:szCs w:val="44"/>
            </w:rPr>
            <w:t>第七部分 履约验收</w:t>
          </w:r>
          <w:r>
            <w:rPr>
              <w:color w:val="auto"/>
            </w:rPr>
            <w:tab/>
          </w:r>
          <w:r>
            <w:rPr>
              <w:color w:val="auto"/>
            </w:rPr>
            <w:fldChar w:fldCharType="begin"/>
          </w:r>
          <w:r>
            <w:rPr>
              <w:color w:val="auto"/>
            </w:rPr>
            <w:instrText xml:space="preserve"> PAGEREF _Toc32644 \h </w:instrText>
          </w:r>
          <w:r>
            <w:rPr>
              <w:color w:val="auto"/>
            </w:rPr>
            <w:fldChar w:fldCharType="separate"/>
          </w:r>
          <w:r>
            <w:rPr>
              <w:color w:val="auto"/>
            </w:rPr>
            <w:t>3</w:t>
          </w:r>
          <w:r>
            <w:rPr>
              <w:color w:val="auto"/>
            </w:rPr>
            <w:fldChar w:fldCharType="end"/>
          </w:r>
          <w:r>
            <w:rPr>
              <w:color w:val="auto"/>
            </w:rPr>
            <w:fldChar w:fldCharType="end"/>
          </w:r>
        </w:p>
        <w:p>
          <w:pPr>
            <w:pStyle w:val="83"/>
            <w:tabs>
              <w:tab w:val="right" w:leader="dot" w:pos="8900"/>
            </w:tabs>
            <w:spacing w:line="360" w:lineRule="auto"/>
            <w:rPr>
              <w:color w:val="auto"/>
            </w:rPr>
          </w:pPr>
          <w:r>
            <w:rPr>
              <w:color w:val="auto"/>
            </w:rPr>
            <w:fldChar w:fldCharType="begin"/>
          </w:r>
          <w:r>
            <w:rPr>
              <w:color w:val="auto"/>
            </w:rPr>
            <w:instrText xml:space="preserve"> HYPERLINK \l "_Toc26203" </w:instrText>
          </w:r>
          <w:r>
            <w:rPr>
              <w:color w:val="auto"/>
            </w:rPr>
            <w:fldChar w:fldCharType="separate"/>
          </w:r>
          <w:r>
            <w:rPr>
              <w:rFonts w:hint="eastAsia"/>
              <w:color w:val="auto"/>
            </w:rPr>
            <w:t>第八部分  附件—供应商响应文件格式</w:t>
          </w:r>
          <w:r>
            <w:rPr>
              <w:color w:val="auto"/>
            </w:rPr>
            <w:tab/>
          </w:r>
          <w:r>
            <w:rPr>
              <w:color w:val="auto"/>
            </w:rPr>
            <w:fldChar w:fldCharType="begin"/>
          </w:r>
          <w:r>
            <w:rPr>
              <w:color w:val="auto"/>
            </w:rPr>
            <w:instrText xml:space="preserve"> PAGEREF _Toc26203 \h </w:instrText>
          </w:r>
          <w:r>
            <w:rPr>
              <w:color w:val="auto"/>
            </w:rPr>
            <w:fldChar w:fldCharType="separate"/>
          </w:r>
          <w:r>
            <w:rPr>
              <w:color w:val="auto"/>
            </w:rPr>
            <w:t>4</w:t>
          </w:r>
          <w:r>
            <w:rPr>
              <w:color w:val="auto"/>
            </w:rPr>
            <w:fldChar w:fldCharType="end"/>
          </w:r>
          <w:r>
            <w:rPr>
              <w:color w:val="auto"/>
            </w:rPr>
            <w:fldChar w:fldCharType="end"/>
          </w:r>
        </w:p>
        <w:p>
          <w:pPr>
            <w:pStyle w:val="83"/>
            <w:tabs>
              <w:tab w:val="right" w:leader="dot" w:pos="8900"/>
            </w:tabs>
            <w:spacing w:line="360" w:lineRule="auto"/>
            <w:rPr>
              <w:color w:val="auto"/>
            </w:rPr>
          </w:pPr>
          <w:r>
            <w:rPr>
              <w:color w:val="auto"/>
            </w:rPr>
            <w:fldChar w:fldCharType="begin"/>
          </w:r>
          <w:r>
            <w:rPr>
              <w:color w:val="auto"/>
            </w:rPr>
            <w:instrText xml:space="preserve"> HYPERLINK \l "_Toc6063" </w:instrText>
          </w:r>
          <w:r>
            <w:rPr>
              <w:color w:val="auto"/>
            </w:rPr>
            <w:fldChar w:fldCharType="separate"/>
          </w:r>
          <w:r>
            <w:rPr>
              <w:rFonts w:hint="eastAsia" w:ascii="宋体" w:hAnsi="宋体" w:cs="宋体"/>
              <w:color w:val="auto"/>
              <w:szCs w:val="44"/>
            </w:rPr>
            <w:t>政府采购合同融资政策</w:t>
          </w:r>
          <w:r>
            <w:rPr>
              <w:color w:val="auto"/>
            </w:rPr>
            <w:tab/>
          </w:r>
          <w:r>
            <w:rPr>
              <w:color w:val="auto"/>
            </w:rPr>
            <w:fldChar w:fldCharType="begin"/>
          </w:r>
          <w:r>
            <w:rPr>
              <w:color w:val="auto"/>
            </w:rPr>
            <w:instrText xml:space="preserve"> PAGEREF _Toc6063 \h </w:instrText>
          </w:r>
          <w:r>
            <w:rPr>
              <w:color w:val="auto"/>
            </w:rPr>
            <w:fldChar w:fldCharType="separate"/>
          </w:r>
          <w:r>
            <w:rPr>
              <w:color w:val="auto"/>
            </w:rPr>
            <w:t>20</w:t>
          </w:r>
          <w:r>
            <w:rPr>
              <w:color w:val="auto"/>
            </w:rPr>
            <w:fldChar w:fldCharType="end"/>
          </w:r>
          <w:r>
            <w:rPr>
              <w:color w:val="auto"/>
            </w:rPr>
            <w:fldChar w:fldCharType="end"/>
          </w:r>
        </w:p>
        <w:p>
          <w:pPr>
            <w:pStyle w:val="83"/>
            <w:tabs>
              <w:tab w:val="right" w:leader="dot" w:pos="8900"/>
            </w:tabs>
            <w:spacing w:line="360" w:lineRule="auto"/>
            <w:rPr>
              <w:color w:val="auto"/>
            </w:rPr>
          </w:pPr>
          <w:r>
            <w:rPr>
              <w:color w:val="auto"/>
            </w:rPr>
            <w:fldChar w:fldCharType="begin"/>
          </w:r>
          <w:r>
            <w:rPr>
              <w:color w:val="auto"/>
            </w:rPr>
            <w:instrText xml:space="preserve"> HYPERLINK \l "_Toc17178" </w:instrText>
          </w:r>
          <w:r>
            <w:rPr>
              <w:color w:val="auto"/>
            </w:rPr>
            <w:fldChar w:fldCharType="separate"/>
          </w:r>
          <w:r>
            <w:rPr>
              <w:rFonts w:hint="eastAsia" w:ascii="宋体" w:hAnsi="宋体" w:cs="宋体"/>
              <w:bCs/>
              <w:color w:val="auto"/>
              <w:szCs w:val="44"/>
            </w:rPr>
            <w:t>政府采购合同融资操作流程</w:t>
          </w:r>
          <w:r>
            <w:rPr>
              <w:color w:val="auto"/>
            </w:rPr>
            <w:tab/>
          </w:r>
          <w:r>
            <w:rPr>
              <w:color w:val="auto"/>
            </w:rPr>
            <w:fldChar w:fldCharType="begin"/>
          </w:r>
          <w:r>
            <w:rPr>
              <w:color w:val="auto"/>
            </w:rPr>
            <w:instrText xml:space="preserve"> PAGEREF _Toc17178 \h </w:instrText>
          </w:r>
          <w:r>
            <w:rPr>
              <w:color w:val="auto"/>
            </w:rPr>
            <w:fldChar w:fldCharType="separate"/>
          </w:r>
          <w:r>
            <w:rPr>
              <w:color w:val="auto"/>
            </w:rPr>
            <w:t>21</w:t>
          </w:r>
          <w:r>
            <w:rPr>
              <w:color w:val="auto"/>
            </w:rPr>
            <w:fldChar w:fldCharType="end"/>
          </w:r>
          <w:r>
            <w:rPr>
              <w:color w:val="auto"/>
            </w:rPr>
            <w:fldChar w:fldCharType="end"/>
          </w:r>
        </w:p>
        <w:p>
          <w:pPr>
            <w:pStyle w:val="22"/>
            <w:tabs>
              <w:tab w:val="right" w:leader="dot" w:pos="8900"/>
            </w:tabs>
            <w:spacing w:line="520" w:lineRule="exact"/>
            <w:ind w:left="0" w:leftChars="0"/>
            <w:rPr>
              <w:rFonts w:ascii="方正小标宋简体" w:hAnsi="方正小标宋简体" w:eastAsia="方正小标宋简体" w:cs="方正小标宋简体"/>
              <w:color w:val="auto"/>
              <w:sz w:val="36"/>
              <w:szCs w:val="36"/>
            </w:rPr>
            <w:sectPr>
              <w:footerReference r:id="rId7" w:type="first"/>
              <w:headerReference r:id="rId5" w:type="default"/>
              <w:footerReference r:id="rId6" w:type="default"/>
              <w:endnotePr>
                <w:numFmt w:val="decimal"/>
              </w:endnotePr>
              <w:pgSz w:w="11905" w:h="16837"/>
              <w:pgMar w:top="1440" w:right="1304" w:bottom="1304" w:left="1701" w:header="851" w:footer="737" w:gutter="0"/>
              <w:pgNumType w:fmt="numberInDash" w:start="1"/>
              <w:cols w:space="720" w:num="1"/>
              <w:titlePg/>
              <w:docGrid w:linePitch="286" w:charSpace="0"/>
            </w:sectPr>
          </w:pPr>
          <w:r>
            <w:rPr>
              <w:rFonts w:ascii="方正小标宋简体" w:hAnsi="方正小标宋简体" w:eastAsia="方正小标宋简体" w:cs="方正小标宋简体"/>
              <w:color w:val="auto"/>
              <w:szCs w:val="36"/>
            </w:rPr>
            <w:fldChar w:fldCharType="end"/>
          </w:r>
        </w:p>
      </w:sdtContent>
    </w:sdt>
    <w:p>
      <w:pPr>
        <w:spacing w:line="360" w:lineRule="auto"/>
        <w:jc w:val="center"/>
        <w:outlineLvl w:val="0"/>
        <w:rPr>
          <w:rFonts w:ascii="宋体" w:hAnsi="宋体" w:cs="宋体"/>
          <w:b/>
          <w:bCs/>
          <w:color w:val="auto"/>
          <w:sz w:val="44"/>
          <w:szCs w:val="44"/>
        </w:rPr>
      </w:pPr>
      <w:bookmarkStart w:id="7" w:name="_Toc14507"/>
      <w:r>
        <w:rPr>
          <w:rFonts w:hint="eastAsia" w:ascii="宋体" w:hAnsi="宋体" w:cs="宋体"/>
          <w:b/>
          <w:bCs/>
          <w:color w:val="auto"/>
          <w:sz w:val="44"/>
          <w:szCs w:val="44"/>
        </w:rPr>
        <w:t>重要事项提示</w:t>
      </w:r>
      <w:bookmarkEnd w:id="7"/>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各潜在供应商：</w:t>
      </w:r>
    </w:p>
    <w:p>
      <w:pPr>
        <w:spacing w:line="360" w:lineRule="auto"/>
        <w:ind w:firstLine="480" w:firstLineChars="200"/>
        <w:rPr>
          <w:rFonts w:ascii="宋体" w:hAnsi="宋体" w:cs="宋体"/>
          <w:color w:val="auto"/>
          <w:sz w:val="24"/>
        </w:rPr>
      </w:pPr>
      <w:r>
        <w:rPr>
          <w:rFonts w:hint="eastAsia" w:ascii="宋体" w:hAnsi="宋体" w:cs="宋体"/>
          <w:color w:val="auto"/>
          <w:sz w:val="24"/>
        </w:rPr>
        <w:t>以下环节是此采购文件中需要重点关注的环节，对以下内容的忽视，可能是影响贵公司中标的重要因素。请在编制响应性文件参与政府采购时高度重视。</w:t>
      </w:r>
    </w:p>
    <w:p>
      <w:pPr>
        <w:spacing w:line="360" w:lineRule="auto"/>
        <w:ind w:firstLine="480" w:firstLineChars="200"/>
        <w:rPr>
          <w:rFonts w:ascii="宋体" w:hAnsi="宋体" w:cs="宋体"/>
          <w:color w:val="auto"/>
          <w:sz w:val="24"/>
        </w:rPr>
      </w:pPr>
      <w:r>
        <w:rPr>
          <w:rFonts w:hint="eastAsia" w:ascii="宋体" w:hAnsi="宋体" w:cs="宋体"/>
          <w:color w:val="auto"/>
          <w:sz w:val="24"/>
        </w:rPr>
        <w:t>1、谈判文件应通过焦作市公共资源交易中心网站会员系统进行网上下载；未使用企业 CA 密匙登录焦作市公共资源交易中心网站会员系统进行网上下载文件的，投标视为无效；</w:t>
      </w:r>
    </w:p>
    <w:p>
      <w:pPr>
        <w:spacing w:line="360" w:lineRule="auto"/>
        <w:ind w:firstLine="480" w:firstLineChars="200"/>
        <w:rPr>
          <w:color w:val="auto"/>
        </w:rPr>
      </w:pPr>
      <w:r>
        <w:rPr>
          <w:rFonts w:hint="eastAsia" w:ascii="宋体" w:hAnsi="宋体" w:cs="宋体"/>
          <w:color w:val="auto"/>
          <w:sz w:val="24"/>
        </w:rPr>
        <w:t>2、本项目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按要求解密投标文件。因文件未及时上传导致投标失败的责任由供应商自行承担，具体要求详见竞争性谈判文件。 平台统一技术服务电话：400-998-0000，服务 QQ：4008503300，服务时间：周一至周日 8：00-17：30。</w:t>
      </w:r>
    </w:p>
    <w:p>
      <w:pPr>
        <w:pStyle w:val="23"/>
        <w:spacing w:before="0" w:beforeAutospacing="0" w:after="0" w:afterAutospacing="0" w:line="360" w:lineRule="auto"/>
        <w:ind w:firstLine="480" w:firstLineChars="200"/>
        <w:jc w:val="both"/>
        <w:rPr>
          <w:color w:val="auto"/>
        </w:rPr>
      </w:pPr>
      <w:r>
        <w:rPr>
          <w:rFonts w:hint="eastAsia"/>
          <w:color w:val="auto"/>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pPr>
        <w:pStyle w:val="23"/>
        <w:numPr>
          <w:ilvl w:val="0"/>
          <w:numId w:val="1"/>
        </w:numPr>
        <w:spacing w:before="0" w:beforeAutospacing="0" w:after="0" w:afterAutospacing="0" w:line="360" w:lineRule="auto"/>
        <w:ind w:firstLine="480" w:firstLineChars="200"/>
        <w:jc w:val="both"/>
        <w:rPr>
          <w:color w:val="auto"/>
        </w:rPr>
      </w:pPr>
      <w:r>
        <w:rPr>
          <w:rFonts w:hint="eastAsia"/>
          <w:color w:val="auto"/>
        </w:rPr>
        <w:t>有下列情形之一的，将作为自动放弃、无效投标或废标处理：</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3.1. 未按竞争性谈判文件明示的规定签字或盖章的；</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3.2. 响应文件的关键内容（投标报价、</w:t>
      </w:r>
      <w:r>
        <w:rPr>
          <w:rFonts w:hint="eastAsia" w:ascii="宋体" w:hAnsi="宋体" w:cs="宋体"/>
          <w:color w:val="auto"/>
          <w:kern w:val="0"/>
          <w:sz w:val="24"/>
        </w:rPr>
        <w:t>供货及安装期</w:t>
      </w:r>
      <w:r>
        <w:rPr>
          <w:rFonts w:hint="eastAsia" w:ascii="宋体" w:hAnsi="宋体"/>
          <w:color w:val="auto"/>
          <w:kern w:val="0"/>
          <w:sz w:val="24"/>
        </w:rPr>
        <w:t>、质量要求、品牌等）未填写或填写字迹模糊无法辨认的；</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3.3. 采购报价超出控制价的；</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3.4. 响应文件中对同一项目有两个或多个报价，且未声明哪一个有效的；</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3.5. 相关资格证明文件不合格的；</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3.6. 响应文件中附有采购人不能接受的条件的；</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3.7. 响应文件有明显不符合竞争性谈判文件其它要求和有关法律法规的；</w:t>
      </w:r>
    </w:p>
    <w:p>
      <w:pPr>
        <w:widowControl/>
        <w:spacing w:line="360" w:lineRule="auto"/>
        <w:ind w:firstLine="480" w:firstLineChars="200"/>
        <w:rPr>
          <w:color w:val="auto"/>
        </w:rPr>
      </w:pPr>
      <w:r>
        <w:rPr>
          <w:rFonts w:hint="eastAsia" w:ascii="宋体" w:hAnsi="宋体"/>
          <w:color w:val="auto"/>
          <w:kern w:val="0"/>
          <w:sz w:val="24"/>
        </w:rPr>
        <w:t>3.8. 评标过程中，如因两个或两个以上供应商在同一台计算或同一个IP上传响应文件，而被不见面开标系统提示为“投标文件制作机器码一致”的，则视其投标无效；</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3.9.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pPr>
        <w:pStyle w:val="23"/>
        <w:spacing w:before="0" w:beforeAutospacing="0" w:after="0" w:afterAutospacing="0" w:line="360" w:lineRule="auto"/>
        <w:ind w:left="420"/>
        <w:jc w:val="both"/>
        <w:rPr>
          <w:color w:val="auto"/>
        </w:rPr>
      </w:pPr>
    </w:p>
    <w:p>
      <w:pPr>
        <w:pStyle w:val="23"/>
        <w:spacing w:before="0" w:beforeAutospacing="0" w:after="0" w:afterAutospacing="0" w:line="360" w:lineRule="auto"/>
        <w:ind w:left="420"/>
        <w:jc w:val="both"/>
        <w:rPr>
          <w:color w:val="auto"/>
        </w:rPr>
      </w:pPr>
    </w:p>
    <w:p>
      <w:pPr>
        <w:pStyle w:val="23"/>
        <w:spacing w:before="0" w:beforeAutospacing="0" w:after="0" w:afterAutospacing="0" w:line="360" w:lineRule="auto"/>
        <w:ind w:left="420"/>
        <w:jc w:val="both"/>
        <w:rPr>
          <w:color w:val="auto"/>
        </w:rPr>
      </w:pPr>
    </w:p>
    <w:p>
      <w:pPr>
        <w:rPr>
          <w:rFonts w:ascii="宋体" w:hAnsi="宋体" w:cs="宋体"/>
          <w:b/>
          <w:bCs/>
          <w:color w:val="auto"/>
          <w:sz w:val="32"/>
          <w:szCs w:val="32"/>
        </w:rPr>
      </w:pPr>
    </w:p>
    <w:p>
      <w:pPr>
        <w:pStyle w:val="10"/>
        <w:rPr>
          <w:rFonts w:ascii="宋体" w:hAnsi="宋体" w:cs="宋体"/>
          <w:color w:val="auto"/>
        </w:rPr>
      </w:pPr>
    </w:p>
    <w:p>
      <w:pPr>
        <w:rPr>
          <w:color w:val="auto"/>
        </w:rPr>
      </w:pPr>
    </w:p>
    <w:p>
      <w:pPr>
        <w:pStyle w:val="9"/>
        <w:spacing w:before="0" w:after="0" w:line="360" w:lineRule="auto"/>
        <w:jc w:val="center"/>
        <w:rPr>
          <w:rFonts w:ascii="宋体" w:hAnsi="宋体" w:cs="宋体"/>
          <w:color w:val="auto"/>
          <w:sz w:val="30"/>
          <w:szCs w:val="30"/>
        </w:rPr>
      </w:pPr>
    </w:p>
    <w:p>
      <w:pPr>
        <w:rPr>
          <w:rFonts w:ascii="宋体" w:hAnsi="宋体" w:cs="宋体"/>
          <w:b/>
          <w:bCs/>
          <w:color w:val="auto"/>
          <w:sz w:val="30"/>
          <w:szCs w:val="30"/>
        </w:rPr>
      </w:pPr>
    </w:p>
    <w:p>
      <w:pPr>
        <w:pStyle w:val="9"/>
        <w:spacing w:before="0" w:after="0" w:line="360" w:lineRule="auto"/>
        <w:jc w:val="center"/>
        <w:rPr>
          <w:rFonts w:ascii="宋体" w:hAnsi="宋体" w:cs="宋体"/>
          <w:color w:val="auto"/>
          <w:sz w:val="30"/>
          <w:szCs w:val="30"/>
        </w:rPr>
      </w:pPr>
    </w:p>
    <w:p>
      <w:pPr>
        <w:rPr>
          <w:rFonts w:ascii="宋体" w:hAnsi="宋体" w:cs="宋体"/>
          <w:color w:val="auto"/>
          <w:sz w:val="30"/>
          <w:szCs w:val="30"/>
        </w:rPr>
      </w:pPr>
    </w:p>
    <w:p>
      <w:pPr>
        <w:pStyle w:val="9"/>
        <w:spacing w:before="0" w:after="0" w:line="440" w:lineRule="exact"/>
        <w:jc w:val="center"/>
        <w:rPr>
          <w:rFonts w:ascii="宋体" w:hAnsi="宋体" w:cs="宋体"/>
          <w:color w:val="auto"/>
          <w:sz w:val="30"/>
          <w:szCs w:val="30"/>
        </w:rPr>
      </w:pPr>
      <w:r>
        <w:rPr>
          <w:rFonts w:hint="eastAsia" w:ascii="宋体" w:hAnsi="宋体" w:cs="宋体"/>
          <w:color w:val="auto"/>
          <w:sz w:val="30"/>
          <w:szCs w:val="30"/>
        </w:rPr>
        <w:t>博爱县第一中学理化生实验室采购项目</w:t>
      </w:r>
    </w:p>
    <w:p>
      <w:pPr>
        <w:pStyle w:val="9"/>
        <w:spacing w:before="0" w:after="0" w:line="440" w:lineRule="exact"/>
        <w:jc w:val="center"/>
        <w:rPr>
          <w:color w:val="auto"/>
          <w:sz w:val="30"/>
          <w:szCs w:val="30"/>
        </w:rPr>
      </w:pPr>
      <w:bookmarkStart w:id="8" w:name="_Toc23330"/>
      <w:bookmarkStart w:id="9" w:name="_Toc227"/>
      <w:r>
        <w:rPr>
          <w:rFonts w:hint="eastAsia" w:ascii="宋体" w:hAnsi="宋体" w:cs="宋体"/>
          <w:color w:val="auto"/>
          <w:sz w:val="30"/>
          <w:szCs w:val="30"/>
        </w:rPr>
        <w:t>竞争性谈判公告（不见面开标）</w:t>
      </w:r>
      <w:bookmarkEnd w:id="8"/>
      <w:bookmarkEnd w:id="9"/>
    </w:p>
    <w:tbl>
      <w:tblPr>
        <w:tblStyle w:val="26"/>
        <w:tblW w:w="86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4" w:hRule="atLeast"/>
          <w:jc w:val="center"/>
        </w:trPr>
        <w:tc>
          <w:tcPr>
            <w:tcW w:w="8620" w:type="dxa"/>
            <w:vAlign w:val="center"/>
          </w:tcPr>
          <w:p>
            <w:pPr>
              <w:pStyle w:val="5"/>
              <w:spacing w:after="0" w:line="440" w:lineRule="exact"/>
              <w:ind w:left="0" w:leftChars="0" w:firstLine="480"/>
              <w:rPr>
                <w:rFonts w:ascii="宋体" w:hAnsi="宋体" w:cs="宋体"/>
                <w:color w:val="auto"/>
                <w:sz w:val="24"/>
              </w:rPr>
            </w:pPr>
            <w:r>
              <w:rPr>
                <w:rFonts w:hint="eastAsia" w:ascii="宋体" w:hAnsi="宋体" w:cs="宋体"/>
                <w:color w:val="auto"/>
                <w:sz w:val="24"/>
              </w:rPr>
              <w:t>重要提醒：博爱县第一中学理化生实验室采购项目的潜在供应商,须在</w:t>
            </w:r>
            <w:r>
              <w:rPr>
                <w:rFonts w:hint="eastAsia" w:ascii="宋体" w:hAnsi="宋体" w:cs="宋体"/>
                <w:color w:val="auto"/>
                <w:sz w:val="24"/>
                <w:shd w:val="clear" w:color="auto" w:fill="FFFFFF"/>
              </w:rPr>
              <w:t>焦作市公共资源交易中心网站获取采购文件及相关补充文件</w:t>
            </w:r>
            <w:r>
              <w:rPr>
                <w:rFonts w:hint="eastAsia" w:ascii="宋体" w:hAnsi="宋体" w:cs="宋体"/>
                <w:color w:val="auto"/>
                <w:sz w:val="24"/>
              </w:rPr>
              <w:t>，并于</w:t>
            </w:r>
            <w:r>
              <w:rPr>
                <w:rFonts w:hint="eastAsia" w:ascii="宋体" w:hAnsi="宋体" w:cs="宋体"/>
                <w:b/>
                <w:bCs/>
                <w:color w:val="auto"/>
                <w:sz w:val="24"/>
                <w:u w:val="single"/>
              </w:rPr>
              <w:t>2023年</w:t>
            </w:r>
            <w:r>
              <w:rPr>
                <w:rFonts w:hint="eastAsia" w:ascii="宋体" w:hAnsi="宋体" w:cs="宋体"/>
                <w:b/>
                <w:bCs/>
                <w:color w:val="auto"/>
                <w:sz w:val="24"/>
                <w:u w:val="single"/>
                <w:lang w:val="en-US" w:eastAsia="zh-CN"/>
              </w:rPr>
              <w:t>9</w:t>
            </w:r>
            <w:r>
              <w:rPr>
                <w:rFonts w:hint="eastAsia" w:ascii="宋体" w:hAnsi="宋体" w:cs="宋体"/>
                <w:b/>
                <w:bCs/>
                <w:color w:val="auto"/>
                <w:sz w:val="24"/>
                <w:u w:val="single"/>
              </w:rPr>
              <w:t>月</w:t>
            </w:r>
            <w:r>
              <w:rPr>
                <w:rFonts w:hint="eastAsia" w:ascii="宋体" w:hAnsi="宋体" w:cs="宋体"/>
                <w:b/>
                <w:bCs/>
                <w:color w:val="auto"/>
                <w:sz w:val="24"/>
                <w:u w:val="single"/>
                <w:lang w:val="en-US" w:eastAsia="zh-CN"/>
              </w:rPr>
              <w:t>27</w:t>
            </w:r>
            <w:r>
              <w:rPr>
                <w:rFonts w:hint="eastAsia" w:ascii="宋体" w:hAnsi="宋体" w:cs="宋体"/>
                <w:b/>
                <w:bCs/>
                <w:color w:val="auto"/>
                <w:sz w:val="24"/>
                <w:u w:val="single"/>
              </w:rPr>
              <w:t>日 9 时 00分（北京时间）</w:t>
            </w:r>
            <w:r>
              <w:rPr>
                <w:rFonts w:hint="eastAsia" w:ascii="宋体" w:hAnsi="宋体" w:cs="宋体"/>
                <w:color w:val="auto"/>
                <w:sz w:val="24"/>
              </w:rPr>
              <w:t>前</w:t>
            </w:r>
            <w:r>
              <w:rPr>
                <w:rFonts w:hint="eastAsia" w:ascii="宋体" w:hAnsi="宋体" w:cs="宋体"/>
                <w:color w:val="auto"/>
                <w:sz w:val="24"/>
                <w:shd w:val="clear" w:color="auto" w:fill="FFFFFF"/>
              </w:rPr>
              <w:t>提交响应文件</w:t>
            </w:r>
            <w:r>
              <w:rPr>
                <w:rFonts w:hint="eastAsia" w:ascii="宋体" w:hAnsi="宋体" w:cs="宋体"/>
                <w:color w:val="auto"/>
                <w:sz w:val="24"/>
              </w:rPr>
              <w:t>。</w:t>
            </w:r>
          </w:p>
        </w:tc>
      </w:tr>
    </w:tbl>
    <w:p>
      <w:pPr>
        <w:pStyle w:val="52"/>
        <w:spacing w:line="440" w:lineRule="exact"/>
        <w:ind w:firstLine="482"/>
        <w:jc w:val="left"/>
        <w:rPr>
          <w:rFonts w:ascii="宋体" w:hAnsi="宋体" w:cs="宋体"/>
          <w:b/>
          <w:bCs/>
          <w:color w:val="auto"/>
          <w:kern w:val="0"/>
          <w:sz w:val="24"/>
        </w:rPr>
      </w:pPr>
      <w:r>
        <w:rPr>
          <w:rFonts w:hint="eastAsia" w:ascii="宋体" w:hAnsi="宋体" w:cs="宋体"/>
          <w:b/>
          <w:bCs/>
          <w:color w:val="auto"/>
          <w:kern w:val="0"/>
          <w:sz w:val="24"/>
        </w:rPr>
        <w:t>一、项目基本情况</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1．采购编号：博政采购〔2023〕84号</w:t>
      </w:r>
    </w:p>
    <w:p>
      <w:pPr>
        <w:adjustRightInd w:val="0"/>
        <w:snapToGrid w:val="0"/>
        <w:spacing w:line="440" w:lineRule="exact"/>
        <w:ind w:firstLine="480" w:firstLineChars="200"/>
        <w:rPr>
          <w:rFonts w:ascii="宋体" w:hAnsi="宋体" w:cs="宋体"/>
          <w:color w:val="auto"/>
          <w:kern w:val="0"/>
          <w:sz w:val="24"/>
          <w:highlight w:val="red"/>
        </w:rPr>
      </w:pPr>
      <w:r>
        <w:rPr>
          <w:rFonts w:hint="eastAsia" w:ascii="宋体" w:hAnsi="宋体" w:cs="宋体"/>
          <w:color w:val="auto"/>
          <w:kern w:val="0"/>
          <w:sz w:val="24"/>
        </w:rPr>
        <w:t>2．项目名称：博爱县第一中学理化生实验室采购项目</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 xml:space="preserve">3．采购方式：竞争性谈判  </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4．预算金额：1000000.00元</w:t>
      </w:r>
    </w:p>
    <w:p>
      <w:pPr>
        <w:adjustRightInd w:val="0"/>
        <w:snapToGrid w:val="0"/>
        <w:spacing w:line="440" w:lineRule="exact"/>
        <w:ind w:firstLine="480" w:firstLineChars="200"/>
        <w:rPr>
          <w:rFonts w:ascii="宋体" w:hAnsi="宋体" w:cs="宋体"/>
          <w:i/>
          <w:iCs/>
          <w:color w:val="auto"/>
          <w:kern w:val="0"/>
          <w:sz w:val="24"/>
          <w:u w:val="single"/>
        </w:rPr>
      </w:pPr>
      <w:r>
        <w:rPr>
          <w:rFonts w:hint="eastAsia" w:ascii="宋体" w:hAnsi="宋体" w:cs="宋体"/>
          <w:color w:val="auto"/>
          <w:kern w:val="0"/>
          <w:sz w:val="24"/>
        </w:rPr>
        <w:t xml:space="preserve">5．资金来源：上级财政资金 </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6．采购内容：新建物理力学实验室（56座）2个、新建物理准备室及仪器室1个、建通风化学实验室（56座）2个、新建化学准备室及仪器室1个、新建生物实验室（56座）2个、新建生物准备室及仪器室1个、物理实验室改造2个、化学不通风改造成通风实验室2个、生物实验室改造1个。（具体要求详见谈判文件）</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 xml:space="preserve">7．供货及安装期：合同签订后15日历天内完成供货和安装。 </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8．质量要求：合格，符合国家、行业规范标准。</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9．是否接受进口产品：否</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10.是否只面向中小企业采购：是</w:t>
      </w:r>
    </w:p>
    <w:p>
      <w:pPr>
        <w:adjustRightInd w:val="0"/>
        <w:snapToGrid w:val="0"/>
        <w:spacing w:line="440" w:lineRule="exact"/>
        <w:ind w:firstLine="482" w:firstLineChars="200"/>
        <w:rPr>
          <w:rFonts w:ascii="宋体" w:hAnsi="宋体" w:cs="宋体"/>
          <w:color w:val="auto"/>
          <w:kern w:val="0"/>
          <w:sz w:val="24"/>
        </w:rPr>
      </w:pPr>
      <w:r>
        <w:rPr>
          <w:rFonts w:hint="eastAsia" w:ascii="宋体" w:hAnsi="宋体" w:cs="宋体"/>
          <w:b/>
          <w:bCs/>
          <w:color w:val="auto"/>
          <w:kern w:val="0"/>
          <w:sz w:val="24"/>
        </w:rPr>
        <w:t>二、申请人资格要求</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1. 符合《中华人民共和国政府采购法》第二十二条之规定；</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2. 落实政府采购政策需满足的资格要求：</w:t>
      </w:r>
      <w:r>
        <w:rPr>
          <w:rFonts w:hint="eastAsia" w:ascii="宋体" w:hAnsi="宋体" w:cs="宋体"/>
          <w:color w:val="auto"/>
          <w:sz w:val="24"/>
        </w:rPr>
        <w:t>促进政府强制采购节能产品及环境标志产品优先采购，该项目全额面向中小企业采购，需要提供中小企业声明函；</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3. 本项目的特定资格要求：</w:t>
      </w:r>
    </w:p>
    <w:p>
      <w:pPr>
        <w:adjustRightInd w:val="0"/>
        <w:snapToGrid w:val="0"/>
        <w:spacing w:line="440" w:lineRule="exact"/>
        <w:ind w:firstLine="480" w:firstLineChars="200"/>
        <w:rPr>
          <w:rFonts w:ascii="宋体" w:hAnsi="宋体" w:cs="宋体"/>
          <w:color w:val="auto"/>
          <w:sz w:val="24"/>
          <w:shd w:val="clear" w:color="auto" w:fill="FFFFFF"/>
        </w:rPr>
      </w:pPr>
      <w:r>
        <w:rPr>
          <w:rFonts w:hint="eastAsia" w:ascii="宋体" w:hAnsi="宋体" w:cs="宋体"/>
          <w:color w:val="auto"/>
          <w:kern w:val="0"/>
          <w:sz w:val="24"/>
        </w:rPr>
        <w:t>3.1供应商须具有有效的营业执照，并具有实施完成本项目的经营实力和完善的售后服务体系</w:t>
      </w:r>
      <w:r>
        <w:rPr>
          <w:rFonts w:hint="eastAsia" w:ascii="宋体" w:hAnsi="宋体" w:cs="宋体"/>
          <w:color w:val="auto"/>
          <w:sz w:val="24"/>
          <w:shd w:val="clear" w:color="auto" w:fill="FFFFFF"/>
        </w:rPr>
        <w:t>；</w:t>
      </w:r>
    </w:p>
    <w:p>
      <w:pPr>
        <w:pStyle w:val="4"/>
        <w:spacing w:after="0" w:line="440" w:lineRule="exact"/>
        <w:ind w:firstLine="480" w:firstLineChars="200"/>
        <w:rPr>
          <w:rFonts w:ascii="宋体" w:hAnsi="宋体" w:cs="宋体"/>
          <w:color w:val="auto"/>
        </w:rPr>
      </w:pPr>
      <w:r>
        <w:rPr>
          <w:rFonts w:hint="eastAsia" w:ascii="宋体" w:hAnsi="宋体" w:cs="宋体"/>
          <w:color w:val="auto"/>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3.3 本项目不接受联合体投标；</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3.4 资格审查方式：资格后审。</w:t>
      </w:r>
    </w:p>
    <w:p>
      <w:pPr>
        <w:widowControl/>
        <w:spacing w:line="44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三、获取采购文件</w:t>
      </w:r>
    </w:p>
    <w:p>
      <w:pPr>
        <w:spacing w:line="440" w:lineRule="exact"/>
        <w:ind w:firstLine="482" w:firstLineChars="200"/>
        <w:rPr>
          <w:rFonts w:ascii="宋体" w:hAnsi="宋体" w:cs="宋体"/>
          <w:b/>
          <w:bCs/>
          <w:color w:val="auto"/>
          <w:sz w:val="24"/>
        </w:rPr>
      </w:pPr>
      <w:r>
        <w:rPr>
          <w:rFonts w:hint="eastAsia" w:ascii="宋体" w:hAnsi="宋体" w:cs="宋体"/>
          <w:b/>
          <w:bCs/>
          <w:color w:val="auto"/>
          <w:sz w:val="24"/>
        </w:rPr>
        <w:t>1. 时间：</w:t>
      </w:r>
      <w:r>
        <w:rPr>
          <w:rFonts w:hint="eastAsia" w:ascii="宋体" w:hAnsi="宋体" w:cs="宋体"/>
          <w:b/>
          <w:bCs/>
          <w:color w:val="auto"/>
          <w:sz w:val="24"/>
          <w:u w:val="single"/>
        </w:rPr>
        <w:t>2023年</w:t>
      </w:r>
      <w:r>
        <w:rPr>
          <w:rFonts w:hint="eastAsia" w:ascii="宋体" w:hAnsi="宋体" w:cs="宋体"/>
          <w:b/>
          <w:bCs/>
          <w:color w:val="auto"/>
          <w:sz w:val="24"/>
          <w:u w:val="single"/>
          <w:lang w:val="en-US" w:eastAsia="zh-CN"/>
        </w:rPr>
        <w:t>9</w:t>
      </w:r>
      <w:r>
        <w:rPr>
          <w:rFonts w:hint="eastAsia" w:ascii="宋体" w:hAnsi="宋体" w:cs="宋体"/>
          <w:b/>
          <w:bCs/>
          <w:color w:val="auto"/>
          <w:sz w:val="24"/>
          <w:u w:val="single"/>
        </w:rPr>
        <w:t>月</w:t>
      </w:r>
      <w:r>
        <w:rPr>
          <w:rFonts w:hint="eastAsia" w:ascii="宋体" w:hAnsi="宋体" w:cs="宋体"/>
          <w:b/>
          <w:bCs/>
          <w:color w:val="auto"/>
          <w:sz w:val="24"/>
          <w:u w:val="single"/>
          <w:lang w:val="en-US" w:eastAsia="zh-CN"/>
        </w:rPr>
        <w:t>19</w:t>
      </w:r>
      <w:r>
        <w:rPr>
          <w:rFonts w:hint="eastAsia" w:ascii="宋体" w:hAnsi="宋体" w:cs="宋体"/>
          <w:b/>
          <w:bCs/>
          <w:color w:val="auto"/>
          <w:sz w:val="24"/>
          <w:u w:val="single"/>
        </w:rPr>
        <w:t>日至2023年</w:t>
      </w:r>
      <w:r>
        <w:rPr>
          <w:rFonts w:hint="eastAsia" w:ascii="宋体" w:hAnsi="宋体" w:cs="宋体"/>
          <w:b/>
          <w:bCs/>
          <w:color w:val="auto"/>
          <w:sz w:val="24"/>
          <w:u w:val="single"/>
          <w:lang w:val="en-US" w:eastAsia="zh-CN"/>
        </w:rPr>
        <w:t>9</w:t>
      </w:r>
      <w:r>
        <w:rPr>
          <w:rFonts w:hint="eastAsia" w:ascii="宋体" w:hAnsi="宋体" w:cs="宋体"/>
          <w:b/>
          <w:bCs/>
          <w:color w:val="auto"/>
          <w:sz w:val="24"/>
          <w:u w:val="single"/>
        </w:rPr>
        <w:t>月</w:t>
      </w:r>
      <w:r>
        <w:rPr>
          <w:rFonts w:hint="eastAsia" w:ascii="宋体" w:hAnsi="宋体" w:cs="宋体"/>
          <w:b/>
          <w:bCs/>
          <w:color w:val="auto"/>
          <w:sz w:val="24"/>
          <w:u w:val="single"/>
          <w:lang w:val="en-US" w:eastAsia="zh-CN"/>
        </w:rPr>
        <w:t>21</w:t>
      </w:r>
      <w:r>
        <w:rPr>
          <w:rFonts w:hint="eastAsia" w:ascii="宋体" w:hAnsi="宋体" w:cs="宋体"/>
          <w:b/>
          <w:bCs/>
          <w:color w:val="auto"/>
          <w:sz w:val="24"/>
          <w:u w:val="single"/>
        </w:rPr>
        <w:t>日（北京时间）；</w:t>
      </w:r>
    </w:p>
    <w:p>
      <w:pPr>
        <w:spacing w:line="440" w:lineRule="exact"/>
        <w:ind w:firstLine="480" w:firstLineChars="200"/>
        <w:rPr>
          <w:rFonts w:ascii="宋体" w:hAnsi="宋体" w:cs="宋体"/>
          <w:color w:val="auto"/>
          <w:sz w:val="24"/>
        </w:rPr>
      </w:pPr>
      <w:r>
        <w:rPr>
          <w:rFonts w:hint="eastAsia" w:ascii="宋体" w:hAnsi="宋体" w:cs="宋体"/>
          <w:color w:val="auto"/>
          <w:sz w:val="24"/>
        </w:rPr>
        <w:t>2. 地点：凡有意参加投标者，请登录焦作市公共资源交易中心网站会员系统进行网上下载。凡未在会员系统内完成下载文件者，视为无效投标。（联系电话：0391-3568920，QQ：232850725、361532918（群）；</w:t>
      </w:r>
    </w:p>
    <w:p>
      <w:pPr>
        <w:spacing w:line="440" w:lineRule="exact"/>
        <w:ind w:firstLine="480" w:firstLineChars="200"/>
        <w:rPr>
          <w:rFonts w:ascii="宋体" w:hAnsi="宋体" w:cs="宋体"/>
          <w:color w:val="auto"/>
          <w:sz w:val="24"/>
        </w:rPr>
      </w:pPr>
      <w:r>
        <w:rPr>
          <w:rFonts w:hint="eastAsia" w:ascii="宋体" w:hAnsi="宋体" w:cs="宋体"/>
          <w:color w:val="auto"/>
          <w:sz w:val="24"/>
        </w:rPr>
        <w:t>3. 方式：网上下载。</w:t>
      </w:r>
    </w:p>
    <w:p>
      <w:pPr>
        <w:adjustRightInd w:val="0"/>
        <w:snapToGrid w:val="0"/>
        <w:spacing w:line="440" w:lineRule="exact"/>
        <w:ind w:firstLine="482" w:firstLineChars="200"/>
        <w:rPr>
          <w:rFonts w:ascii="宋体" w:hAnsi="宋体" w:cs="宋体"/>
          <w:b/>
          <w:color w:val="auto"/>
          <w:kern w:val="0"/>
          <w:sz w:val="24"/>
        </w:rPr>
      </w:pPr>
      <w:r>
        <w:rPr>
          <w:rFonts w:hint="eastAsia" w:ascii="宋体" w:hAnsi="宋体" w:cs="宋体"/>
          <w:b/>
          <w:color w:val="auto"/>
          <w:kern w:val="0"/>
          <w:sz w:val="24"/>
        </w:rPr>
        <w:t>四、响应文件提交</w:t>
      </w:r>
    </w:p>
    <w:p>
      <w:pPr>
        <w:adjustRightInd w:val="0"/>
        <w:snapToGrid w:val="0"/>
        <w:spacing w:line="440" w:lineRule="exact"/>
        <w:ind w:firstLine="482" w:firstLineChars="200"/>
        <w:rPr>
          <w:rFonts w:ascii="宋体" w:hAnsi="宋体" w:cs="宋体"/>
          <w:color w:val="auto"/>
          <w:kern w:val="0"/>
          <w:sz w:val="24"/>
        </w:rPr>
      </w:pPr>
      <w:r>
        <w:rPr>
          <w:rFonts w:hint="eastAsia" w:ascii="宋体" w:hAnsi="宋体" w:cs="宋体"/>
          <w:b/>
          <w:bCs/>
          <w:color w:val="auto"/>
          <w:kern w:val="0"/>
          <w:sz w:val="24"/>
        </w:rPr>
        <w:t>1. 截止时间：</w:t>
      </w:r>
      <w:r>
        <w:rPr>
          <w:rFonts w:hint="eastAsia" w:ascii="宋体" w:hAnsi="宋体" w:cs="宋体"/>
          <w:b/>
          <w:bCs/>
          <w:color w:val="auto"/>
          <w:sz w:val="24"/>
          <w:u w:val="single"/>
        </w:rPr>
        <w:t>2023年</w:t>
      </w:r>
      <w:r>
        <w:rPr>
          <w:rFonts w:hint="eastAsia" w:ascii="宋体" w:hAnsi="宋体" w:cs="宋体"/>
          <w:b/>
          <w:bCs/>
          <w:color w:val="auto"/>
          <w:sz w:val="24"/>
          <w:u w:val="single"/>
          <w:lang w:val="en-US" w:eastAsia="zh-CN"/>
        </w:rPr>
        <w:t>9</w:t>
      </w:r>
      <w:r>
        <w:rPr>
          <w:rFonts w:hint="eastAsia" w:ascii="宋体" w:hAnsi="宋体" w:cs="宋体"/>
          <w:b/>
          <w:bCs/>
          <w:color w:val="auto"/>
          <w:sz w:val="24"/>
          <w:u w:val="single"/>
        </w:rPr>
        <w:t>月</w:t>
      </w:r>
      <w:r>
        <w:rPr>
          <w:rFonts w:hint="eastAsia" w:ascii="宋体" w:hAnsi="宋体" w:cs="宋体"/>
          <w:b/>
          <w:bCs/>
          <w:color w:val="auto"/>
          <w:sz w:val="24"/>
          <w:u w:val="single"/>
          <w:lang w:val="en-US" w:eastAsia="zh-CN"/>
        </w:rPr>
        <w:t>27</w:t>
      </w:r>
      <w:r>
        <w:rPr>
          <w:rFonts w:hint="eastAsia" w:ascii="宋体" w:hAnsi="宋体" w:cs="宋体"/>
          <w:b/>
          <w:bCs/>
          <w:color w:val="auto"/>
          <w:sz w:val="24"/>
          <w:u w:val="single"/>
        </w:rPr>
        <w:t>日9时00分（北京时间）</w:t>
      </w:r>
      <w:r>
        <w:rPr>
          <w:rFonts w:hint="eastAsia" w:ascii="宋体" w:hAnsi="宋体" w:cs="宋体"/>
          <w:b/>
          <w:bCs/>
          <w:color w:val="auto"/>
          <w:kern w:val="0"/>
          <w:sz w:val="24"/>
          <w:u w:val="single"/>
        </w:rPr>
        <w:t>；</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2. 地点：</w:t>
      </w:r>
      <w:r>
        <w:rPr>
          <w:rFonts w:hint="eastAsia" w:ascii="宋体" w:hAnsi="宋体" w:cs="宋体"/>
          <w:color w:val="auto"/>
          <w:sz w:val="24"/>
          <w:shd w:val="clear" w:color="auto" w:fill="FFFFFF"/>
        </w:rPr>
        <w:t>焦作市公共资源交易中心网站会员系统；</w:t>
      </w:r>
    </w:p>
    <w:p>
      <w:pPr>
        <w:adjustRightInd w:val="0"/>
        <w:snapToGrid w:val="0"/>
        <w:spacing w:line="440" w:lineRule="exact"/>
        <w:ind w:firstLine="482" w:firstLineChars="200"/>
        <w:rPr>
          <w:rFonts w:ascii="宋体" w:hAnsi="宋体" w:cs="宋体"/>
          <w:b/>
          <w:bCs/>
          <w:color w:val="auto"/>
          <w:kern w:val="0"/>
          <w:sz w:val="24"/>
        </w:rPr>
      </w:pPr>
      <w:r>
        <w:rPr>
          <w:rFonts w:hint="eastAsia" w:ascii="宋体" w:hAnsi="宋体" w:cs="宋体"/>
          <w:b/>
          <w:bCs/>
          <w:color w:val="auto"/>
          <w:kern w:val="0"/>
          <w:sz w:val="24"/>
        </w:rPr>
        <w:t>五、开启</w:t>
      </w:r>
    </w:p>
    <w:p>
      <w:pPr>
        <w:adjustRightInd w:val="0"/>
        <w:snapToGrid w:val="0"/>
        <w:spacing w:line="440" w:lineRule="exact"/>
        <w:ind w:firstLine="482" w:firstLineChars="200"/>
        <w:rPr>
          <w:rFonts w:ascii="宋体" w:hAnsi="宋体" w:cs="宋体"/>
          <w:b/>
          <w:bCs/>
          <w:color w:val="auto"/>
          <w:kern w:val="0"/>
          <w:sz w:val="24"/>
        </w:rPr>
      </w:pPr>
      <w:r>
        <w:rPr>
          <w:rFonts w:hint="eastAsia" w:ascii="宋体" w:hAnsi="宋体" w:cs="宋体"/>
          <w:b/>
          <w:bCs/>
          <w:color w:val="auto"/>
          <w:kern w:val="0"/>
          <w:sz w:val="24"/>
        </w:rPr>
        <w:t>1. 时间：</w:t>
      </w:r>
      <w:r>
        <w:rPr>
          <w:rFonts w:hint="eastAsia" w:ascii="宋体" w:hAnsi="宋体" w:cs="宋体"/>
          <w:b/>
          <w:bCs/>
          <w:color w:val="auto"/>
          <w:sz w:val="24"/>
          <w:u w:val="single"/>
        </w:rPr>
        <w:t>2023年</w:t>
      </w:r>
      <w:r>
        <w:rPr>
          <w:rFonts w:hint="eastAsia" w:ascii="宋体" w:hAnsi="宋体" w:cs="宋体"/>
          <w:b/>
          <w:bCs/>
          <w:color w:val="auto"/>
          <w:sz w:val="24"/>
          <w:u w:val="single"/>
          <w:lang w:val="en-US" w:eastAsia="zh-CN"/>
        </w:rPr>
        <w:t>9</w:t>
      </w:r>
      <w:r>
        <w:rPr>
          <w:rFonts w:hint="eastAsia" w:ascii="宋体" w:hAnsi="宋体" w:cs="宋体"/>
          <w:b/>
          <w:bCs/>
          <w:color w:val="auto"/>
          <w:sz w:val="24"/>
          <w:u w:val="single"/>
        </w:rPr>
        <w:t>月</w:t>
      </w:r>
      <w:r>
        <w:rPr>
          <w:rFonts w:hint="eastAsia" w:ascii="宋体" w:hAnsi="宋体" w:cs="宋体"/>
          <w:b/>
          <w:bCs/>
          <w:color w:val="auto"/>
          <w:sz w:val="24"/>
          <w:u w:val="single"/>
          <w:lang w:val="en-US" w:eastAsia="zh-CN"/>
        </w:rPr>
        <w:t>27</w:t>
      </w:r>
      <w:r>
        <w:rPr>
          <w:rFonts w:hint="eastAsia" w:ascii="宋体" w:hAnsi="宋体" w:cs="宋体"/>
          <w:b/>
          <w:bCs/>
          <w:color w:val="auto"/>
          <w:sz w:val="24"/>
          <w:u w:val="single"/>
        </w:rPr>
        <w:t>日9时00分（北京时间）</w:t>
      </w:r>
      <w:r>
        <w:rPr>
          <w:rFonts w:hint="eastAsia" w:ascii="宋体" w:hAnsi="宋体" w:cs="宋体"/>
          <w:b/>
          <w:bCs/>
          <w:color w:val="auto"/>
          <w:kern w:val="0"/>
          <w:sz w:val="24"/>
          <w:u w:val="single"/>
        </w:rPr>
        <w:t>；</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2. 地点：博爱县公共资源交易中心不见面开标</w:t>
      </w:r>
      <w:r>
        <w:rPr>
          <w:rFonts w:hint="eastAsia" w:ascii="宋体" w:hAnsi="宋体" w:cs="宋体"/>
          <w:color w:val="auto"/>
          <w:kern w:val="0"/>
          <w:sz w:val="24"/>
          <w:lang w:eastAsia="zh-CN"/>
        </w:rPr>
        <w:t>二</w:t>
      </w:r>
      <w:r>
        <w:rPr>
          <w:rFonts w:hint="eastAsia" w:ascii="宋体" w:hAnsi="宋体" w:cs="宋体"/>
          <w:color w:val="auto"/>
          <w:kern w:val="0"/>
          <w:sz w:val="24"/>
        </w:rPr>
        <w:t>室；</w:t>
      </w:r>
    </w:p>
    <w:p>
      <w:pPr>
        <w:adjustRightInd w:val="0"/>
        <w:snapToGrid w:val="0"/>
        <w:spacing w:line="440" w:lineRule="exact"/>
        <w:ind w:firstLine="482" w:firstLineChars="200"/>
        <w:rPr>
          <w:rFonts w:ascii="宋体" w:hAnsi="宋体" w:cs="宋体"/>
          <w:b/>
          <w:bCs/>
          <w:color w:val="auto"/>
          <w:sz w:val="24"/>
        </w:rPr>
      </w:pPr>
      <w:r>
        <w:rPr>
          <w:rFonts w:hint="eastAsia" w:ascii="宋体" w:hAnsi="宋体" w:cs="宋体"/>
          <w:b/>
          <w:bCs/>
          <w:color w:val="auto"/>
          <w:sz w:val="24"/>
        </w:rPr>
        <w:t>六、公告期限</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自本公告发布之日起3个工作日。</w:t>
      </w:r>
    </w:p>
    <w:p>
      <w:pPr>
        <w:adjustRightInd w:val="0"/>
        <w:snapToGrid w:val="0"/>
        <w:spacing w:line="440" w:lineRule="exact"/>
        <w:ind w:firstLine="482" w:firstLineChars="200"/>
        <w:rPr>
          <w:rFonts w:ascii="宋体" w:hAnsi="宋体" w:cs="宋体"/>
          <w:b/>
          <w:bCs/>
          <w:color w:val="auto"/>
          <w:sz w:val="24"/>
        </w:rPr>
      </w:pPr>
      <w:r>
        <w:rPr>
          <w:rFonts w:hint="eastAsia" w:ascii="宋体" w:hAnsi="宋体" w:cs="宋体"/>
          <w:b/>
          <w:bCs/>
          <w:color w:val="auto"/>
          <w:sz w:val="24"/>
        </w:rPr>
        <w:t>七、其他补充事宜</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1. 本公告在《</w:t>
      </w:r>
      <w:r>
        <w:rPr>
          <w:rFonts w:hint="eastAsia" w:ascii="宋体" w:hAnsi="宋体" w:cs="宋体"/>
          <w:bCs/>
          <w:color w:val="auto"/>
          <w:sz w:val="24"/>
        </w:rPr>
        <w:t>中国招标投标公共服务平台》、《</w:t>
      </w:r>
      <w:r>
        <w:rPr>
          <w:rFonts w:hint="eastAsia" w:ascii="宋体" w:hAnsi="宋体" w:cs="宋体"/>
          <w:color w:val="auto"/>
          <w:sz w:val="24"/>
        </w:rPr>
        <w:t>中国政府采购网河南分网</w:t>
      </w:r>
      <w:r>
        <w:rPr>
          <w:rFonts w:hint="eastAsia" w:ascii="宋体" w:hAnsi="宋体" w:cs="宋体"/>
          <w:bCs/>
          <w:color w:val="auto"/>
          <w:sz w:val="24"/>
        </w:rPr>
        <w:t>》</w:t>
      </w:r>
      <w:r>
        <w:rPr>
          <w:rFonts w:hint="eastAsia" w:ascii="宋体" w:hAnsi="宋体" w:cs="宋体"/>
          <w:color w:val="auto"/>
          <w:sz w:val="24"/>
        </w:rPr>
        <w:t>、</w:t>
      </w:r>
      <w:r>
        <w:rPr>
          <w:rFonts w:hint="eastAsia" w:ascii="宋体" w:hAnsi="宋体" w:cs="宋体"/>
          <w:bCs/>
          <w:color w:val="auto"/>
          <w:sz w:val="24"/>
        </w:rPr>
        <w:t>《</w:t>
      </w:r>
      <w:r>
        <w:rPr>
          <w:rFonts w:hint="eastAsia" w:ascii="宋体" w:hAnsi="宋体" w:cs="宋体"/>
          <w:color w:val="auto"/>
          <w:sz w:val="24"/>
        </w:rPr>
        <w:t>焦作市政府采购网</w:t>
      </w:r>
      <w:r>
        <w:rPr>
          <w:rFonts w:hint="eastAsia" w:ascii="宋体" w:hAnsi="宋体" w:cs="宋体"/>
          <w:bCs/>
          <w:color w:val="auto"/>
          <w:sz w:val="24"/>
        </w:rPr>
        <w:t>》</w:t>
      </w:r>
      <w:r>
        <w:rPr>
          <w:rFonts w:hint="eastAsia" w:ascii="宋体" w:hAnsi="宋体" w:cs="宋体"/>
          <w:color w:val="auto"/>
          <w:sz w:val="24"/>
        </w:rPr>
        <w:t>、</w:t>
      </w:r>
      <w:r>
        <w:rPr>
          <w:rFonts w:hint="eastAsia" w:ascii="宋体" w:hAnsi="宋体" w:cs="宋体"/>
          <w:bCs/>
          <w:color w:val="auto"/>
          <w:sz w:val="24"/>
        </w:rPr>
        <w:t>《</w:t>
      </w:r>
      <w:r>
        <w:rPr>
          <w:rFonts w:hint="eastAsia" w:ascii="宋体" w:hAnsi="宋体" w:cs="宋体"/>
          <w:color w:val="auto"/>
          <w:sz w:val="24"/>
        </w:rPr>
        <w:t>焦作市公共资源交易中心网</w:t>
      </w:r>
      <w:r>
        <w:rPr>
          <w:rFonts w:hint="eastAsia" w:ascii="宋体" w:hAnsi="宋体" w:cs="宋体"/>
          <w:bCs/>
          <w:color w:val="auto"/>
          <w:sz w:val="24"/>
        </w:rPr>
        <w:t>》</w:t>
      </w:r>
      <w:r>
        <w:rPr>
          <w:rFonts w:hint="eastAsia" w:ascii="宋体" w:hAnsi="宋体" w:cs="宋体"/>
          <w:color w:val="auto"/>
          <w:sz w:val="24"/>
        </w:rPr>
        <w:t>、</w:t>
      </w:r>
      <w:r>
        <w:rPr>
          <w:rFonts w:hint="eastAsia" w:ascii="宋体" w:hAnsi="宋体" w:cs="宋体"/>
          <w:bCs/>
          <w:color w:val="auto"/>
          <w:sz w:val="24"/>
        </w:rPr>
        <w:t>《</w:t>
      </w:r>
      <w:r>
        <w:rPr>
          <w:rFonts w:hint="eastAsia" w:ascii="宋体" w:hAnsi="宋体" w:cs="宋体"/>
          <w:color w:val="auto"/>
          <w:sz w:val="24"/>
        </w:rPr>
        <w:t>博爱县人民政府网</w:t>
      </w:r>
      <w:r>
        <w:rPr>
          <w:rFonts w:hint="eastAsia" w:ascii="宋体" w:hAnsi="宋体" w:cs="宋体"/>
          <w:bCs/>
          <w:color w:val="auto"/>
          <w:sz w:val="24"/>
        </w:rPr>
        <w:t>》</w:t>
      </w:r>
      <w:r>
        <w:rPr>
          <w:rFonts w:hint="eastAsia" w:ascii="宋体" w:hAnsi="宋体" w:cs="宋体"/>
          <w:color w:val="auto"/>
          <w:sz w:val="24"/>
        </w:rPr>
        <w:t>、</w:t>
      </w:r>
      <w:r>
        <w:rPr>
          <w:rFonts w:hint="eastAsia" w:ascii="宋体" w:hAnsi="宋体" w:cs="宋体"/>
          <w:bCs/>
          <w:color w:val="auto"/>
          <w:sz w:val="24"/>
        </w:rPr>
        <w:t>《</w:t>
      </w:r>
      <w:r>
        <w:rPr>
          <w:rFonts w:hint="eastAsia" w:ascii="宋体" w:hAnsi="宋体" w:cs="宋体"/>
          <w:color w:val="auto"/>
          <w:sz w:val="24"/>
        </w:rPr>
        <w:t>博爱县公共资源交易中心网</w:t>
      </w:r>
      <w:r>
        <w:rPr>
          <w:rFonts w:hint="eastAsia" w:ascii="宋体" w:hAnsi="宋体" w:cs="宋体"/>
          <w:bCs/>
          <w:color w:val="auto"/>
          <w:sz w:val="24"/>
        </w:rPr>
        <w:t>》</w:t>
      </w:r>
      <w:r>
        <w:rPr>
          <w:rFonts w:hint="eastAsia" w:ascii="宋体" w:hAnsi="宋体" w:cs="宋体"/>
          <w:color w:val="auto"/>
          <w:sz w:val="24"/>
        </w:rPr>
        <w:t>上发布。</w:t>
      </w:r>
    </w:p>
    <w:p>
      <w:pPr>
        <w:pStyle w:val="23"/>
        <w:spacing w:before="0" w:beforeAutospacing="0" w:after="0" w:afterAutospacing="0" w:line="440" w:lineRule="exact"/>
        <w:ind w:firstLine="480" w:firstLineChars="200"/>
        <w:jc w:val="both"/>
        <w:rPr>
          <w:color w:val="auto"/>
        </w:rPr>
      </w:pPr>
      <w:r>
        <w:rPr>
          <w:rFonts w:hint="eastAsia"/>
          <w:color w:val="auto"/>
        </w:rPr>
        <w:t>2. 本项目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pStyle w:val="23"/>
        <w:spacing w:before="0" w:beforeAutospacing="0" w:after="0" w:afterAutospacing="0" w:line="440" w:lineRule="exact"/>
        <w:jc w:val="both"/>
        <w:rPr>
          <w:color w:val="auto"/>
        </w:rPr>
      </w:pPr>
      <w:r>
        <w:rPr>
          <w:rFonts w:hint="eastAsia"/>
          <w:color w:val="auto"/>
        </w:rPr>
        <w:t>（http://122.112.246.33/BidOpening/bidopeninghallaction/hall/login ）按要求解密响应性文件。因文件未及时上传导致投标失败的责任由供应商自行承担，具体要求详见竞争性谈判文件。 平台统一技术服务电话：400-998-0000，服务 QQ：4008503300，服务时间：周一至周日 8：00-17：30。</w:t>
      </w:r>
    </w:p>
    <w:p>
      <w:pPr>
        <w:pStyle w:val="23"/>
        <w:numPr>
          <w:ilvl w:val="0"/>
          <w:numId w:val="2"/>
        </w:numPr>
        <w:spacing w:before="0" w:beforeAutospacing="0" w:after="0" w:afterAutospacing="0" w:line="440" w:lineRule="exact"/>
        <w:ind w:firstLine="480" w:firstLineChars="200"/>
        <w:jc w:val="both"/>
        <w:rPr>
          <w:color w:val="auto"/>
        </w:rPr>
      </w:pPr>
      <w:r>
        <w:rPr>
          <w:rFonts w:hint="eastAsia"/>
          <w:color w:val="auto"/>
        </w:rPr>
        <w:t>供应商无需到现场参加开标会议，无需到达现场提交原件资料。供应商应当登录远程开标大厅准时参加开标活动并进行签到、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pPr>
        <w:adjustRightInd w:val="0"/>
        <w:snapToGrid w:val="0"/>
        <w:spacing w:line="440" w:lineRule="exact"/>
        <w:ind w:firstLine="482" w:firstLineChars="200"/>
        <w:rPr>
          <w:rFonts w:ascii="宋体" w:hAnsi="宋体" w:cs="宋体"/>
          <w:b/>
          <w:color w:val="auto"/>
          <w:kern w:val="0"/>
          <w:sz w:val="24"/>
        </w:rPr>
      </w:pPr>
      <w:r>
        <w:rPr>
          <w:rFonts w:hint="eastAsia" w:ascii="宋体" w:hAnsi="宋体" w:cs="宋体"/>
          <w:b/>
          <w:color w:val="auto"/>
          <w:kern w:val="0"/>
          <w:sz w:val="24"/>
        </w:rPr>
        <w:t>八、</w:t>
      </w:r>
      <w:r>
        <w:rPr>
          <w:rFonts w:hint="eastAsia" w:ascii="宋体" w:hAnsi="宋体" w:cs="宋体"/>
          <w:b/>
          <w:color w:val="auto"/>
          <w:sz w:val="24"/>
          <w:shd w:val="clear" w:color="auto" w:fill="FFFFFF"/>
        </w:rPr>
        <w:t>凡对本次采购提出询问，请按以下方式联系</w:t>
      </w:r>
    </w:p>
    <w:p>
      <w:pPr>
        <w:widowControl/>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1、采购人信息：</w:t>
      </w:r>
    </w:p>
    <w:p>
      <w:pPr>
        <w:widowControl/>
        <w:spacing w:line="440" w:lineRule="exact"/>
        <w:ind w:firstLine="480" w:firstLineChars="200"/>
        <w:jc w:val="left"/>
        <w:rPr>
          <w:rFonts w:ascii="宋体" w:hAnsi="宋体" w:cs="宋体"/>
          <w:color w:val="auto"/>
          <w:kern w:val="0"/>
          <w:sz w:val="24"/>
          <w:u w:val="single"/>
        </w:rPr>
      </w:pPr>
      <w:r>
        <w:rPr>
          <w:rFonts w:hint="eastAsia" w:ascii="宋体" w:hAnsi="宋体" w:cs="宋体"/>
          <w:color w:val="auto"/>
          <w:kern w:val="0"/>
          <w:sz w:val="24"/>
        </w:rPr>
        <w:t xml:space="preserve">采购人：博爱县第一中学 </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地  址：河南省博爱县团结路北段</w:t>
      </w:r>
    </w:p>
    <w:p>
      <w:pPr>
        <w:adjustRightInd w:val="0"/>
        <w:snapToGrid w:val="0"/>
        <w:spacing w:line="440" w:lineRule="exact"/>
        <w:ind w:firstLine="480" w:firstLineChars="200"/>
        <w:rPr>
          <w:rFonts w:ascii="宋体" w:hAnsi="宋体" w:cs="宋体"/>
          <w:color w:val="auto"/>
          <w:sz w:val="24"/>
          <w:u w:val="single"/>
        </w:rPr>
      </w:pPr>
      <w:r>
        <w:rPr>
          <w:rFonts w:hint="eastAsia" w:ascii="宋体" w:hAnsi="宋体" w:cs="宋体"/>
          <w:color w:val="auto"/>
          <w:sz w:val="24"/>
        </w:rPr>
        <w:t xml:space="preserve">联系人：张老师 </w:t>
      </w:r>
    </w:p>
    <w:p>
      <w:pPr>
        <w:adjustRightInd w:val="0"/>
        <w:snapToGrid w:val="0"/>
        <w:spacing w:line="440" w:lineRule="exact"/>
        <w:ind w:firstLine="480" w:firstLineChars="200"/>
        <w:rPr>
          <w:rFonts w:ascii="宋体" w:hAnsi="宋体" w:cs="宋体"/>
          <w:color w:val="auto"/>
          <w:sz w:val="24"/>
          <w:u w:val="single"/>
        </w:rPr>
      </w:pPr>
      <w:r>
        <w:rPr>
          <w:rFonts w:hint="eastAsia" w:ascii="宋体" w:hAnsi="宋体" w:cs="宋体"/>
          <w:color w:val="auto"/>
          <w:kern w:val="0"/>
          <w:sz w:val="24"/>
        </w:rPr>
        <w:t>电  话：</w:t>
      </w:r>
      <w:r>
        <w:rPr>
          <w:rFonts w:hint="eastAsia" w:ascii="宋体" w:hAnsi="宋体" w:cs="宋体"/>
          <w:color w:val="auto"/>
          <w:sz w:val="24"/>
        </w:rPr>
        <w:t xml:space="preserve"> 0391-8660350</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2、采购代理机构信息：</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名  称：河南金迪辉全过程工程咨询有限公司</w:t>
      </w:r>
    </w:p>
    <w:p>
      <w:pPr>
        <w:adjustRightInd w:val="0"/>
        <w:snapToGrid w:val="0"/>
        <w:spacing w:line="440" w:lineRule="exact"/>
        <w:ind w:firstLine="480" w:firstLineChars="200"/>
        <w:rPr>
          <w:rFonts w:ascii="宋体" w:hAnsi="宋体" w:cs="宋体"/>
          <w:color w:val="auto"/>
          <w:sz w:val="24"/>
          <w:shd w:val="clear" w:color="auto" w:fill="FFFFFF"/>
        </w:rPr>
      </w:pPr>
      <w:r>
        <w:rPr>
          <w:rFonts w:hint="eastAsia" w:ascii="宋体" w:hAnsi="宋体" w:cs="宋体"/>
          <w:color w:val="auto"/>
          <w:sz w:val="24"/>
        </w:rPr>
        <w:t>地  址：</w:t>
      </w:r>
      <w:r>
        <w:rPr>
          <w:rFonts w:hint="eastAsia" w:ascii="宋体" w:hAnsi="宋体" w:cs="宋体"/>
          <w:color w:val="auto"/>
          <w:sz w:val="24"/>
          <w:shd w:val="clear" w:color="auto" w:fill="FFFFFF"/>
        </w:rPr>
        <w:t>焦作市人民路福安家园西侧门面房369号</w:t>
      </w:r>
    </w:p>
    <w:p>
      <w:pPr>
        <w:spacing w:line="440" w:lineRule="exact"/>
        <w:ind w:firstLine="480" w:firstLineChars="200"/>
        <w:rPr>
          <w:rFonts w:ascii="宋体" w:hAnsi="宋体" w:cs="宋体"/>
          <w:color w:val="auto"/>
          <w:sz w:val="24"/>
        </w:rPr>
      </w:pPr>
      <w:r>
        <w:rPr>
          <w:rFonts w:hint="eastAsia" w:ascii="宋体" w:hAnsi="宋体" w:cs="宋体"/>
          <w:color w:val="auto"/>
          <w:sz w:val="24"/>
        </w:rPr>
        <w:t>联系人：张女士</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电  话：0391-3373880</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3、项目联系方式</w:t>
      </w:r>
    </w:p>
    <w:p>
      <w:pPr>
        <w:spacing w:line="440" w:lineRule="exact"/>
        <w:ind w:firstLine="480" w:firstLineChars="200"/>
        <w:rPr>
          <w:rFonts w:ascii="宋体" w:hAnsi="宋体" w:cs="宋体"/>
          <w:color w:val="auto"/>
          <w:sz w:val="24"/>
        </w:rPr>
      </w:pPr>
      <w:r>
        <w:rPr>
          <w:rFonts w:hint="eastAsia" w:ascii="宋体" w:hAnsi="宋体" w:cs="宋体"/>
          <w:color w:val="auto"/>
          <w:sz w:val="24"/>
        </w:rPr>
        <w:t>项目联系人：张老师</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kern w:val="0"/>
          <w:sz w:val="24"/>
        </w:rPr>
        <w:t>电  话：</w:t>
      </w:r>
      <w:r>
        <w:rPr>
          <w:rFonts w:hint="eastAsia" w:ascii="宋体" w:hAnsi="宋体" w:cs="宋体"/>
          <w:color w:val="auto"/>
          <w:sz w:val="24"/>
        </w:rPr>
        <w:t>0391-8660350</w:t>
      </w:r>
    </w:p>
    <w:p>
      <w:pPr>
        <w:pStyle w:val="5"/>
        <w:spacing w:line="440" w:lineRule="exact"/>
        <w:ind w:left="0" w:leftChars="0"/>
        <w:rPr>
          <w:color w:val="auto"/>
        </w:rPr>
      </w:pPr>
    </w:p>
    <w:p>
      <w:pPr>
        <w:widowControl/>
        <w:spacing w:line="440" w:lineRule="exact"/>
        <w:ind w:firstLine="3360" w:firstLineChars="1400"/>
        <w:rPr>
          <w:rFonts w:ascii="宋体" w:hAnsi="宋体" w:cs="宋体"/>
          <w:color w:val="auto"/>
          <w:sz w:val="24"/>
        </w:rPr>
      </w:pPr>
      <w:r>
        <w:rPr>
          <w:rFonts w:hint="eastAsia" w:ascii="宋体" w:hAnsi="宋体" w:cs="宋体"/>
          <w:color w:val="auto"/>
          <w:sz w:val="24"/>
        </w:rPr>
        <w:t>发 布 人：</w:t>
      </w:r>
      <w:r>
        <w:rPr>
          <w:rFonts w:hint="eastAsia" w:ascii="宋体" w:hAnsi="宋体" w:cs="宋体"/>
          <w:color w:val="auto"/>
          <w:kern w:val="0"/>
          <w:sz w:val="24"/>
        </w:rPr>
        <w:t xml:space="preserve">博爱县第一中学 </w:t>
      </w:r>
    </w:p>
    <w:p>
      <w:pPr>
        <w:widowControl/>
        <w:spacing w:line="440" w:lineRule="exact"/>
        <w:jc w:val="right"/>
        <w:rPr>
          <w:rFonts w:ascii="宋体" w:hAnsi="宋体" w:cs="宋体"/>
          <w:color w:val="auto"/>
          <w:sz w:val="24"/>
        </w:rPr>
      </w:pPr>
      <w:r>
        <w:rPr>
          <w:rFonts w:hint="eastAsia" w:ascii="宋体" w:hAnsi="宋体" w:cs="宋体"/>
          <w:color w:val="auto"/>
          <w:sz w:val="24"/>
        </w:rPr>
        <w:t>代理机构：河南金迪辉全过程工程咨询有限公司发布</w:t>
      </w:r>
    </w:p>
    <w:p>
      <w:pPr>
        <w:widowControl/>
        <w:spacing w:line="440" w:lineRule="exact"/>
        <w:ind w:left="240" w:hanging="240" w:hangingChars="100"/>
        <w:jc w:val="center"/>
        <w:rPr>
          <w:rFonts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时    间：2023年</w:t>
      </w:r>
      <w:r>
        <w:rPr>
          <w:rFonts w:hint="eastAsia" w:ascii="宋体" w:hAnsi="宋体" w:cs="宋体"/>
          <w:color w:val="auto"/>
          <w:sz w:val="24"/>
          <w:lang w:val="en-US" w:eastAsia="zh-CN"/>
        </w:rPr>
        <w:t>9</w:t>
      </w:r>
      <w:r>
        <w:rPr>
          <w:rFonts w:hint="eastAsia" w:ascii="宋体" w:hAnsi="宋体" w:cs="宋体"/>
          <w:color w:val="auto"/>
          <w:sz w:val="24"/>
        </w:rPr>
        <w:t xml:space="preserve"> 月</w:t>
      </w:r>
      <w:r>
        <w:rPr>
          <w:rFonts w:hint="eastAsia" w:ascii="宋体" w:hAnsi="宋体" w:cs="宋体"/>
          <w:color w:val="auto"/>
          <w:sz w:val="24"/>
          <w:lang w:val="en-US" w:eastAsia="zh-CN"/>
        </w:rPr>
        <w:t>18</w:t>
      </w:r>
      <w:r>
        <w:rPr>
          <w:rFonts w:hint="eastAsia" w:ascii="宋体" w:hAnsi="宋体" w:cs="宋体"/>
          <w:color w:val="auto"/>
          <w:sz w:val="24"/>
        </w:rPr>
        <w:t xml:space="preserve"> 日</w:t>
      </w:r>
    </w:p>
    <w:p>
      <w:pPr>
        <w:rPr>
          <w:color w:val="auto"/>
        </w:rPr>
      </w:pPr>
    </w:p>
    <w:p>
      <w:pPr>
        <w:pStyle w:val="2"/>
        <w:ind w:firstLine="210"/>
        <w:rPr>
          <w:color w:val="auto"/>
        </w:rPr>
      </w:pPr>
    </w:p>
    <w:p>
      <w:pPr>
        <w:pStyle w:val="5"/>
        <w:rPr>
          <w:color w:val="auto"/>
        </w:rPr>
      </w:pPr>
    </w:p>
    <w:p>
      <w:pPr>
        <w:pStyle w:val="8"/>
        <w:ind w:firstLine="480"/>
        <w:rPr>
          <w:color w:val="auto"/>
        </w:rPr>
      </w:pPr>
    </w:p>
    <w:p>
      <w:pPr>
        <w:pStyle w:val="8"/>
        <w:ind w:firstLine="480"/>
        <w:rPr>
          <w:color w:val="auto"/>
        </w:rPr>
      </w:pPr>
    </w:p>
    <w:p>
      <w:pPr>
        <w:pStyle w:val="8"/>
        <w:ind w:firstLine="480"/>
        <w:rPr>
          <w:color w:val="auto"/>
        </w:rPr>
      </w:pPr>
    </w:p>
    <w:p>
      <w:pPr>
        <w:pStyle w:val="8"/>
        <w:ind w:firstLine="480"/>
        <w:rPr>
          <w:color w:val="auto"/>
        </w:rPr>
      </w:pPr>
    </w:p>
    <w:p>
      <w:pPr>
        <w:pStyle w:val="9"/>
        <w:spacing w:before="0" w:after="0" w:line="360" w:lineRule="auto"/>
        <w:ind w:firstLine="883" w:firstLineChars="200"/>
        <w:jc w:val="center"/>
        <w:rPr>
          <w:color w:val="auto"/>
          <w:kern w:val="0"/>
        </w:rPr>
      </w:pPr>
      <w:bookmarkStart w:id="10" w:name="_Toc5277"/>
      <w:bookmarkStart w:id="11" w:name="_Toc22846"/>
      <w:r>
        <w:rPr>
          <w:rFonts w:hint="eastAsia"/>
          <w:color w:val="auto"/>
          <w:kern w:val="0"/>
        </w:rPr>
        <w:t>投标须知前附表</w:t>
      </w:r>
      <w:bookmarkEnd w:id="4"/>
      <w:bookmarkEnd w:id="5"/>
      <w:bookmarkEnd w:id="6"/>
      <w:bookmarkEnd w:id="10"/>
      <w:bookmarkEnd w:id="11"/>
    </w:p>
    <w:p>
      <w:pPr>
        <w:rPr>
          <w:color w:val="auto"/>
        </w:rPr>
      </w:pPr>
    </w:p>
    <w:tbl>
      <w:tblPr>
        <w:tblStyle w:val="26"/>
        <w:tblW w:w="9435"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95" w:type="dxa"/>
          </w:tcPr>
          <w:p>
            <w:pPr>
              <w:pStyle w:val="56"/>
              <w:widowControl w:val="0"/>
              <w:pBdr>
                <w:bottom w:val="none" w:color="auto" w:sz="0" w:space="0"/>
              </w:pBdr>
              <w:spacing w:beforeAutospacing="0" w:afterAutospacing="0" w:line="360" w:lineRule="auto"/>
              <w:textAlignment w:val="auto"/>
              <w:rPr>
                <w:rFonts w:ascii="宋体" w:eastAsia="宋体" w:cs="宋体"/>
                <w:color w:val="auto"/>
                <w:sz w:val="24"/>
                <w:szCs w:val="24"/>
              </w:rPr>
            </w:pPr>
            <w:r>
              <w:rPr>
                <w:rFonts w:hint="eastAsia" w:ascii="宋体" w:eastAsia="宋体" w:cs="宋体"/>
                <w:color w:val="auto"/>
                <w:sz w:val="24"/>
                <w:szCs w:val="24"/>
              </w:rPr>
              <w:t>序号</w:t>
            </w:r>
          </w:p>
        </w:tc>
        <w:tc>
          <w:tcPr>
            <w:tcW w:w="8640" w:type="dxa"/>
          </w:tcPr>
          <w:p>
            <w:pPr>
              <w:pStyle w:val="56"/>
              <w:widowControl w:val="0"/>
              <w:pBdr>
                <w:bottom w:val="none" w:color="auto" w:sz="0" w:space="0"/>
              </w:pBdr>
              <w:spacing w:beforeAutospacing="0" w:afterAutospacing="0" w:line="360" w:lineRule="auto"/>
              <w:textAlignment w:val="auto"/>
              <w:rPr>
                <w:rFonts w:ascii="宋体" w:eastAsia="宋体" w:cs="宋体"/>
                <w:color w:val="auto"/>
                <w:sz w:val="24"/>
                <w:szCs w:val="24"/>
              </w:rPr>
            </w:pPr>
            <w:r>
              <w:rPr>
                <w:rFonts w:hint="eastAsia" w:ascii="宋体" w:eastAsia="宋体" w:cs="宋体"/>
                <w:color w:val="auto"/>
                <w:sz w:val="24"/>
                <w:szCs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795" w:type="dxa"/>
            <w:vAlign w:val="center"/>
          </w:tcPr>
          <w:p>
            <w:pPr>
              <w:pStyle w:val="56"/>
              <w:widowControl w:val="0"/>
              <w:pBdr>
                <w:bottom w:val="none" w:color="auto" w:sz="0" w:space="0"/>
              </w:pBdr>
              <w:spacing w:beforeAutospacing="0" w:afterAutospacing="0" w:line="360" w:lineRule="auto"/>
              <w:textAlignment w:val="auto"/>
              <w:rPr>
                <w:rFonts w:ascii="宋体" w:eastAsia="宋体" w:cs="宋体"/>
                <w:b w:val="0"/>
                <w:color w:val="auto"/>
                <w:sz w:val="21"/>
                <w:szCs w:val="21"/>
              </w:rPr>
            </w:pPr>
            <w:r>
              <w:rPr>
                <w:rFonts w:hint="eastAsia" w:ascii="宋体" w:eastAsia="宋体" w:cs="宋体"/>
                <w:b w:val="0"/>
                <w:color w:val="auto"/>
                <w:sz w:val="21"/>
                <w:szCs w:val="21"/>
              </w:rPr>
              <w:t>1</w:t>
            </w:r>
          </w:p>
        </w:tc>
        <w:tc>
          <w:tcPr>
            <w:tcW w:w="8640" w:type="dxa"/>
            <w:vAlign w:val="center"/>
          </w:tcPr>
          <w:p>
            <w:pPr>
              <w:adjustRightInd w:val="0"/>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项 目 名 称: 博爱县第一中学理化生实验室采购项目</w:t>
            </w:r>
          </w:p>
          <w:p>
            <w:pPr>
              <w:adjustRightInd w:val="0"/>
              <w:snapToGrid w:val="0"/>
              <w:spacing w:line="360" w:lineRule="auto"/>
              <w:ind w:firstLine="480" w:firstLineChars="200"/>
              <w:rPr>
                <w:rFonts w:ascii="宋体" w:hAnsi="宋体" w:cs="宋体"/>
                <w:color w:val="auto"/>
                <w:kern w:val="0"/>
                <w:sz w:val="24"/>
                <w:highlight w:val="red"/>
              </w:rPr>
            </w:pPr>
            <w:r>
              <w:rPr>
                <w:rFonts w:hint="eastAsia" w:ascii="宋体" w:hAnsi="宋体" w:cs="宋体"/>
                <w:bCs/>
                <w:color w:val="auto"/>
                <w:sz w:val="24"/>
              </w:rPr>
              <w:t>采 购 内 容: 新建物理力学实验室（56座）2个、新建物理准备室及仪器室1个、建通风化学实验室（56座）2个、新建化学准备室及仪器室1个、新建生物实验室（56座）2个、新建生物准备室及仪器室1个、物理实验室改造2个、化学不通风改造成通风实验室2个、生物实验室改造1个。</w:t>
            </w:r>
          </w:p>
          <w:p>
            <w:pPr>
              <w:pStyle w:val="56"/>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bCs/>
                <w:color w:val="auto"/>
                <w:kern w:val="2"/>
                <w:sz w:val="24"/>
                <w:szCs w:val="24"/>
              </w:rPr>
            </w:pPr>
            <w:r>
              <w:rPr>
                <w:rFonts w:hint="eastAsia" w:ascii="宋体" w:eastAsia="宋体" w:cs="宋体"/>
                <w:b w:val="0"/>
                <w:bCs/>
                <w:color w:val="auto"/>
                <w:kern w:val="2"/>
                <w:sz w:val="24"/>
                <w:szCs w:val="24"/>
              </w:rPr>
              <w:t>质量要求：合格，符合国家、行业规范标准。</w:t>
            </w:r>
          </w:p>
          <w:p>
            <w:pPr>
              <w:pStyle w:val="56"/>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bCs/>
                <w:color w:val="auto"/>
                <w:kern w:val="2"/>
                <w:sz w:val="24"/>
                <w:szCs w:val="24"/>
              </w:rPr>
            </w:pPr>
            <w:r>
              <w:rPr>
                <w:rFonts w:hint="eastAsia" w:ascii="宋体" w:eastAsia="宋体" w:cs="宋体"/>
                <w:b w:val="0"/>
                <w:bCs/>
                <w:color w:val="auto"/>
                <w:kern w:val="2"/>
                <w:sz w:val="24"/>
                <w:szCs w:val="24"/>
              </w:rPr>
              <w:t>供货及安装期：合同签订后15日历天内完成供货和安装。</w:t>
            </w:r>
          </w:p>
          <w:p>
            <w:pPr>
              <w:pStyle w:val="56"/>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bCs/>
                <w:color w:val="auto"/>
                <w:kern w:val="2"/>
                <w:sz w:val="24"/>
                <w:szCs w:val="24"/>
              </w:rPr>
            </w:pPr>
            <w:r>
              <w:rPr>
                <w:rFonts w:hint="eastAsia" w:ascii="宋体" w:eastAsia="宋体" w:cs="宋体"/>
                <w:b w:val="0"/>
                <w:bCs/>
                <w:color w:val="auto"/>
                <w:kern w:val="2"/>
                <w:sz w:val="24"/>
                <w:szCs w:val="24"/>
              </w:rPr>
              <w:t>采购方式：竞争性谈判。</w:t>
            </w:r>
          </w:p>
          <w:p>
            <w:pPr>
              <w:pStyle w:val="56"/>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color w:val="auto"/>
                <w:sz w:val="24"/>
                <w:szCs w:val="24"/>
              </w:rPr>
            </w:pPr>
            <w:r>
              <w:rPr>
                <w:rFonts w:hint="eastAsia" w:ascii="宋体" w:eastAsia="宋体" w:cs="宋体"/>
                <w:b w:val="0"/>
                <w:color w:val="auto"/>
                <w:sz w:val="24"/>
                <w:szCs w:val="24"/>
              </w:rPr>
              <w:t>资格审查方式：资格后审。</w:t>
            </w:r>
          </w:p>
          <w:p>
            <w:pPr>
              <w:widowControl/>
              <w:spacing w:line="360" w:lineRule="auto"/>
              <w:ind w:firstLine="480" w:firstLineChars="200"/>
              <w:rPr>
                <w:rFonts w:ascii="宋体" w:hAnsi="宋体" w:cs="宋体"/>
                <w:b/>
                <w:color w:val="auto"/>
                <w:sz w:val="24"/>
              </w:rPr>
            </w:pPr>
            <w:r>
              <w:rPr>
                <w:rFonts w:hint="eastAsia" w:ascii="宋体" w:hAnsi="宋体" w:cs="宋体"/>
                <w:color w:val="auto"/>
                <w:sz w:val="24"/>
              </w:rPr>
              <w:t>付款方式：</w:t>
            </w:r>
            <w:r>
              <w:rPr>
                <w:rFonts w:hint="eastAsia" w:ascii="宋体" w:hAnsi="宋体" w:cs="宋体"/>
                <w:bCs/>
                <w:color w:val="auto"/>
                <w:sz w:val="24"/>
              </w:rPr>
              <w:t>项目供货安装验收合格后支付合同金额的75%，剩余款项三个月内付清。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95" w:type="dxa"/>
            <w:vAlign w:val="center"/>
          </w:tcPr>
          <w:p>
            <w:pPr>
              <w:pStyle w:val="56"/>
              <w:widowControl w:val="0"/>
              <w:pBdr>
                <w:bottom w:val="none" w:color="auto" w:sz="0" w:space="0"/>
              </w:pBdr>
              <w:spacing w:beforeAutospacing="0" w:afterAutospacing="0" w:line="360" w:lineRule="auto"/>
              <w:textAlignment w:val="auto"/>
              <w:rPr>
                <w:rFonts w:ascii="宋体" w:eastAsia="宋体" w:cs="宋体"/>
                <w:b w:val="0"/>
                <w:color w:val="auto"/>
                <w:sz w:val="21"/>
                <w:szCs w:val="21"/>
              </w:rPr>
            </w:pPr>
            <w:r>
              <w:rPr>
                <w:rFonts w:hint="eastAsia" w:ascii="宋体" w:eastAsia="宋体" w:cs="宋体"/>
                <w:b w:val="0"/>
                <w:color w:val="auto"/>
                <w:sz w:val="21"/>
                <w:szCs w:val="21"/>
              </w:rPr>
              <w:t>2</w:t>
            </w:r>
          </w:p>
        </w:tc>
        <w:tc>
          <w:tcPr>
            <w:tcW w:w="8640" w:type="dxa"/>
            <w:vAlign w:val="center"/>
          </w:tcPr>
          <w:p>
            <w:pPr>
              <w:pStyle w:val="56"/>
              <w:widowControl w:val="0"/>
              <w:pBdr>
                <w:bottom w:val="none" w:color="auto" w:sz="0" w:space="0"/>
              </w:pBdr>
              <w:spacing w:beforeAutospacing="0" w:afterAutospacing="0" w:line="360" w:lineRule="auto"/>
              <w:jc w:val="both"/>
              <w:textAlignment w:val="auto"/>
              <w:rPr>
                <w:rFonts w:ascii="宋体" w:eastAsia="宋体" w:cs="宋体"/>
                <w:b w:val="0"/>
                <w:color w:val="auto"/>
                <w:sz w:val="24"/>
                <w:szCs w:val="24"/>
              </w:rPr>
            </w:pPr>
            <w:r>
              <w:rPr>
                <w:rFonts w:hint="eastAsia" w:ascii="宋体" w:eastAsia="宋体" w:cs="宋体"/>
                <w:b w:val="0"/>
                <w:color w:val="auto"/>
                <w:sz w:val="24"/>
                <w:szCs w:val="24"/>
              </w:rPr>
              <w:t>资金来源：上级资金加自筹资金。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795" w:type="dxa"/>
            <w:vAlign w:val="center"/>
          </w:tcPr>
          <w:p>
            <w:pPr>
              <w:pStyle w:val="56"/>
              <w:widowControl w:val="0"/>
              <w:pBdr>
                <w:bottom w:val="none" w:color="auto" w:sz="0" w:space="0"/>
              </w:pBdr>
              <w:spacing w:beforeAutospacing="0" w:afterAutospacing="0" w:line="360" w:lineRule="auto"/>
              <w:textAlignment w:val="auto"/>
              <w:rPr>
                <w:rFonts w:ascii="宋体" w:eastAsia="宋体" w:cs="宋体"/>
                <w:b w:val="0"/>
                <w:color w:val="auto"/>
                <w:sz w:val="21"/>
                <w:szCs w:val="21"/>
              </w:rPr>
            </w:pPr>
            <w:r>
              <w:rPr>
                <w:rFonts w:hint="eastAsia" w:ascii="宋体" w:eastAsia="宋体" w:cs="宋体"/>
                <w:b w:val="0"/>
                <w:color w:val="auto"/>
                <w:sz w:val="21"/>
                <w:szCs w:val="21"/>
              </w:rPr>
              <w:t>3</w:t>
            </w:r>
          </w:p>
        </w:tc>
        <w:tc>
          <w:tcPr>
            <w:tcW w:w="8640" w:type="dxa"/>
            <w:vAlign w:val="center"/>
          </w:tcPr>
          <w:p>
            <w:pPr>
              <w:adjustRightInd w:val="0"/>
              <w:snapToGrid w:val="0"/>
              <w:spacing w:line="360" w:lineRule="auto"/>
              <w:ind w:firstLine="482" w:firstLineChars="200"/>
              <w:rPr>
                <w:rFonts w:ascii="宋体" w:hAnsi="宋体" w:cs="宋体"/>
                <w:color w:val="auto"/>
                <w:sz w:val="24"/>
              </w:rPr>
            </w:pPr>
            <w:r>
              <w:rPr>
                <w:rFonts w:hint="eastAsia" w:ascii="宋体" w:hAnsi="宋体" w:cs="宋体"/>
                <w:b/>
                <w:bCs/>
                <w:color w:val="auto"/>
                <w:sz w:val="24"/>
              </w:rPr>
              <w:t>获取采购文件时间：</w:t>
            </w:r>
            <w:r>
              <w:rPr>
                <w:rFonts w:hint="eastAsia" w:ascii="宋体" w:hAnsi="宋体" w:cs="宋体"/>
                <w:b/>
                <w:bCs/>
                <w:color w:val="auto"/>
                <w:sz w:val="24"/>
                <w:u w:val="single"/>
              </w:rPr>
              <w:t>2023年</w:t>
            </w:r>
            <w:r>
              <w:rPr>
                <w:rFonts w:hint="eastAsia" w:ascii="宋体" w:hAnsi="宋体" w:cs="宋体"/>
                <w:b/>
                <w:bCs/>
                <w:color w:val="auto"/>
                <w:sz w:val="24"/>
                <w:u w:val="single"/>
                <w:lang w:val="en-US" w:eastAsia="zh-CN"/>
              </w:rPr>
              <w:t>9</w:t>
            </w:r>
            <w:r>
              <w:rPr>
                <w:rFonts w:hint="eastAsia" w:ascii="宋体" w:hAnsi="宋体" w:cs="宋体"/>
                <w:b/>
                <w:bCs/>
                <w:color w:val="auto"/>
                <w:sz w:val="24"/>
                <w:u w:val="single"/>
              </w:rPr>
              <w:t>月</w:t>
            </w:r>
            <w:r>
              <w:rPr>
                <w:rFonts w:hint="eastAsia" w:ascii="宋体" w:hAnsi="宋体" w:cs="宋体"/>
                <w:b/>
                <w:bCs/>
                <w:color w:val="auto"/>
                <w:sz w:val="24"/>
                <w:u w:val="single"/>
                <w:lang w:val="en-US" w:eastAsia="zh-CN"/>
              </w:rPr>
              <w:t>19</w:t>
            </w:r>
            <w:r>
              <w:rPr>
                <w:rFonts w:hint="eastAsia" w:ascii="宋体" w:hAnsi="宋体" w:cs="宋体"/>
                <w:b/>
                <w:bCs/>
                <w:color w:val="auto"/>
                <w:sz w:val="24"/>
                <w:u w:val="single"/>
              </w:rPr>
              <w:t>日至2023年</w:t>
            </w:r>
            <w:r>
              <w:rPr>
                <w:rFonts w:hint="eastAsia" w:ascii="宋体" w:hAnsi="宋体" w:cs="宋体"/>
                <w:b/>
                <w:bCs/>
                <w:color w:val="auto"/>
                <w:sz w:val="24"/>
                <w:u w:val="single"/>
                <w:lang w:val="en-US" w:eastAsia="zh-CN"/>
              </w:rPr>
              <w:t>9</w:t>
            </w:r>
            <w:r>
              <w:rPr>
                <w:rFonts w:hint="eastAsia" w:ascii="宋体" w:hAnsi="宋体" w:cs="宋体"/>
                <w:b/>
                <w:bCs/>
                <w:color w:val="auto"/>
                <w:sz w:val="24"/>
                <w:u w:val="single"/>
              </w:rPr>
              <w:t>月</w:t>
            </w:r>
            <w:r>
              <w:rPr>
                <w:rFonts w:hint="eastAsia" w:ascii="宋体" w:hAnsi="宋体" w:cs="宋体"/>
                <w:b/>
                <w:bCs/>
                <w:color w:val="auto"/>
                <w:sz w:val="24"/>
                <w:u w:val="single"/>
                <w:lang w:val="en-US" w:eastAsia="zh-CN"/>
              </w:rPr>
              <w:t>21</w:t>
            </w:r>
            <w:r>
              <w:rPr>
                <w:rFonts w:hint="eastAsia" w:ascii="宋体" w:hAnsi="宋体" w:cs="宋体"/>
                <w:b/>
                <w:bCs/>
                <w:color w:val="auto"/>
                <w:sz w:val="24"/>
                <w:u w:val="single"/>
              </w:rPr>
              <w:t>日</w:t>
            </w:r>
            <w:r>
              <w:rPr>
                <w:rFonts w:hint="eastAsia" w:ascii="宋体" w:cs="宋体"/>
                <w:b/>
                <w:bCs/>
                <w:color w:val="auto"/>
                <w:sz w:val="24"/>
                <w:u w:val="single"/>
              </w:rPr>
              <w:t>（北京时间）</w:t>
            </w:r>
            <w:r>
              <w:rPr>
                <w:rFonts w:hint="eastAsia" w:ascii="宋体" w:hAnsi="宋体" w:cs="宋体"/>
                <w:b/>
                <w:bCs/>
                <w:color w:val="auto"/>
                <w:sz w:val="24"/>
                <w:u w:val="single"/>
              </w:rPr>
              <w:t>；</w:t>
            </w:r>
            <w:r>
              <w:rPr>
                <w:rFonts w:hint="eastAsia" w:ascii="宋体" w:hAnsi="宋体" w:cs="宋体"/>
                <w:color w:val="auto"/>
                <w:sz w:val="24"/>
              </w:rPr>
              <w:t>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地点：焦作市公共资源交易中心网站会员系统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方式：登录焦作市公共资源交易中心网站会员系统进行网上下载。</w:t>
            </w:r>
            <w:r>
              <w:rPr>
                <w:rFonts w:hint="eastAsia" w:ascii="宋体" w:hAnsi="宋体" w:cs="宋体"/>
                <w:b/>
                <w:bCs/>
                <w:color w:val="auto"/>
                <w:kern w:val="0"/>
                <w:sz w:val="24"/>
              </w:rPr>
              <w:t>未通过会员系统完成下载文件，响应性文件</w:t>
            </w:r>
            <w:r>
              <w:rPr>
                <w:rFonts w:hint="eastAsia" w:ascii="宋体" w:hAnsi="宋体" w:cs="宋体"/>
                <w:b/>
                <w:bCs/>
                <w:color w:val="auto"/>
                <w:sz w:val="24"/>
              </w:rPr>
              <w:t>视为无效</w:t>
            </w:r>
            <w:r>
              <w:rPr>
                <w:rFonts w:hint="eastAsia" w:ascii="宋体" w:hAnsi="宋体" w:cs="宋体"/>
                <w:color w:val="auto"/>
                <w:sz w:val="24"/>
              </w:rPr>
              <w:t>（联系电话：0391-3568920，QQ：232850725、361532918（群））。</w:t>
            </w:r>
          </w:p>
          <w:p>
            <w:pPr>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sz w:val="24"/>
              </w:rPr>
              <w:t>采购文件售价：0元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95" w:type="dxa"/>
            <w:vAlign w:val="center"/>
          </w:tcPr>
          <w:p>
            <w:pPr>
              <w:pStyle w:val="56"/>
              <w:widowControl w:val="0"/>
              <w:pBdr>
                <w:bottom w:val="none" w:color="auto" w:sz="0" w:space="0"/>
              </w:pBdr>
              <w:spacing w:beforeAutospacing="0" w:afterAutospacing="0" w:line="360" w:lineRule="auto"/>
              <w:textAlignment w:val="auto"/>
              <w:rPr>
                <w:rFonts w:ascii="宋体" w:eastAsia="宋体" w:cs="宋体"/>
                <w:b w:val="0"/>
                <w:color w:val="auto"/>
                <w:sz w:val="21"/>
                <w:szCs w:val="21"/>
              </w:rPr>
            </w:pPr>
            <w:r>
              <w:rPr>
                <w:rFonts w:hint="eastAsia" w:ascii="宋体" w:eastAsia="宋体" w:cs="宋体"/>
                <w:b w:val="0"/>
                <w:color w:val="auto"/>
                <w:sz w:val="21"/>
                <w:szCs w:val="21"/>
              </w:rPr>
              <w:t>4</w:t>
            </w:r>
          </w:p>
        </w:tc>
        <w:tc>
          <w:tcPr>
            <w:tcW w:w="8640" w:type="dxa"/>
            <w:vAlign w:val="center"/>
          </w:tcPr>
          <w:p>
            <w:pPr>
              <w:pStyle w:val="56"/>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bCs/>
                <w:color w:val="auto"/>
                <w:sz w:val="24"/>
                <w:szCs w:val="24"/>
                <w:u w:val="single"/>
              </w:rPr>
            </w:pPr>
            <w:r>
              <w:rPr>
                <w:rFonts w:hint="eastAsia" w:ascii="宋体" w:eastAsia="宋体" w:cs="宋体"/>
                <w:b w:val="0"/>
                <w:bCs/>
                <w:color w:val="auto"/>
                <w:sz w:val="24"/>
                <w:szCs w:val="24"/>
              </w:rPr>
              <w:t>响应文件份数：加密的电子响应文件壹份（.jztf 格式在会员系统指定位置上传）。</w:t>
            </w:r>
          </w:p>
          <w:p>
            <w:pPr>
              <w:pStyle w:val="56"/>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bCs/>
                <w:color w:val="auto"/>
                <w:sz w:val="24"/>
                <w:szCs w:val="24"/>
              </w:rPr>
            </w:pPr>
            <w:r>
              <w:rPr>
                <w:rFonts w:hint="eastAsia" w:ascii="宋体" w:eastAsia="宋体" w:cs="宋体"/>
                <w:b w:val="0"/>
                <w:bCs/>
                <w:color w:val="auto"/>
                <w:sz w:val="24"/>
                <w:szCs w:val="24"/>
              </w:rPr>
              <w:t>投标保证金：无</w:t>
            </w:r>
          </w:p>
          <w:p>
            <w:pPr>
              <w:pStyle w:val="56"/>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bCs/>
                <w:color w:val="auto"/>
                <w:sz w:val="24"/>
                <w:szCs w:val="24"/>
              </w:rPr>
            </w:pPr>
            <w:r>
              <w:rPr>
                <w:rFonts w:hint="eastAsia" w:ascii="宋体" w:eastAsia="宋体" w:cs="宋体"/>
                <w:b w:val="0"/>
                <w:bCs/>
                <w:color w:val="auto"/>
                <w:sz w:val="24"/>
                <w:szCs w:val="24"/>
              </w:rPr>
              <w:t>履约保证金：无</w:t>
            </w:r>
          </w:p>
          <w:p>
            <w:pPr>
              <w:pStyle w:val="56"/>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bCs/>
                <w:color w:val="auto"/>
                <w:sz w:val="24"/>
                <w:szCs w:val="24"/>
              </w:rPr>
            </w:pPr>
            <w:r>
              <w:rPr>
                <w:rFonts w:hint="eastAsia" w:ascii="宋体" w:eastAsia="宋体" w:cs="宋体"/>
                <w:b w:val="0"/>
                <w:bCs/>
                <w:color w:val="auto"/>
                <w:sz w:val="24"/>
                <w:szCs w:val="24"/>
              </w:rPr>
              <w:t>质保金：无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95" w:type="dxa"/>
            <w:vAlign w:val="center"/>
          </w:tcPr>
          <w:p>
            <w:pPr>
              <w:pStyle w:val="56"/>
              <w:widowControl w:val="0"/>
              <w:pBdr>
                <w:bottom w:val="none" w:color="auto" w:sz="0" w:space="0"/>
              </w:pBdr>
              <w:spacing w:beforeAutospacing="0" w:afterAutospacing="0" w:line="360" w:lineRule="auto"/>
              <w:textAlignment w:val="auto"/>
              <w:rPr>
                <w:rFonts w:ascii="宋体" w:eastAsia="宋体" w:cs="宋体"/>
                <w:b w:val="0"/>
                <w:bCs/>
                <w:color w:val="auto"/>
                <w:sz w:val="24"/>
                <w:szCs w:val="24"/>
              </w:rPr>
            </w:pPr>
            <w:r>
              <w:rPr>
                <w:rFonts w:hint="eastAsia" w:ascii="宋体" w:eastAsia="宋体" w:cs="宋体"/>
                <w:b w:val="0"/>
                <w:bCs/>
                <w:color w:val="auto"/>
                <w:sz w:val="24"/>
                <w:szCs w:val="24"/>
              </w:rPr>
              <w:t>5</w:t>
            </w:r>
          </w:p>
        </w:tc>
        <w:tc>
          <w:tcPr>
            <w:tcW w:w="8640" w:type="dxa"/>
            <w:vAlign w:val="center"/>
          </w:tcPr>
          <w:p>
            <w:pPr>
              <w:pStyle w:val="56"/>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color w:val="auto"/>
                <w:sz w:val="24"/>
                <w:szCs w:val="24"/>
              </w:rPr>
            </w:pPr>
            <w:r>
              <w:rPr>
                <w:rFonts w:hint="eastAsia" w:ascii="宋体" w:eastAsia="宋体" w:cs="宋体"/>
                <w:b w:val="0"/>
                <w:color w:val="auto"/>
                <w:sz w:val="24"/>
                <w:szCs w:val="24"/>
              </w:rPr>
              <w:t>响应文件递交截止时间：</w:t>
            </w:r>
            <w:r>
              <w:rPr>
                <w:rFonts w:hint="eastAsia" w:ascii="宋体" w:eastAsia="宋体" w:cs="宋体"/>
                <w:bCs/>
                <w:color w:val="auto"/>
                <w:sz w:val="24"/>
                <w:u w:val="single"/>
              </w:rPr>
              <w:t>2023年</w:t>
            </w:r>
            <w:r>
              <w:rPr>
                <w:rFonts w:hint="eastAsia" w:ascii="宋体" w:eastAsia="宋体" w:cs="宋体"/>
                <w:bCs/>
                <w:color w:val="auto"/>
                <w:sz w:val="24"/>
                <w:u w:val="single"/>
                <w:lang w:val="en-US" w:eastAsia="zh-CN"/>
              </w:rPr>
              <w:t>9</w:t>
            </w:r>
            <w:r>
              <w:rPr>
                <w:rFonts w:hint="eastAsia" w:ascii="宋体" w:eastAsia="宋体" w:cs="宋体"/>
                <w:bCs/>
                <w:color w:val="auto"/>
                <w:sz w:val="24"/>
                <w:u w:val="single"/>
              </w:rPr>
              <w:t>月</w:t>
            </w:r>
            <w:r>
              <w:rPr>
                <w:rFonts w:hint="eastAsia" w:ascii="宋体" w:eastAsia="宋体" w:cs="宋体"/>
                <w:bCs/>
                <w:color w:val="auto"/>
                <w:sz w:val="24"/>
                <w:u w:val="single"/>
                <w:lang w:val="en-US" w:eastAsia="zh-CN"/>
              </w:rPr>
              <w:t>27</w:t>
            </w:r>
            <w:r>
              <w:rPr>
                <w:rFonts w:hint="eastAsia" w:ascii="宋体" w:eastAsia="宋体" w:cs="宋体"/>
                <w:bCs/>
                <w:color w:val="auto"/>
                <w:sz w:val="24"/>
                <w:u w:val="single"/>
              </w:rPr>
              <w:t>日9时00分（北京时间）；</w:t>
            </w:r>
            <w:r>
              <w:rPr>
                <w:rFonts w:hint="eastAsia" w:ascii="宋体" w:cs="宋体"/>
                <w:bCs/>
                <w:color w:val="auto"/>
                <w:sz w:val="24"/>
                <w:u w:val="single"/>
              </w:rPr>
              <w:t> </w:t>
            </w:r>
          </w:p>
          <w:p>
            <w:pPr>
              <w:pStyle w:val="56"/>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bCs/>
                <w:color w:val="auto"/>
                <w:sz w:val="24"/>
                <w:szCs w:val="24"/>
              </w:rPr>
            </w:pPr>
            <w:r>
              <w:rPr>
                <w:rFonts w:hint="eastAsia" w:ascii="宋体" w:eastAsia="宋体" w:cs="宋体"/>
                <w:b w:val="0"/>
                <w:color w:val="auto"/>
                <w:sz w:val="24"/>
                <w:szCs w:val="24"/>
              </w:rPr>
              <w:t>响应文件递交地点：博爱县公共资源交易中心不见面开标</w:t>
            </w:r>
            <w:r>
              <w:rPr>
                <w:rFonts w:hint="eastAsia" w:ascii="宋体" w:eastAsia="宋体" w:cs="宋体"/>
                <w:b w:val="0"/>
                <w:color w:val="auto"/>
                <w:sz w:val="24"/>
                <w:szCs w:val="24"/>
                <w:lang w:eastAsia="zh-CN"/>
              </w:rPr>
              <w:t>二</w:t>
            </w:r>
            <w:r>
              <w:rPr>
                <w:rFonts w:hint="eastAsia" w:ascii="宋体" w:eastAsia="宋体" w:cs="宋体"/>
                <w:b w:val="0"/>
                <w:color w:val="auto"/>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95" w:type="dxa"/>
            <w:vAlign w:val="center"/>
          </w:tcPr>
          <w:p>
            <w:pPr>
              <w:pStyle w:val="56"/>
              <w:widowControl w:val="0"/>
              <w:pBdr>
                <w:bottom w:val="none" w:color="auto" w:sz="0" w:space="0"/>
              </w:pBdr>
              <w:spacing w:beforeAutospacing="0" w:afterAutospacing="0" w:line="360" w:lineRule="auto"/>
              <w:textAlignment w:val="auto"/>
              <w:rPr>
                <w:rFonts w:ascii="宋体" w:eastAsia="宋体" w:cs="宋体"/>
                <w:b w:val="0"/>
                <w:color w:val="auto"/>
                <w:sz w:val="21"/>
                <w:szCs w:val="21"/>
              </w:rPr>
            </w:pPr>
            <w:r>
              <w:rPr>
                <w:rFonts w:hint="eastAsia" w:ascii="宋体" w:eastAsia="宋体" w:cs="宋体"/>
                <w:b w:val="0"/>
                <w:color w:val="auto"/>
                <w:sz w:val="21"/>
                <w:szCs w:val="21"/>
              </w:rPr>
              <w:t>6</w:t>
            </w:r>
          </w:p>
        </w:tc>
        <w:tc>
          <w:tcPr>
            <w:tcW w:w="8640" w:type="dxa"/>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采购事项答疑: 如有疑问，请与采购人或采购代理机构联系。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95" w:type="dxa"/>
            <w:vAlign w:val="center"/>
          </w:tcPr>
          <w:p>
            <w:pPr>
              <w:pStyle w:val="56"/>
              <w:widowControl w:val="0"/>
              <w:pBdr>
                <w:bottom w:val="none" w:color="auto" w:sz="0" w:space="0"/>
              </w:pBdr>
              <w:spacing w:beforeAutospacing="0" w:afterAutospacing="0" w:line="360" w:lineRule="auto"/>
              <w:textAlignment w:val="auto"/>
              <w:rPr>
                <w:rFonts w:ascii="宋体" w:eastAsia="宋体" w:cs="宋体"/>
                <w:b w:val="0"/>
                <w:color w:val="auto"/>
                <w:sz w:val="21"/>
                <w:szCs w:val="21"/>
              </w:rPr>
            </w:pPr>
            <w:r>
              <w:rPr>
                <w:rFonts w:hint="eastAsia" w:ascii="宋体" w:eastAsia="宋体" w:cs="宋体"/>
                <w:b w:val="0"/>
                <w:color w:val="auto"/>
                <w:sz w:val="21"/>
                <w:szCs w:val="21"/>
              </w:rPr>
              <w:t>7</w:t>
            </w:r>
          </w:p>
        </w:tc>
        <w:tc>
          <w:tcPr>
            <w:tcW w:w="8640" w:type="dxa"/>
            <w:vAlign w:val="center"/>
          </w:tcPr>
          <w:p>
            <w:pPr>
              <w:autoSpaceDE w:val="0"/>
              <w:autoSpaceDN w:val="0"/>
              <w:adjustRightInd w:val="0"/>
              <w:spacing w:line="360" w:lineRule="auto"/>
              <w:ind w:right="35" w:firstLine="480" w:firstLineChars="200"/>
              <w:rPr>
                <w:rFonts w:ascii="宋体" w:hAnsi="宋体" w:cs="宋体"/>
                <w:bCs/>
                <w:color w:val="auto"/>
                <w:kern w:val="0"/>
                <w:sz w:val="24"/>
              </w:rPr>
            </w:pPr>
            <w:r>
              <w:rPr>
                <w:rFonts w:hint="eastAsia" w:ascii="宋体" w:hAnsi="宋体" w:cs="宋体"/>
                <w:bCs/>
                <w:color w:val="auto"/>
                <w:kern w:val="0"/>
                <w:sz w:val="24"/>
              </w:rPr>
              <w:t>开标时间：同</w:t>
            </w:r>
            <w:r>
              <w:rPr>
                <w:rFonts w:hint="eastAsia" w:ascii="宋体" w:hAnsi="宋体" w:cs="宋体"/>
                <w:color w:val="auto"/>
                <w:sz w:val="24"/>
              </w:rPr>
              <w:t>响应文件递交截止时间</w:t>
            </w:r>
            <w:r>
              <w:rPr>
                <w:rFonts w:hint="eastAsia" w:ascii="宋体" w:hAnsi="宋体" w:cs="宋体"/>
                <w:bCs/>
                <w:color w:val="auto"/>
                <w:kern w:val="0"/>
                <w:sz w:val="24"/>
              </w:rPr>
              <w:t>。供应商应当登录远程开标大厅，凭制作响应性文件所用的企业 CA 密匙在线签到、解密文件等，解密时间为投标截止时后30分钟内。</w:t>
            </w:r>
          </w:p>
          <w:p>
            <w:pPr>
              <w:autoSpaceDE w:val="0"/>
              <w:autoSpaceDN w:val="0"/>
              <w:adjustRightInd w:val="0"/>
              <w:spacing w:line="360" w:lineRule="auto"/>
              <w:ind w:right="35" w:firstLine="480" w:firstLineChars="200"/>
              <w:rPr>
                <w:rFonts w:ascii="宋体" w:hAnsi="宋体" w:cs="宋体"/>
                <w:b/>
                <w:color w:val="auto"/>
                <w:sz w:val="24"/>
              </w:rPr>
            </w:pPr>
            <w:r>
              <w:rPr>
                <w:rFonts w:hint="eastAsia" w:ascii="宋体" w:hAnsi="宋体" w:cs="宋体"/>
                <w:bCs/>
                <w:color w:val="auto"/>
                <w:kern w:val="0"/>
                <w:sz w:val="24"/>
              </w:rPr>
              <w:t>不见面开标地点：博爱县公共资源交易中心第</w:t>
            </w:r>
            <w:r>
              <w:rPr>
                <w:rFonts w:hint="eastAsia" w:ascii="宋体" w:hAnsi="宋体" w:cs="宋体"/>
                <w:bCs/>
                <w:color w:val="auto"/>
                <w:kern w:val="0"/>
                <w:sz w:val="24"/>
                <w:lang w:eastAsia="zh-CN"/>
              </w:rPr>
              <w:t>二</w:t>
            </w:r>
            <w:r>
              <w:rPr>
                <w:rFonts w:hint="eastAsia" w:ascii="宋体" w:hAnsi="宋体" w:cs="宋体"/>
                <w:bCs/>
                <w:color w:val="auto"/>
                <w:kern w:val="0"/>
                <w:sz w:val="24"/>
              </w:rPr>
              <w:t xml:space="preserve">开标室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5" w:hRule="atLeast"/>
        </w:trPr>
        <w:tc>
          <w:tcPr>
            <w:tcW w:w="795" w:type="dxa"/>
            <w:vAlign w:val="center"/>
          </w:tcPr>
          <w:p>
            <w:pPr>
              <w:pStyle w:val="56"/>
              <w:widowControl w:val="0"/>
              <w:pBdr>
                <w:bottom w:val="none" w:color="auto" w:sz="0" w:space="0"/>
              </w:pBdr>
              <w:spacing w:beforeAutospacing="0" w:afterAutospacing="0" w:line="360" w:lineRule="auto"/>
              <w:textAlignment w:val="auto"/>
              <w:rPr>
                <w:rFonts w:ascii="宋体" w:eastAsia="宋体" w:cs="宋体"/>
                <w:b w:val="0"/>
                <w:color w:val="auto"/>
                <w:sz w:val="21"/>
                <w:szCs w:val="21"/>
              </w:rPr>
            </w:pPr>
          </w:p>
        </w:tc>
        <w:tc>
          <w:tcPr>
            <w:tcW w:w="8640" w:type="dxa"/>
            <w:vAlign w:val="center"/>
          </w:tcPr>
          <w:p>
            <w:pPr>
              <w:widowControl/>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递交响应性文件方式：</w:t>
            </w:r>
          </w:p>
          <w:p>
            <w:pPr>
              <w:widowControl/>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 xml:space="preserve">本项目用“远程不见面”开标方式，供应商不需到开标现场参加开标会议，不需提交原件资料等。 </w:t>
            </w:r>
          </w:p>
          <w:p>
            <w:pPr>
              <w:widowControl/>
              <w:numPr>
                <w:ilvl w:val="0"/>
                <w:numId w:val="3"/>
              </w:numPr>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电子响应性文件的递交</w:t>
            </w:r>
          </w:p>
          <w:p>
            <w:pPr>
              <w:widowControl/>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1.1 各供应商应在投标截止时间前上传加密的电子响应性文件</w:t>
            </w:r>
          </w:p>
          <w:p>
            <w:pPr>
              <w:widowControl/>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（.jztf 格式）到会员系统的指定位置。上传时必须得到电脑“上传成功”的确认回复。请供应商在上传时认真检查上传响应性文件是否完整、正确。</w:t>
            </w:r>
          </w:p>
          <w:p>
            <w:pPr>
              <w:widowControl/>
              <w:spacing w:line="360" w:lineRule="auto"/>
              <w:ind w:firstLine="480" w:firstLineChars="200"/>
              <w:jc w:val="left"/>
              <w:rPr>
                <w:rFonts w:ascii="宋体" w:hAnsi="宋体" w:cs="宋体"/>
                <w:color w:val="auto"/>
                <w:kern w:val="0"/>
                <w:sz w:val="24"/>
                <w:szCs w:val="21"/>
              </w:rPr>
            </w:pPr>
            <w:r>
              <w:rPr>
                <w:rFonts w:hint="eastAsia" w:ascii="宋体" w:hAnsi="宋体" w:cs="宋体"/>
                <w:bCs/>
                <w:color w:val="auto"/>
                <w:kern w:val="0"/>
                <w:sz w:val="24"/>
              </w:rPr>
              <w:t>1.2 如系统故障需上传非加密文件时，供应商应按照采购人指示将非加密文件递交给采购人。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4" w:hRule="atLeast"/>
        </w:trPr>
        <w:tc>
          <w:tcPr>
            <w:tcW w:w="795" w:type="dxa"/>
            <w:vAlign w:val="center"/>
          </w:tcPr>
          <w:p>
            <w:pPr>
              <w:pStyle w:val="56"/>
              <w:widowControl w:val="0"/>
              <w:pBdr>
                <w:bottom w:val="none" w:color="auto" w:sz="0" w:space="0"/>
              </w:pBdr>
              <w:spacing w:beforeAutospacing="0" w:afterAutospacing="0" w:line="360" w:lineRule="auto"/>
              <w:textAlignment w:val="auto"/>
              <w:rPr>
                <w:rFonts w:ascii="宋体" w:eastAsia="宋体" w:cs="宋体"/>
                <w:b w:val="0"/>
                <w:color w:val="auto"/>
                <w:sz w:val="21"/>
                <w:szCs w:val="21"/>
              </w:rPr>
            </w:pPr>
            <w:r>
              <w:rPr>
                <w:rFonts w:hint="eastAsia" w:ascii="宋体" w:eastAsia="宋体" w:cs="宋体"/>
                <w:b w:val="0"/>
                <w:color w:val="auto"/>
                <w:sz w:val="21"/>
                <w:szCs w:val="21"/>
              </w:rPr>
              <w:t>8</w:t>
            </w:r>
          </w:p>
        </w:tc>
        <w:tc>
          <w:tcPr>
            <w:tcW w:w="8640" w:type="dxa"/>
            <w:vAlign w:val="center"/>
          </w:tcPr>
          <w:p>
            <w:pPr>
              <w:widowControl/>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采购预算控制金额（大写）：壹佰万元整（</w:t>
            </w:r>
            <w:r>
              <w:rPr>
                <w:rFonts w:hint="eastAsia" w:ascii="宋体" w:hAnsi="宋体"/>
                <w:bCs/>
                <w:color w:val="auto"/>
                <w:kern w:val="0"/>
                <w:sz w:val="24"/>
              </w:rPr>
              <w:t>￥</w:t>
            </w:r>
            <w:r>
              <w:rPr>
                <w:rFonts w:hint="eastAsia" w:ascii="宋体" w:hAnsi="宋体" w:cs="宋体"/>
                <w:color w:val="auto"/>
                <w:kern w:val="0"/>
                <w:sz w:val="24"/>
              </w:rPr>
              <w:t>1000000.00</w:t>
            </w:r>
            <w:r>
              <w:rPr>
                <w:rFonts w:hint="eastAsia" w:ascii="宋体" w:hAnsi="宋体"/>
                <w:bCs/>
                <w:color w:val="auto"/>
                <w:kern w:val="0"/>
                <w:sz w:val="24"/>
              </w:rPr>
              <w:t>元</w:t>
            </w:r>
            <w:r>
              <w:rPr>
                <w:rFonts w:hint="eastAsia" w:ascii="宋体" w:hAnsi="宋体" w:cs="宋体"/>
                <w:bCs/>
                <w:color w:val="auto"/>
                <w:kern w:val="0"/>
                <w:sz w:val="24"/>
              </w:rPr>
              <w:t>）</w:t>
            </w:r>
          </w:p>
          <w:p>
            <w:pPr>
              <w:numPr>
                <w:ilvl w:val="0"/>
                <w:numId w:val="4"/>
              </w:numPr>
              <w:autoSpaceDE w:val="0"/>
              <w:autoSpaceDN w:val="0"/>
              <w:adjustRightInd w:val="0"/>
              <w:spacing w:line="360" w:lineRule="auto"/>
              <w:ind w:right="35" w:firstLine="480"/>
              <w:rPr>
                <w:rFonts w:ascii="宋体" w:hAnsi="宋体" w:cs="宋体"/>
                <w:bCs/>
                <w:color w:val="auto"/>
                <w:kern w:val="0"/>
                <w:sz w:val="24"/>
              </w:rPr>
            </w:pPr>
            <w:r>
              <w:rPr>
                <w:rFonts w:hint="eastAsia" w:ascii="宋体" w:hAnsi="宋体" w:cs="宋体"/>
                <w:bCs/>
                <w:color w:val="auto"/>
                <w:kern w:val="0"/>
                <w:sz w:val="24"/>
              </w:rPr>
              <w:t>供应商的投标报价高于采购预算控制金额的视为无效报价，其投标予以拒绝；</w:t>
            </w:r>
          </w:p>
          <w:p>
            <w:pPr>
              <w:pStyle w:val="3"/>
              <w:numPr>
                <w:ilvl w:val="0"/>
                <w:numId w:val="4"/>
              </w:numPr>
              <w:spacing w:after="0" w:line="360" w:lineRule="auto"/>
              <w:ind w:firstLine="480" w:firstLineChars="0"/>
              <w:rPr>
                <w:rFonts w:ascii="宋体" w:hAnsi="宋体" w:cs="宋体"/>
                <w:color w:val="auto"/>
              </w:rPr>
            </w:pPr>
            <w:r>
              <w:rPr>
                <w:rFonts w:hint="eastAsia" w:ascii="宋体" w:hAnsi="宋体" w:cs="宋体"/>
                <w:bCs/>
                <w:color w:val="auto"/>
                <w:kern w:val="0"/>
                <w:sz w:val="24"/>
              </w:rPr>
              <w:t>当成交人的投标报价高于控制价的95%时，该成交人的成交价按控制价的95%执行。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795" w:type="dxa"/>
            <w:vAlign w:val="center"/>
          </w:tcPr>
          <w:p>
            <w:pPr>
              <w:pStyle w:val="56"/>
              <w:widowControl w:val="0"/>
              <w:pBdr>
                <w:bottom w:val="none" w:color="auto" w:sz="0" w:space="0"/>
              </w:pBdr>
              <w:spacing w:beforeAutospacing="0" w:afterAutospacing="0" w:line="360" w:lineRule="auto"/>
              <w:textAlignment w:val="auto"/>
              <w:rPr>
                <w:rFonts w:ascii="宋体" w:eastAsia="宋体" w:cs="宋体"/>
                <w:b w:val="0"/>
                <w:color w:val="auto"/>
                <w:sz w:val="21"/>
                <w:szCs w:val="21"/>
              </w:rPr>
            </w:pPr>
            <w:r>
              <w:rPr>
                <w:rFonts w:hint="eastAsia" w:ascii="宋体" w:eastAsia="宋体" w:cs="宋体"/>
                <w:b w:val="0"/>
                <w:color w:val="auto"/>
                <w:sz w:val="21"/>
                <w:szCs w:val="21"/>
              </w:rPr>
              <w:t>9</w:t>
            </w:r>
          </w:p>
        </w:tc>
        <w:tc>
          <w:tcPr>
            <w:tcW w:w="8640" w:type="dxa"/>
            <w:vAlign w:val="center"/>
          </w:tcPr>
          <w:p>
            <w:pPr>
              <w:pStyle w:val="56"/>
              <w:widowControl w:val="0"/>
              <w:pBdr>
                <w:bottom w:val="none" w:color="auto" w:sz="0" w:space="0"/>
              </w:pBdr>
              <w:spacing w:beforeAutospacing="0" w:afterAutospacing="0" w:line="360" w:lineRule="auto"/>
              <w:jc w:val="both"/>
              <w:textAlignment w:val="auto"/>
              <w:rPr>
                <w:rFonts w:ascii="宋体" w:eastAsia="宋体" w:cs="宋体"/>
                <w:b w:val="0"/>
                <w:color w:val="auto"/>
                <w:sz w:val="24"/>
                <w:szCs w:val="24"/>
              </w:rPr>
            </w:pPr>
            <w:r>
              <w:rPr>
                <w:rFonts w:hint="eastAsia" w:ascii="宋体" w:eastAsia="宋体" w:cs="宋体"/>
                <w:b w:val="0"/>
                <w:color w:val="auto"/>
                <w:sz w:val="24"/>
                <w:szCs w:val="24"/>
              </w:rPr>
              <w:t>有效期：60日历天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0" w:hRule="atLeast"/>
        </w:trPr>
        <w:tc>
          <w:tcPr>
            <w:tcW w:w="795" w:type="dxa"/>
            <w:vAlign w:val="center"/>
          </w:tcPr>
          <w:p>
            <w:pPr>
              <w:pStyle w:val="56"/>
              <w:widowControl w:val="0"/>
              <w:pBdr>
                <w:bottom w:val="none" w:color="auto" w:sz="0" w:space="0"/>
              </w:pBdr>
              <w:spacing w:beforeAutospacing="0" w:afterAutospacing="0" w:line="360" w:lineRule="auto"/>
              <w:textAlignment w:val="auto"/>
              <w:rPr>
                <w:rFonts w:ascii="宋体" w:eastAsia="宋体" w:cs="宋体"/>
                <w:b w:val="0"/>
                <w:color w:val="auto"/>
                <w:sz w:val="21"/>
                <w:szCs w:val="21"/>
              </w:rPr>
            </w:pPr>
            <w:r>
              <w:rPr>
                <w:rFonts w:hint="eastAsia" w:ascii="宋体" w:eastAsia="宋体" w:cs="宋体"/>
                <w:b w:val="0"/>
                <w:color w:val="auto"/>
                <w:sz w:val="21"/>
                <w:szCs w:val="21"/>
              </w:rPr>
              <w:t>10</w:t>
            </w:r>
          </w:p>
        </w:tc>
        <w:tc>
          <w:tcPr>
            <w:tcW w:w="8640" w:type="dxa"/>
            <w:vAlign w:val="center"/>
          </w:tcPr>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 xml:space="preserve">采购人：博爱县第一中学      </w:t>
            </w:r>
          </w:p>
          <w:p>
            <w:pPr>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  址：河南省博爱县团结路北段</w:t>
            </w:r>
          </w:p>
          <w:p>
            <w:pPr>
              <w:adjustRightInd w:val="0"/>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 xml:space="preserve">联系人：张老师 </w:t>
            </w:r>
          </w:p>
          <w:p>
            <w:pPr>
              <w:adjustRightInd w:val="0"/>
              <w:snapToGrid w:val="0"/>
              <w:spacing w:line="360" w:lineRule="auto"/>
              <w:ind w:firstLine="480" w:firstLineChars="200"/>
              <w:rPr>
                <w:rFonts w:ascii="宋体" w:hAnsi="宋体" w:cs="宋体"/>
                <w:color w:val="auto"/>
                <w:sz w:val="24"/>
                <w:u w:val="single"/>
              </w:rPr>
            </w:pPr>
            <w:r>
              <w:rPr>
                <w:rFonts w:hint="eastAsia" w:ascii="宋体" w:hAnsi="宋体" w:cs="宋体"/>
                <w:color w:val="auto"/>
                <w:kern w:val="0"/>
                <w:sz w:val="24"/>
              </w:rPr>
              <w:t>电  话：</w:t>
            </w:r>
            <w:r>
              <w:rPr>
                <w:rFonts w:hint="eastAsia" w:ascii="宋体" w:hAnsi="宋体" w:cs="宋体"/>
                <w:color w:val="auto"/>
                <w:sz w:val="24"/>
              </w:rPr>
              <w:t>0391-8660350</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采购代理机构：河南金迪辉全过程工程咨询有限公司</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地  址：焦作市人民路福安家园西侧门面房369号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联系人：张女士</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电  话：0391-3373880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trPr>
        <w:tc>
          <w:tcPr>
            <w:tcW w:w="795" w:type="dxa"/>
            <w:vAlign w:val="center"/>
          </w:tcPr>
          <w:p>
            <w:pPr>
              <w:pStyle w:val="56"/>
              <w:widowControl w:val="0"/>
              <w:pBdr>
                <w:bottom w:val="none" w:color="auto" w:sz="0" w:space="0"/>
              </w:pBdr>
              <w:spacing w:beforeAutospacing="0" w:afterAutospacing="0" w:line="360" w:lineRule="auto"/>
              <w:textAlignment w:val="auto"/>
              <w:rPr>
                <w:rFonts w:ascii="宋体" w:eastAsia="宋体" w:cs="宋体"/>
                <w:b w:val="0"/>
                <w:color w:val="auto"/>
                <w:sz w:val="21"/>
                <w:szCs w:val="21"/>
              </w:rPr>
            </w:pPr>
            <w:r>
              <w:rPr>
                <w:rFonts w:hint="eastAsia" w:ascii="宋体" w:eastAsia="宋体" w:cs="宋体"/>
                <w:b w:val="0"/>
                <w:color w:val="auto"/>
                <w:sz w:val="21"/>
                <w:szCs w:val="21"/>
              </w:rPr>
              <w:t>11</w:t>
            </w:r>
          </w:p>
        </w:tc>
        <w:tc>
          <w:tcPr>
            <w:tcW w:w="8640" w:type="dxa"/>
            <w:vAlign w:val="center"/>
          </w:tcPr>
          <w:p>
            <w:pPr>
              <w:pStyle w:val="56"/>
              <w:widowControl w:val="0"/>
              <w:pBdr>
                <w:bottom w:val="none" w:color="auto" w:sz="0" w:space="0"/>
              </w:pBdr>
              <w:spacing w:beforeAutospacing="0" w:afterAutospacing="0" w:line="360" w:lineRule="auto"/>
              <w:jc w:val="both"/>
              <w:textAlignment w:val="auto"/>
              <w:rPr>
                <w:rFonts w:ascii="宋体" w:eastAsia="宋体" w:cs="宋体"/>
                <w:b w:val="0"/>
                <w:color w:val="auto"/>
                <w:kern w:val="2"/>
                <w:sz w:val="24"/>
                <w:szCs w:val="24"/>
              </w:rPr>
            </w:pPr>
            <w:r>
              <w:rPr>
                <w:rFonts w:hint="eastAsia" w:ascii="宋体" w:eastAsia="宋体" w:cs="宋体"/>
                <w:b w:val="0"/>
                <w:color w:val="auto"/>
                <w:kern w:val="2"/>
                <w:sz w:val="24"/>
                <w:szCs w:val="24"/>
              </w:rPr>
              <w:t>代理服务费：参照豫招协[2023]002号《河南省招标代理服务收费指导意见》中的标准向成交人收取招标代理服务费，成交人在领取中标通知书前，向代理机构足额缴纳。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795" w:type="dxa"/>
            <w:vAlign w:val="center"/>
          </w:tcPr>
          <w:p>
            <w:pPr>
              <w:pStyle w:val="56"/>
              <w:widowControl w:val="0"/>
              <w:pBdr>
                <w:bottom w:val="none" w:color="auto" w:sz="0" w:space="0"/>
              </w:pBdr>
              <w:spacing w:beforeAutospacing="0" w:afterAutospacing="0" w:line="360" w:lineRule="auto"/>
              <w:textAlignment w:val="auto"/>
              <w:rPr>
                <w:rFonts w:ascii="宋体" w:eastAsia="宋体" w:cs="宋体"/>
                <w:color w:val="auto"/>
                <w:kern w:val="2"/>
                <w:sz w:val="24"/>
                <w:szCs w:val="24"/>
              </w:rPr>
            </w:pPr>
            <w:bookmarkStart w:id="12" w:name="_Toc20290"/>
            <w:bookmarkStart w:id="13" w:name="_Toc533668868"/>
            <w:r>
              <w:rPr>
                <w:rFonts w:hint="eastAsia" w:ascii="宋体" w:eastAsia="宋体" w:cs="宋体"/>
                <w:b w:val="0"/>
                <w:color w:val="auto"/>
                <w:kern w:val="2"/>
                <w:sz w:val="24"/>
                <w:szCs w:val="24"/>
              </w:rPr>
              <w:t>12</w:t>
            </w:r>
          </w:p>
        </w:tc>
        <w:tc>
          <w:tcPr>
            <w:tcW w:w="8640" w:type="dxa"/>
            <w:vAlign w:val="center"/>
          </w:tcPr>
          <w:p>
            <w:pPr>
              <w:pStyle w:val="56"/>
              <w:widowControl w:val="0"/>
              <w:pBdr>
                <w:bottom w:val="none" w:color="auto" w:sz="0" w:space="0"/>
              </w:pBdr>
              <w:spacing w:beforeAutospacing="0" w:afterAutospacing="0" w:line="360" w:lineRule="auto"/>
              <w:jc w:val="both"/>
              <w:textAlignment w:val="auto"/>
              <w:rPr>
                <w:rFonts w:ascii="宋体" w:eastAsia="宋体" w:cs="宋体"/>
                <w:b w:val="0"/>
                <w:color w:val="auto"/>
                <w:kern w:val="2"/>
                <w:sz w:val="24"/>
                <w:szCs w:val="24"/>
              </w:rPr>
            </w:pPr>
            <w:r>
              <w:rPr>
                <w:rFonts w:hint="eastAsia" w:ascii="宋体" w:eastAsia="宋体" w:cs="宋体"/>
                <w:b w:val="0"/>
                <w:color w:val="auto"/>
                <w:kern w:val="2"/>
                <w:sz w:val="24"/>
                <w:szCs w:val="24"/>
              </w:rPr>
              <w:t>本项目采购货物在质保期内属于货物质量问题的，成交供应商应免费维修，不能维修的应及时更换新设备，供应商须针对质保期内的质量问题提供承诺函。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95" w:type="dxa"/>
            <w:vAlign w:val="center"/>
          </w:tcPr>
          <w:p>
            <w:pPr>
              <w:pStyle w:val="56"/>
              <w:widowControl w:val="0"/>
              <w:pBdr>
                <w:bottom w:val="none" w:color="auto" w:sz="0" w:space="0"/>
              </w:pBdr>
              <w:spacing w:beforeAutospacing="0" w:afterAutospacing="0" w:line="360" w:lineRule="auto"/>
              <w:textAlignment w:val="auto"/>
              <w:rPr>
                <w:rFonts w:ascii="宋体" w:eastAsia="宋体" w:cs="宋体"/>
                <w:b w:val="0"/>
                <w:color w:val="auto"/>
                <w:kern w:val="2"/>
                <w:sz w:val="24"/>
                <w:szCs w:val="24"/>
              </w:rPr>
            </w:pPr>
            <w:r>
              <w:rPr>
                <w:rFonts w:hint="eastAsia" w:ascii="宋体" w:eastAsia="宋体" w:cs="宋体"/>
                <w:b w:val="0"/>
                <w:color w:val="auto"/>
                <w:kern w:val="2"/>
                <w:sz w:val="24"/>
                <w:szCs w:val="24"/>
              </w:rPr>
              <w:t>13</w:t>
            </w:r>
          </w:p>
        </w:tc>
        <w:tc>
          <w:tcPr>
            <w:tcW w:w="8640" w:type="dxa"/>
            <w:vAlign w:val="center"/>
          </w:tcPr>
          <w:p>
            <w:pPr>
              <w:pStyle w:val="56"/>
              <w:widowControl w:val="0"/>
              <w:pBdr>
                <w:bottom w:val="none" w:color="auto" w:sz="0" w:space="0"/>
              </w:pBdr>
              <w:spacing w:beforeAutospacing="0" w:afterAutospacing="0" w:line="360" w:lineRule="auto"/>
              <w:jc w:val="both"/>
              <w:textAlignment w:val="auto"/>
              <w:rPr>
                <w:rFonts w:ascii="宋体" w:eastAsia="宋体" w:cs="宋体"/>
                <w:b w:val="0"/>
                <w:color w:val="auto"/>
                <w:kern w:val="2"/>
                <w:sz w:val="24"/>
                <w:szCs w:val="24"/>
              </w:rPr>
            </w:pPr>
            <w:r>
              <w:rPr>
                <w:rFonts w:hint="eastAsia" w:ascii="宋体" w:eastAsia="宋体" w:cs="宋体"/>
                <w:bCs/>
                <w:color w:val="auto"/>
                <w:kern w:val="2"/>
                <w:sz w:val="24"/>
                <w:szCs w:val="24"/>
              </w:rPr>
              <w:t>本竞争性谈判文件解释权归采购人所有。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95" w:type="dxa"/>
            <w:vAlign w:val="center"/>
          </w:tcPr>
          <w:p>
            <w:pPr>
              <w:pStyle w:val="56"/>
              <w:widowControl w:val="0"/>
              <w:pBdr>
                <w:bottom w:val="none" w:color="auto" w:sz="0" w:space="0"/>
              </w:pBdr>
              <w:spacing w:beforeAutospacing="0" w:afterAutospacing="0" w:line="360" w:lineRule="auto"/>
              <w:jc w:val="both"/>
              <w:textAlignment w:val="auto"/>
              <w:rPr>
                <w:rFonts w:ascii="宋体" w:eastAsia="宋体" w:cs="宋体"/>
                <w:b w:val="0"/>
                <w:color w:val="auto"/>
                <w:kern w:val="2"/>
                <w:sz w:val="24"/>
                <w:szCs w:val="24"/>
              </w:rPr>
            </w:pPr>
            <w:r>
              <w:rPr>
                <w:rFonts w:hint="eastAsia" w:ascii="宋体" w:eastAsia="宋体" w:cs="宋体"/>
                <w:b w:val="0"/>
                <w:color w:val="auto"/>
                <w:kern w:val="2"/>
                <w:sz w:val="24"/>
                <w:szCs w:val="24"/>
              </w:rPr>
              <w:t>提别提醒</w:t>
            </w:r>
          </w:p>
        </w:tc>
        <w:tc>
          <w:tcPr>
            <w:tcW w:w="8640" w:type="dxa"/>
            <w:vAlign w:val="center"/>
          </w:tcPr>
          <w:p>
            <w:pPr>
              <w:pStyle w:val="56"/>
              <w:widowControl w:val="0"/>
              <w:pBdr>
                <w:bottom w:val="none" w:color="auto" w:sz="0" w:space="0"/>
              </w:pBdr>
              <w:spacing w:beforeAutospacing="0" w:afterAutospacing="0" w:line="360" w:lineRule="auto"/>
              <w:jc w:val="both"/>
              <w:textAlignment w:val="auto"/>
              <w:rPr>
                <w:rFonts w:ascii="宋体" w:eastAsia="宋体" w:cs="宋体"/>
                <w:bCs/>
                <w:color w:val="auto"/>
                <w:kern w:val="2"/>
                <w:sz w:val="24"/>
                <w:szCs w:val="24"/>
              </w:rPr>
            </w:pPr>
            <w:r>
              <w:rPr>
                <w:rFonts w:hint="eastAsia" w:ascii="宋体" w:eastAsia="宋体" w:cs="宋体"/>
                <w:bCs/>
                <w:color w:val="auto"/>
                <w:kern w:val="2"/>
                <w:sz w:val="24"/>
                <w:szCs w:val="24"/>
              </w:rPr>
              <w:t>1、因电子化评标需要，谈判小组要求供应商进行二轮报价以及作出澄清、说明或补正均用网上方式进行。</w:t>
            </w:r>
          </w:p>
          <w:p>
            <w:pPr>
              <w:pStyle w:val="56"/>
              <w:widowControl w:val="0"/>
              <w:pBdr>
                <w:bottom w:val="none" w:color="auto" w:sz="0" w:space="0"/>
              </w:pBdr>
              <w:spacing w:beforeAutospacing="0" w:afterAutospacing="0" w:line="360" w:lineRule="auto"/>
              <w:jc w:val="both"/>
              <w:textAlignment w:val="auto"/>
              <w:rPr>
                <w:rFonts w:ascii="宋体" w:eastAsia="宋体" w:cs="宋体"/>
                <w:bCs/>
                <w:color w:val="auto"/>
                <w:kern w:val="2"/>
                <w:sz w:val="24"/>
                <w:szCs w:val="24"/>
              </w:rPr>
            </w:pPr>
            <w:r>
              <w:rPr>
                <w:rFonts w:hint="eastAsia" w:ascii="宋体" w:eastAsia="宋体" w:cs="宋体"/>
                <w:bCs/>
                <w:color w:val="auto"/>
                <w:kern w:val="2"/>
                <w:sz w:val="24"/>
                <w:szCs w:val="24"/>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pPr>
        <w:pStyle w:val="9"/>
        <w:spacing w:before="0" w:after="0" w:line="360" w:lineRule="auto"/>
        <w:ind w:firstLine="723" w:firstLineChars="200"/>
        <w:jc w:val="center"/>
        <w:rPr>
          <w:rFonts w:ascii="宋体" w:hAnsi="宋体"/>
          <w:color w:val="auto"/>
          <w:kern w:val="0"/>
          <w:sz w:val="48"/>
          <w:szCs w:val="48"/>
        </w:rPr>
      </w:pPr>
      <w:r>
        <w:rPr>
          <w:rFonts w:hint="eastAsia" w:ascii="宋体" w:hAnsi="宋体"/>
          <w:color w:val="auto"/>
          <w:kern w:val="0"/>
          <w:sz w:val="36"/>
          <w:szCs w:val="36"/>
        </w:rPr>
        <w:br w:type="page"/>
      </w:r>
      <w:bookmarkStart w:id="14" w:name="_Toc7945"/>
    </w:p>
    <w:p>
      <w:pPr>
        <w:pStyle w:val="9"/>
        <w:spacing w:before="0" w:after="0" w:line="360" w:lineRule="auto"/>
        <w:ind w:firstLine="883" w:firstLineChars="200"/>
        <w:jc w:val="center"/>
        <w:rPr>
          <w:rFonts w:ascii="宋体" w:hAnsi="宋体"/>
          <w:color w:val="auto"/>
          <w:kern w:val="0"/>
          <w:sz w:val="24"/>
        </w:rPr>
      </w:pPr>
      <w:bookmarkStart w:id="15" w:name="_Toc1964"/>
      <w:bookmarkStart w:id="16" w:name="_Toc11711"/>
      <w:r>
        <w:rPr>
          <w:rFonts w:hint="eastAsia"/>
          <w:color w:val="auto"/>
          <w:kern w:val="0"/>
        </w:rPr>
        <w:t>第一部分 采购项目相关内容及要求</w:t>
      </w:r>
      <w:bookmarkEnd w:id="12"/>
      <w:bookmarkEnd w:id="13"/>
      <w:bookmarkEnd w:id="14"/>
      <w:bookmarkEnd w:id="15"/>
      <w:bookmarkEnd w:id="16"/>
    </w:p>
    <w:p>
      <w:pPr>
        <w:widowControl/>
        <w:numPr>
          <w:ilvl w:val="0"/>
          <w:numId w:val="5"/>
        </w:numPr>
        <w:spacing w:line="360" w:lineRule="auto"/>
        <w:ind w:firstLine="480" w:firstLineChars="200"/>
        <w:rPr>
          <w:rFonts w:ascii="宋体" w:hAnsi="宋体"/>
          <w:color w:val="auto"/>
          <w:kern w:val="0"/>
          <w:sz w:val="24"/>
        </w:rPr>
      </w:pPr>
      <w:r>
        <w:rPr>
          <w:rFonts w:hint="eastAsia" w:ascii="宋体" w:hAnsi="宋体"/>
          <w:color w:val="auto"/>
          <w:kern w:val="0"/>
          <w:sz w:val="24"/>
        </w:rPr>
        <w:t>项目基本情况</w:t>
      </w:r>
    </w:p>
    <w:p>
      <w:pPr>
        <w:adjustRightInd w:val="0"/>
        <w:snapToGrid w:val="0"/>
        <w:spacing w:line="360" w:lineRule="auto"/>
        <w:ind w:firstLine="480" w:firstLineChars="200"/>
        <w:rPr>
          <w:rFonts w:ascii="宋体" w:hAnsi="宋体"/>
          <w:color w:val="auto"/>
          <w:kern w:val="0"/>
          <w:sz w:val="24"/>
        </w:rPr>
      </w:pPr>
      <w:r>
        <w:rPr>
          <w:rFonts w:hint="eastAsia" w:ascii="宋体" w:hAnsi="宋体"/>
          <w:color w:val="auto"/>
          <w:kern w:val="0"/>
          <w:sz w:val="24"/>
        </w:rPr>
        <w:t xml:space="preserve">采   购   人：博爱县第一中学  </w:t>
      </w:r>
    </w:p>
    <w:p>
      <w:pPr>
        <w:adjustRightInd w:val="0"/>
        <w:snapToGrid w:val="0"/>
        <w:spacing w:line="360" w:lineRule="auto"/>
        <w:ind w:firstLine="480" w:firstLineChars="200"/>
        <w:rPr>
          <w:rFonts w:ascii="宋体" w:hAnsi="宋体"/>
          <w:color w:val="auto"/>
          <w:kern w:val="0"/>
          <w:sz w:val="24"/>
        </w:rPr>
      </w:pPr>
      <w:r>
        <w:rPr>
          <w:rFonts w:hint="eastAsia" w:ascii="宋体" w:hAnsi="宋体"/>
          <w:color w:val="auto"/>
          <w:kern w:val="0"/>
          <w:sz w:val="24"/>
        </w:rPr>
        <w:t>采购代理机构：河南金迪辉全过程工程咨询有限公司</w:t>
      </w:r>
    </w:p>
    <w:p>
      <w:pPr>
        <w:adjustRightInd w:val="0"/>
        <w:snapToGrid w:val="0"/>
        <w:spacing w:line="360" w:lineRule="auto"/>
        <w:ind w:firstLine="480" w:firstLineChars="200"/>
        <w:rPr>
          <w:rFonts w:ascii="宋体" w:hAnsi="宋体"/>
          <w:color w:val="auto"/>
          <w:kern w:val="0"/>
          <w:sz w:val="24"/>
        </w:rPr>
      </w:pPr>
      <w:r>
        <w:rPr>
          <w:rFonts w:hint="eastAsia" w:ascii="宋体" w:hAnsi="宋体"/>
          <w:color w:val="auto"/>
          <w:kern w:val="0"/>
          <w:sz w:val="24"/>
        </w:rPr>
        <w:t>项 目  名 称:博爱县第一中学理化生实验室采购项目</w:t>
      </w:r>
    </w:p>
    <w:p>
      <w:pPr>
        <w:adjustRightInd w:val="0"/>
        <w:snapToGrid w:val="0"/>
        <w:spacing w:line="360" w:lineRule="auto"/>
        <w:ind w:firstLine="480" w:firstLineChars="200"/>
        <w:rPr>
          <w:rFonts w:ascii="宋体" w:hAnsi="宋体"/>
          <w:color w:val="auto"/>
          <w:kern w:val="0"/>
          <w:sz w:val="24"/>
        </w:rPr>
      </w:pPr>
      <w:r>
        <w:rPr>
          <w:rFonts w:hint="eastAsia" w:ascii="宋体" w:hAnsi="宋体"/>
          <w:color w:val="auto"/>
          <w:kern w:val="0"/>
          <w:sz w:val="24"/>
        </w:rPr>
        <w:t>采 购  编 号：博政采购〔2023〕84号</w:t>
      </w:r>
    </w:p>
    <w:p>
      <w:pPr>
        <w:adjustRightInd w:val="0"/>
        <w:snapToGrid w:val="0"/>
        <w:spacing w:line="360" w:lineRule="auto"/>
        <w:ind w:firstLine="480" w:firstLineChars="200"/>
        <w:rPr>
          <w:rFonts w:ascii="宋体" w:hAnsi="宋体"/>
          <w:color w:val="auto"/>
          <w:kern w:val="0"/>
          <w:sz w:val="24"/>
        </w:rPr>
      </w:pPr>
      <w:r>
        <w:rPr>
          <w:rFonts w:hint="eastAsia" w:ascii="宋体" w:hAnsi="宋体"/>
          <w:color w:val="auto"/>
          <w:kern w:val="0"/>
          <w:sz w:val="24"/>
        </w:rPr>
        <w:t>资 金  来 源：</w:t>
      </w:r>
      <w:r>
        <w:rPr>
          <w:rFonts w:hint="eastAsia" w:ascii="宋体" w:cs="宋体"/>
          <w:color w:val="auto"/>
          <w:sz w:val="24"/>
        </w:rPr>
        <w:t>上级资金加自筹资金</w:t>
      </w:r>
    </w:p>
    <w:p>
      <w:pPr>
        <w:widowControl/>
        <w:numPr>
          <w:ilvl w:val="0"/>
          <w:numId w:val="5"/>
        </w:numPr>
        <w:spacing w:line="360" w:lineRule="auto"/>
        <w:ind w:firstLine="480" w:firstLineChars="200"/>
        <w:rPr>
          <w:rFonts w:ascii="宋体" w:hAnsi="宋体"/>
          <w:color w:val="auto"/>
          <w:kern w:val="0"/>
          <w:sz w:val="24"/>
        </w:rPr>
      </w:pPr>
      <w:r>
        <w:rPr>
          <w:rFonts w:hint="eastAsia" w:ascii="宋体" w:hAnsi="宋体"/>
          <w:color w:val="auto"/>
          <w:kern w:val="0"/>
          <w:sz w:val="24"/>
        </w:rPr>
        <w:t>供应商资格要求</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2.1符合《中华人民共和国政府采购法》第二十二条之规定；</w:t>
      </w:r>
    </w:p>
    <w:p>
      <w:pPr>
        <w:adjustRightInd w:val="0"/>
        <w:snapToGrid w:val="0"/>
        <w:spacing w:line="360" w:lineRule="auto"/>
        <w:ind w:firstLine="480" w:firstLineChars="200"/>
        <w:rPr>
          <w:rFonts w:ascii="宋体" w:hAnsi="宋体" w:cs="宋体"/>
          <w:color w:val="auto"/>
          <w:kern w:val="0"/>
          <w:sz w:val="24"/>
        </w:rPr>
      </w:pPr>
      <w:r>
        <w:rPr>
          <w:rFonts w:hint="eastAsia" w:ascii="宋体" w:hAnsi="宋体"/>
          <w:color w:val="auto"/>
          <w:kern w:val="0"/>
          <w:sz w:val="24"/>
        </w:rPr>
        <w:t>2.2落实政府采购政策需满足的资格要求：</w:t>
      </w:r>
      <w:r>
        <w:rPr>
          <w:rFonts w:hint="eastAsia" w:ascii="宋体" w:hAnsi="宋体" w:cs="宋体"/>
          <w:color w:val="auto"/>
          <w:sz w:val="24"/>
        </w:rPr>
        <w:t>促进政府强制采购节能产品及环境标志产品优先采购，该项目全额面向中小企业采购，需要提供中小企业声明函；</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2.3本项目的特定资格要求：</w:t>
      </w:r>
    </w:p>
    <w:p>
      <w:pPr>
        <w:adjustRightInd w:val="0"/>
        <w:snapToGrid w:val="0"/>
        <w:spacing w:line="360" w:lineRule="auto"/>
        <w:ind w:firstLine="480" w:firstLineChars="200"/>
        <w:rPr>
          <w:rFonts w:ascii="宋体" w:hAnsi="宋体" w:cs="宋体"/>
          <w:color w:val="auto"/>
          <w:kern w:val="0"/>
          <w:sz w:val="24"/>
        </w:rPr>
      </w:pPr>
      <w:r>
        <w:rPr>
          <w:rFonts w:hint="eastAsia" w:ascii="宋体" w:hAnsi="宋体"/>
          <w:color w:val="auto"/>
          <w:kern w:val="0"/>
          <w:sz w:val="24"/>
        </w:rPr>
        <w:t>2.3.1</w:t>
      </w:r>
      <w:r>
        <w:rPr>
          <w:rFonts w:hint="eastAsia" w:ascii="宋体" w:hAnsi="宋体" w:cs="宋体"/>
          <w:color w:val="auto"/>
          <w:kern w:val="0"/>
          <w:sz w:val="24"/>
        </w:rPr>
        <w:t>供应商须具有有效的营业执照，并具有实施完成本项目的经营实力和完善的售后服务体系</w:t>
      </w:r>
      <w:r>
        <w:rPr>
          <w:rFonts w:hint="eastAsia" w:ascii="宋体" w:hAnsi="宋体" w:cs="宋体"/>
          <w:color w:val="auto"/>
          <w:sz w:val="24"/>
          <w:shd w:val="clear" w:color="auto" w:fill="FFFFFF"/>
        </w:rPr>
        <w:t>；</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2.3.2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2.3.3本项目不接受联合体投标；</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2.3.4资格审查方式：资格后审。</w:t>
      </w:r>
    </w:p>
    <w:p>
      <w:pPr>
        <w:widowControl/>
        <w:numPr>
          <w:ilvl w:val="0"/>
          <w:numId w:val="5"/>
        </w:numPr>
        <w:spacing w:line="360" w:lineRule="auto"/>
        <w:ind w:firstLine="480" w:firstLineChars="200"/>
        <w:rPr>
          <w:rFonts w:ascii="宋体" w:hAnsi="宋体"/>
          <w:color w:val="auto"/>
          <w:kern w:val="0"/>
          <w:sz w:val="24"/>
        </w:rPr>
      </w:pPr>
      <w:r>
        <w:rPr>
          <w:rFonts w:hint="eastAsia" w:ascii="宋体" w:hAnsi="宋体"/>
          <w:color w:val="auto"/>
          <w:kern w:val="0"/>
          <w:sz w:val="24"/>
        </w:rPr>
        <w:t>响应文件报价应是竞争性谈判文件和其他相关资料确定的全部工作内容的价格体现。</w:t>
      </w:r>
    </w:p>
    <w:p>
      <w:pPr>
        <w:widowControl/>
        <w:numPr>
          <w:ilvl w:val="0"/>
          <w:numId w:val="5"/>
        </w:numPr>
        <w:spacing w:line="360" w:lineRule="auto"/>
        <w:ind w:firstLine="480" w:firstLineChars="200"/>
        <w:rPr>
          <w:rFonts w:ascii="宋体" w:hAnsi="宋体"/>
          <w:color w:val="auto"/>
          <w:kern w:val="0"/>
          <w:sz w:val="24"/>
        </w:rPr>
      </w:pPr>
      <w:r>
        <w:rPr>
          <w:rFonts w:hint="eastAsia" w:ascii="宋体" w:hAnsi="宋体"/>
          <w:color w:val="auto"/>
          <w:kern w:val="0"/>
          <w:sz w:val="24"/>
        </w:rPr>
        <w:t>供应商的响应文件应实质性响应竞争性谈判文件要求。</w:t>
      </w:r>
    </w:p>
    <w:p>
      <w:pPr>
        <w:widowControl/>
        <w:numPr>
          <w:ilvl w:val="0"/>
          <w:numId w:val="5"/>
        </w:numPr>
        <w:spacing w:line="360" w:lineRule="auto"/>
        <w:ind w:firstLine="480" w:firstLineChars="200"/>
        <w:rPr>
          <w:rFonts w:ascii="宋体" w:hAnsi="宋体"/>
          <w:color w:val="auto"/>
          <w:kern w:val="0"/>
          <w:sz w:val="24"/>
        </w:rPr>
      </w:pPr>
      <w:r>
        <w:rPr>
          <w:rFonts w:hint="eastAsia" w:ascii="宋体" w:hAnsi="宋体"/>
          <w:color w:val="auto"/>
          <w:kern w:val="0"/>
          <w:sz w:val="24"/>
        </w:rPr>
        <w:t>响应文件递交截止时间之后，任何人不得更改响应文件。</w:t>
      </w:r>
    </w:p>
    <w:p>
      <w:pPr>
        <w:widowControl/>
        <w:numPr>
          <w:ilvl w:val="0"/>
          <w:numId w:val="5"/>
        </w:numPr>
        <w:spacing w:line="360" w:lineRule="auto"/>
        <w:ind w:firstLine="480" w:firstLineChars="200"/>
        <w:rPr>
          <w:rFonts w:ascii="宋体" w:hAnsi="宋体"/>
          <w:color w:val="auto"/>
          <w:kern w:val="0"/>
          <w:sz w:val="24"/>
        </w:rPr>
      </w:pPr>
      <w:r>
        <w:rPr>
          <w:rFonts w:hint="eastAsia" w:ascii="宋体" w:hAnsi="宋体"/>
          <w:color w:val="auto"/>
          <w:kern w:val="0"/>
          <w:sz w:val="24"/>
        </w:rPr>
        <w:t>如有疑问，请与采购人或采购代理机构联系。</w:t>
      </w:r>
    </w:p>
    <w:p>
      <w:pPr>
        <w:widowControl/>
        <w:numPr>
          <w:ilvl w:val="0"/>
          <w:numId w:val="5"/>
        </w:numPr>
        <w:spacing w:line="360" w:lineRule="auto"/>
        <w:ind w:firstLine="480" w:firstLineChars="200"/>
        <w:rPr>
          <w:rFonts w:ascii="宋体" w:hAnsi="宋体"/>
          <w:color w:val="auto"/>
          <w:kern w:val="0"/>
          <w:sz w:val="24"/>
        </w:rPr>
      </w:pPr>
      <w:r>
        <w:rPr>
          <w:rFonts w:hint="eastAsia" w:ascii="宋体" w:hAnsi="宋体"/>
          <w:color w:val="auto"/>
          <w:kern w:val="0"/>
          <w:sz w:val="24"/>
        </w:rPr>
        <w:t>合同由成交人与博爱县第一中学签订。</w:t>
      </w:r>
    </w:p>
    <w:p>
      <w:pPr>
        <w:widowControl/>
        <w:numPr>
          <w:ilvl w:val="0"/>
          <w:numId w:val="5"/>
        </w:numPr>
        <w:spacing w:line="360" w:lineRule="auto"/>
        <w:ind w:firstLine="480" w:firstLineChars="200"/>
        <w:rPr>
          <w:rFonts w:ascii="宋体" w:hAnsi="宋体"/>
          <w:color w:val="auto"/>
          <w:kern w:val="0"/>
          <w:sz w:val="24"/>
        </w:rPr>
      </w:pPr>
      <w:r>
        <w:rPr>
          <w:rFonts w:hint="eastAsia" w:ascii="宋体" w:hAnsi="宋体"/>
          <w:color w:val="auto"/>
          <w:kern w:val="0"/>
          <w:sz w:val="24"/>
        </w:rPr>
        <w:t>成交人不得转包项目，否则一经发现，采购人有权另行选择其它单位。</w:t>
      </w:r>
    </w:p>
    <w:p>
      <w:pPr>
        <w:widowControl/>
        <w:numPr>
          <w:ilvl w:val="0"/>
          <w:numId w:val="5"/>
        </w:numPr>
        <w:spacing w:line="360" w:lineRule="auto"/>
        <w:ind w:firstLine="480" w:firstLineChars="200"/>
        <w:rPr>
          <w:rFonts w:ascii="宋体" w:hAnsi="宋体"/>
          <w:color w:val="auto"/>
          <w:kern w:val="0"/>
          <w:sz w:val="24"/>
        </w:rPr>
      </w:pPr>
      <w:r>
        <w:rPr>
          <w:rFonts w:hint="eastAsia" w:ascii="宋体" w:hAnsi="宋体"/>
          <w:color w:val="auto"/>
          <w:kern w:val="0"/>
          <w:sz w:val="24"/>
        </w:rPr>
        <w:t>付款方式：</w:t>
      </w:r>
      <w:r>
        <w:rPr>
          <w:rFonts w:hint="eastAsia" w:ascii="宋体" w:hAnsi="宋体" w:cs="宋体"/>
          <w:bCs/>
          <w:color w:val="auto"/>
          <w:sz w:val="24"/>
        </w:rPr>
        <w:t>项目供货安装验收合格后支付合同金额的75%，剩余款项三个月内付清。</w:t>
      </w:r>
    </w:p>
    <w:p>
      <w:pPr>
        <w:widowControl/>
        <w:numPr>
          <w:ilvl w:val="0"/>
          <w:numId w:val="5"/>
        </w:numPr>
        <w:spacing w:line="360" w:lineRule="auto"/>
        <w:ind w:firstLine="480" w:firstLineChars="200"/>
        <w:rPr>
          <w:rFonts w:ascii="宋体" w:hAnsi="宋体"/>
          <w:color w:val="auto"/>
          <w:kern w:val="0"/>
          <w:sz w:val="24"/>
        </w:rPr>
      </w:pPr>
      <w:r>
        <w:rPr>
          <w:rFonts w:hint="eastAsia" w:ascii="宋体" w:hAnsi="宋体"/>
          <w:color w:val="auto"/>
          <w:kern w:val="0"/>
          <w:sz w:val="24"/>
        </w:rPr>
        <w:t>质量要求：合格，符合国家、行业规范标准。</w:t>
      </w:r>
    </w:p>
    <w:p>
      <w:pPr>
        <w:pStyle w:val="3"/>
        <w:spacing w:after="0" w:line="360" w:lineRule="auto"/>
        <w:ind w:firstLine="480"/>
        <w:rPr>
          <w:color w:val="auto"/>
        </w:rPr>
      </w:pPr>
      <w:r>
        <w:rPr>
          <w:rFonts w:hint="eastAsia" w:ascii="宋体" w:hAnsi="宋体"/>
          <w:color w:val="auto"/>
          <w:kern w:val="0"/>
          <w:sz w:val="24"/>
        </w:rPr>
        <w:t>11. 质保期：1年。</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12. 供货及安装期：合同签订后15日历天内完成供货和安装。</w:t>
      </w:r>
    </w:p>
    <w:p>
      <w:pPr>
        <w:widowControl/>
        <w:spacing w:line="360" w:lineRule="auto"/>
        <w:ind w:firstLine="480" w:firstLineChars="200"/>
        <w:rPr>
          <w:rFonts w:ascii="宋体" w:hAnsi="宋体"/>
          <w:color w:val="auto"/>
          <w:kern w:val="0"/>
          <w:sz w:val="24"/>
        </w:rPr>
      </w:pPr>
      <w:bookmarkStart w:id="17" w:name="_Toc533668869"/>
      <w:bookmarkStart w:id="18" w:name="_Toc27926"/>
      <w:bookmarkStart w:id="19" w:name="_Toc31607"/>
      <w:r>
        <w:rPr>
          <w:rFonts w:hint="eastAsia" w:ascii="宋体" w:hAnsi="宋体"/>
          <w:color w:val="auto"/>
          <w:kern w:val="0"/>
          <w:sz w:val="24"/>
        </w:rPr>
        <w:t>13. 服务要求：提供三年免费上门服务，当日下午4点前报修，下一自然日24点前修复，若未能完成修复，则免费赠送延迟日数对应的月度延保服务。</w:t>
      </w:r>
    </w:p>
    <w:p>
      <w:pPr>
        <w:widowControl/>
        <w:spacing w:line="360" w:lineRule="auto"/>
        <w:ind w:firstLine="480" w:firstLineChars="200"/>
        <w:rPr>
          <w:rFonts w:ascii="宋体" w:hAnsi="宋体"/>
          <w:color w:val="auto"/>
          <w:kern w:val="0"/>
          <w:sz w:val="24"/>
        </w:rPr>
      </w:pPr>
    </w:p>
    <w:p>
      <w:pPr>
        <w:rPr>
          <w:color w:val="auto"/>
        </w:rPr>
      </w:pPr>
    </w:p>
    <w:p>
      <w:pPr>
        <w:pStyle w:val="10"/>
        <w:rPr>
          <w:color w:val="auto"/>
        </w:rPr>
      </w:pPr>
    </w:p>
    <w:p>
      <w:pPr>
        <w:rPr>
          <w:color w:val="auto"/>
        </w:rPr>
      </w:pPr>
    </w:p>
    <w:p>
      <w:pPr>
        <w:pStyle w:val="10"/>
        <w:rPr>
          <w:color w:val="auto"/>
        </w:rPr>
      </w:pPr>
    </w:p>
    <w:p>
      <w:pPr>
        <w:rPr>
          <w:color w:val="auto"/>
        </w:rPr>
      </w:pPr>
    </w:p>
    <w:p>
      <w:pPr>
        <w:pStyle w:val="10"/>
        <w:rPr>
          <w:color w:val="auto"/>
        </w:rPr>
      </w:pPr>
    </w:p>
    <w:p>
      <w:pPr>
        <w:rPr>
          <w:color w:val="auto"/>
        </w:rPr>
      </w:pPr>
    </w:p>
    <w:p>
      <w:pPr>
        <w:rPr>
          <w:color w:val="auto"/>
        </w:rPr>
      </w:pPr>
    </w:p>
    <w:p>
      <w:pPr>
        <w:rPr>
          <w:color w:val="auto"/>
        </w:rPr>
      </w:pPr>
    </w:p>
    <w:p>
      <w:pPr>
        <w:pStyle w:val="2"/>
        <w:ind w:firstLine="210"/>
        <w:rPr>
          <w:color w:val="auto"/>
        </w:rPr>
      </w:pPr>
    </w:p>
    <w:p>
      <w:pPr>
        <w:pStyle w:val="9"/>
        <w:spacing w:before="0" w:after="0" w:line="360" w:lineRule="auto"/>
        <w:ind w:firstLine="883" w:firstLineChars="200"/>
        <w:jc w:val="center"/>
        <w:rPr>
          <w:rFonts w:ascii="宋体" w:hAnsi="宋体"/>
          <w:color w:val="auto"/>
          <w:kern w:val="0"/>
          <w:sz w:val="30"/>
          <w:szCs w:val="30"/>
        </w:rPr>
      </w:pPr>
      <w:bookmarkStart w:id="20" w:name="_Toc1560"/>
      <w:bookmarkStart w:id="21" w:name="_Toc23310"/>
      <w:r>
        <w:rPr>
          <w:rFonts w:hint="eastAsia"/>
          <w:color w:val="auto"/>
          <w:kern w:val="0"/>
        </w:rPr>
        <w:t>第二部分  参与采购须知</w:t>
      </w:r>
      <w:bookmarkEnd w:id="17"/>
      <w:bookmarkEnd w:id="18"/>
      <w:bookmarkEnd w:id="19"/>
      <w:bookmarkEnd w:id="20"/>
      <w:bookmarkEnd w:id="21"/>
    </w:p>
    <w:p>
      <w:pPr>
        <w:widowControl/>
        <w:spacing w:line="360" w:lineRule="auto"/>
        <w:ind w:firstLine="482" w:firstLineChars="200"/>
        <w:rPr>
          <w:rFonts w:ascii="宋体"/>
          <w:b/>
          <w:bCs/>
          <w:color w:val="auto"/>
          <w:kern w:val="0"/>
          <w:sz w:val="24"/>
        </w:rPr>
      </w:pPr>
      <w:r>
        <w:rPr>
          <w:rFonts w:hint="eastAsia" w:ascii="宋体" w:hAnsi="宋体"/>
          <w:b/>
          <w:bCs/>
          <w:color w:val="auto"/>
          <w:kern w:val="0"/>
          <w:sz w:val="24"/>
        </w:rPr>
        <w:t>一、总则</w:t>
      </w:r>
    </w:p>
    <w:p>
      <w:pPr>
        <w:widowControl/>
        <w:spacing w:line="360" w:lineRule="auto"/>
        <w:ind w:firstLine="480" w:firstLineChars="200"/>
        <w:rPr>
          <w:rFonts w:ascii="宋体"/>
          <w:color w:val="auto"/>
          <w:kern w:val="0"/>
          <w:sz w:val="24"/>
        </w:rPr>
      </w:pPr>
      <w:r>
        <w:rPr>
          <w:rFonts w:ascii="宋体" w:hAnsi="宋体"/>
          <w:color w:val="auto"/>
          <w:kern w:val="0"/>
          <w:sz w:val="24"/>
        </w:rPr>
        <w:t>1</w:t>
      </w:r>
      <w:r>
        <w:rPr>
          <w:rFonts w:hint="eastAsia" w:ascii="宋体" w:hAnsi="宋体"/>
          <w:color w:val="auto"/>
          <w:kern w:val="0"/>
          <w:sz w:val="24"/>
        </w:rPr>
        <w:t>. 根据《中华人民共和国政府采购法》以及相关的法律、法规、规章等，按照本文件中预定的评标方式择优选定成交人。</w:t>
      </w:r>
    </w:p>
    <w:p>
      <w:pPr>
        <w:widowControl/>
        <w:spacing w:line="360" w:lineRule="auto"/>
        <w:ind w:firstLine="480" w:firstLineChars="200"/>
        <w:rPr>
          <w:rFonts w:ascii="宋体"/>
          <w:color w:val="auto"/>
          <w:kern w:val="0"/>
          <w:sz w:val="24"/>
        </w:rPr>
      </w:pPr>
      <w:r>
        <w:rPr>
          <w:rFonts w:ascii="宋体" w:hAnsi="宋体"/>
          <w:color w:val="auto"/>
          <w:kern w:val="0"/>
          <w:sz w:val="24"/>
        </w:rPr>
        <w:t>2</w:t>
      </w:r>
      <w:r>
        <w:rPr>
          <w:rFonts w:hint="eastAsia" w:ascii="宋体" w:hAnsi="宋体"/>
          <w:color w:val="auto"/>
          <w:kern w:val="0"/>
          <w:sz w:val="24"/>
        </w:rPr>
        <w:t>. 本次竞争性谈判已按照有关规定向博爱县财政局采购办备案。</w:t>
      </w:r>
    </w:p>
    <w:p>
      <w:pPr>
        <w:widowControl/>
        <w:spacing w:line="360" w:lineRule="auto"/>
        <w:ind w:firstLine="480" w:firstLineChars="200"/>
        <w:rPr>
          <w:rFonts w:ascii="宋体"/>
          <w:color w:val="auto"/>
          <w:kern w:val="0"/>
          <w:sz w:val="24"/>
        </w:rPr>
      </w:pPr>
      <w:r>
        <w:rPr>
          <w:rFonts w:ascii="宋体" w:hAnsi="宋体"/>
          <w:color w:val="auto"/>
          <w:kern w:val="0"/>
          <w:sz w:val="24"/>
        </w:rPr>
        <w:t>3</w:t>
      </w:r>
      <w:r>
        <w:rPr>
          <w:rFonts w:hint="eastAsia" w:ascii="宋体" w:hAnsi="宋体"/>
          <w:color w:val="auto"/>
          <w:kern w:val="0"/>
          <w:sz w:val="24"/>
        </w:rPr>
        <w:t>. 维护双方当事人的合法权益，反对不正当竞争。</w:t>
      </w:r>
    </w:p>
    <w:p>
      <w:pPr>
        <w:widowControl/>
        <w:spacing w:line="360" w:lineRule="auto"/>
        <w:ind w:firstLine="480" w:firstLineChars="200"/>
        <w:rPr>
          <w:rFonts w:ascii="宋体"/>
          <w:color w:val="auto"/>
          <w:kern w:val="0"/>
          <w:sz w:val="24"/>
        </w:rPr>
      </w:pPr>
      <w:r>
        <w:rPr>
          <w:rFonts w:ascii="宋体" w:hAnsi="宋体"/>
          <w:color w:val="auto"/>
          <w:kern w:val="0"/>
          <w:sz w:val="24"/>
        </w:rPr>
        <w:t>4</w:t>
      </w:r>
      <w:r>
        <w:rPr>
          <w:rFonts w:hint="eastAsia" w:ascii="宋体" w:hAnsi="宋体"/>
          <w:color w:val="auto"/>
          <w:kern w:val="0"/>
          <w:sz w:val="24"/>
        </w:rPr>
        <w:t>. 供应商应仔细阅读竞争性谈判文件，一旦参与竞争性谈判，均认为响应该竞争性谈判文件中采购人的有关要求。</w:t>
      </w:r>
    </w:p>
    <w:p>
      <w:pPr>
        <w:widowControl/>
        <w:spacing w:line="360" w:lineRule="auto"/>
        <w:ind w:firstLine="480" w:firstLineChars="200"/>
        <w:rPr>
          <w:rFonts w:ascii="宋体"/>
          <w:color w:val="auto"/>
          <w:kern w:val="0"/>
          <w:sz w:val="24"/>
        </w:rPr>
      </w:pPr>
      <w:r>
        <w:rPr>
          <w:rFonts w:ascii="宋体" w:hAnsi="宋体"/>
          <w:color w:val="auto"/>
          <w:kern w:val="0"/>
          <w:sz w:val="24"/>
        </w:rPr>
        <w:t>5</w:t>
      </w:r>
      <w:r>
        <w:rPr>
          <w:rFonts w:hint="eastAsia" w:ascii="宋体" w:hAnsi="宋体"/>
          <w:color w:val="auto"/>
          <w:kern w:val="0"/>
          <w:sz w:val="24"/>
        </w:rPr>
        <w:t>. 投标费用：供应商在投标过程中所发生的一切费用，不论成交与否，均由供应商自负，采购单位不承担任何责任。</w:t>
      </w:r>
    </w:p>
    <w:p>
      <w:pPr>
        <w:widowControl/>
        <w:spacing w:line="360" w:lineRule="auto"/>
        <w:ind w:firstLine="482" w:firstLineChars="200"/>
        <w:rPr>
          <w:rFonts w:ascii="宋体"/>
          <w:b/>
          <w:bCs/>
          <w:color w:val="auto"/>
          <w:kern w:val="0"/>
          <w:sz w:val="24"/>
        </w:rPr>
      </w:pPr>
      <w:r>
        <w:rPr>
          <w:rFonts w:hint="eastAsia" w:ascii="宋体" w:hAnsi="宋体"/>
          <w:b/>
          <w:bCs/>
          <w:color w:val="auto"/>
          <w:kern w:val="0"/>
          <w:sz w:val="24"/>
        </w:rPr>
        <w:t>二、采购内容及要求</w:t>
      </w:r>
    </w:p>
    <w:p>
      <w:pPr>
        <w:adjustRightInd w:val="0"/>
        <w:snapToGrid w:val="0"/>
        <w:spacing w:line="360" w:lineRule="auto"/>
        <w:ind w:firstLine="480" w:firstLineChars="200"/>
        <w:rPr>
          <w:rFonts w:ascii="宋体" w:cs="Arial"/>
          <w:bCs/>
          <w:color w:val="auto"/>
          <w:sz w:val="24"/>
        </w:rPr>
      </w:pPr>
      <w:r>
        <w:rPr>
          <w:rFonts w:hint="eastAsia" w:ascii="宋体" w:hAnsi="宋体"/>
          <w:color w:val="auto"/>
          <w:kern w:val="0"/>
          <w:sz w:val="24"/>
        </w:rPr>
        <w:t>1. 项目名称：</w:t>
      </w:r>
      <w:r>
        <w:rPr>
          <w:rFonts w:hint="eastAsia" w:ascii="宋体" w:hAnsi="宋体" w:cs="宋体"/>
          <w:color w:val="auto"/>
          <w:kern w:val="0"/>
          <w:sz w:val="24"/>
        </w:rPr>
        <w:t>博爱县第一中学理化生实验室采购项目</w:t>
      </w:r>
    </w:p>
    <w:p>
      <w:pPr>
        <w:pStyle w:val="56"/>
        <w:widowControl w:val="0"/>
        <w:pBdr>
          <w:bottom w:val="none" w:color="auto" w:sz="0" w:space="0"/>
        </w:pBdr>
        <w:spacing w:beforeAutospacing="0" w:afterAutospacing="0" w:line="360" w:lineRule="auto"/>
        <w:ind w:firstLine="480" w:firstLineChars="200"/>
        <w:jc w:val="both"/>
        <w:textAlignment w:val="auto"/>
        <w:rPr>
          <w:rFonts w:ascii="宋体" w:eastAsia="宋体"/>
          <w:b w:val="0"/>
          <w:color w:val="auto"/>
          <w:sz w:val="24"/>
          <w:szCs w:val="24"/>
        </w:rPr>
      </w:pPr>
      <w:r>
        <w:rPr>
          <w:rFonts w:hint="eastAsia" w:ascii="宋体" w:eastAsia="宋体" w:cs="宋体"/>
          <w:b w:val="0"/>
          <w:color w:val="auto"/>
          <w:kern w:val="2"/>
          <w:sz w:val="24"/>
          <w:szCs w:val="24"/>
        </w:rPr>
        <w:t>2. 采购内容：</w:t>
      </w:r>
      <w:r>
        <w:rPr>
          <w:rFonts w:hint="eastAsia" w:ascii="宋体" w:eastAsia="宋体"/>
          <w:b w:val="0"/>
          <w:color w:val="auto"/>
          <w:sz w:val="24"/>
          <w:szCs w:val="24"/>
        </w:rPr>
        <w:t>新建物理力学实验室（56座）2个、新建物理准备室及仪器室1个、建通风化学实验室（56座）2个、新建化学准备室及仪器室1个、新建生物实验室（56座）2个、新建生物准备室及仪器室1个、物理实验室改造2个、化学不通风改造成通风实验室2个、生物实验室改造1个。</w:t>
      </w:r>
    </w:p>
    <w:p>
      <w:pPr>
        <w:widowControl/>
        <w:spacing w:line="360" w:lineRule="auto"/>
        <w:ind w:firstLine="482" w:firstLineChars="200"/>
        <w:rPr>
          <w:rFonts w:ascii="宋体"/>
          <w:b/>
          <w:bCs/>
          <w:color w:val="auto"/>
          <w:kern w:val="0"/>
          <w:sz w:val="24"/>
        </w:rPr>
      </w:pPr>
      <w:r>
        <w:rPr>
          <w:rFonts w:hint="eastAsia" w:ascii="宋体" w:hAnsi="宋体"/>
          <w:b/>
          <w:bCs/>
          <w:color w:val="auto"/>
          <w:kern w:val="0"/>
          <w:sz w:val="24"/>
        </w:rPr>
        <w:t>三、采购文件</w:t>
      </w:r>
    </w:p>
    <w:p>
      <w:pPr>
        <w:widowControl/>
        <w:spacing w:line="360" w:lineRule="auto"/>
        <w:ind w:firstLine="480" w:firstLineChars="200"/>
        <w:rPr>
          <w:rFonts w:ascii="宋体"/>
          <w:color w:val="auto"/>
          <w:kern w:val="0"/>
          <w:sz w:val="24"/>
        </w:rPr>
      </w:pPr>
      <w:r>
        <w:rPr>
          <w:rFonts w:hint="eastAsia" w:ascii="宋体" w:hAnsi="宋体"/>
          <w:color w:val="auto"/>
          <w:kern w:val="0"/>
          <w:sz w:val="24"/>
        </w:rPr>
        <w:t>1. 竞争性谈判文件包括本文件和所有按本文件规定发出的补充通知等。</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2. 供应商的响应文件应实质上响应竞争性谈判文件的要求，否则，响应文件将被拒绝。</w:t>
      </w:r>
    </w:p>
    <w:p>
      <w:pPr>
        <w:widowControl/>
        <w:spacing w:line="360" w:lineRule="auto"/>
        <w:ind w:firstLine="480" w:firstLineChars="200"/>
        <w:rPr>
          <w:rFonts w:ascii="宋体"/>
          <w:color w:val="auto"/>
          <w:kern w:val="0"/>
          <w:sz w:val="24"/>
        </w:rPr>
      </w:pPr>
      <w:r>
        <w:rPr>
          <w:rFonts w:hint="eastAsia" w:ascii="宋体" w:hAnsi="宋体"/>
          <w:color w:val="auto"/>
          <w:kern w:val="0"/>
          <w:sz w:val="24"/>
        </w:rPr>
        <w:t>3. 竞争性谈判文件的解释。</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供应商对收到的本项目竞争性谈判文件若有疑问，</w:t>
      </w:r>
      <w:r>
        <w:rPr>
          <w:rFonts w:hint="eastAsia" w:ascii="宋体" w:hAnsi="宋体" w:cs="宋体"/>
          <w:bCs/>
          <w:color w:val="auto"/>
          <w:sz w:val="24"/>
        </w:rPr>
        <w:t>应以书面形式向</w:t>
      </w:r>
      <w:r>
        <w:rPr>
          <w:rFonts w:hint="eastAsia" w:ascii="宋体" w:hAnsi="宋体"/>
          <w:color w:val="auto"/>
          <w:kern w:val="0"/>
          <w:sz w:val="24"/>
          <w:u w:val="single"/>
        </w:rPr>
        <w:t>采购人、采购代理机构提出</w:t>
      </w:r>
      <w:r>
        <w:rPr>
          <w:rFonts w:hint="eastAsia" w:ascii="宋体" w:hAnsi="宋体"/>
          <w:color w:val="auto"/>
          <w:kern w:val="0"/>
          <w:sz w:val="24"/>
        </w:rPr>
        <w:t>，</w:t>
      </w:r>
      <w:r>
        <w:rPr>
          <w:rFonts w:hint="eastAsia" w:ascii="宋体" w:hAnsi="宋体"/>
          <w:color w:val="auto"/>
          <w:kern w:val="0"/>
          <w:sz w:val="24"/>
          <w:u w:val="single"/>
        </w:rPr>
        <w:t>采购人和采购代理机构将在提起之日起七个工作日内以书面形式给予答复</w:t>
      </w:r>
      <w:r>
        <w:rPr>
          <w:rFonts w:hint="eastAsia" w:ascii="宋体" w:hAnsi="宋体"/>
          <w:color w:val="auto"/>
          <w:kern w:val="0"/>
          <w:sz w:val="24"/>
        </w:rPr>
        <w:t>。</w:t>
      </w:r>
    </w:p>
    <w:p>
      <w:pPr>
        <w:widowControl/>
        <w:spacing w:line="360" w:lineRule="auto"/>
        <w:ind w:firstLine="480" w:firstLineChars="200"/>
        <w:rPr>
          <w:rFonts w:ascii="宋体"/>
          <w:color w:val="auto"/>
          <w:kern w:val="0"/>
          <w:sz w:val="24"/>
        </w:rPr>
      </w:pPr>
      <w:r>
        <w:rPr>
          <w:rFonts w:hint="eastAsia" w:ascii="宋体" w:hAnsi="宋体"/>
          <w:color w:val="auto"/>
          <w:kern w:val="0"/>
          <w:sz w:val="24"/>
        </w:rPr>
        <w:t>本竞争性谈判文件的解释权属于</w:t>
      </w:r>
      <w:r>
        <w:rPr>
          <w:rFonts w:hint="eastAsia" w:ascii="宋体" w:cs="宋体"/>
          <w:color w:val="auto"/>
          <w:sz w:val="24"/>
        </w:rPr>
        <w:t>采购人</w:t>
      </w:r>
      <w:r>
        <w:rPr>
          <w:rFonts w:hint="eastAsia" w:ascii="宋体" w:hAnsi="宋体"/>
          <w:color w:val="auto"/>
          <w:kern w:val="0"/>
          <w:sz w:val="24"/>
        </w:rPr>
        <w:t>。</w:t>
      </w:r>
    </w:p>
    <w:p>
      <w:pPr>
        <w:widowControl/>
        <w:spacing w:line="360" w:lineRule="auto"/>
        <w:ind w:left="420"/>
        <w:rPr>
          <w:rFonts w:ascii="宋体"/>
          <w:color w:val="auto"/>
          <w:kern w:val="0"/>
          <w:sz w:val="24"/>
        </w:rPr>
      </w:pPr>
      <w:r>
        <w:rPr>
          <w:rFonts w:hint="eastAsia" w:ascii="宋体" w:hAnsi="宋体"/>
          <w:color w:val="auto"/>
          <w:kern w:val="0"/>
          <w:sz w:val="24"/>
        </w:rPr>
        <w:t>4.竞争性谈判文件的修改。</w:t>
      </w:r>
    </w:p>
    <w:p>
      <w:pPr>
        <w:widowControl/>
        <w:spacing w:line="360" w:lineRule="auto"/>
        <w:ind w:firstLine="480" w:firstLineChars="200"/>
        <w:rPr>
          <w:rFonts w:ascii="宋体" w:hAnsi="宋体"/>
          <w:color w:val="auto"/>
          <w:kern w:val="0"/>
          <w:sz w:val="24"/>
        </w:rPr>
      </w:pPr>
      <w:r>
        <w:rPr>
          <w:rFonts w:ascii="宋体" w:hAnsi="宋体"/>
          <w:color w:val="auto"/>
          <w:kern w:val="0"/>
          <w:sz w:val="24"/>
        </w:rPr>
        <w:t>4</w:t>
      </w:r>
      <w:r>
        <w:rPr>
          <w:rFonts w:hint="eastAsia" w:ascii="宋体" w:hAnsi="宋体"/>
          <w:color w:val="auto"/>
          <w:kern w:val="0"/>
          <w:sz w:val="24"/>
        </w:rPr>
        <w:t>.</w:t>
      </w:r>
      <w:r>
        <w:rPr>
          <w:rFonts w:ascii="宋体" w:hAnsi="宋体"/>
          <w:color w:val="auto"/>
          <w:kern w:val="0"/>
          <w:sz w:val="24"/>
        </w:rPr>
        <w:t>1</w:t>
      </w:r>
      <w:r>
        <w:rPr>
          <w:rFonts w:hint="eastAsia" w:ascii="宋体" w:hAnsi="宋体"/>
          <w:color w:val="auto"/>
          <w:kern w:val="0"/>
          <w:sz w:val="24"/>
        </w:rPr>
        <w:t xml:space="preserve"> 在竞争性谈判文件发出后，如需对文件进行修改，应在竞争性谈判开始前以补充通知的形式在相关网站发布。</w:t>
      </w:r>
    </w:p>
    <w:p>
      <w:pPr>
        <w:widowControl/>
        <w:spacing w:line="360" w:lineRule="auto"/>
        <w:ind w:firstLine="480" w:firstLineChars="200"/>
        <w:rPr>
          <w:rFonts w:ascii="宋体" w:hAnsi="宋体"/>
          <w:color w:val="auto"/>
          <w:kern w:val="0"/>
          <w:sz w:val="24"/>
        </w:rPr>
      </w:pPr>
      <w:r>
        <w:rPr>
          <w:rFonts w:ascii="宋体" w:hAnsi="宋体"/>
          <w:color w:val="auto"/>
          <w:kern w:val="0"/>
          <w:sz w:val="24"/>
        </w:rPr>
        <w:t>5</w:t>
      </w:r>
      <w:r>
        <w:rPr>
          <w:rFonts w:hint="eastAsia" w:ascii="宋体" w:hAnsi="宋体"/>
          <w:color w:val="auto"/>
          <w:kern w:val="0"/>
          <w:sz w:val="24"/>
        </w:rPr>
        <w:t>. 竞争性谈判文件、补充通知内容相互矛盾时，以最后发出的通知为准。</w:t>
      </w:r>
    </w:p>
    <w:p>
      <w:pPr>
        <w:widowControl/>
        <w:spacing w:line="360" w:lineRule="auto"/>
        <w:ind w:firstLine="482" w:firstLineChars="200"/>
        <w:rPr>
          <w:rFonts w:ascii="宋体"/>
          <w:b/>
          <w:bCs/>
          <w:color w:val="auto"/>
          <w:kern w:val="0"/>
          <w:sz w:val="24"/>
        </w:rPr>
      </w:pPr>
      <w:r>
        <w:rPr>
          <w:rFonts w:hint="eastAsia" w:ascii="宋体" w:hAnsi="宋体"/>
          <w:b/>
          <w:bCs/>
          <w:color w:val="auto"/>
          <w:kern w:val="0"/>
          <w:sz w:val="24"/>
        </w:rPr>
        <w:t>四、采购要求</w:t>
      </w:r>
    </w:p>
    <w:p>
      <w:pPr>
        <w:widowControl/>
        <w:spacing w:line="360" w:lineRule="auto"/>
        <w:ind w:firstLine="480" w:firstLineChars="200"/>
        <w:rPr>
          <w:rFonts w:ascii="宋体"/>
          <w:color w:val="auto"/>
          <w:kern w:val="0"/>
          <w:sz w:val="24"/>
        </w:rPr>
      </w:pPr>
      <w:r>
        <w:rPr>
          <w:rFonts w:ascii="宋体" w:hAnsi="宋体"/>
          <w:color w:val="auto"/>
          <w:kern w:val="0"/>
          <w:sz w:val="24"/>
        </w:rPr>
        <w:t>1</w:t>
      </w:r>
      <w:r>
        <w:rPr>
          <w:rFonts w:hint="eastAsia" w:ascii="宋体" w:hAnsi="宋体"/>
          <w:color w:val="auto"/>
          <w:kern w:val="0"/>
          <w:sz w:val="24"/>
        </w:rPr>
        <w:t>. 确定成交人后，成交人要按照响应文件中承诺的内容履行合同。</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2. 参加竞争性谈判的供应商应按竞争性谈判文件中提供的格式填写响应文件，否则将认为是对该竞争性谈判文件的不响应。</w:t>
      </w:r>
    </w:p>
    <w:p>
      <w:pPr>
        <w:widowControl/>
        <w:spacing w:line="360" w:lineRule="auto"/>
        <w:ind w:firstLine="480" w:firstLineChars="200"/>
        <w:rPr>
          <w:rFonts w:ascii="宋体"/>
          <w:color w:val="auto"/>
          <w:kern w:val="0"/>
          <w:sz w:val="24"/>
        </w:rPr>
      </w:pPr>
      <w:r>
        <w:rPr>
          <w:rFonts w:ascii="宋体" w:hAnsi="宋体"/>
          <w:color w:val="auto"/>
          <w:kern w:val="0"/>
          <w:sz w:val="24"/>
        </w:rPr>
        <w:t>3</w:t>
      </w:r>
      <w:r>
        <w:rPr>
          <w:rFonts w:hint="eastAsia" w:ascii="宋体" w:hAnsi="宋体"/>
          <w:color w:val="auto"/>
          <w:kern w:val="0"/>
          <w:sz w:val="24"/>
        </w:rPr>
        <w:t>. 对竞争性谈判文件未作出实质性响应的供应商将被拒绝参与谈判。</w:t>
      </w:r>
    </w:p>
    <w:p>
      <w:pPr>
        <w:widowControl/>
        <w:spacing w:line="360" w:lineRule="auto"/>
        <w:ind w:firstLine="482" w:firstLineChars="200"/>
        <w:rPr>
          <w:rFonts w:ascii="宋体"/>
          <w:b/>
          <w:bCs/>
          <w:color w:val="auto"/>
          <w:kern w:val="0"/>
          <w:sz w:val="24"/>
        </w:rPr>
      </w:pPr>
      <w:r>
        <w:rPr>
          <w:rFonts w:hint="eastAsia" w:ascii="宋体" w:hAnsi="宋体"/>
          <w:b/>
          <w:bCs/>
          <w:color w:val="auto"/>
          <w:kern w:val="0"/>
          <w:sz w:val="24"/>
        </w:rPr>
        <w:t>五、响应文件的编制、递交和修改</w:t>
      </w:r>
    </w:p>
    <w:p>
      <w:pPr>
        <w:widowControl/>
        <w:spacing w:line="360" w:lineRule="auto"/>
        <w:ind w:firstLine="482" w:firstLineChars="200"/>
        <w:rPr>
          <w:rFonts w:ascii="宋体" w:hAnsi="宋体"/>
          <w:b/>
          <w:bCs/>
          <w:color w:val="auto"/>
          <w:kern w:val="0"/>
          <w:sz w:val="24"/>
        </w:rPr>
      </w:pPr>
      <w:r>
        <w:rPr>
          <w:rFonts w:hint="eastAsia" w:ascii="宋体" w:hAnsi="宋体"/>
          <w:b/>
          <w:bCs/>
          <w:color w:val="auto"/>
          <w:kern w:val="0"/>
          <w:sz w:val="24"/>
        </w:rPr>
        <w:t>1. 响应文件的语言及格式</w:t>
      </w:r>
    </w:p>
    <w:p>
      <w:pPr>
        <w:widowControl/>
        <w:spacing w:line="360" w:lineRule="auto"/>
        <w:ind w:firstLine="480" w:firstLineChars="200"/>
        <w:rPr>
          <w:color w:val="auto"/>
        </w:rPr>
      </w:pPr>
      <w:r>
        <w:rPr>
          <w:rFonts w:hint="eastAsia" w:ascii="宋体" w:hAnsi="宋体"/>
          <w:color w:val="auto"/>
          <w:kern w:val="0"/>
          <w:sz w:val="24"/>
        </w:rPr>
        <w:t>1.1 供应商应按照竞争性谈判文件提供的格式编写响应性文件，但不得缺少或私自更改任何谈判文件要求填写的表格或提交的资料。谈判文件提供格式的可按格式填列，未提供格式的可自行拟定。</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1.2 与报价有关的所有文件必须使用中文（本竞争性谈判文件中有特殊要求的情形除外），供应商必须使用竞争性谈判文件中规定的文件格式。</w:t>
      </w:r>
    </w:p>
    <w:p>
      <w:pPr>
        <w:widowControl/>
        <w:numPr>
          <w:ilvl w:val="0"/>
          <w:numId w:val="3"/>
        </w:numPr>
        <w:spacing w:line="360" w:lineRule="auto"/>
        <w:ind w:firstLine="482" w:firstLineChars="200"/>
        <w:rPr>
          <w:rFonts w:ascii="宋体" w:hAnsi="宋体"/>
          <w:b/>
          <w:bCs/>
          <w:color w:val="auto"/>
          <w:kern w:val="0"/>
          <w:sz w:val="24"/>
        </w:rPr>
      </w:pPr>
      <w:r>
        <w:rPr>
          <w:rFonts w:hint="eastAsia" w:ascii="宋体" w:hAnsi="宋体"/>
          <w:b/>
          <w:bCs/>
          <w:color w:val="auto"/>
          <w:kern w:val="0"/>
          <w:sz w:val="24"/>
        </w:rPr>
        <w:t>响应文件的组成</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 响应文件应主要包括下列部分：</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2.1 投标函、投标报价明细表；</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2.2 法定代表人身份证明；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 xml:space="preserve">2.3 </w:t>
      </w:r>
      <w:r>
        <w:rPr>
          <w:rFonts w:hint="eastAsia" w:ascii="宋体" w:hAnsi="宋体"/>
          <w:color w:val="auto"/>
          <w:kern w:val="0"/>
          <w:sz w:val="24"/>
        </w:rPr>
        <w:t>授权人委托书</w:t>
      </w:r>
      <w:r>
        <w:rPr>
          <w:rFonts w:hint="eastAsia" w:ascii="宋体" w:hAnsi="宋体" w:cs="宋体"/>
          <w:color w:val="auto"/>
          <w:kern w:val="0"/>
          <w:sz w:val="24"/>
        </w:rPr>
        <w:t>；</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2.4 供应商资格证明承诺函；</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2.5 供应商服务承诺和优惠承诺；</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2.6 供应商所投产品属于当期政府采购清单规定的节能环保产品的证明材料(如有)；</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2.7 投标承诺函；</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2.8 中小企业声明函（如有）；</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2.9 残疾人福利性单位声明函（如有）；</w:t>
      </w:r>
    </w:p>
    <w:p>
      <w:pPr>
        <w:widowControl/>
        <w:spacing w:line="360" w:lineRule="auto"/>
        <w:ind w:firstLine="480" w:firstLineChars="200"/>
        <w:rPr>
          <w:rFonts w:ascii="宋体" w:hAnsi="宋体" w:cs="宋体"/>
          <w:color w:val="auto"/>
          <w:kern w:val="0"/>
          <w:sz w:val="24"/>
        </w:rPr>
      </w:pPr>
      <w:r>
        <w:rPr>
          <w:rFonts w:hint="eastAsia" w:ascii="宋体" w:hAnsi="宋体"/>
          <w:color w:val="auto"/>
          <w:kern w:val="0"/>
          <w:sz w:val="24"/>
        </w:rPr>
        <w:t>2.10 竞争性谈判文件要求的或供应商认为需要加以说明的其他内容。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全套响应文件应无涂改和行间插字，如有修改应在修改处加盖供应商的企业印章（即公章）或企业法定代表人或其委托代理人印章（或签字）。</w:t>
      </w:r>
    </w:p>
    <w:p>
      <w:pPr>
        <w:widowControl/>
        <w:spacing w:line="360" w:lineRule="auto"/>
        <w:ind w:firstLine="482" w:firstLineChars="200"/>
        <w:jc w:val="left"/>
        <w:rPr>
          <w:rFonts w:ascii="宋体" w:hAnsi="宋体" w:cs="宋体"/>
          <w:color w:val="auto"/>
          <w:sz w:val="24"/>
        </w:rPr>
      </w:pPr>
      <w:r>
        <w:rPr>
          <w:rFonts w:hint="eastAsia" w:ascii="宋体" w:hAnsi="宋体" w:cs="宋体"/>
          <w:b/>
          <w:bCs/>
          <w:color w:val="auto"/>
          <w:sz w:val="24"/>
        </w:rPr>
        <w:t>注：</w:t>
      </w:r>
      <w:r>
        <w:rPr>
          <w:rFonts w:hint="eastAsia" w:ascii="宋体" w:hAnsi="宋体" w:cs="宋体"/>
          <w:color w:val="auto"/>
          <w:sz w:val="24"/>
        </w:rPr>
        <w:t>1、符合《政府采购法》第二十二条规定的资格条件，按照采购文件约定提供资格承诺，不再提供资质资料，主要包括供应商响应文件中无需再提供营业执照、财务状况报告、依法缴纳税收和社会保障资金、具有履行合同所必须的设备和专业技术能力、参加政府采购活动前三年内再经营活动中没有重大违法记录相关证明材料。</w:t>
      </w:r>
    </w:p>
    <w:p>
      <w:pPr>
        <w:widowControl/>
        <w:spacing w:line="360" w:lineRule="auto"/>
        <w:ind w:firstLine="480" w:firstLineChars="200"/>
        <w:jc w:val="left"/>
        <w:rPr>
          <w:rFonts w:ascii="宋体"/>
          <w:color w:val="auto"/>
          <w:kern w:val="0"/>
          <w:sz w:val="24"/>
        </w:rPr>
      </w:pPr>
      <w:r>
        <w:rPr>
          <w:rFonts w:hint="eastAsia" w:ascii="宋体" w:hAnsi="宋体" w:cs="宋体"/>
          <w:color w:val="auto"/>
          <w:sz w:val="24"/>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spacing w:line="360" w:lineRule="auto"/>
        <w:ind w:firstLine="482" w:firstLineChars="200"/>
        <w:rPr>
          <w:rFonts w:ascii="宋体" w:hAnsi="宋体" w:cs="宋体"/>
          <w:b/>
          <w:bCs/>
          <w:color w:val="auto"/>
          <w:sz w:val="24"/>
        </w:rPr>
      </w:pPr>
      <w:bookmarkStart w:id="22" w:name="_Toc403122514"/>
      <w:bookmarkStart w:id="23" w:name="_Toc279599793"/>
      <w:bookmarkStart w:id="24" w:name="_Toc426369503"/>
      <w:bookmarkStart w:id="25" w:name="_Toc274249597"/>
      <w:r>
        <w:rPr>
          <w:rFonts w:hint="eastAsia" w:ascii="宋体" w:hAnsi="宋体" w:cs="宋体"/>
          <w:b/>
          <w:bCs/>
          <w:color w:val="auto"/>
          <w:sz w:val="24"/>
        </w:rPr>
        <w:t xml:space="preserve">3. </w:t>
      </w:r>
      <w:r>
        <w:rPr>
          <w:rFonts w:hint="eastAsia" w:ascii="宋体" w:hAnsi="宋体" w:cs="宋体"/>
          <w:b/>
          <w:bCs/>
          <w:color w:val="auto"/>
          <w:kern w:val="0"/>
          <w:sz w:val="24"/>
        </w:rPr>
        <w:t>响应</w:t>
      </w:r>
      <w:r>
        <w:rPr>
          <w:rFonts w:hint="eastAsia" w:ascii="宋体" w:hAnsi="宋体" w:cs="宋体"/>
          <w:b/>
          <w:bCs/>
          <w:color w:val="auto"/>
          <w:sz w:val="24"/>
        </w:rPr>
        <w:t>文件的编制</w:t>
      </w:r>
      <w:bookmarkEnd w:id="22"/>
      <w:bookmarkEnd w:id="23"/>
      <w:bookmarkEnd w:id="24"/>
      <w:bookmarkEnd w:id="25"/>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3.1 响应文件应按竞争性谈判文件中要求使用焦作市公共资源交易系统</w:t>
      </w:r>
      <w:r>
        <w:rPr>
          <w:rFonts w:hint="eastAsia" w:ascii="宋体" w:hAnsi="宋体"/>
          <w:bCs/>
          <w:color w:val="auto"/>
          <w:kern w:val="0"/>
          <w:sz w:val="24"/>
        </w:rPr>
        <w:t>响应性</w:t>
      </w:r>
      <w:r>
        <w:rPr>
          <w:rFonts w:hint="eastAsia" w:ascii="宋体" w:hAnsi="宋体" w:cs="宋体"/>
          <w:color w:val="auto"/>
          <w:sz w:val="24"/>
        </w:rPr>
        <w:t xml:space="preserve">文件制作专用工具软件编制。 </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3.2 响应文件应当对竞争性谈判文件有关供货安装期、投标有效期、质量要求、采购要求及服务内容、等实质性内容作出响应。</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3.3 本项目用电子开评标方式，潜在供应商可提前在焦作市交易中心官网首页---下载中心--下载《焦作市电子招投标系统操作手册》、《焦作市公共资源交易平台不见面开标操作手册》和《投标文件制作工作工具》等查看操作说明，按要求进行</w:t>
      </w:r>
      <w:r>
        <w:rPr>
          <w:rFonts w:hint="eastAsia" w:ascii="宋体" w:hAnsi="宋体"/>
          <w:bCs/>
          <w:color w:val="auto"/>
          <w:kern w:val="0"/>
          <w:sz w:val="24"/>
        </w:rPr>
        <w:t>响应性</w:t>
      </w:r>
      <w:r>
        <w:rPr>
          <w:rFonts w:hint="eastAsia" w:ascii="宋体" w:hAnsi="宋体" w:cs="宋体"/>
          <w:color w:val="auto"/>
          <w:sz w:val="24"/>
        </w:rPr>
        <w:t>文件制作和上传等。为避免网络拥堵等不可控因素影响投标文件的上传，请提前上传</w:t>
      </w:r>
      <w:r>
        <w:rPr>
          <w:rFonts w:hint="eastAsia" w:ascii="宋体" w:hAnsi="宋体"/>
          <w:bCs/>
          <w:color w:val="auto"/>
          <w:kern w:val="0"/>
          <w:sz w:val="24"/>
        </w:rPr>
        <w:t>响应性</w:t>
      </w:r>
      <w:r>
        <w:rPr>
          <w:rFonts w:hint="eastAsia" w:ascii="宋体" w:hAnsi="宋体" w:cs="宋体"/>
          <w:color w:val="auto"/>
          <w:sz w:val="24"/>
        </w:rPr>
        <w:t>文件，按要求解密</w:t>
      </w:r>
      <w:r>
        <w:rPr>
          <w:rFonts w:hint="eastAsia" w:ascii="宋体" w:hAnsi="宋体"/>
          <w:bCs/>
          <w:color w:val="auto"/>
          <w:kern w:val="0"/>
          <w:sz w:val="24"/>
        </w:rPr>
        <w:t>响应性</w:t>
      </w:r>
      <w:r>
        <w:rPr>
          <w:rFonts w:hint="eastAsia" w:ascii="宋体" w:hAnsi="宋体" w:cs="宋体"/>
          <w:color w:val="auto"/>
          <w:sz w:val="24"/>
        </w:rPr>
        <w:t>文件。因文件未及时上传导致投标失败的责任由供应商自行承担。</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3.4 签字盖章要求：</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3.4.1 所有要求供应商加盖公章的地方都须加盖供应商单位的 CA 印章。</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3.4.2</w:t>
      </w:r>
      <w:r>
        <w:rPr>
          <w:rFonts w:ascii="宋体" w:hAnsi="宋体" w:cs="宋体"/>
          <w:color w:val="auto"/>
          <w:sz w:val="24"/>
        </w:rPr>
        <w:t>要求法定代表人签字或盖章的，法定代表人在签字或盖章的地方上传手写签名的扫描件或加盖法定代表人CA印章。</w:t>
      </w:r>
    </w:p>
    <w:p>
      <w:pPr>
        <w:widowControl/>
        <w:spacing w:line="360" w:lineRule="auto"/>
        <w:ind w:firstLine="480" w:firstLineChars="200"/>
        <w:jc w:val="left"/>
        <w:rPr>
          <w:rFonts w:ascii="仿宋_GB2312" w:hAnsi="Batang" w:eastAsia="仿宋_GB2312"/>
          <w:b/>
          <w:bCs/>
          <w:color w:val="auto"/>
          <w:sz w:val="28"/>
          <w:szCs w:val="28"/>
        </w:rPr>
      </w:pPr>
      <w:r>
        <w:rPr>
          <w:rFonts w:hint="eastAsia" w:ascii="宋体" w:hAnsi="宋体" w:cs="宋体"/>
          <w:color w:val="auto"/>
          <w:sz w:val="24"/>
        </w:rPr>
        <w:t>3.4.3</w:t>
      </w:r>
      <w:r>
        <w:rPr>
          <w:rFonts w:ascii="宋体" w:hAnsi="宋体" w:cs="宋体"/>
          <w:color w:val="auto"/>
          <w:sz w:val="24"/>
        </w:rPr>
        <w:t>要求委托代理人签字或盖章的，委托代理人在签字或盖章的地方上传手写签名的扫描件或加盖委托代理人CA印章。</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4. 响应性文件的语言和计量单位</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4.1 谈判文件以及供应商与采购人、采购代理机构就有关投标事宜的所有来往函电均应使用简体中文书写。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 xml:space="preserve">4.2 关于投标计量单位，谈判文件已有明确规定的，使用响应性文件规定的计量单位；谈判文件没有规定的，应用中华人民共和国法定计量单位。 </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4.4 本响应性文件所表述的时间均为北京时间。</w:t>
      </w:r>
    </w:p>
    <w:p>
      <w:pPr>
        <w:pStyle w:val="12"/>
        <w:spacing w:before="0" w:after="0" w:line="360" w:lineRule="auto"/>
        <w:ind w:firstLine="482" w:firstLineChars="200"/>
        <w:rPr>
          <w:rFonts w:ascii="宋体" w:hAnsi="宋体" w:cs="宋体"/>
          <w:bCs w:val="0"/>
          <w:color w:val="auto"/>
          <w:sz w:val="24"/>
          <w:szCs w:val="24"/>
        </w:rPr>
      </w:pPr>
      <w:r>
        <w:rPr>
          <w:rFonts w:hint="eastAsia" w:ascii="宋体" w:hAnsi="宋体" w:cs="宋体"/>
          <w:bCs w:val="0"/>
          <w:color w:val="auto"/>
          <w:sz w:val="24"/>
          <w:szCs w:val="24"/>
        </w:rPr>
        <w:t>5. 响应文件的补充与撤回</w:t>
      </w:r>
    </w:p>
    <w:p>
      <w:pPr>
        <w:spacing w:line="360" w:lineRule="auto"/>
        <w:ind w:firstLine="480" w:firstLineChars="200"/>
        <w:rPr>
          <w:rFonts w:ascii="宋体" w:hAnsi="宋体"/>
          <w:color w:val="auto"/>
          <w:kern w:val="0"/>
          <w:sz w:val="24"/>
        </w:rPr>
      </w:pPr>
      <w:r>
        <w:rPr>
          <w:rFonts w:hint="eastAsia" w:ascii="宋体" w:hAnsi="宋体"/>
          <w:color w:val="auto"/>
          <w:kern w:val="0"/>
          <w:sz w:val="24"/>
        </w:rPr>
        <w:t>5.1 供应商在投标截止时间前可对其响应性文件进行修改并重新上传或在焦作市电子招投标交易平台上进行撤回投标的操作。</w:t>
      </w:r>
    </w:p>
    <w:p>
      <w:pPr>
        <w:spacing w:line="360" w:lineRule="auto"/>
        <w:ind w:firstLine="480" w:firstLineChars="200"/>
        <w:rPr>
          <w:rFonts w:ascii="宋体" w:hAnsi="宋体"/>
          <w:color w:val="auto"/>
          <w:kern w:val="0"/>
          <w:sz w:val="24"/>
        </w:rPr>
      </w:pPr>
      <w:r>
        <w:rPr>
          <w:rFonts w:hint="eastAsia" w:ascii="宋体" w:hAnsi="宋体"/>
          <w:color w:val="auto"/>
          <w:kern w:val="0"/>
          <w:sz w:val="24"/>
        </w:rPr>
        <w:t>5.2 供应商在响应文件递交截止时间后不能修改、补充替代或撤回其响应文件。</w:t>
      </w:r>
    </w:p>
    <w:p>
      <w:pPr>
        <w:pStyle w:val="12"/>
        <w:spacing w:before="0" w:after="0" w:line="360" w:lineRule="auto"/>
        <w:ind w:firstLine="482" w:firstLineChars="200"/>
        <w:rPr>
          <w:rFonts w:ascii="宋体" w:hAnsi="宋体" w:cs="宋体"/>
          <w:bCs w:val="0"/>
          <w:color w:val="auto"/>
          <w:sz w:val="24"/>
          <w:szCs w:val="24"/>
        </w:rPr>
      </w:pPr>
      <w:r>
        <w:rPr>
          <w:rFonts w:hint="eastAsia" w:ascii="宋体" w:hAnsi="宋体" w:cs="宋体"/>
          <w:bCs w:val="0"/>
          <w:color w:val="auto"/>
          <w:sz w:val="24"/>
          <w:szCs w:val="24"/>
        </w:rPr>
        <w:t>6. 响应性文件有下列情形之一的，采购代理机构不予接收</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6.1 在响应文件递交截止时间以后递交的响应性文件为无效文件，采购人将不予接收。</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6.2 未按竞争性竞争性谈判文件要求签章的。</w:t>
      </w:r>
    </w:p>
    <w:p>
      <w:pPr>
        <w:widowControl/>
        <w:spacing w:line="360" w:lineRule="auto"/>
        <w:ind w:firstLine="562" w:firstLineChars="200"/>
        <w:jc w:val="center"/>
        <w:rPr>
          <w:rFonts w:ascii="宋体"/>
          <w:b/>
          <w:bCs/>
          <w:color w:val="auto"/>
          <w:kern w:val="0"/>
          <w:sz w:val="28"/>
          <w:szCs w:val="28"/>
        </w:rPr>
      </w:pPr>
      <w:r>
        <w:rPr>
          <w:rFonts w:hint="eastAsia" w:ascii="宋体" w:hAnsi="宋体"/>
          <w:b/>
          <w:bCs/>
          <w:color w:val="auto"/>
          <w:kern w:val="0"/>
          <w:sz w:val="28"/>
          <w:szCs w:val="28"/>
        </w:rPr>
        <w:t>六、投标报价</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1. 控制价</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本项目预算控制金额</w:t>
      </w:r>
      <w:r>
        <w:rPr>
          <w:rFonts w:hint="eastAsia" w:ascii="宋体" w:hAnsi="宋体"/>
          <w:color w:val="auto"/>
          <w:kern w:val="0"/>
          <w:sz w:val="24"/>
          <w:u w:val="single"/>
        </w:rPr>
        <w:t>1000000.00元（大写：壹佰万元整）</w:t>
      </w:r>
      <w:r>
        <w:rPr>
          <w:rFonts w:hint="eastAsia" w:ascii="宋体" w:hAnsi="宋体"/>
          <w:color w:val="auto"/>
          <w:kern w:val="0"/>
          <w:sz w:val="24"/>
        </w:rPr>
        <w:t>,供应商的投标报价高于招标控制价的视为无效报价，其投标予以拒绝。</w:t>
      </w:r>
    </w:p>
    <w:p>
      <w:pPr>
        <w:widowControl/>
        <w:spacing w:line="360" w:lineRule="auto"/>
        <w:ind w:firstLine="480" w:firstLineChars="200"/>
        <w:rPr>
          <w:rFonts w:ascii="宋体" w:hAnsi="宋体"/>
          <w:color w:val="auto"/>
          <w:kern w:val="0"/>
          <w:sz w:val="24"/>
        </w:rPr>
      </w:pPr>
      <w:r>
        <w:rPr>
          <w:rFonts w:ascii="宋体" w:hAnsi="宋体"/>
          <w:color w:val="auto"/>
          <w:kern w:val="0"/>
          <w:sz w:val="24"/>
        </w:rPr>
        <w:t>当成交人的投标报价高于控制价的9</w:t>
      </w:r>
      <w:r>
        <w:rPr>
          <w:rFonts w:hint="eastAsia" w:ascii="宋体" w:hAnsi="宋体"/>
          <w:color w:val="auto"/>
          <w:kern w:val="0"/>
          <w:sz w:val="24"/>
        </w:rPr>
        <w:t>5</w:t>
      </w:r>
      <w:r>
        <w:rPr>
          <w:rFonts w:ascii="宋体" w:hAnsi="宋体"/>
          <w:color w:val="auto"/>
          <w:kern w:val="0"/>
          <w:sz w:val="24"/>
        </w:rPr>
        <w:t>%时，该成交人的成交价按控制价的9</w:t>
      </w:r>
      <w:r>
        <w:rPr>
          <w:rFonts w:hint="eastAsia" w:ascii="宋体" w:hAnsi="宋体"/>
          <w:color w:val="auto"/>
          <w:kern w:val="0"/>
          <w:sz w:val="24"/>
        </w:rPr>
        <w:t>5</w:t>
      </w:r>
      <w:r>
        <w:rPr>
          <w:rFonts w:ascii="宋体" w:hAnsi="宋体"/>
          <w:color w:val="auto"/>
          <w:kern w:val="0"/>
          <w:sz w:val="24"/>
        </w:rPr>
        <w:t>%执行。</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2. 投标报价</w:t>
      </w:r>
    </w:p>
    <w:p>
      <w:pPr>
        <w:spacing w:line="360" w:lineRule="auto"/>
        <w:ind w:firstLine="480" w:firstLineChars="200"/>
        <w:rPr>
          <w:rFonts w:ascii="宋体" w:hAnsi="宋体"/>
          <w:color w:val="auto"/>
          <w:kern w:val="0"/>
          <w:sz w:val="24"/>
        </w:rPr>
      </w:pPr>
      <w:r>
        <w:rPr>
          <w:rFonts w:hint="eastAsia" w:ascii="宋体" w:hAnsi="宋体"/>
          <w:color w:val="auto"/>
          <w:kern w:val="0"/>
          <w:sz w:val="24"/>
        </w:rPr>
        <w:t>2.1 投标报价应包括竞争性谈判文件确定采购范围的全部工作内容，以及其响应文件编制与递交所涉及的一切费用。供应商以人民币为计量币种报价，并以人民币币种签约、结算。</w:t>
      </w:r>
    </w:p>
    <w:p>
      <w:pPr>
        <w:spacing w:line="360" w:lineRule="auto"/>
        <w:ind w:firstLine="480" w:firstLineChars="200"/>
        <w:rPr>
          <w:rFonts w:ascii="宋体"/>
          <w:color w:val="auto"/>
          <w:sz w:val="30"/>
          <w:szCs w:val="30"/>
        </w:rPr>
      </w:pPr>
      <w:r>
        <w:rPr>
          <w:rFonts w:hint="eastAsia" w:ascii="宋体" w:hAnsi="宋体"/>
          <w:color w:val="auto"/>
          <w:kern w:val="0"/>
          <w:sz w:val="24"/>
        </w:rPr>
        <w:t>2.2 供应商的投标报价应包括货物本身的费用、包装费、运输费、装卸费、第三方检测费、运输过程保险费、安装费、垃圾清理费、旧线路改造费、旧教室部分设备改造费、质量保证费、相关的伴随服务费、货物本身已支付或将支付的各种税费以及其它交付使用前的所有费用。投标价不是唯一的或不是固定不变的响应文件将被作为非响应性投标而予以拒绝，供应商所报的投标价在投标有效期内是固定不变的，供应商不得以任何理由予以变更。</w:t>
      </w:r>
    </w:p>
    <w:p>
      <w:pPr>
        <w:widowControl/>
        <w:spacing w:line="360" w:lineRule="auto"/>
        <w:ind w:firstLine="602" w:firstLineChars="200"/>
        <w:jc w:val="center"/>
        <w:rPr>
          <w:rFonts w:ascii="宋体"/>
          <w:b/>
          <w:bCs/>
          <w:color w:val="auto"/>
          <w:kern w:val="0"/>
          <w:sz w:val="30"/>
          <w:szCs w:val="30"/>
        </w:rPr>
      </w:pPr>
      <w:r>
        <w:rPr>
          <w:rFonts w:hint="eastAsia" w:ascii="宋体" w:hAnsi="宋体"/>
          <w:b/>
          <w:bCs/>
          <w:color w:val="auto"/>
          <w:kern w:val="0"/>
          <w:sz w:val="30"/>
          <w:szCs w:val="30"/>
        </w:rPr>
        <w:t>七、谈判程序</w:t>
      </w:r>
    </w:p>
    <w:p>
      <w:pPr>
        <w:widowControl/>
        <w:spacing w:line="360" w:lineRule="auto"/>
        <w:ind w:firstLine="480" w:firstLineChars="200"/>
        <w:rPr>
          <w:rFonts w:ascii="宋体"/>
          <w:color w:val="auto"/>
          <w:kern w:val="0"/>
          <w:sz w:val="24"/>
        </w:rPr>
      </w:pPr>
      <w:r>
        <w:rPr>
          <w:rFonts w:hint="eastAsia" w:ascii="宋体" w:hAnsi="宋体"/>
          <w:color w:val="auto"/>
          <w:kern w:val="0"/>
          <w:sz w:val="24"/>
        </w:rPr>
        <w:t>（一） 采购程序</w:t>
      </w:r>
    </w:p>
    <w:p>
      <w:pPr>
        <w:widowControl/>
        <w:spacing w:line="360" w:lineRule="auto"/>
        <w:ind w:firstLine="480" w:firstLineChars="200"/>
        <w:rPr>
          <w:rFonts w:ascii="宋体" w:hAnsi="宋体"/>
          <w:b/>
          <w:bCs/>
          <w:color w:val="auto"/>
          <w:kern w:val="0"/>
          <w:sz w:val="24"/>
        </w:rPr>
      </w:pPr>
      <w:r>
        <w:rPr>
          <w:rFonts w:hint="eastAsia" w:ascii="宋体" w:hAnsi="宋体"/>
          <w:color w:val="auto"/>
          <w:kern w:val="0"/>
          <w:sz w:val="24"/>
        </w:rPr>
        <w:t>1. 采购人在规定的投标截止时间（开标时间）和投标须知前附表规定的地点公开开标。本项目用“远程不见面”的开标方式,载明远程开标大厅网址（http://122.112.246.33/BidOpening/bidopeninghallaction/hall/login ）。供应商无需到现场参加开标会议，无需到达现场提交原件资料。登录远程不见面开标大厅，在线准时参加开标活动。在规定时间内响应性文件未解密的供应商，视为放弃投标。</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2. 所有</w:t>
      </w:r>
      <w:r>
        <w:rPr>
          <w:rFonts w:hint="eastAsia" w:ascii="宋体" w:hAnsi="宋体"/>
          <w:bCs/>
          <w:color w:val="auto"/>
          <w:kern w:val="0"/>
          <w:sz w:val="24"/>
        </w:rPr>
        <w:t>响应性</w:t>
      </w:r>
      <w:r>
        <w:rPr>
          <w:rFonts w:hint="eastAsia" w:ascii="宋体" w:hAnsi="宋体"/>
          <w:color w:val="auto"/>
          <w:kern w:val="0"/>
          <w:sz w:val="24"/>
        </w:rPr>
        <w:t>文件必须在本竞争性谈判文件中规定的</w:t>
      </w:r>
      <w:r>
        <w:rPr>
          <w:rFonts w:hint="eastAsia" w:ascii="宋体" w:hAnsi="宋体" w:cs="宋体"/>
          <w:color w:val="auto"/>
          <w:sz w:val="24"/>
        </w:rPr>
        <w:t>时间进行</w:t>
      </w:r>
      <w:r>
        <w:rPr>
          <w:rFonts w:hint="eastAsia" w:cs="宋体"/>
          <w:color w:val="auto"/>
          <w:sz w:val="24"/>
        </w:rPr>
        <w:t>签到、</w:t>
      </w:r>
      <w:r>
        <w:rPr>
          <w:rFonts w:hint="eastAsia" w:ascii="宋体" w:hAnsi="宋体" w:cs="宋体"/>
          <w:color w:val="auto"/>
          <w:sz w:val="24"/>
        </w:rPr>
        <w:t>文件解密、答疑澄清等</w:t>
      </w:r>
      <w:r>
        <w:rPr>
          <w:rFonts w:hint="eastAsia" w:ascii="宋体" w:hAnsi="宋体"/>
          <w:color w:val="auto"/>
          <w:kern w:val="0"/>
          <w:sz w:val="24"/>
        </w:rPr>
        <w:t>，不能按时上传、解密者视为自动放弃投标。</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 xml:space="preserve">3. 供应商不足3家的，不得开标。  </w:t>
      </w:r>
    </w:p>
    <w:p>
      <w:pPr>
        <w:spacing w:line="360" w:lineRule="auto"/>
        <w:ind w:firstLine="480" w:firstLineChars="200"/>
        <w:rPr>
          <w:rFonts w:ascii="宋体" w:hAnsi="宋体"/>
          <w:color w:val="auto"/>
          <w:kern w:val="0"/>
          <w:sz w:val="24"/>
        </w:rPr>
      </w:pPr>
      <w:r>
        <w:rPr>
          <w:rFonts w:hint="eastAsia" w:ascii="宋体" w:hAnsi="宋体"/>
          <w:color w:val="auto"/>
          <w:kern w:val="0"/>
          <w:sz w:val="24"/>
        </w:rPr>
        <w:t>4.开标当日采购人、采购代理机构通过“信用中国”（www.creditchina.gov.cn）、中国政府采购网（www.ccgp.gov.cn），对参与投标供应商信用记录进行查询，</w:t>
      </w:r>
      <w:r>
        <w:rPr>
          <w:rFonts w:hint="eastAsia" w:ascii="宋体" w:hAnsi="宋体" w:cs="宋体"/>
          <w:color w:val="auto"/>
          <w:kern w:val="0"/>
          <w:sz w:val="24"/>
        </w:rPr>
        <w:t>对列入失信被执行人、重大税收违法案件当事人名单、政府采购严重违法失信行为记录名单的供应商，拒绝参与政府采购活动，同时对信用信息查询记录和证据进行打印存档；</w:t>
      </w:r>
    </w:p>
    <w:p>
      <w:pPr>
        <w:tabs>
          <w:tab w:val="left" w:pos="9127"/>
        </w:tabs>
        <w:spacing w:line="360" w:lineRule="auto"/>
        <w:ind w:right="-53" w:rightChars="-25" w:firstLine="480" w:firstLineChars="200"/>
        <w:rPr>
          <w:rFonts w:ascii="宋体" w:hAnsi="宋体"/>
          <w:color w:val="auto"/>
          <w:kern w:val="0"/>
          <w:sz w:val="24"/>
        </w:rPr>
      </w:pPr>
      <w:r>
        <w:rPr>
          <w:rFonts w:hint="eastAsia" w:ascii="宋体" w:hAnsi="宋体"/>
          <w:color w:val="auto"/>
          <w:kern w:val="0"/>
          <w:sz w:val="24"/>
        </w:rPr>
        <w:t>5. 供应商应准时参加开标会议，不能按时上传、解密者视为自动放弃投标。</w:t>
      </w:r>
    </w:p>
    <w:p>
      <w:pPr>
        <w:spacing w:line="360" w:lineRule="auto"/>
        <w:ind w:firstLine="480" w:firstLineChars="200"/>
        <w:rPr>
          <w:rFonts w:ascii="宋体" w:hAnsi="宋体"/>
          <w:color w:val="auto"/>
          <w:kern w:val="0"/>
          <w:sz w:val="24"/>
        </w:rPr>
      </w:pPr>
      <w:r>
        <w:rPr>
          <w:rFonts w:hint="eastAsia" w:ascii="宋体" w:hAnsi="宋体"/>
          <w:color w:val="auto"/>
          <w:kern w:val="0"/>
          <w:sz w:val="24"/>
        </w:rPr>
        <w:t>6. 会议由河南金迪辉全过程工程咨询有限公司主持：</w:t>
      </w:r>
    </w:p>
    <w:p>
      <w:pPr>
        <w:spacing w:line="360" w:lineRule="auto"/>
        <w:ind w:firstLine="480" w:firstLineChars="200"/>
        <w:rPr>
          <w:rFonts w:ascii="宋体" w:hAnsi="宋体"/>
          <w:color w:val="auto"/>
          <w:kern w:val="0"/>
          <w:sz w:val="24"/>
        </w:rPr>
      </w:pPr>
      <w:r>
        <w:rPr>
          <w:rFonts w:hint="eastAsia" w:ascii="宋体" w:hAnsi="宋体"/>
          <w:color w:val="auto"/>
          <w:kern w:val="0"/>
          <w:sz w:val="24"/>
        </w:rPr>
        <w:t>6.1 公布在投标截止时间前递交响应性文件的供应商名称；</w:t>
      </w:r>
    </w:p>
    <w:p>
      <w:pPr>
        <w:spacing w:line="360" w:lineRule="auto"/>
        <w:ind w:firstLine="480" w:firstLineChars="200"/>
        <w:rPr>
          <w:rFonts w:ascii="宋体" w:hAnsi="宋体"/>
          <w:color w:val="auto"/>
          <w:kern w:val="0"/>
          <w:sz w:val="24"/>
        </w:rPr>
      </w:pPr>
      <w:r>
        <w:rPr>
          <w:rFonts w:hint="eastAsia" w:ascii="宋体" w:hAnsi="宋体"/>
          <w:color w:val="auto"/>
          <w:kern w:val="0"/>
          <w:sz w:val="24"/>
        </w:rPr>
        <w:t>6.2 供应商通过电子招标投标交易平台对已递交的电子响应性文件在规定时间内进行解密；</w:t>
      </w:r>
    </w:p>
    <w:p>
      <w:pPr>
        <w:spacing w:line="360" w:lineRule="auto"/>
        <w:ind w:firstLine="480" w:firstLineChars="200"/>
        <w:rPr>
          <w:rFonts w:ascii="宋体" w:hAnsi="宋体"/>
          <w:color w:val="auto"/>
          <w:kern w:val="0"/>
          <w:sz w:val="24"/>
        </w:rPr>
      </w:pPr>
      <w:r>
        <w:rPr>
          <w:rFonts w:hint="eastAsia" w:ascii="宋体" w:hAnsi="宋体"/>
          <w:color w:val="auto"/>
          <w:kern w:val="0"/>
          <w:sz w:val="24"/>
        </w:rPr>
        <w:t>6.3 批量导入文件；</w:t>
      </w:r>
    </w:p>
    <w:p>
      <w:pPr>
        <w:spacing w:line="360" w:lineRule="auto"/>
        <w:ind w:firstLine="480" w:firstLineChars="200"/>
        <w:rPr>
          <w:rFonts w:ascii="宋体" w:hAnsi="宋体"/>
          <w:color w:val="auto"/>
          <w:kern w:val="0"/>
          <w:sz w:val="24"/>
        </w:rPr>
      </w:pPr>
      <w:r>
        <w:rPr>
          <w:rFonts w:hint="eastAsia" w:ascii="宋体" w:hAnsi="宋体"/>
          <w:color w:val="auto"/>
          <w:kern w:val="0"/>
          <w:sz w:val="24"/>
        </w:rPr>
        <w:t>6.4 代理机构将通过焦作市电子招投标交易平台进行唱标，并公布采购项目名称、供应商名称、供货安装期等其他内容，并记录在案；</w:t>
      </w:r>
    </w:p>
    <w:p>
      <w:pPr>
        <w:spacing w:line="360" w:lineRule="auto"/>
        <w:ind w:firstLine="480" w:firstLineChars="200"/>
        <w:rPr>
          <w:rFonts w:ascii="宋体" w:hAnsi="宋体"/>
          <w:color w:val="auto"/>
          <w:kern w:val="0"/>
          <w:sz w:val="24"/>
        </w:rPr>
      </w:pPr>
      <w:r>
        <w:rPr>
          <w:rFonts w:hint="eastAsia" w:ascii="宋体" w:hAnsi="宋体"/>
          <w:color w:val="auto"/>
          <w:kern w:val="0"/>
          <w:sz w:val="24"/>
        </w:rPr>
        <w:t>6.5 采购人代表、监督人等有关人员按具体现场系统情况在开标记录上签字确认；</w:t>
      </w:r>
    </w:p>
    <w:p>
      <w:pPr>
        <w:spacing w:line="360" w:lineRule="auto"/>
        <w:ind w:firstLine="480" w:firstLineChars="200"/>
        <w:rPr>
          <w:rFonts w:ascii="宋体" w:hAnsi="宋体"/>
          <w:color w:val="auto"/>
          <w:kern w:val="0"/>
          <w:sz w:val="24"/>
        </w:rPr>
      </w:pPr>
      <w:r>
        <w:rPr>
          <w:rFonts w:hint="eastAsia" w:ascii="宋体" w:hAnsi="宋体"/>
          <w:color w:val="auto"/>
          <w:kern w:val="0"/>
          <w:sz w:val="24"/>
        </w:rPr>
        <w:t>6.6 开标结束。</w:t>
      </w:r>
    </w:p>
    <w:p>
      <w:pPr>
        <w:spacing w:line="360" w:lineRule="auto"/>
        <w:ind w:firstLine="480" w:firstLineChars="200"/>
        <w:rPr>
          <w:rFonts w:ascii="宋体" w:hAnsi="宋体"/>
          <w:color w:val="auto"/>
          <w:kern w:val="0"/>
          <w:sz w:val="24"/>
        </w:rPr>
      </w:pPr>
      <w:r>
        <w:rPr>
          <w:rFonts w:hint="eastAsia" w:ascii="宋体" w:hAnsi="宋体"/>
          <w:color w:val="auto"/>
          <w:kern w:val="0"/>
          <w:sz w:val="24"/>
        </w:rPr>
        <w:t>6.7开标异议</w:t>
      </w:r>
    </w:p>
    <w:p>
      <w:pPr>
        <w:spacing w:line="360" w:lineRule="auto"/>
        <w:ind w:firstLine="480" w:firstLineChars="200"/>
        <w:rPr>
          <w:rFonts w:ascii="宋体" w:hAnsi="宋体"/>
          <w:color w:val="auto"/>
          <w:kern w:val="0"/>
          <w:sz w:val="24"/>
        </w:rPr>
      </w:pPr>
      <w:r>
        <w:rPr>
          <w:rFonts w:hint="eastAsia" w:ascii="宋体" w:hAnsi="宋体"/>
          <w:color w:val="auto"/>
          <w:kern w:val="0"/>
          <w:sz w:val="24"/>
        </w:rPr>
        <w:t>供应商对开标有异议的，应当在开标现场提出（</w:t>
      </w:r>
      <w:bookmarkStart w:id="26" w:name="_Toc12998"/>
      <w:r>
        <w:rPr>
          <w:rFonts w:hint="eastAsia" w:ascii="宋体" w:hAnsi="宋体"/>
          <w:color w:val="auto"/>
          <w:kern w:val="0"/>
          <w:sz w:val="24"/>
        </w:rPr>
        <w:t>语音异议</w:t>
      </w:r>
      <w:bookmarkEnd w:id="26"/>
      <w:r>
        <w:rPr>
          <w:rFonts w:hint="eastAsia" w:ascii="宋体" w:hAnsi="宋体"/>
          <w:color w:val="auto"/>
          <w:kern w:val="0"/>
          <w:sz w:val="24"/>
        </w:rPr>
        <w:t>、</w:t>
      </w:r>
      <w:bookmarkStart w:id="27" w:name="_Toc20745"/>
      <w:r>
        <w:rPr>
          <w:rFonts w:hint="eastAsia" w:ascii="宋体" w:hAnsi="宋体"/>
          <w:color w:val="auto"/>
          <w:kern w:val="0"/>
          <w:sz w:val="24"/>
        </w:rPr>
        <w:t>文字异议</w:t>
      </w:r>
      <w:bookmarkEnd w:id="27"/>
      <w:r>
        <w:rPr>
          <w:rFonts w:hint="eastAsia" w:ascii="宋体" w:hAnsi="宋体"/>
          <w:color w:val="auto"/>
          <w:kern w:val="0"/>
          <w:sz w:val="24"/>
        </w:rPr>
        <w:t>），采购人当场作出答复，并制作记录。</w:t>
      </w:r>
    </w:p>
    <w:p>
      <w:pPr>
        <w:spacing w:line="360" w:lineRule="auto"/>
        <w:ind w:firstLine="480" w:firstLineChars="200"/>
        <w:rPr>
          <w:rFonts w:ascii="宋体" w:hAnsi="宋体"/>
          <w:color w:val="auto"/>
          <w:kern w:val="0"/>
          <w:sz w:val="24"/>
        </w:rPr>
      </w:pPr>
      <w:r>
        <w:rPr>
          <w:rFonts w:hint="eastAsia" w:ascii="宋体" w:hAnsi="宋体"/>
          <w:color w:val="auto"/>
          <w:kern w:val="0"/>
          <w:sz w:val="24"/>
        </w:rPr>
        <w:t>6.8开标异常处理</w:t>
      </w:r>
    </w:p>
    <w:p>
      <w:pPr>
        <w:spacing w:line="360" w:lineRule="auto"/>
        <w:ind w:firstLine="480" w:firstLineChars="200"/>
        <w:rPr>
          <w:rFonts w:ascii="宋体" w:hAnsi="宋体"/>
          <w:color w:val="auto"/>
          <w:kern w:val="0"/>
          <w:sz w:val="24"/>
        </w:rPr>
      </w:pPr>
      <w:r>
        <w:rPr>
          <w:rFonts w:hint="eastAsia" w:ascii="宋体" w:hAnsi="宋体"/>
          <w:color w:val="auto"/>
          <w:kern w:val="0"/>
          <w:sz w:val="24"/>
        </w:rPr>
        <w:t>当出现以下情况时，应对未开标的项目中止电子开标，对原有资料及信息作出妥善保密处理，并在恢复正常后及时安排时间开标：</w:t>
      </w:r>
    </w:p>
    <w:p>
      <w:pPr>
        <w:spacing w:line="360" w:lineRule="auto"/>
        <w:ind w:firstLine="480" w:firstLineChars="200"/>
        <w:rPr>
          <w:rFonts w:ascii="宋体" w:hAnsi="宋体"/>
          <w:color w:val="auto"/>
          <w:kern w:val="0"/>
          <w:sz w:val="24"/>
        </w:rPr>
      </w:pPr>
      <w:r>
        <w:rPr>
          <w:rFonts w:hint="eastAsia" w:ascii="宋体" w:hAnsi="宋体"/>
          <w:color w:val="auto"/>
          <w:kern w:val="0"/>
          <w:sz w:val="24"/>
        </w:rPr>
        <w:t>6.8.1 系统服务器发生故障，无法访问或无法使用系统；</w:t>
      </w:r>
    </w:p>
    <w:p>
      <w:pPr>
        <w:spacing w:line="360" w:lineRule="auto"/>
        <w:ind w:firstLine="480" w:firstLineChars="200"/>
        <w:rPr>
          <w:rFonts w:ascii="宋体" w:hAnsi="宋体"/>
          <w:color w:val="auto"/>
          <w:kern w:val="0"/>
          <w:sz w:val="24"/>
        </w:rPr>
      </w:pPr>
      <w:r>
        <w:rPr>
          <w:rFonts w:hint="eastAsia" w:ascii="宋体" w:hAnsi="宋体"/>
          <w:color w:val="auto"/>
          <w:kern w:val="0"/>
          <w:sz w:val="24"/>
        </w:rPr>
        <w:t>6.8.2 系统的软件或数据库出现错误，不能进行正常操作；</w:t>
      </w:r>
    </w:p>
    <w:p>
      <w:pPr>
        <w:spacing w:line="360" w:lineRule="auto"/>
        <w:ind w:firstLine="480" w:firstLineChars="200"/>
        <w:rPr>
          <w:rFonts w:ascii="宋体" w:hAnsi="宋体"/>
          <w:color w:val="auto"/>
          <w:kern w:val="0"/>
          <w:sz w:val="24"/>
        </w:rPr>
      </w:pPr>
      <w:r>
        <w:rPr>
          <w:rFonts w:hint="eastAsia" w:ascii="宋体" w:hAnsi="宋体"/>
          <w:color w:val="auto"/>
          <w:kern w:val="0"/>
          <w:sz w:val="24"/>
        </w:rPr>
        <w:t>6.8.3 系统发现有安全漏洞，有潜在的泄密危险；</w:t>
      </w:r>
    </w:p>
    <w:p>
      <w:pPr>
        <w:spacing w:line="360" w:lineRule="auto"/>
        <w:ind w:firstLine="480" w:firstLineChars="200"/>
        <w:rPr>
          <w:rFonts w:ascii="宋体" w:hAnsi="宋体"/>
          <w:color w:val="auto"/>
          <w:kern w:val="0"/>
          <w:sz w:val="24"/>
        </w:rPr>
      </w:pPr>
      <w:r>
        <w:rPr>
          <w:rFonts w:hint="eastAsia" w:ascii="宋体" w:hAnsi="宋体"/>
          <w:color w:val="auto"/>
          <w:kern w:val="0"/>
          <w:sz w:val="24"/>
        </w:rPr>
        <w:t>6.8.4 出现断电事故且短时间内无法恢复供电；</w:t>
      </w:r>
    </w:p>
    <w:p>
      <w:pPr>
        <w:spacing w:line="360" w:lineRule="auto"/>
        <w:ind w:firstLine="480" w:firstLineChars="200"/>
        <w:rPr>
          <w:rFonts w:ascii="宋体" w:hAnsi="宋体"/>
          <w:color w:val="auto"/>
          <w:kern w:val="0"/>
          <w:sz w:val="24"/>
        </w:rPr>
      </w:pPr>
      <w:r>
        <w:rPr>
          <w:rFonts w:hint="eastAsia" w:ascii="宋体" w:hAnsi="宋体"/>
          <w:color w:val="auto"/>
          <w:kern w:val="0"/>
          <w:sz w:val="24"/>
        </w:rPr>
        <w:t>6.8.5 其他无法保证招投标过程正常进行的情形；</w:t>
      </w:r>
    </w:p>
    <w:p>
      <w:pPr>
        <w:spacing w:line="360" w:lineRule="auto"/>
        <w:ind w:firstLine="480" w:firstLineChars="200"/>
        <w:rPr>
          <w:rFonts w:ascii="宋体" w:hAnsi="宋体"/>
          <w:color w:val="auto"/>
          <w:kern w:val="0"/>
          <w:sz w:val="24"/>
        </w:rPr>
      </w:pPr>
      <w:r>
        <w:rPr>
          <w:rFonts w:hint="eastAsia" w:ascii="宋体" w:hAnsi="宋体"/>
          <w:color w:val="auto"/>
          <w:kern w:val="0"/>
          <w:sz w:val="24"/>
        </w:rPr>
        <w:t>6.9合格供应商不足3家的，将不再评标</w:t>
      </w:r>
    </w:p>
    <w:p>
      <w:pPr>
        <w:numPr>
          <w:ilvl w:val="0"/>
          <w:numId w:val="6"/>
        </w:numPr>
        <w:spacing w:line="360" w:lineRule="auto"/>
        <w:ind w:firstLine="480" w:firstLineChars="200"/>
        <w:rPr>
          <w:rFonts w:ascii="宋体" w:hAnsi="宋体"/>
          <w:color w:val="auto"/>
          <w:kern w:val="0"/>
          <w:sz w:val="24"/>
        </w:rPr>
      </w:pPr>
      <w:r>
        <w:rPr>
          <w:rFonts w:hint="eastAsia" w:ascii="宋体" w:hAnsi="宋体"/>
          <w:color w:val="auto"/>
          <w:kern w:val="0"/>
          <w:sz w:val="24"/>
        </w:rPr>
        <w:t>组建谈判小组</w:t>
      </w:r>
    </w:p>
    <w:p>
      <w:pPr>
        <w:spacing w:line="360" w:lineRule="auto"/>
        <w:ind w:firstLine="480" w:firstLineChars="200"/>
        <w:rPr>
          <w:rFonts w:ascii="宋体" w:hAnsi="宋体"/>
          <w:color w:val="auto"/>
          <w:kern w:val="0"/>
          <w:sz w:val="24"/>
        </w:rPr>
      </w:pPr>
      <w:r>
        <w:rPr>
          <w:rFonts w:hint="eastAsia" w:ascii="宋体" w:hAnsi="宋体"/>
          <w:color w:val="auto"/>
          <w:kern w:val="0"/>
          <w:sz w:val="24"/>
        </w:rPr>
        <w:t>7.1 采购人根据采购项目的特点依法组建竞争性谈判小组。</w:t>
      </w:r>
    </w:p>
    <w:p>
      <w:pPr>
        <w:spacing w:line="360" w:lineRule="auto"/>
        <w:ind w:firstLine="480" w:firstLineChars="200"/>
        <w:rPr>
          <w:rFonts w:ascii="宋体" w:hAnsi="宋体"/>
          <w:color w:val="auto"/>
          <w:kern w:val="0"/>
          <w:sz w:val="24"/>
        </w:rPr>
      </w:pPr>
      <w:r>
        <w:rPr>
          <w:rFonts w:hint="eastAsia" w:ascii="宋体" w:hAnsi="宋体"/>
          <w:color w:val="auto"/>
          <w:kern w:val="0"/>
          <w:sz w:val="24"/>
        </w:rPr>
        <w:t>本次竞争性谈判小组由3人组成。竞争性谈判小组由采购人代表和政府采购专家库中随机抽取的评审专家共3人组成。</w:t>
      </w:r>
    </w:p>
    <w:p>
      <w:pPr>
        <w:spacing w:line="360" w:lineRule="auto"/>
        <w:ind w:firstLine="480" w:firstLineChars="200"/>
        <w:rPr>
          <w:rFonts w:ascii="宋体" w:hAnsi="宋体"/>
          <w:color w:val="auto"/>
          <w:kern w:val="0"/>
          <w:sz w:val="24"/>
        </w:rPr>
      </w:pPr>
      <w:r>
        <w:rPr>
          <w:rFonts w:hint="eastAsia" w:ascii="宋体" w:hAnsi="宋体"/>
          <w:color w:val="auto"/>
          <w:kern w:val="0"/>
          <w:sz w:val="24"/>
        </w:rPr>
        <w:t>7.2 谈判小组负责具体的评标事务，并独立履行以下职责：</w:t>
      </w:r>
    </w:p>
    <w:p>
      <w:pPr>
        <w:spacing w:line="360" w:lineRule="auto"/>
        <w:ind w:firstLine="480" w:firstLineChars="200"/>
        <w:rPr>
          <w:rFonts w:ascii="宋体" w:hAnsi="宋体"/>
          <w:color w:val="auto"/>
          <w:kern w:val="0"/>
          <w:sz w:val="24"/>
        </w:rPr>
      </w:pPr>
      <w:r>
        <w:rPr>
          <w:rFonts w:hint="eastAsia" w:ascii="宋体" w:hAnsi="宋体"/>
          <w:color w:val="auto"/>
          <w:kern w:val="0"/>
          <w:sz w:val="24"/>
        </w:rPr>
        <w:t>7.2.1 审查、评价响应性文件是否符合谈判文件的实质性要求；</w:t>
      </w:r>
    </w:p>
    <w:p>
      <w:pPr>
        <w:spacing w:line="360" w:lineRule="auto"/>
        <w:ind w:firstLine="480" w:firstLineChars="200"/>
        <w:rPr>
          <w:rFonts w:ascii="宋体" w:hAnsi="宋体"/>
          <w:color w:val="auto"/>
          <w:kern w:val="0"/>
          <w:sz w:val="24"/>
        </w:rPr>
      </w:pPr>
      <w:r>
        <w:rPr>
          <w:rFonts w:hint="eastAsia" w:ascii="宋体" w:hAnsi="宋体"/>
          <w:color w:val="auto"/>
          <w:kern w:val="0"/>
          <w:sz w:val="24"/>
        </w:rPr>
        <w:t>7.2.2 要求供应商对响应性文件有关事项作出澄清或者说明；</w:t>
      </w:r>
    </w:p>
    <w:p>
      <w:pPr>
        <w:spacing w:line="360" w:lineRule="auto"/>
        <w:ind w:firstLine="480" w:firstLineChars="200"/>
        <w:rPr>
          <w:rFonts w:ascii="宋体" w:hAnsi="宋体"/>
          <w:color w:val="auto"/>
          <w:kern w:val="0"/>
          <w:sz w:val="24"/>
        </w:rPr>
      </w:pPr>
      <w:r>
        <w:rPr>
          <w:rFonts w:hint="eastAsia" w:ascii="宋体" w:hAnsi="宋体"/>
          <w:color w:val="auto"/>
          <w:kern w:val="0"/>
          <w:sz w:val="24"/>
        </w:rPr>
        <w:t>7.2.3 对响应性文件进行比较和评价；</w:t>
      </w:r>
    </w:p>
    <w:p>
      <w:pPr>
        <w:spacing w:line="360" w:lineRule="auto"/>
        <w:ind w:firstLine="480" w:firstLineChars="200"/>
        <w:rPr>
          <w:rFonts w:ascii="宋体" w:hAnsi="宋体"/>
          <w:color w:val="auto"/>
          <w:kern w:val="0"/>
          <w:sz w:val="24"/>
        </w:rPr>
      </w:pPr>
      <w:r>
        <w:rPr>
          <w:rFonts w:hint="eastAsia" w:ascii="宋体" w:hAnsi="宋体"/>
          <w:color w:val="auto"/>
          <w:kern w:val="0"/>
          <w:sz w:val="24"/>
        </w:rPr>
        <w:t>7.2.4推荐成交供应商名单；</w:t>
      </w:r>
    </w:p>
    <w:p>
      <w:pPr>
        <w:spacing w:line="360" w:lineRule="auto"/>
        <w:ind w:firstLine="480" w:firstLineChars="200"/>
        <w:rPr>
          <w:rFonts w:ascii="宋体" w:hAnsi="宋体"/>
          <w:color w:val="auto"/>
          <w:kern w:val="0"/>
          <w:sz w:val="24"/>
        </w:rPr>
      </w:pPr>
      <w:r>
        <w:rPr>
          <w:rFonts w:hint="eastAsia" w:ascii="宋体" w:hAnsi="宋体"/>
          <w:color w:val="auto"/>
          <w:kern w:val="0"/>
          <w:sz w:val="24"/>
        </w:rPr>
        <w:t>7.2.5 向采购人、采购代理机构或者有关部门报告评标中发现的违法行为。</w:t>
      </w:r>
    </w:p>
    <w:p>
      <w:pPr>
        <w:spacing w:line="360" w:lineRule="auto"/>
        <w:ind w:firstLine="480" w:firstLineChars="200"/>
        <w:rPr>
          <w:rFonts w:ascii="宋体" w:hAnsi="宋体"/>
          <w:color w:val="auto"/>
          <w:kern w:val="0"/>
          <w:sz w:val="24"/>
        </w:rPr>
      </w:pPr>
      <w:r>
        <w:rPr>
          <w:rFonts w:hint="eastAsia" w:ascii="宋体" w:hAnsi="宋体"/>
          <w:color w:val="auto"/>
          <w:kern w:val="0"/>
          <w:sz w:val="24"/>
        </w:rPr>
        <w:t>7.3 评标中因谈判小组的缺席、回避或者健康等特殊原因导致谈判小组组成不符合本办法规定的，采购人或者采购代理机构应当依法补足后继续评标。被更换的谈判小组成员所作出的评标意见无效。</w:t>
      </w:r>
    </w:p>
    <w:p>
      <w:pPr>
        <w:spacing w:line="360" w:lineRule="auto"/>
        <w:ind w:firstLine="480" w:firstLineChars="200"/>
        <w:rPr>
          <w:rFonts w:ascii="宋体" w:hAnsi="宋体"/>
          <w:color w:val="auto"/>
          <w:kern w:val="0"/>
          <w:sz w:val="24"/>
        </w:rPr>
      </w:pPr>
      <w:r>
        <w:rPr>
          <w:rFonts w:hint="eastAsia" w:ascii="宋体" w:hAnsi="宋体"/>
          <w:color w:val="auto"/>
          <w:kern w:val="0"/>
          <w:sz w:val="24"/>
        </w:rPr>
        <w:t>7.4 无法及时补足谈判小组成员的，采购人或者采购代理机构应当停止评标活动，封存所有响应性文件和开标、评标资料，依法重新组建谈判小组进行评标。原谈判小组所作出的评标意见无效。</w:t>
      </w:r>
    </w:p>
    <w:p>
      <w:pPr>
        <w:spacing w:line="360" w:lineRule="auto"/>
        <w:ind w:firstLine="480" w:firstLineChars="200"/>
        <w:rPr>
          <w:rFonts w:ascii="宋体" w:hAnsi="宋体"/>
          <w:color w:val="auto"/>
          <w:kern w:val="0"/>
          <w:sz w:val="24"/>
        </w:rPr>
      </w:pPr>
      <w:r>
        <w:rPr>
          <w:rFonts w:hint="eastAsia" w:ascii="宋体" w:hAnsi="宋体"/>
          <w:color w:val="auto"/>
          <w:kern w:val="0"/>
          <w:sz w:val="24"/>
        </w:rPr>
        <w:t>7.5 采购人或者采购代理机构应当将变更、重新组建谈判小组的情况予以记录，并随采购文件一并存档。</w:t>
      </w:r>
    </w:p>
    <w:p>
      <w:pPr>
        <w:spacing w:line="360" w:lineRule="auto"/>
        <w:ind w:firstLine="480" w:firstLineChars="200"/>
        <w:rPr>
          <w:rFonts w:ascii="宋体" w:hAnsi="宋体"/>
          <w:color w:val="auto"/>
          <w:kern w:val="0"/>
          <w:sz w:val="24"/>
        </w:rPr>
      </w:pPr>
      <w:r>
        <w:rPr>
          <w:rFonts w:hint="eastAsia" w:ascii="宋体" w:hAnsi="宋体"/>
          <w:color w:val="auto"/>
          <w:kern w:val="0"/>
          <w:sz w:val="24"/>
        </w:rPr>
        <w:t>7.6 谈判小组应当对符合资格的供应商的响应性文件进行资格性审查，以确定其是否满足竞争性谈判文件的实质性要求。</w:t>
      </w:r>
    </w:p>
    <w:p>
      <w:pPr>
        <w:spacing w:line="360" w:lineRule="auto"/>
        <w:ind w:firstLine="480" w:firstLineChars="200"/>
        <w:rPr>
          <w:rFonts w:ascii="宋体" w:hAnsi="宋体"/>
          <w:color w:val="auto"/>
          <w:kern w:val="0"/>
          <w:sz w:val="24"/>
        </w:rPr>
      </w:pPr>
      <w:r>
        <w:rPr>
          <w:rFonts w:hint="eastAsia" w:ascii="宋体" w:hAnsi="宋体"/>
          <w:color w:val="auto"/>
          <w:kern w:val="0"/>
          <w:sz w:val="24"/>
        </w:rPr>
        <w:t>7.7 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pPr>
        <w:spacing w:line="360" w:lineRule="auto"/>
        <w:ind w:firstLine="480" w:firstLineChars="200"/>
        <w:rPr>
          <w:rFonts w:ascii="宋体" w:hAnsi="宋体"/>
          <w:color w:val="auto"/>
          <w:kern w:val="0"/>
          <w:sz w:val="24"/>
        </w:rPr>
      </w:pPr>
      <w:r>
        <w:rPr>
          <w:rFonts w:hint="eastAsia" w:ascii="宋体" w:hAnsi="宋体"/>
          <w:color w:val="auto"/>
          <w:kern w:val="0"/>
          <w:sz w:val="24"/>
        </w:rPr>
        <w:t xml:space="preserve">8. 符合性审查 </w:t>
      </w:r>
    </w:p>
    <w:p>
      <w:pPr>
        <w:spacing w:line="360" w:lineRule="auto"/>
        <w:ind w:firstLine="480" w:firstLineChars="200"/>
        <w:rPr>
          <w:rFonts w:ascii="宋体" w:hAnsi="宋体"/>
          <w:color w:val="auto"/>
          <w:kern w:val="0"/>
          <w:sz w:val="24"/>
        </w:rPr>
      </w:pPr>
      <w:r>
        <w:rPr>
          <w:rFonts w:hint="eastAsia" w:ascii="宋体" w:hAnsi="宋体"/>
          <w:color w:val="auto"/>
          <w:kern w:val="0"/>
          <w:sz w:val="24"/>
        </w:rPr>
        <w:t>8.1对资格性检查合格的供应商递交的响应性文件，依据竞争性谈判文件的规定，从响应性文件的有效性、完整性和对谈判文件的响应程度，审查响应性文件是否对谈判文件的实质性要求作出了响应。</w:t>
      </w:r>
    </w:p>
    <w:p>
      <w:pPr>
        <w:spacing w:line="360" w:lineRule="auto"/>
        <w:ind w:firstLine="480" w:firstLineChars="200"/>
        <w:rPr>
          <w:rFonts w:ascii="宋体" w:hAnsi="宋体"/>
          <w:color w:val="auto"/>
          <w:kern w:val="0"/>
          <w:sz w:val="24"/>
        </w:rPr>
      </w:pPr>
      <w:r>
        <w:rPr>
          <w:rFonts w:hint="eastAsia" w:ascii="宋体" w:hAnsi="宋体"/>
          <w:color w:val="auto"/>
          <w:kern w:val="0"/>
          <w:sz w:val="24"/>
        </w:rPr>
        <w:t>8.2本次招标用电子化评标，如“焦作市电子招投标交易平台”系统出现故障，导致无法继续评审工作的，可暂停评标，对原有资料及信息作出妥善保密处理，待电子评标系统恢复正常之后组织评审。</w:t>
      </w:r>
    </w:p>
    <w:p>
      <w:pPr>
        <w:spacing w:line="360" w:lineRule="auto"/>
        <w:ind w:firstLine="480" w:firstLineChars="200"/>
        <w:rPr>
          <w:rFonts w:ascii="宋体" w:hAnsi="宋体"/>
          <w:color w:val="auto"/>
          <w:kern w:val="0"/>
          <w:sz w:val="24"/>
        </w:rPr>
      </w:pPr>
      <w:r>
        <w:rPr>
          <w:rFonts w:hint="eastAsia" w:ascii="宋体" w:hAnsi="宋体"/>
          <w:color w:val="auto"/>
          <w:kern w:val="0"/>
          <w:sz w:val="24"/>
        </w:rPr>
        <w:t>8.3实质性响应的投标是指与谈判文件的全部条款、条件和规格相符，没有重大偏离。</w:t>
      </w:r>
    </w:p>
    <w:p>
      <w:pPr>
        <w:spacing w:line="360" w:lineRule="auto"/>
        <w:ind w:firstLine="480" w:firstLineChars="200"/>
        <w:rPr>
          <w:rFonts w:ascii="宋体" w:hAnsi="宋体"/>
          <w:color w:val="auto"/>
          <w:kern w:val="0"/>
          <w:sz w:val="24"/>
        </w:rPr>
      </w:pPr>
      <w:r>
        <w:rPr>
          <w:rFonts w:hint="eastAsia" w:ascii="宋体" w:hAnsi="宋体"/>
          <w:color w:val="auto"/>
          <w:kern w:val="0"/>
          <w:sz w:val="24"/>
        </w:rPr>
        <w:t>8.4 重大偏离是指供应商所投标的范围、质量、服务等明显不能满足招标文件的要求，或者实质上与谈判文件不一致，而且限制了采购人的权利或投标的义务，纠正这些偏离将对其他实质性响应要求的供应商的竞争地位产生不公正的影响。重大偏离的认定须经谈判小组三分之二以上同意。</w:t>
      </w:r>
    </w:p>
    <w:p>
      <w:pPr>
        <w:spacing w:line="360" w:lineRule="auto"/>
        <w:ind w:firstLine="480" w:firstLineChars="200"/>
        <w:rPr>
          <w:rFonts w:ascii="宋体" w:hAnsi="宋体"/>
          <w:color w:val="auto"/>
          <w:kern w:val="0"/>
          <w:sz w:val="24"/>
        </w:rPr>
      </w:pPr>
      <w:r>
        <w:rPr>
          <w:rFonts w:hint="eastAsia" w:ascii="宋体" w:hAnsi="宋体"/>
          <w:color w:val="auto"/>
          <w:kern w:val="0"/>
          <w:sz w:val="24"/>
        </w:rPr>
        <w:t>8.5 如果响应性文件实质上没有响应谈判文件的要求，将作为无效投标处理，供应商不得再对响应性文件进行任何修正从而使其投标成为实质上响应的投标。</w:t>
      </w:r>
    </w:p>
    <w:p>
      <w:pPr>
        <w:spacing w:line="360" w:lineRule="auto"/>
        <w:ind w:firstLine="480" w:firstLineChars="200"/>
        <w:rPr>
          <w:rFonts w:ascii="宋体" w:hAnsi="宋体"/>
          <w:color w:val="auto"/>
          <w:kern w:val="0"/>
          <w:sz w:val="24"/>
        </w:rPr>
      </w:pPr>
      <w:r>
        <w:rPr>
          <w:rFonts w:hint="eastAsia" w:ascii="宋体" w:hAnsi="宋体"/>
          <w:color w:val="auto"/>
          <w:kern w:val="0"/>
          <w:sz w:val="24"/>
        </w:rPr>
        <w:t>8.6竞争性谈判小组审定投标文件的响应性只根据投标文件本身的内容而不寻求外部证据。</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8.7 竞争性谈判小组对竞争性谈判响应文件进行审查、质疑、评估和比较。</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8.8 竞争性谈判小组在竞争性谈判文件规定的时间和地点对供应商的响应性文件进行审查，竞争性谈判小组发起二轮报价，由采购人使用专用电话（0391-8301661）通知通过初步审查的供应商在规定时间内通过不见面开标系统进行二轮报价。</w:t>
      </w:r>
    </w:p>
    <w:p>
      <w:pPr>
        <w:widowControl/>
        <w:spacing w:line="360" w:lineRule="auto"/>
        <w:ind w:firstLine="482" w:firstLineChars="200"/>
        <w:rPr>
          <w:rFonts w:ascii="宋体" w:hAnsi="宋体"/>
          <w:b/>
          <w:bCs/>
          <w:color w:val="auto"/>
          <w:kern w:val="0"/>
          <w:sz w:val="24"/>
        </w:rPr>
      </w:pPr>
      <w:r>
        <w:rPr>
          <w:rFonts w:hint="eastAsia" w:ascii="宋体" w:hAnsi="宋体"/>
          <w:b/>
          <w:bCs/>
          <w:color w:val="auto"/>
          <w:kern w:val="0"/>
          <w:sz w:val="24"/>
        </w:rPr>
        <w:t>投标供应商在系统进行第二轮报价时，需以附件方式上传第二轮报价表电子版(PDF格式)，未提供第二轮报价表电子版（PDF）的视为无效标处理。</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投标供应商的第二轮报价高于第一轮报价时，该投标供应商的投标价以第一轮报价为准。</w:t>
      </w:r>
    </w:p>
    <w:p>
      <w:pPr>
        <w:widowControl/>
        <w:spacing w:line="360" w:lineRule="auto"/>
        <w:ind w:firstLine="480" w:firstLineChars="200"/>
        <w:rPr>
          <w:rFonts w:ascii="宋体"/>
          <w:color w:val="auto"/>
          <w:kern w:val="0"/>
          <w:sz w:val="24"/>
        </w:rPr>
      </w:pPr>
      <w:r>
        <w:rPr>
          <w:rFonts w:hint="eastAsia" w:ascii="宋体" w:hAnsi="宋体"/>
          <w:color w:val="auto"/>
          <w:kern w:val="0"/>
          <w:sz w:val="24"/>
        </w:rPr>
        <w:t>9. 根据符合采购需求报价最低，将投标报价按由低到高的顺序进行排序，推荐3名成交候选供应商。</w:t>
      </w:r>
    </w:p>
    <w:p>
      <w:pPr>
        <w:widowControl/>
        <w:spacing w:line="360" w:lineRule="auto"/>
        <w:ind w:firstLine="480" w:firstLineChars="200"/>
        <w:rPr>
          <w:rFonts w:ascii="宋体"/>
          <w:color w:val="auto"/>
          <w:kern w:val="0"/>
          <w:sz w:val="24"/>
        </w:rPr>
      </w:pPr>
      <w:r>
        <w:rPr>
          <w:rFonts w:hint="eastAsia" w:ascii="宋体" w:hAnsi="宋体" w:cs="宋体"/>
          <w:color w:val="auto"/>
          <w:sz w:val="24"/>
        </w:rPr>
        <w:t>10. 采购代理机构应当自评审结束之日起2个工作日内将评审报告送交采购人。采购人应当自收到评审报告之日起5个工作日内，在评审报告推荐的成交候选人中按顺序确定成交供应商。</w:t>
      </w:r>
    </w:p>
    <w:p>
      <w:pPr>
        <w:widowControl/>
        <w:spacing w:line="360" w:lineRule="auto"/>
        <w:ind w:firstLine="480" w:firstLineChars="200"/>
        <w:rPr>
          <w:rFonts w:ascii="宋体"/>
          <w:color w:val="auto"/>
          <w:kern w:val="0"/>
          <w:sz w:val="24"/>
        </w:rPr>
      </w:pPr>
      <w:r>
        <w:rPr>
          <w:rFonts w:hint="eastAsia" w:ascii="宋体" w:hAnsi="宋体"/>
          <w:color w:val="auto"/>
          <w:kern w:val="0"/>
          <w:sz w:val="24"/>
        </w:rPr>
        <w:t>11. 签订合同：</w:t>
      </w:r>
      <w:r>
        <w:rPr>
          <w:rFonts w:hint="eastAsia" w:ascii="宋体" w:hAnsi="宋体" w:cs="宋体"/>
          <w:color w:val="auto"/>
          <w:sz w:val="24"/>
        </w:rPr>
        <w:t>成交通知书发出之日起15日内， 按照竞争性谈判文件确定的事项签订政府采购合同。采购人与成交人签订政府采购合同。合同中的主要条款要与竞争性谈判文件中的合同条款一致。</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12. 合同签订后，采购人要在2个工作日内将采购合同在焦作市政府采购网公示并备案（签订合同时由成交人提供合同样本）；</w:t>
      </w:r>
    </w:p>
    <w:p>
      <w:pPr>
        <w:widowControl/>
        <w:spacing w:line="360" w:lineRule="auto"/>
        <w:ind w:firstLine="480" w:firstLineChars="200"/>
        <w:rPr>
          <w:rFonts w:ascii="宋体"/>
          <w:color w:val="auto"/>
          <w:kern w:val="0"/>
          <w:sz w:val="24"/>
        </w:rPr>
      </w:pPr>
      <w:r>
        <w:rPr>
          <w:rFonts w:hint="eastAsia" w:ascii="宋体" w:hAnsi="宋体"/>
          <w:color w:val="auto"/>
          <w:kern w:val="0"/>
          <w:sz w:val="24"/>
        </w:rPr>
        <w:t>13. 在谈判期间，供应商不得向竞争性谈判小组成员询问其它供应商谈判情况，不得进行影响成交结果的活动。</w:t>
      </w:r>
    </w:p>
    <w:p>
      <w:pPr>
        <w:widowControl/>
        <w:spacing w:line="360" w:lineRule="auto"/>
        <w:ind w:firstLine="480" w:firstLineChars="200"/>
        <w:rPr>
          <w:rFonts w:ascii="宋体"/>
          <w:color w:val="auto"/>
          <w:kern w:val="0"/>
          <w:sz w:val="24"/>
        </w:rPr>
      </w:pPr>
      <w:r>
        <w:rPr>
          <w:rFonts w:hint="eastAsia" w:ascii="宋体" w:hAnsi="宋体"/>
          <w:color w:val="auto"/>
          <w:kern w:val="0"/>
          <w:sz w:val="24"/>
        </w:rPr>
        <w:t>（二） 竞争性谈判小组将对响应文件中有关问题分别向供应商进行询问，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pPr>
        <w:widowControl/>
        <w:spacing w:line="360" w:lineRule="auto"/>
        <w:ind w:firstLine="480" w:firstLineChars="200"/>
        <w:rPr>
          <w:rFonts w:ascii="宋体"/>
          <w:color w:val="auto"/>
          <w:kern w:val="0"/>
          <w:sz w:val="24"/>
        </w:rPr>
      </w:pPr>
      <w:r>
        <w:rPr>
          <w:rFonts w:hint="eastAsia" w:ascii="宋体" w:hAnsi="宋体"/>
          <w:color w:val="auto"/>
          <w:kern w:val="0"/>
          <w:sz w:val="24"/>
        </w:rPr>
        <w:t>采购小组不向未成交方解释原因，不退还响应文件。</w:t>
      </w:r>
    </w:p>
    <w:p>
      <w:pPr>
        <w:widowControl/>
        <w:numPr>
          <w:ilvl w:val="0"/>
          <w:numId w:val="7"/>
        </w:numPr>
        <w:spacing w:line="360" w:lineRule="auto"/>
        <w:ind w:firstLine="480" w:firstLineChars="200"/>
        <w:rPr>
          <w:rFonts w:ascii="宋体"/>
          <w:color w:val="auto"/>
          <w:kern w:val="0"/>
          <w:sz w:val="24"/>
        </w:rPr>
      </w:pPr>
      <w:r>
        <w:rPr>
          <w:rFonts w:hint="eastAsia" w:ascii="宋体" w:hAnsi="宋体"/>
          <w:color w:val="auto"/>
          <w:kern w:val="0"/>
          <w:sz w:val="24"/>
        </w:rPr>
        <w:t>采购成交原则</w:t>
      </w:r>
    </w:p>
    <w:p>
      <w:pPr>
        <w:widowControl/>
        <w:numPr>
          <w:ilvl w:val="0"/>
          <w:numId w:val="8"/>
        </w:numPr>
        <w:spacing w:line="360" w:lineRule="auto"/>
        <w:ind w:firstLine="480" w:firstLineChars="200"/>
        <w:rPr>
          <w:rFonts w:ascii="宋体"/>
          <w:color w:val="auto"/>
          <w:kern w:val="0"/>
          <w:sz w:val="24"/>
        </w:rPr>
      </w:pPr>
      <w:r>
        <w:rPr>
          <w:rFonts w:hint="eastAsia" w:ascii="宋体" w:hAnsi="宋体"/>
          <w:color w:val="auto"/>
          <w:kern w:val="0"/>
          <w:sz w:val="24"/>
        </w:rPr>
        <w:t>成交原则和方法</w:t>
      </w:r>
    </w:p>
    <w:p>
      <w:pPr>
        <w:widowControl/>
        <w:spacing w:line="360" w:lineRule="auto"/>
        <w:ind w:firstLine="480" w:firstLineChars="200"/>
        <w:rPr>
          <w:rFonts w:ascii="宋体"/>
          <w:color w:val="auto"/>
          <w:kern w:val="0"/>
          <w:sz w:val="24"/>
        </w:rPr>
      </w:pPr>
      <w:r>
        <w:rPr>
          <w:rFonts w:ascii="宋体" w:hAnsi="宋体"/>
          <w:color w:val="auto"/>
          <w:kern w:val="0"/>
          <w:sz w:val="24"/>
        </w:rPr>
        <w:t>1</w:t>
      </w:r>
      <w:r>
        <w:rPr>
          <w:rFonts w:hint="eastAsia" w:ascii="宋体" w:hAnsi="宋体"/>
          <w:color w:val="auto"/>
          <w:kern w:val="0"/>
          <w:sz w:val="24"/>
        </w:rPr>
        <w:t>.1 公开、公平、公正</w:t>
      </w:r>
    </w:p>
    <w:p>
      <w:pPr>
        <w:widowControl/>
        <w:spacing w:line="360" w:lineRule="auto"/>
        <w:ind w:firstLine="480" w:firstLineChars="200"/>
        <w:rPr>
          <w:rFonts w:ascii="宋体"/>
          <w:color w:val="auto"/>
          <w:kern w:val="0"/>
          <w:sz w:val="24"/>
        </w:rPr>
      </w:pPr>
      <w:r>
        <w:rPr>
          <w:rFonts w:ascii="宋体" w:hAnsi="宋体"/>
          <w:color w:val="auto"/>
          <w:kern w:val="0"/>
          <w:sz w:val="24"/>
        </w:rPr>
        <w:t>1</w:t>
      </w:r>
      <w:r>
        <w:rPr>
          <w:rFonts w:hint="eastAsia" w:ascii="宋体" w:hAnsi="宋体"/>
          <w:color w:val="auto"/>
          <w:kern w:val="0"/>
          <w:sz w:val="24"/>
        </w:rPr>
        <w:t>.2 技术可行，措施得当</w:t>
      </w:r>
    </w:p>
    <w:p>
      <w:pPr>
        <w:widowControl/>
        <w:spacing w:line="360" w:lineRule="auto"/>
        <w:ind w:firstLine="480" w:firstLineChars="200"/>
        <w:rPr>
          <w:rFonts w:ascii="宋体" w:hAnsi="宋体"/>
          <w:color w:val="auto"/>
          <w:kern w:val="0"/>
          <w:sz w:val="24"/>
        </w:rPr>
      </w:pPr>
      <w:r>
        <w:rPr>
          <w:rFonts w:ascii="宋体" w:hAnsi="宋体"/>
          <w:color w:val="auto"/>
          <w:kern w:val="0"/>
          <w:sz w:val="24"/>
        </w:rPr>
        <w:t>1</w:t>
      </w:r>
      <w:r>
        <w:rPr>
          <w:rFonts w:hint="eastAsia" w:ascii="宋体" w:hAnsi="宋体"/>
          <w:color w:val="auto"/>
          <w:kern w:val="0"/>
          <w:sz w:val="24"/>
        </w:rPr>
        <w:t>.3 符合采购需求，在对中小企业价格扣除20%以后,价格低者优先成交。在价格同等情况下，依次按质量及服务、提供的优惠条件等进行排序，推荐3名成交候选供应商。</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2. 竞争性谈判小组对每个参加采购单位的响应文件的实质内容进行比较。</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3. 竞争性谈判小组将符合竞争性谈判文件规定的最终有效投标报价按由低到高顺序排序，推荐3名成交候选供应商。</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4. 采购人应当确定排名第一的成交候选人为成交人。排名第一的成交候选人放弃成交、因不可抗力不能履行合同，或者被查实存在影响成交结果的违法行为等情形，不符合成交条件的，采购人可以按照竞争性谈判小组提出的成交候选人名单排序依次确定其他成交候选人为成交人。</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5. 非因不可抗力因素放弃成交的，或排名第一的成交候选人未按规定期限与采购人签订合同的，根据《政府采购法实施条例》第七十二条，按照《政府采购法》第七十七条之规定：处以采购金额千分之五以上千分之十以下罚款，将其列入不良行为记录名单，在一至三年内禁止参加政府采购活动等相应处罚。同时，应赔偿采购人由此造成的损失，损失费的计算方法为该成交候选人的投标价与重新确定的成交人成交价的差额。</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6.1 对中小微企业投标的扶持：</w:t>
      </w:r>
    </w:p>
    <w:p>
      <w:pPr>
        <w:widowControl/>
        <w:spacing w:line="360" w:lineRule="auto"/>
        <w:ind w:firstLine="480" w:firstLineChars="200"/>
        <w:rPr>
          <w:rFonts w:ascii="宋体" w:hAnsi="宋体"/>
          <w:color w:val="auto"/>
          <w:kern w:val="0"/>
          <w:sz w:val="24"/>
          <w:highlight w:val="yellow"/>
        </w:rPr>
      </w:pPr>
      <w:r>
        <w:rPr>
          <w:rFonts w:hint="eastAsia" w:ascii="宋体" w:hAnsi="宋体"/>
          <w:color w:val="auto"/>
          <w:kern w:val="0"/>
          <w:sz w:val="24"/>
        </w:rPr>
        <w:t>6.1.1 投标供应商应当提供《中小企业声明函》（见格式）。</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6.2按照《政府采购促进中小企业发展管理办法》有关规定，中小企业的标准为：</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6.2.1提供本企业制造的货物、承担的工程或者服务，或者提供其他中小企业制造的货物，不包括提供或使用大型企业注册商标的货物；</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6.2.2本规定所称中小企业划分标准，是指国务院有关部门根据企业从业人员、营业收入、资产总额等指标制定的中小企业划型标准（工信部联企业[2011]300号）；</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6.2.3 小型、微型企业提供有中型企业制造的货物的，视同为中型企业；小型、微型、中型企业提供有大型企业制造的货物的，视同为大型企业。</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7. 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本项目全额面向中小企业采购，供应商需提供中小企业声明函。</w:t>
      </w:r>
    </w:p>
    <w:p>
      <w:pPr>
        <w:widowControl/>
        <w:spacing w:line="360" w:lineRule="auto"/>
        <w:ind w:firstLine="480" w:firstLineChars="200"/>
        <w:jc w:val="left"/>
        <w:rPr>
          <w:rFonts w:ascii="宋体" w:hAnsi="宋体" w:cs="宋体"/>
          <w:color w:val="auto"/>
          <w:sz w:val="24"/>
          <w:highlight w:val="red"/>
        </w:rPr>
      </w:pPr>
      <w:r>
        <w:rPr>
          <w:rFonts w:hint="eastAsia" w:ascii="宋体" w:hAnsi="宋体"/>
          <w:color w:val="auto"/>
          <w:kern w:val="0"/>
          <w:sz w:val="24"/>
        </w:rPr>
        <w:t>（四）参加竞争性谈判单位的响应文件有下列情况之一的，视为无效响应文件。</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 未按竞争性谈判文件明示的规定签字或盖章的；</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2. 响应文件的关键内容（投标报价、</w:t>
      </w:r>
      <w:r>
        <w:rPr>
          <w:rFonts w:hint="eastAsia" w:ascii="宋体" w:hAnsi="宋体" w:cs="宋体"/>
          <w:color w:val="auto"/>
          <w:kern w:val="0"/>
          <w:sz w:val="24"/>
        </w:rPr>
        <w:t>供货及安装期</w:t>
      </w:r>
      <w:r>
        <w:rPr>
          <w:rFonts w:hint="eastAsia" w:ascii="宋体" w:hAnsi="宋体"/>
          <w:color w:val="auto"/>
          <w:kern w:val="0"/>
          <w:sz w:val="24"/>
        </w:rPr>
        <w:t>、质量要求、品牌、型号等）未填写或填写字迹模糊无法辨认的；</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3. 采购报价超出控制价的；</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4. 响应文件中对同一项目有两个或多个报价，且未声明哪一个有效的；</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5. 相关资格证明文件不合格的；</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6. 响应文件中附有采购人不能接受的条件的；</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7. 响应文件有明显不符合竞争性谈判文件其它要求和有关法律法规的；</w:t>
      </w:r>
    </w:p>
    <w:p>
      <w:pPr>
        <w:widowControl/>
        <w:spacing w:line="360" w:lineRule="auto"/>
        <w:ind w:firstLine="480" w:firstLineChars="200"/>
        <w:rPr>
          <w:color w:val="auto"/>
        </w:rPr>
      </w:pPr>
      <w:r>
        <w:rPr>
          <w:rFonts w:hint="eastAsia" w:ascii="宋体" w:hAnsi="宋体"/>
          <w:color w:val="auto"/>
          <w:kern w:val="0"/>
          <w:sz w:val="24"/>
        </w:rPr>
        <w:t>8. 评标过程中，如因两个或两个以上供应商在同一台计算或同一个IP上传响应文件，而被不见面开标系统提示为“投标文件制作机器码一致”的，则视其投标无效；</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10. 在评审过程中，谈判小组发现投标供应商有下列情形之一的，视为相互串通投标，按照无效投标处理并依据法律、法规追究其相关责任。具体表现形式如下：</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10.1 不同供应商的响应性文件由同一单位或者个人编制；</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10.2 不同供应商委托同一单位或者个人办理投标事宜；</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10.3 不同供应商的响应性文件载明的项目管理成员或者联系人员为同一人；</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10.4 不同供应商的响应性文件异常一致或者投标报价呈规律性差异；</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10.5 不同供应商的响应性文件相互混装；</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10.6 有证据证明供应商与采购人、采购代理机构或者其他供应商串通的其他情形；</w:t>
      </w:r>
    </w:p>
    <w:p>
      <w:pPr>
        <w:widowControl/>
        <w:spacing w:line="360" w:lineRule="auto"/>
        <w:ind w:firstLine="480" w:firstLineChars="200"/>
        <w:rPr>
          <w:rFonts w:ascii="宋体"/>
          <w:color w:val="auto"/>
          <w:kern w:val="0"/>
          <w:sz w:val="24"/>
        </w:rPr>
      </w:pPr>
      <w:r>
        <w:rPr>
          <w:rFonts w:hint="eastAsia" w:ascii="宋体" w:hAnsi="宋体"/>
          <w:color w:val="auto"/>
          <w:kern w:val="0"/>
          <w:sz w:val="24"/>
        </w:rPr>
        <w:t>（五）授予合同</w:t>
      </w:r>
    </w:p>
    <w:p>
      <w:pPr>
        <w:widowControl/>
        <w:spacing w:line="360" w:lineRule="auto"/>
        <w:ind w:firstLine="480" w:firstLineChars="200"/>
        <w:rPr>
          <w:rFonts w:ascii="宋体"/>
          <w:color w:val="auto"/>
          <w:kern w:val="0"/>
          <w:sz w:val="24"/>
        </w:rPr>
      </w:pPr>
      <w:r>
        <w:rPr>
          <w:rFonts w:ascii="宋体" w:hAnsi="宋体"/>
          <w:color w:val="auto"/>
          <w:kern w:val="0"/>
          <w:sz w:val="24"/>
        </w:rPr>
        <w:t>1</w:t>
      </w:r>
      <w:r>
        <w:rPr>
          <w:rFonts w:hint="eastAsia" w:ascii="宋体" w:hAnsi="宋体"/>
          <w:color w:val="auto"/>
          <w:kern w:val="0"/>
          <w:sz w:val="24"/>
        </w:rPr>
        <w:t>. 本合同将授予经过竞争性谈判小组确认的成交单位。</w:t>
      </w:r>
    </w:p>
    <w:p>
      <w:pPr>
        <w:widowControl/>
        <w:spacing w:line="360" w:lineRule="auto"/>
        <w:ind w:firstLine="480" w:firstLineChars="200"/>
        <w:rPr>
          <w:rFonts w:ascii="宋体"/>
          <w:color w:val="auto"/>
          <w:kern w:val="0"/>
          <w:sz w:val="24"/>
        </w:rPr>
      </w:pPr>
      <w:r>
        <w:rPr>
          <w:rFonts w:ascii="宋体" w:hAnsi="宋体"/>
          <w:color w:val="auto"/>
          <w:kern w:val="0"/>
          <w:sz w:val="24"/>
        </w:rPr>
        <w:t>2</w:t>
      </w:r>
      <w:r>
        <w:rPr>
          <w:rFonts w:hint="eastAsia" w:ascii="宋体" w:hAnsi="宋体"/>
          <w:color w:val="auto"/>
          <w:kern w:val="0"/>
          <w:sz w:val="24"/>
        </w:rPr>
        <w:t>. 成交人应当自成交通知书发出之日起15日内，按照竞争性谈判文件和成交人的响应文件与采购单位签订合同。</w:t>
      </w:r>
    </w:p>
    <w:p>
      <w:pPr>
        <w:widowControl/>
        <w:spacing w:line="360" w:lineRule="auto"/>
        <w:ind w:firstLine="480" w:firstLineChars="200"/>
        <w:rPr>
          <w:rFonts w:ascii="宋体"/>
          <w:color w:val="auto"/>
          <w:kern w:val="0"/>
          <w:sz w:val="24"/>
        </w:rPr>
      </w:pPr>
      <w:r>
        <w:rPr>
          <w:rFonts w:ascii="宋体" w:hAnsi="宋体"/>
          <w:color w:val="auto"/>
          <w:kern w:val="0"/>
          <w:sz w:val="24"/>
        </w:rPr>
        <w:t>3</w:t>
      </w:r>
      <w:r>
        <w:rPr>
          <w:rFonts w:hint="eastAsia" w:ascii="宋体" w:hAnsi="宋体"/>
          <w:color w:val="auto"/>
          <w:kern w:val="0"/>
          <w:sz w:val="24"/>
        </w:rPr>
        <w:t>. 竞争性谈判文件、成交人的竞争性谈判文件及其澄清文件等均为签订合同的依据。</w:t>
      </w:r>
    </w:p>
    <w:p>
      <w:pPr>
        <w:widowControl/>
        <w:spacing w:line="360" w:lineRule="auto"/>
        <w:ind w:firstLine="480" w:firstLineChars="200"/>
        <w:rPr>
          <w:rFonts w:ascii="宋体" w:hAnsi="宋体"/>
          <w:color w:val="auto"/>
          <w:kern w:val="0"/>
          <w:sz w:val="24"/>
        </w:rPr>
      </w:pPr>
      <w:r>
        <w:rPr>
          <w:rFonts w:ascii="宋体" w:hAnsi="宋体"/>
          <w:color w:val="auto"/>
          <w:kern w:val="0"/>
          <w:sz w:val="24"/>
        </w:rPr>
        <w:t>4</w:t>
      </w:r>
      <w:r>
        <w:rPr>
          <w:rFonts w:hint="eastAsia" w:ascii="宋体" w:hAnsi="宋体"/>
          <w:color w:val="auto"/>
          <w:kern w:val="0"/>
          <w:sz w:val="24"/>
        </w:rPr>
        <w:t>. 合同签订后，成交人应将合同在2个工作日内将合同在焦作市政府采购网公示并备案。</w:t>
      </w:r>
    </w:p>
    <w:p>
      <w:pPr>
        <w:pStyle w:val="9"/>
        <w:spacing w:before="0" w:after="0" w:line="360" w:lineRule="auto"/>
        <w:ind w:firstLine="883" w:firstLineChars="200"/>
        <w:jc w:val="center"/>
        <w:rPr>
          <w:color w:val="auto"/>
          <w:kern w:val="0"/>
        </w:rPr>
      </w:pPr>
      <w:bookmarkStart w:id="28" w:name="_Toc9332"/>
      <w:bookmarkStart w:id="29" w:name="_Toc533668870"/>
      <w:bookmarkStart w:id="30" w:name="_Toc2540"/>
    </w:p>
    <w:p>
      <w:pPr>
        <w:rPr>
          <w:color w:val="auto"/>
          <w:kern w:val="0"/>
        </w:rPr>
      </w:pPr>
    </w:p>
    <w:p>
      <w:pPr>
        <w:pStyle w:val="5"/>
        <w:rPr>
          <w:color w:val="auto"/>
          <w:kern w:val="0"/>
        </w:rPr>
      </w:pPr>
    </w:p>
    <w:p>
      <w:pPr>
        <w:rPr>
          <w:color w:val="auto"/>
        </w:rPr>
      </w:pPr>
    </w:p>
    <w:p>
      <w:pPr>
        <w:pStyle w:val="9"/>
        <w:numPr>
          <w:ilvl w:val="0"/>
          <w:numId w:val="9"/>
        </w:numPr>
        <w:spacing w:before="0" w:after="0" w:line="360" w:lineRule="auto"/>
        <w:ind w:firstLine="883" w:firstLineChars="200"/>
        <w:jc w:val="center"/>
        <w:rPr>
          <w:color w:val="auto"/>
          <w:kern w:val="0"/>
        </w:rPr>
      </w:pPr>
      <w:bookmarkStart w:id="31" w:name="_Toc31253"/>
      <w:bookmarkStart w:id="32" w:name="_Toc28610"/>
      <w:r>
        <w:rPr>
          <w:rFonts w:hint="eastAsia"/>
          <w:color w:val="auto"/>
          <w:kern w:val="0"/>
        </w:rPr>
        <w:t>其他要求</w:t>
      </w:r>
      <w:bookmarkEnd w:id="28"/>
      <w:bookmarkEnd w:id="29"/>
      <w:bookmarkEnd w:id="30"/>
      <w:bookmarkEnd w:id="31"/>
      <w:bookmarkEnd w:id="32"/>
    </w:p>
    <w:p>
      <w:pPr>
        <w:rPr>
          <w:color w:val="auto"/>
        </w:rPr>
      </w:pP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供应商如有不清楚的地方可与采购人和代理机构联系。采购报价应包含所有费用。成交人在成交后不得以任何理由增加任何费用。</w:t>
      </w:r>
    </w:p>
    <w:p>
      <w:pPr>
        <w:rPr>
          <w:color w:val="auto"/>
        </w:rPr>
      </w:pPr>
    </w:p>
    <w:p>
      <w:pPr>
        <w:pStyle w:val="3"/>
        <w:ind w:firstLine="420"/>
        <w:rPr>
          <w:color w:val="auto"/>
        </w:rPr>
      </w:pPr>
    </w:p>
    <w:p>
      <w:pPr>
        <w:pStyle w:val="4"/>
        <w:rPr>
          <w:color w:val="auto"/>
        </w:rPr>
      </w:pPr>
    </w:p>
    <w:p>
      <w:pPr>
        <w:pStyle w:val="3"/>
        <w:ind w:firstLine="420"/>
        <w:rPr>
          <w:color w:val="auto"/>
        </w:rPr>
      </w:pPr>
    </w:p>
    <w:p>
      <w:pPr>
        <w:pStyle w:val="4"/>
        <w:rPr>
          <w:color w:val="auto"/>
        </w:rPr>
      </w:pPr>
    </w:p>
    <w:p>
      <w:pPr>
        <w:pStyle w:val="3"/>
        <w:ind w:firstLine="420"/>
        <w:rPr>
          <w:color w:val="auto"/>
        </w:rPr>
      </w:pPr>
    </w:p>
    <w:p>
      <w:pPr>
        <w:pStyle w:val="4"/>
        <w:rPr>
          <w:color w:val="auto"/>
        </w:rPr>
      </w:pPr>
    </w:p>
    <w:p>
      <w:pPr>
        <w:pStyle w:val="3"/>
        <w:ind w:firstLine="420"/>
        <w:rPr>
          <w:color w:val="auto"/>
        </w:rPr>
      </w:pPr>
    </w:p>
    <w:p>
      <w:pPr>
        <w:pStyle w:val="4"/>
        <w:rPr>
          <w:color w:val="auto"/>
        </w:rPr>
      </w:pPr>
    </w:p>
    <w:p>
      <w:pPr>
        <w:pStyle w:val="3"/>
        <w:ind w:firstLine="420"/>
        <w:rPr>
          <w:color w:val="auto"/>
        </w:rPr>
      </w:pPr>
    </w:p>
    <w:p>
      <w:pPr>
        <w:pStyle w:val="4"/>
        <w:rPr>
          <w:color w:val="auto"/>
        </w:rPr>
      </w:pPr>
    </w:p>
    <w:p>
      <w:pPr>
        <w:pStyle w:val="3"/>
        <w:ind w:firstLine="420"/>
        <w:rPr>
          <w:color w:val="auto"/>
        </w:rPr>
      </w:pPr>
    </w:p>
    <w:p>
      <w:pPr>
        <w:pStyle w:val="4"/>
        <w:rPr>
          <w:color w:val="auto"/>
        </w:rPr>
      </w:pPr>
    </w:p>
    <w:p>
      <w:pPr>
        <w:pStyle w:val="3"/>
        <w:ind w:firstLine="420"/>
        <w:rPr>
          <w:color w:val="auto"/>
        </w:rPr>
      </w:pPr>
    </w:p>
    <w:p>
      <w:pPr>
        <w:pStyle w:val="4"/>
        <w:rPr>
          <w:color w:val="auto"/>
        </w:rPr>
      </w:pPr>
    </w:p>
    <w:p>
      <w:pPr>
        <w:pStyle w:val="4"/>
        <w:rPr>
          <w:color w:val="auto"/>
        </w:rPr>
      </w:pPr>
    </w:p>
    <w:p>
      <w:pPr>
        <w:pStyle w:val="9"/>
        <w:spacing w:before="0" w:after="0" w:line="360" w:lineRule="auto"/>
        <w:ind w:firstLine="883" w:firstLineChars="200"/>
        <w:jc w:val="center"/>
        <w:rPr>
          <w:color w:val="auto"/>
        </w:rPr>
      </w:pPr>
      <w:bookmarkStart w:id="33" w:name="_Toc217"/>
      <w:bookmarkStart w:id="34" w:name="_Toc29162"/>
      <w:r>
        <w:rPr>
          <w:rFonts w:hint="eastAsia"/>
          <w:color w:val="auto"/>
        </w:rPr>
        <w:t>第四部分质疑与投诉</w:t>
      </w:r>
      <w:bookmarkEnd w:id="33"/>
      <w:bookmarkEnd w:id="34"/>
    </w:p>
    <w:p>
      <w:pPr>
        <w:rPr>
          <w:color w:val="auto"/>
        </w:rPr>
      </w:pPr>
    </w:p>
    <w:p>
      <w:pPr>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一、质疑与答复</w:t>
      </w:r>
    </w:p>
    <w:p>
      <w:pPr>
        <w:pStyle w:val="2"/>
        <w:spacing w:after="0" w:line="360" w:lineRule="auto"/>
        <w:ind w:firstLine="480" w:firstLineChars="200"/>
        <w:rPr>
          <w:rFonts w:ascii="宋体" w:hAnsi="宋体" w:cs="宋体"/>
          <w:color w:val="auto"/>
          <w:sz w:val="24"/>
        </w:rPr>
      </w:pPr>
      <w:r>
        <w:rPr>
          <w:rFonts w:hint="eastAsia" w:ascii="宋体" w:hAnsi="宋体" w:cs="宋体"/>
          <w:color w:val="auto"/>
          <w:sz w:val="24"/>
        </w:rPr>
        <w:t>1. 参与政府采购活动的供应商认为采购文件、采购过程、中标或者成交结果使自己的权益受到损害的，可以在知道或者应知其权益受到损害之日起7个工作日内，以书面形式向采购人、采购代理机构提出质疑。</w:t>
      </w:r>
    </w:p>
    <w:p>
      <w:pPr>
        <w:pStyle w:val="5"/>
        <w:spacing w:after="0" w:line="360" w:lineRule="auto"/>
        <w:ind w:left="0" w:leftChars="0" w:firstLine="480"/>
        <w:rPr>
          <w:rFonts w:ascii="宋体" w:hAnsi="宋体" w:cs="宋体"/>
          <w:color w:val="auto"/>
          <w:sz w:val="24"/>
        </w:rPr>
      </w:pPr>
      <w:r>
        <w:rPr>
          <w:rFonts w:hint="eastAsia" w:ascii="宋体" w:hAnsi="宋体" w:cs="宋体"/>
          <w:color w:val="auto"/>
          <w:sz w:val="24"/>
        </w:rPr>
        <w:t>2. 供应商提出质疑应当提交质疑函和必要的证明材料。政府采购供应商质疑函范本下载地址：</w:t>
      </w:r>
    </w:p>
    <w:p>
      <w:pPr>
        <w:pStyle w:val="5"/>
        <w:spacing w:after="0" w:line="360" w:lineRule="auto"/>
        <w:ind w:firstLine="0" w:firstLineChars="0"/>
        <w:rPr>
          <w:rFonts w:ascii="宋体" w:hAnsi="宋体" w:cs="宋体"/>
          <w:color w:val="auto"/>
          <w:sz w:val="24"/>
        </w:rPr>
      </w:pPr>
      <w:r>
        <w:rPr>
          <w:color w:val="auto"/>
        </w:rPr>
        <w:fldChar w:fldCharType="begin"/>
      </w:r>
      <w:r>
        <w:rPr>
          <w:color w:val="auto"/>
        </w:rPr>
        <w:instrText xml:space="preserve"> HYPERLINK "http://download.ccgp.gov.cn/2018/zhiyihanfanben.zip；" </w:instrText>
      </w:r>
      <w:r>
        <w:rPr>
          <w:color w:val="auto"/>
        </w:rPr>
        <w:fldChar w:fldCharType="separate"/>
      </w:r>
      <w:r>
        <w:rPr>
          <w:rStyle w:val="35"/>
          <w:rFonts w:hint="eastAsia" w:ascii="宋体" w:hAnsi="宋体" w:cs="宋体"/>
          <w:color w:val="auto"/>
          <w:sz w:val="24"/>
        </w:rPr>
        <w:t>http://download.ccgp.gov.cn/2018/zhiyihanfanben.zip；</w:t>
      </w:r>
      <w:r>
        <w:rPr>
          <w:rStyle w:val="35"/>
          <w:rFonts w:hint="eastAsia" w:ascii="宋体" w:hAnsi="宋体" w:cs="宋体"/>
          <w:color w:val="auto"/>
          <w:sz w:val="24"/>
        </w:rPr>
        <w:fldChar w:fldCharType="end"/>
      </w:r>
    </w:p>
    <w:p>
      <w:pPr>
        <w:numPr>
          <w:ilvl w:val="0"/>
          <w:numId w:val="8"/>
        </w:numPr>
        <w:spacing w:line="360" w:lineRule="auto"/>
        <w:ind w:firstLine="480" w:firstLineChars="200"/>
        <w:rPr>
          <w:rFonts w:ascii="宋体" w:hAnsi="宋体" w:cs="宋体"/>
          <w:color w:val="auto"/>
          <w:sz w:val="24"/>
        </w:rPr>
      </w:pPr>
      <w:r>
        <w:rPr>
          <w:rFonts w:hint="eastAsia" w:ascii="宋体" w:hAnsi="宋体" w:cs="宋体"/>
          <w:color w:val="auto"/>
          <w:sz w:val="24"/>
        </w:rPr>
        <w:t>采购人、采购代理机构不得拒收质疑供应商在法定质疑期内发出的质疑函，应当在收到质疑函后7个工作日内作出答复，并以书面形式通知质疑供应商和其他有关供应商。</w:t>
      </w:r>
    </w:p>
    <w:p>
      <w:pPr>
        <w:numPr>
          <w:ilvl w:val="0"/>
          <w:numId w:val="8"/>
        </w:numPr>
        <w:spacing w:line="360" w:lineRule="auto"/>
        <w:ind w:firstLine="480" w:firstLineChars="200"/>
        <w:rPr>
          <w:rFonts w:ascii="宋体" w:hAnsi="宋体" w:cs="宋体"/>
          <w:color w:val="auto"/>
          <w:sz w:val="24"/>
        </w:rPr>
      </w:pPr>
      <w:r>
        <w:rPr>
          <w:rFonts w:hint="eastAsia" w:ascii="宋体" w:hAnsi="宋体" w:cs="宋体"/>
          <w:color w:val="auto"/>
          <w:sz w:val="24"/>
        </w:rPr>
        <w:t>供应商提出质疑应当提交质疑函和必要的证明材料。质疑函应当包括下列内容：</w:t>
      </w:r>
    </w:p>
    <w:p>
      <w:pPr>
        <w:numPr>
          <w:ilvl w:val="1"/>
          <w:numId w:val="8"/>
        </w:numPr>
        <w:spacing w:line="360" w:lineRule="auto"/>
        <w:ind w:left="420" w:leftChars="200"/>
        <w:rPr>
          <w:rFonts w:ascii="宋体" w:hAnsi="宋体" w:cs="宋体"/>
          <w:color w:val="auto"/>
          <w:sz w:val="24"/>
        </w:rPr>
      </w:pPr>
      <w:r>
        <w:rPr>
          <w:rFonts w:hint="eastAsia" w:ascii="宋体" w:hAnsi="宋体" w:cs="宋体"/>
          <w:color w:val="auto"/>
          <w:sz w:val="24"/>
        </w:rPr>
        <w:t>供应商的姓名或者名称、地址、邮编、联系人及联系电话；</w:t>
      </w:r>
    </w:p>
    <w:p>
      <w:pPr>
        <w:numPr>
          <w:ilvl w:val="1"/>
          <w:numId w:val="8"/>
        </w:numPr>
        <w:spacing w:line="360" w:lineRule="auto"/>
        <w:ind w:left="420" w:leftChars="200"/>
        <w:rPr>
          <w:rFonts w:ascii="宋体" w:hAnsi="宋体" w:cs="宋体"/>
          <w:color w:val="auto"/>
          <w:sz w:val="24"/>
        </w:rPr>
      </w:pPr>
      <w:r>
        <w:rPr>
          <w:rFonts w:hint="eastAsia" w:ascii="宋体" w:hAnsi="宋体" w:cs="宋体"/>
          <w:color w:val="auto"/>
          <w:sz w:val="24"/>
        </w:rPr>
        <w:t>质疑项目的名称、编号；</w:t>
      </w:r>
    </w:p>
    <w:p>
      <w:pPr>
        <w:numPr>
          <w:ilvl w:val="1"/>
          <w:numId w:val="8"/>
        </w:numPr>
        <w:spacing w:line="360" w:lineRule="auto"/>
        <w:ind w:left="420" w:leftChars="200"/>
        <w:rPr>
          <w:rFonts w:ascii="宋体" w:hAnsi="宋体" w:cs="宋体"/>
          <w:color w:val="auto"/>
          <w:sz w:val="24"/>
        </w:rPr>
      </w:pPr>
      <w:r>
        <w:rPr>
          <w:rFonts w:hint="eastAsia" w:ascii="宋体" w:hAnsi="宋体" w:cs="宋体"/>
          <w:color w:val="auto"/>
          <w:sz w:val="24"/>
        </w:rPr>
        <w:t>具体、明确的质疑事项和与质疑事项相关的请求；</w:t>
      </w:r>
    </w:p>
    <w:p>
      <w:pPr>
        <w:numPr>
          <w:ilvl w:val="1"/>
          <w:numId w:val="8"/>
        </w:numPr>
        <w:spacing w:line="360" w:lineRule="auto"/>
        <w:ind w:left="420" w:leftChars="200"/>
        <w:rPr>
          <w:rFonts w:ascii="宋体" w:hAnsi="宋体" w:cs="宋体"/>
          <w:color w:val="auto"/>
          <w:sz w:val="24"/>
        </w:rPr>
      </w:pPr>
      <w:r>
        <w:rPr>
          <w:rFonts w:hint="eastAsia" w:ascii="宋体" w:hAnsi="宋体" w:cs="宋体"/>
          <w:color w:val="auto"/>
          <w:sz w:val="24"/>
        </w:rPr>
        <w:t>事实依据；</w:t>
      </w:r>
    </w:p>
    <w:p>
      <w:pPr>
        <w:numPr>
          <w:ilvl w:val="1"/>
          <w:numId w:val="8"/>
        </w:numPr>
        <w:spacing w:line="360" w:lineRule="auto"/>
        <w:ind w:left="420" w:leftChars="200"/>
        <w:rPr>
          <w:rFonts w:ascii="宋体" w:hAnsi="宋体" w:cs="宋体"/>
          <w:color w:val="auto"/>
          <w:sz w:val="24"/>
        </w:rPr>
      </w:pPr>
      <w:r>
        <w:rPr>
          <w:rFonts w:hint="eastAsia" w:ascii="宋体" w:hAnsi="宋体" w:cs="宋体"/>
          <w:color w:val="auto"/>
          <w:sz w:val="24"/>
        </w:rPr>
        <w:t>必要的法律依据；</w:t>
      </w:r>
    </w:p>
    <w:p>
      <w:pPr>
        <w:numPr>
          <w:ilvl w:val="1"/>
          <w:numId w:val="8"/>
        </w:numPr>
        <w:spacing w:line="360" w:lineRule="auto"/>
        <w:ind w:left="420" w:leftChars="200"/>
        <w:rPr>
          <w:rFonts w:ascii="宋体" w:hAnsi="宋体" w:cs="宋体"/>
          <w:color w:val="auto"/>
          <w:sz w:val="24"/>
        </w:rPr>
      </w:pPr>
      <w:r>
        <w:rPr>
          <w:rFonts w:hint="eastAsia" w:ascii="宋体" w:hAnsi="宋体" w:cs="宋体"/>
          <w:color w:val="auto"/>
          <w:sz w:val="24"/>
        </w:rPr>
        <w:t>提出质疑的日期；</w:t>
      </w:r>
    </w:p>
    <w:p>
      <w:pPr>
        <w:numPr>
          <w:ilvl w:val="1"/>
          <w:numId w:val="8"/>
        </w:numPr>
        <w:spacing w:line="360" w:lineRule="auto"/>
        <w:ind w:left="420" w:leftChars="200"/>
        <w:rPr>
          <w:rFonts w:ascii="宋体" w:hAnsi="宋体" w:cs="宋体"/>
          <w:color w:val="auto"/>
          <w:sz w:val="24"/>
        </w:rPr>
      </w:pPr>
      <w:r>
        <w:rPr>
          <w:rFonts w:hint="eastAsia" w:ascii="宋体" w:hAnsi="宋体" w:cs="宋体"/>
          <w:color w:val="auto"/>
          <w:sz w:val="24"/>
        </w:rPr>
        <w:t>获取招标文件的凭证；</w:t>
      </w:r>
    </w:p>
    <w:p>
      <w:pPr>
        <w:numPr>
          <w:ilvl w:val="1"/>
          <w:numId w:val="8"/>
        </w:numPr>
        <w:spacing w:line="360" w:lineRule="auto"/>
        <w:ind w:left="420" w:leftChars="200"/>
        <w:rPr>
          <w:rFonts w:ascii="宋体" w:hAnsi="宋体" w:cs="宋体"/>
          <w:color w:val="auto"/>
          <w:sz w:val="24"/>
        </w:rPr>
      </w:pPr>
      <w:r>
        <w:rPr>
          <w:rFonts w:hint="eastAsia" w:ascii="宋体" w:hAnsi="宋体" w:cs="宋体"/>
          <w:color w:val="auto"/>
          <w:sz w:val="24"/>
        </w:rPr>
        <w:t>以上资料一式二份（招标人、采购代理机构各执一份）。</w:t>
      </w:r>
    </w:p>
    <w:p>
      <w:pPr>
        <w:numPr>
          <w:ilvl w:val="0"/>
          <w:numId w:val="8"/>
        </w:numPr>
        <w:spacing w:line="360" w:lineRule="auto"/>
        <w:ind w:firstLine="480" w:firstLineChars="200"/>
        <w:rPr>
          <w:rFonts w:ascii="宋体" w:hAnsi="宋体" w:cs="宋体"/>
          <w:color w:val="auto"/>
          <w:sz w:val="24"/>
        </w:rPr>
      </w:pPr>
      <w:r>
        <w:rPr>
          <w:rFonts w:hint="eastAsia" w:ascii="宋体" w:hAnsi="宋体" w:cs="宋体"/>
          <w:color w:val="auto"/>
          <w:sz w:val="24"/>
        </w:rPr>
        <w:t>供应商不得虚假质疑和恶意质疑，并对质疑内容的真实性承担责任。</w:t>
      </w:r>
    </w:p>
    <w:p>
      <w:pPr>
        <w:spacing w:line="360" w:lineRule="auto"/>
        <w:ind w:left="420" w:leftChars="200"/>
        <w:rPr>
          <w:rFonts w:ascii="宋体" w:hAnsi="宋体" w:cs="宋体"/>
          <w:b/>
          <w:bCs/>
          <w:color w:val="auto"/>
          <w:sz w:val="28"/>
          <w:szCs w:val="28"/>
        </w:rPr>
      </w:pPr>
      <w:r>
        <w:rPr>
          <w:rFonts w:hint="eastAsia" w:ascii="宋体" w:hAnsi="宋体" w:cs="宋体"/>
          <w:b/>
          <w:bCs/>
          <w:color w:val="auto"/>
          <w:sz w:val="28"/>
          <w:szCs w:val="28"/>
        </w:rPr>
        <w:t>二、投诉与处理</w:t>
      </w:r>
    </w:p>
    <w:p>
      <w:pPr>
        <w:pStyle w:val="2"/>
        <w:spacing w:after="0" w:line="360" w:lineRule="auto"/>
        <w:ind w:firstLine="480" w:firstLineChars="200"/>
        <w:rPr>
          <w:rFonts w:ascii="宋体" w:hAnsi="宋体" w:cs="宋体"/>
          <w:color w:val="auto"/>
          <w:sz w:val="24"/>
        </w:rPr>
      </w:pPr>
      <w:r>
        <w:rPr>
          <w:rFonts w:hint="eastAsia" w:ascii="宋体" w:hAnsi="宋体" w:cs="宋体"/>
          <w:color w:val="auto"/>
          <w:sz w:val="24"/>
        </w:rPr>
        <w:t>1、质疑供应商对采购人、采购代理机构的答复不满意，或者采购人、采购代理机构未在规定时间内作出答复的，可以在答复期满后15个工作日内向本办法第六条规定的财政部门提起投诉。</w:t>
      </w:r>
    </w:p>
    <w:p>
      <w:pPr>
        <w:spacing w:line="360" w:lineRule="auto"/>
        <w:ind w:firstLine="480" w:firstLineChars="200"/>
        <w:rPr>
          <w:rFonts w:ascii="宋体" w:hAnsi="宋体" w:cs="宋体"/>
          <w:color w:val="auto"/>
          <w:sz w:val="24"/>
        </w:rPr>
      </w:pPr>
      <w:r>
        <w:rPr>
          <w:rFonts w:hint="eastAsia" w:ascii="宋体" w:hAnsi="宋体" w:cs="宋体"/>
          <w:color w:val="auto"/>
          <w:sz w:val="24"/>
        </w:rPr>
        <w:t>2、质疑供应商对采购人、采购代理机构的答复不满意，或者采购人、采购代理机构未在规定时间内作出答复的，可以在答复期满后15个工作日内向财政部门提起投诉。</w:t>
      </w:r>
    </w:p>
    <w:p>
      <w:pPr>
        <w:pStyle w:val="2"/>
        <w:spacing w:after="0" w:line="360" w:lineRule="auto"/>
        <w:ind w:firstLine="480" w:firstLineChars="200"/>
        <w:rPr>
          <w:rFonts w:ascii="宋体" w:hAnsi="宋体" w:cs="宋体"/>
          <w:color w:val="auto"/>
          <w:sz w:val="24"/>
        </w:rPr>
      </w:pPr>
      <w:r>
        <w:rPr>
          <w:rFonts w:hint="eastAsia" w:ascii="宋体" w:hAnsi="宋体" w:cs="宋体"/>
          <w:color w:val="auto"/>
          <w:sz w:val="24"/>
        </w:rPr>
        <w:t>3、投诉人投诉时,应当提交投诉书和必要的证明材料，并按照被投诉采购人、采购代理机构（以下简称被投诉人）和与投诉事项有关的供应商数量提供投诉书的副本。政府采购供应商投诉书范本下载地址：</w:t>
      </w:r>
    </w:p>
    <w:p>
      <w:pPr>
        <w:pStyle w:val="2"/>
        <w:spacing w:after="0" w:line="360" w:lineRule="auto"/>
        <w:ind w:firstLineChars="200"/>
        <w:rPr>
          <w:rFonts w:ascii="宋体" w:hAnsi="宋体" w:cs="宋体"/>
          <w:color w:val="auto"/>
          <w:sz w:val="24"/>
        </w:rPr>
      </w:pPr>
      <w:r>
        <w:rPr>
          <w:color w:val="auto"/>
        </w:rPr>
        <w:fldChar w:fldCharType="begin"/>
      </w:r>
      <w:r>
        <w:rPr>
          <w:color w:val="auto"/>
        </w:rPr>
        <w:instrText xml:space="preserve"> HYPERLINK "http://download.ccgp.gov.cn/2018/tousushufanben.zip" </w:instrText>
      </w:r>
      <w:r>
        <w:rPr>
          <w:color w:val="auto"/>
        </w:rPr>
        <w:fldChar w:fldCharType="separate"/>
      </w:r>
      <w:r>
        <w:rPr>
          <w:rStyle w:val="35"/>
          <w:rFonts w:hint="eastAsia" w:ascii="宋体" w:hAnsi="宋体" w:cs="宋体"/>
          <w:color w:val="auto"/>
          <w:sz w:val="24"/>
        </w:rPr>
        <w:t>http://download.ccgp.gov.cn/2018/tousushufanben.zip</w:t>
      </w:r>
      <w:r>
        <w:rPr>
          <w:rStyle w:val="35"/>
          <w:rFonts w:hint="eastAsia" w:ascii="宋体" w:hAnsi="宋体" w:cs="宋体"/>
          <w:color w:val="auto"/>
          <w:sz w:val="24"/>
        </w:rPr>
        <w:fldChar w:fldCharType="end"/>
      </w:r>
    </w:p>
    <w:p>
      <w:pPr>
        <w:numPr>
          <w:ilvl w:val="0"/>
          <w:numId w:val="1"/>
        </w:numPr>
        <w:spacing w:line="360" w:lineRule="auto"/>
        <w:ind w:firstLine="480" w:firstLineChars="200"/>
        <w:rPr>
          <w:rFonts w:ascii="宋体" w:hAnsi="宋体" w:cs="宋体"/>
          <w:color w:val="auto"/>
          <w:sz w:val="24"/>
        </w:rPr>
      </w:pPr>
      <w:r>
        <w:rPr>
          <w:rFonts w:hint="eastAsia" w:ascii="宋体" w:hAnsi="宋体" w:cs="宋体"/>
          <w:color w:val="auto"/>
          <w:sz w:val="24"/>
        </w:rPr>
        <w:t>财政部门自收到投诉之日起30个工作日内，对投诉事项作出处理决定并公示。</w:t>
      </w:r>
    </w:p>
    <w:p>
      <w:pPr>
        <w:spacing w:line="360" w:lineRule="auto"/>
        <w:ind w:firstLine="480" w:firstLineChars="200"/>
        <w:rPr>
          <w:rFonts w:ascii="宋体" w:hAnsi="宋体" w:cs="宋体"/>
          <w:color w:val="auto"/>
          <w:sz w:val="24"/>
        </w:rPr>
      </w:pPr>
      <w:r>
        <w:rPr>
          <w:rFonts w:hint="eastAsia" w:ascii="宋体" w:hAnsi="宋体" w:cs="宋体"/>
          <w:color w:val="auto"/>
          <w:sz w:val="24"/>
        </w:rPr>
        <w:t>投诉人在全国范围12个月内四次以上投诉查无实据的，由财政部门列入不良行为记录名单。</w:t>
      </w:r>
    </w:p>
    <w:p>
      <w:pPr>
        <w:spacing w:line="360" w:lineRule="auto"/>
        <w:ind w:firstLine="480" w:firstLineChars="200"/>
        <w:rPr>
          <w:rFonts w:ascii="宋体" w:hAnsi="宋体" w:cs="宋体"/>
          <w:color w:val="auto"/>
          <w:sz w:val="24"/>
        </w:rPr>
      </w:pPr>
      <w:r>
        <w:rPr>
          <w:rFonts w:hint="eastAsia" w:ascii="宋体" w:hAnsi="宋体" w:cs="宋体"/>
          <w:color w:val="auto"/>
          <w:sz w:val="24"/>
        </w:rPr>
        <w:t>投诉人有财政部94号令第三十七条情形的，属于虚假、恶意投诉，由财政部门列入不良行为记录名单，禁止其1至3年内参加政府采购活动。</w:t>
      </w:r>
    </w:p>
    <w:p>
      <w:pPr>
        <w:pStyle w:val="5"/>
        <w:spacing w:after="0" w:line="360" w:lineRule="auto"/>
        <w:ind w:left="0" w:leftChars="0" w:firstLine="480"/>
        <w:rPr>
          <w:rFonts w:ascii="宋体" w:hAnsi="宋体" w:cs="宋体"/>
          <w:color w:val="auto"/>
          <w:sz w:val="24"/>
        </w:rPr>
      </w:pPr>
    </w:p>
    <w:p>
      <w:pPr>
        <w:pStyle w:val="9"/>
        <w:spacing w:before="0" w:after="0" w:line="360" w:lineRule="auto"/>
        <w:ind w:firstLine="480" w:firstLineChars="200"/>
        <w:jc w:val="center"/>
        <w:rPr>
          <w:rFonts w:ascii="宋体" w:hAnsi="宋体" w:cs="宋体"/>
          <w:b w:val="0"/>
          <w:bCs w:val="0"/>
          <w:color w:val="auto"/>
          <w:sz w:val="24"/>
          <w:szCs w:val="24"/>
        </w:rPr>
      </w:pPr>
      <w:bookmarkStart w:id="35" w:name="_Toc12486"/>
      <w:bookmarkStart w:id="36" w:name="_Toc27235"/>
      <w:r>
        <w:rPr>
          <w:rFonts w:hint="eastAsia" w:ascii="宋体" w:hAnsi="宋体" w:cs="宋体"/>
          <w:b w:val="0"/>
          <w:bCs w:val="0"/>
          <w:color w:val="auto"/>
          <w:sz w:val="24"/>
          <w:szCs w:val="24"/>
        </w:rPr>
        <w:t>投诉联系电话：0391-8683273  地址：博爱县机关综合办公楼主楼1213室</w:t>
      </w:r>
      <w:bookmarkEnd w:id="35"/>
      <w:bookmarkEnd w:id="36"/>
      <w:bookmarkStart w:id="37" w:name="_Toc4037"/>
      <w:bookmarkStart w:id="38" w:name="_Toc533668873"/>
      <w:bookmarkStart w:id="39" w:name="_Toc28662"/>
    </w:p>
    <w:p>
      <w:pPr>
        <w:rPr>
          <w:rFonts w:ascii="宋体" w:hAnsi="宋体" w:cs="宋体"/>
          <w:color w:val="auto"/>
          <w:sz w:val="24"/>
        </w:rPr>
      </w:pPr>
    </w:p>
    <w:p>
      <w:pPr>
        <w:pStyle w:val="10"/>
        <w:rPr>
          <w:rFonts w:ascii="宋体" w:hAnsi="宋体" w:cs="宋体"/>
          <w:b w:val="0"/>
          <w:bCs w:val="0"/>
          <w:color w:val="auto"/>
          <w:sz w:val="24"/>
          <w:szCs w:val="24"/>
        </w:rPr>
      </w:pPr>
    </w:p>
    <w:p>
      <w:pPr>
        <w:rPr>
          <w:rFonts w:ascii="宋体" w:hAnsi="宋体" w:cs="宋体"/>
          <w:color w:val="auto"/>
          <w:sz w:val="24"/>
        </w:rPr>
      </w:pPr>
    </w:p>
    <w:p>
      <w:pPr>
        <w:pStyle w:val="10"/>
        <w:rPr>
          <w:rFonts w:ascii="宋体" w:hAnsi="宋体" w:cs="宋体"/>
          <w:b w:val="0"/>
          <w:bCs w:val="0"/>
          <w:color w:val="auto"/>
          <w:sz w:val="24"/>
          <w:szCs w:val="24"/>
        </w:rPr>
      </w:pPr>
    </w:p>
    <w:p>
      <w:pPr>
        <w:rPr>
          <w:rFonts w:ascii="宋体" w:hAnsi="宋体" w:cs="宋体"/>
          <w:color w:val="auto"/>
          <w:sz w:val="24"/>
        </w:rPr>
      </w:pPr>
    </w:p>
    <w:p>
      <w:pPr>
        <w:rPr>
          <w:rFonts w:ascii="宋体" w:hAnsi="宋体" w:cs="宋体"/>
          <w:color w:val="auto"/>
          <w:sz w:val="24"/>
        </w:rPr>
      </w:pPr>
    </w:p>
    <w:p>
      <w:pPr>
        <w:pStyle w:val="9"/>
        <w:spacing w:before="0" w:after="0" w:line="360" w:lineRule="auto"/>
        <w:jc w:val="center"/>
        <w:rPr>
          <w:color w:val="auto"/>
        </w:rPr>
      </w:pPr>
      <w:bookmarkStart w:id="40" w:name="_Toc20247"/>
      <w:bookmarkStart w:id="41" w:name="_Toc1277"/>
      <w:r>
        <w:rPr>
          <w:rFonts w:hint="eastAsia"/>
          <w:color w:val="auto"/>
        </w:rPr>
        <w:t>第五部分 采购内容及技术要求</w:t>
      </w:r>
      <w:bookmarkEnd w:id="37"/>
      <w:bookmarkEnd w:id="38"/>
      <w:bookmarkEnd w:id="39"/>
      <w:bookmarkEnd w:id="40"/>
      <w:bookmarkEnd w:id="41"/>
    </w:p>
    <w:p>
      <w:pPr>
        <w:rPr>
          <w:color w:val="auto"/>
        </w:rPr>
      </w:pPr>
      <w:r>
        <w:rPr>
          <w:rFonts w:hint="eastAsia"/>
          <w:b/>
          <w:bCs/>
          <w:color w:val="auto"/>
          <w:sz w:val="30"/>
          <w:szCs w:val="30"/>
        </w:rPr>
        <w:t>一、采购内容：</w:t>
      </w:r>
    </w:p>
    <w:tbl>
      <w:tblPr>
        <w:tblStyle w:val="26"/>
        <w:tblW w:w="5768" w:type="pct"/>
        <w:tblInd w:w="-522" w:type="dxa"/>
        <w:tblLayout w:type="fixed"/>
        <w:tblCellMar>
          <w:top w:w="0" w:type="dxa"/>
          <w:left w:w="108" w:type="dxa"/>
          <w:bottom w:w="0" w:type="dxa"/>
          <w:right w:w="108" w:type="dxa"/>
        </w:tblCellMar>
      </w:tblPr>
      <w:tblGrid>
        <w:gridCol w:w="777"/>
        <w:gridCol w:w="5022"/>
        <w:gridCol w:w="2795"/>
        <w:gridCol w:w="1821"/>
      </w:tblGrid>
      <w:tr>
        <w:tblPrEx>
          <w:tblCellMar>
            <w:top w:w="0" w:type="dxa"/>
            <w:left w:w="108" w:type="dxa"/>
            <w:bottom w:w="0" w:type="dxa"/>
            <w:right w:w="108" w:type="dxa"/>
          </w:tblCellMar>
        </w:tblPrEx>
        <w:trPr>
          <w:trHeight w:val="452" w:hRule="atLeast"/>
        </w:trPr>
        <w:tc>
          <w:tcPr>
            <w:tcW w:w="37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bCs/>
                <w:color w:val="auto"/>
                <w:szCs w:val="21"/>
              </w:rPr>
            </w:pPr>
            <w:r>
              <w:rPr>
                <w:rFonts w:ascii="仿宋_GB2312" w:hAnsi="宋体" w:eastAsia="仿宋_GB2312" w:cs="仿宋_GB2312"/>
                <w:b/>
                <w:bCs/>
                <w:color w:val="auto"/>
                <w:kern w:val="0"/>
                <w:szCs w:val="21"/>
              </w:rPr>
              <w:t>序号</w:t>
            </w:r>
          </w:p>
        </w:tc>
        <w:tc>
          <w:tcPr>
            <w:tcW w:w="2410" w:type="pct"/>
            <w:tcBorders>
              <w:top w:val="single" w:color="000000" w:sz="4" w:space="0"/>
              <w:left w:val="single" w:color="000000" w:sz="4" w:space="0"/>
              <w:bottom w:val="single" w:color="000000" w:sz="4" w:space="0"/>
              <w:right w:val="single" w:color="000000" w:sz="4" w:space="0"/>
            </w:tcBorders>
            <w:vAlign w:val="center"/>
          </w:tcPr>
          <w:p>
            <w:pPr>
              <w:widowControl/>
              <w:ind w:firstLine="1476" w:firstLineChars="700"/>
              <w:textAlignment w:val="center"/>
              <w:rPr>
                <w:rFonts w:ascii="仿宋_GB2312" w:hAnsi="宋体" w:eastAsia="仿宋_GB2312" w:cs="仿宋_GB2312"/>
                <w:b/>
                <w:bCs/>
                <w:color w:val="auto"/>
                <w:szCs w:val="21"/>
              </w:rPr>
            </w:pPr>
            <w:r>
              <w:rPr>
                <w:rFonts w:ascii="仿宋_GB2312" w:hAnsi="宋体" w:eastAsia="仿宋_GB2312" w:cs="仿宋_GB2312"/>
                <w:b/>
                <w:bCs/>
                <w:color w:val="auto"/>
                <w:kern w:val="0"/>
                <w:szCs w:val="21"/>
              </w:rPr>
              <w:t>名称</w:t>
            </w:r>
          </w:p>
        </w:tc>
        <w:tc>
          <w:tcPr>
            <w:tcW w:w="13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bCs/>
                <w:color w:val="auto"/>
                <w:szCs w:val="21"/>
              </w:rPr>
            </w:pPr>
            <w:r>
              <w:rPr>
                <w:rFonts w:ascii="仿宋_GB2312" w:hAnsi="宋体" w:eastAsia="仿宋_GB2312" w:cs="仿宋_GB2312"/>
                <w:b/>
                <w:bCs/>
                <w:color w:val="auto"/>
                <w:kern w:val="0"/>
                <w:szCs w:val="21"/>
              </w:rPr>
              <w:t>单位</w:t>
            </w:r>
          </w:p>
        </w:tc>
        <w:tc>
          <w:tcPr>
            <w:tcW w:w="87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bCs/>
                <w:color w:val="auto"/>
                <w:szCs w:val="21"/>
              </w:rPr>
            </w:pPr>
            <w:r>
              <w:rPr>
                <w:rFonts w:ascii="仿宋_GB2312" w:hAnsi="宋体" w:eastAsia="仿宋_GB2312" w:cs="仿宋_GB2312"/>
                <w:b/>
                <w:bCs/>
                <w:color w:val="auto"/>
                <w:kern w:val="0"/>
                <w:szCs w:val="21"/>
              </w:rPr>
              <w:t>数量</w:t>
            </w:r>
          </w:p>
        </w:tc>
      </w:tr>
      <w:tr>
        <w:tblPrEx>
          <w:tblCellMar>
            <w:top w:w="0" w:type="dxa"/>
            <w:left w:w="108" w:type="dxa"/>
            <w:bottom w:w="0" w:type="dxa"/>
            <w:right w:w="108" w:type="dxa"/>
          </w:tblCellMar>
        </w:tblPrEx>
        <w:trPr>
          <w:trHeight w:val="377" w:hRule="atLeast"/>
        </w:trPr>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w:t>
            </w:r>
          </w:p>
        </w:tc>
        <w:tc>
          <w:tcPr>
            <w:tcW w:w="241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新建物理力学实验室（56座）</w:t>
            </w:r>
          </w:p>
        </w:tc>
        <w:tc>
          <w:tcPr>
            <w:tcW w:w="13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室</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w:t>
            </w:r>
          </w:p>
        </w:tc>
      </w:tr>
      <w:tr>
        <w:tblPrEx>
          <w:tblCellMar>
            <w:top w:w="0" w:type="dxa"/>
            <w:left w:w="108" w:type="dxa"/>
            <w:bottom w:w="0" w:type="dxa"/>
            <w:right w:w="108" w:type="dxa"/>
          </w:tblCellMar>
        </w:tblPrEx>
        <w:trPr>
          <w:trHeight w:val="285" w:hRule="atLeast"/>
        </w:trPr>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w:t>
            </w:r>
          </w:p>
        </w:tc>
        <w:tc>
          <w:tcPr>
            <w:tcW w:w="241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新建物理准备室及仪器室</w:t>
            </w:r>
          </w:p>
        </w:tc>
        <w:tc>
          <w:tcPr>
            <w:tcW w:w="13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室</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285" w:hRule="atLeast"/>
        </w:trPr>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w:t>
            </w:r>
          </w:p>
        </w:tc>
        <w:tc>
          <w:tcPr>
            <w:tcW w:w="241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新建通风化学实验室（56座）</w:t>
            </w:r>
          </w:p>
        </w:tc>
        <w:tc>
          <w:tcPr>
            <w:tcW w:w="13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室</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w:t>
            </w:r>
          </w:p>
        </w:tc>
      </w:tr>
      <w:tr>
        <w:tblPrEx>
          <w:tblCellMar>
            <w:top w:w="0" w:type="dxa"/>
            <w:left w:w="108" w:type="dxa"/>
            <w:bottom w:w="0" w:type="dxa"/>
            <w:right w:w="108" w:type="dxa"/>
          </w:tblCellMar>
        </w:tblPrEx>
        <w:trPr>
          <w:trHeight w:val="285" w:hRule="atLeast"/>
        </w:trPr>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w:t>
            </w:r>
          </w:p>
        </w:tc>
        <w:tc>
          <w:tcPr>
            <w:tcW w:w="241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新建化学准备室及仪器室</w:t>
            </w:r>
          </w:p>
        </w:tc>
        <w:tc>
          <w:tcPr>
            <w:tcW w:w="13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室</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285" w:hRule="atLeast"/>
        </w:trPr>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w:t>
            </w:r>
          </w:p>
        </w:tc>
        <w:tc>
          <w:tcPr>
            <w:tcW w:w="241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新建生物实验室（56座）</w:t>
            </w:r>
          </w:p>
        </w:tc>
        <w:tc>
          <w:tcPr>
            <w:tcW w:w="13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室</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w:t>
            </w:r>
          </w:p>
        </w:tc>
      </w:tr>
      <w:tr>
        <w:tblPrEx>
          <w:tblCellMar>
            <w:top w:w="0" w:type="dxa"/>
            <w:left w:w="108" w:type="dxa"/>
            <w:bottom w:w="0" w:type="dxa"/>
            <w:right w:w="108" w:type="dxa"/>
          </w:tblCellMar>
        </w:tblPrEx>
        <w:trPr>
          <w:trHeight w:val="285" w:hRule="atLeast"/>
        </w:trPr>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w:t>
            </w:r>
          </w:p>
        </w:tc>
        <w:tc>
          <w:tcPr>
            <w:tcW w:w="241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新建生物准备室及仪器室</w:t>
            </w:r>
          </w:p>
        </w:tc>
        <w:tc>
          <w:tcPr>
            <w:tcW w:w="13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室</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w:t>
            </w:r>
          </w:p>
        </w:tc>
      </w:tr>
      <w:tr>
        <w:tblPrEx>
          <w:tblCellMar>
            <w:top w:w="0" w:type="dxa"/>
            <w:left w:w="108" w:type="dxa"/>
            <w:bottom w:w="0" w:type="dxa"/>
            <w:right w:w="108" w:type="dxa"/>
          </w:tblCellMar>
        </w:tblPrEx>
        <w:trPr>
          <w:trHeight w:val="285" w:hRule="atLeast"/>
        </w:trPr>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w:t>
            </w:r>
          </w:p>
        </w:tc>
        <w:tc>
          <w:tcPr>
            <w:tcW w:w="241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物理实验室改造</w:t>
            </w:r>
          </w:p>
        </w:tc>
        <w:tc>
          <w:tcPr>
            <w:tcW w:w="13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室</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w:t>
            </w:r>
          </w:p>
        </w:tc>
      </w:tr>
      <w:tr>
        <w:tblPrEx>
          <w:tblCellMar>
            <w:top w:w="0" w:type="dxa"/>
            <w:left w:w="108" w:type="dxa"/>
            <w:bottom w:w="0" w:type="dxa"/>
            <w:right w:w="108" w:type="dxa"/>
          </w:tblCellMar>
        </w:tblPrEx>
        <w:trPr>
          <w:trHeight w:val="285" w:hRule="atLeast"/>
        </w:trPr>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w:t>
            </w:r>
          </w:p>
        </w:tc>
        <w:tc>
          <w:tcPr>
            <w:tcW w:w="241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化学不通风改造成通风实验室</w:t>
            </w:r>
          </w:p>
        </w:tc>
        <w:tc>
          <w:tcPr>
            <w:tcW w:w="13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室</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w:t>
            </w:r>
          </w:p>
        </w:tc>
      </w:tr>
      <w:tr>
        <w:tblPrEx>
          <w:tblCellMar>
            <w:top w:w="0" w:type="dxa"/>
            <w:left w:w="108" w:type="dxa"/>
            <w:bottom w:w="0" w:type="dxa"/>
            <w:right w:w="108" w:type="dxa"/>
          </w:tblCellMar>
        </w:tblPrEx>
        <w:trPr>
          <w:trHeight w:val="285" w:hRule="atLeast"/>
        </w:trPr>
        <w:tc>
          <w:tcPr>
            <w:tcW w:w="3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w:t>
            </w:r>
          </w:p>
        </w:tc>
        <w:tc>
          <w:tcPr>
            <w:tcW w:w="241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生物实验室改造</w:t>
            </w:r>
          </w:p>
        </w:tc>
        <w:tc>
          <w:tcPr>
            <w:tcW w:w="13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室</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w:t>
            </w:r>
          </w:p>
        </w:tc>
      </w:tr>
    </w:tbl>
    <w:p>
      <w:pPr>
        <w:rPr>
          <w:b/>
          <w:bCs/>
          <w:color w:val="auto"/>
          <w:sz w:val="30"/>
          <w:szCs w:val="30"/>
        </w:rPr>
      </w:pPr>
      <w:r>
        <w:rPr>
          <w:rFonts w:hint="eastAsia"/>
          <w:b/>
          <w:bCs/>
          <w:color w:val="auto"/>
          <w:sz w:val="30"/>
          <w:szCs w:val="30"/>
        </w:rPr>
        <w:t>二、技术要求：</w:t>
      </w:r>
    </w:p>
    <w:tbl>
      <w:tblPr>
        <w:tblStyle w:val="26"/>
        <w:tblW w:w="5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2106"/>
        <w:gridCol w:w="6307"/>
        <w:gridCol w:w="638"/>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0" w:type="pct"/>
            <w:gridSpan w:val="5"/>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1、新建物理力学实验室（56座/室）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996"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货物名称</w:t>
            </w:r>
          </w:p>
        </w:tc>
        <w:tc>
          <w:tcPr>
            <w:tcW w:w="2984"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技术要求</w:t>
            </w:r>
          </w:p>
        </w:tc>
        <w:tc>
          <w:tcPr>
            <w:tcW w:w="301"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单位</w:t>
            </w:r>
          </w:p>
        </w:tc>
        <w:tc>
          <w:tcPr>
            <w:tcW w:w="302"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95" w:type="pct"/>
            <w:gridSpan w:val="3"/>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一、实验室设备</w:t>
            </w:r>
          </w:p>
        </w:tc>
        <w:tc>
          <w:tcPr>
            <w:tcW w:w="301" w:type="pct"/>
            <w:shd w:val="clear" w:color="auto" w:fill="auto"/>
            <w:noWrap/>
            <w:vAlign w:val="center"/>
          </w:tcPr>
          <w:p>
            <w:pPr>
              <w:widowControl/>
              <w:jc w:val="center"/>
              <w:rPr>
                <w:rFonts w:ascii="宋体" w:hAnsi="宋体" w:cs="宋体"/>
                <w:b/>
                <w:bCs/>
                <w:kern w:val="0"/>
                <w:szCs w:val="21"/>
              </w:rPr>
            </w:pPr>
          </w:p>
        </w:tc>
        <w:tc>
          <w:tcPr>
            <w:tcW w:w="302" w:type="pct"/>
            <w:shd w:val="clear" w:color="auto" w:fill="auto"/>
            <w:noWrap/>
            <w:vAlign w:val="center"/>
          </w:tcPr>
          <w:p>
            <w:pPr>
              <w:widowControl/>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95" w:type="pct"/>
            <w:gridSpan w:val="3"/>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1、教师端实验设备</w:t>
            </w:r>
          </w:p>
        </w:tc>
        <w:tc>
          <w:tcPr>
            <w:tcW w:w="301" w:type="pct"/>
            <w:shd w:val="clear" w:color="auto" w:fill="auto"/>
            <w:noWrap/>
            <w:vAlign w:val="center"/>
          </w:tcPr>
          <w:p>
            <w:pPr>
              <w:widowControl/>
              <w:jc w:val="center"/>
              <w:rPr>
                <w:rFonts w:ascii="宋体" w:hAnsi="宋体" w:cs="宋体"/>
                <w:b/>
                <w:bCs/>
                <w:kern w:val="0"/>
                <w:szCs w:val="21"/>
              </w:rPr>
            </w:pPr>
          </w:p>
        </w:tc>
        <w:tc>
          <w:tcPr>
            <w:tcW w:w="302" w:type="pct"/>
            <w:shd w:val="clear" w:color="auto" w:fill="auto"/>
            <w:noWrap/>
            <w:vAlign w:val="center"/>
          </w:tcPr>
          <w:p>
            <w:pPr>
              <w:widowControl/>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99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教师演示台</w:t>
            </w:r>
          </w:p>
        </w:tc>
        <w:tc>
          <w:tcPr>
            <w:tcW w:w="2984"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1、规格：2400×700×850mm（±5mm）</w:t>
            </w:r>
          </w:p>
          <w:p>
            <w:pPr>
              <w:widowControl/>
              <w:jc w:val="left"/>
              <w:rPr>
                <w:rFonts w:ascii="宋体" w:hAnsi="宋体" w:cs="宋体"/>
                <w:kern w:val="0"/>
                <w:szCs w:val="21"/>
              </w:rPr>
            </w:pPr>
            <w:r>
              <w:rPr>
                <w:rFonts w:hint="eastAsia" w:ascii="宋体" w:hAnsi="宋体" w:cs="宋体"/>
                <w:kern w:val="0"/>
                <w:szCs w:val="21"/>
              </w:rPr>
              <w:t>2、台面：用25mm厚金属树脂高能理化板，且满足如下参数要求：</w:t>
            </w:r>
          </w:p>
          <w:p>
            <w:pPr>
              <w:widowControl/>
              <w:jc w:val="left"/>
              <w:rPr>
                <w:rFonts w:ascii="宋体" w:hAnsi="宋体" w:cs="宋体"/>
                <w:kern w:val="0"/>
                <w:szCs w:val="21"/>
              </w:rPr>
            </w:pPr>
            <w:r>
              <w:rPr>
                <w:rFonts w:hint="eastAsia" w:ascii="宋体" w:hAnsi="宋体" w:cs="宋体"/>
                <w:kern w:val="0"/>
                <w:szCs w:val="21"/>
              </w:rPr>
              <w:t>（1）化学性能检测：耐污染试剂包含65%硝酸、98%硫酸、氢氧化钾、液体石蜡、氯化铁（10%）、四氢呋喃等不少于108项，分级结果不低于“4级”。</w:t>
            </w:r>
          </w:p>
          <w:p>
            <w:pPr>
              <w:widowControl/>
              <w:jc w:val="left"/>
              <w:rPr>
                <w:rFonts w:ascii="宋体" w:hAnsi="宋体" w:cs="宋体"/>
                <w:kern w:val="0"/>
                <w:szCs w:val="21"/>
              </w:rPr>
            </w:pPr>
            <w:r>
              <w:rPr>
                <w:rFonts w:hint="eastAsia" w:ascii="宋体" w:hAnsi="宋体" w:cs="宋体"/>
                <w:kern w:val="0"/>
                <w:szCs w:val="21"/>
              </w:rPr>
              <w:t>（2）物理性能检测：含水率：≤1.4；尺寸稳定性：≤0.45%；表面耐湿热性能：5级-无明显变化；表面耐划痕性能：3N作用下试件表面无大于90%的连续划痕；耐光色牢度性能：大于灰度卡4级等不低于13项检测。</w:t>
            </w:r>
          </w:p>
          <w:p>
            <w:pPr>
              <w:widowControl/>
              <w:jc w:val="left"/>
              <w:rPr>
                <w:rFonts w:ascii="宋体" w:hAnsi="宋体" w:cs="宋体"/>
                <w:kern w:val="0"/>
                <w:szCs w:val="21"/>
              </w:rPr>
            </w:pPr>
            <w:r>
              <w:rPr>
                <w:rFonts w:hint="eastAsia" w:ascii="宋体" w:hAnsi="宋体" w:cs="宋体"/>
                <w:kern w:val="0"/>
                <w:szCs w:val="21"/>
              </w:rPr>
              <w:t>（3）环保性能检测：甲醛释放量&lt;0.005 mg/M3；同时台面参照GB 18584-2001《室内装饰装修材料木家具中有害物质限量》标准，满足4种重金属含量mg/kg（可溶性铅≤2.2、镉：≤0.1、铬≤0.2、汞：未检出）。</w:t>
            </w:r>
          </w:p>
          <w:p>
            <w:pPr>
              <w:widowControl/>
              <w:jc w:val="left"/>
              <w:rPr>
                <w:rFonts w:ascii="宋体" w:hAnsi="宋体" w:cs="宋体"/>
                <w:kern w:val="0"/>
                <w:szCs w:val="21"/>
              </w:rPr>
            </w:pPr>
            <w:r>
              <w:rPr>
                <w:rFonts w:hint="eastAsia" w:ascii="宋体" w:hAnsi="宋体" w:cs="宋体"/>
                <w:kern w:val="0"/>
                <w:szCs w:val="21"/>
              </w:rPr>
              <w:t>（4）抗菌性能检测：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p>
          <w:p>
            <w:pPr>
              <w:widowControl/>
              <w:jc w:val="left"/>
              <w:rPr>
                <w:rFonts w:ascii="宋体" w:hAnsi="宋体" w:cs="宋体"/>
                <w:kern w:val="0"/>
                <w:szCs w:val="21"/>
              </w:rPr>
            </w:pPr>
            <w:r>
              <w:rPr>
                <w:rFonts w:hint="eastAsia" w:ascii="宋体" w:hAnsi="宋体" w:cs="宋体"/>
                <w:kern w:val="0"/>
                <w:szCs w:val="21"/>
              </w:rPr>
              <w:t>（5）防霉性能检测：黑曲霉、土曲霉、球毛壳霉、宛氏拟青霉、绳状青霉、出芽短梗霉等不少于6种的霉菌检测，且防霉等级为0级。</w:t>
            </w:r>
          </w:p>
          <w:p>
            <w:pPr>
              <w:widowControl/>
              <w:jc w:val="left"/>
              <w:rPr>
                <w:rFonts w:ascii="宋体" w:hAnsi="宋体" w:cs="宋体"/>
                <w:kern w:val="0"/>
                <w:szCs w:val="21"/>
              </w:rPr>
            </w:pPr>
            <w:r>
              <w:rPr>
                <w:rFonts w:hint="eastAsia" w:ascii="宋体" w:hAnsi="宋体" w:cs="宋体"/>
                <w:kern w:val="0"/>
                <w:szCs w:val="21"/>
              </w:rPr>
              <w:t>（6）燃烧性能检测：水平燃烧符合HB级；垂直燃烧符合V-0级；台面参照GB8624-2012《建筑材料及制品燃烧性能分级》标准，满足：燃烧性能等级B1级；产烟特性等级S1级；燃烧滴落物/微粒等级d0级。</w:t>
            </w:r>
          </w:p>
          <w:p>
            <w:pPr>
              <w:widowControl/>
              <w:jc w:val="left"/>
              <w:rPr>
                <w:rFonts w:ascii="宋体" w:hAnsi="宋体" w:cs="宋体"/>
                <w:kern w:val="0"/>
                <w:szCs w:val="21"/>
              </w:rPr>
            </w:pPr>
            <w:r>
              <w:rPr>
                <w:rFonts w:hint="eastAsia" w:ascii="宋体" w:hAnsi="宋体" w:cs="宋体"/>
                <w:kern w:val="0"/>
                <w:szCs w:val="21"/>
              </w:rPr>
              <w:t>（7）抗老化性检测：48小时无裂纹、无鼓泡、无粉化。</w:t>
            </w:r>
          </w:p>
          <w:p>
            <w:pPr>
              <w:widowControl/>
              <w:jc w:val="left"/>
              <w:rPr>
                <w:rFonts w:ascii="宋体" w:hAnsi="宋体" w:cs="宋体"/>
                <w:kern w:val="0"/>
                <w:szCs w:val="21"/>
              </w:rPr>
            </w:pPr>
            <w:r>
              <w:rPr>
                <w:rFonts w:hint="eastAsia" w:ascii="宋体" w:hAnsi="宋体" w:cs="宋体"/>
                <w:kern w:val="0"/>
                <w:szCs w:val="21"/>
              </w:rPr>
              <w:t>3、桌身：整体用≥1.0mm厚冷轧钢板，全部钢制件纳米陶瓷镀膜防锈处理。                                                                                  4、结构：演示台设有储物柜，中间为演示台,设置电源主控系统、多媒体设备（主机、显示器、中控、功放、交换机）的位置预留。</w:t>
            </w:r>
          </w:p>
          <w:p>
            <w:pPr>
              <w:widowControl/>
              <w:jc w:val="left"/>
              <w:rPr>
                <w:rFonts w:ascii="宋体" w:hAnsi="宋体" w:cs="宋体"/>
                <w:kern w:val="0"/>
                <w:szCs w:val="21"/>
              </w:rPr>
            </w:pPr>
            <w:r>
              <w:rPr>
                <w:rFonts w:hint="eastAsia" w:ascii="宋体" w:hAnsi="宋体" w:cs="宋体"/>
                <w:kern w:val="0"/>
                <w:szCs w:val="21"/>
              </w:rPr>
              <w:t>5、滑道：抽屉全部用三节承重式滚珠滑道。</w:t>
            </w:r>
          </w:p>
          <w:p>
            <w:pPr>
              <w:widowControl/>
              <w:jc w:val="left"/>
            </w:pPr>
            <w:r>
              <w:rPr>
                <w:rFonts w:hint="eastAsia" w:ascii="宋体" w:hAnsi="宋体" w:cs="宋体"/>
                <w:kern w:val="0"/>
                <w:szCs w:val="21"/>
              </w:rPr>
              <w:t>6、产品符合GB24820-2009《实验室家具通用技术条件》 、GB 28481-2012《塑料家具中有物质限量》GB/T 32487-2016《塑料家具通用条件》标准；投标人需提供产品2021年及以后版本且带CMA或CNAS标志的检测报告复印件，并加盖制造厂商公章。</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99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教师椅</w:t>
            </w:r>
          </w:p>
        </w:tc>
        <w:tc>
          <w:tcPr>
            <w:tcW w:w="2984" w:type="pct"/>
            <w:shd w:val="clear" w:color="auto" w:fill="auto"/>
            <w:vAlign w:val="center"/>
          </w:tcPr>
          <w:p>
            <w:pPr>
              <w:jc w:val="left"/>
              <w:rPr>
                <w:szCs w:val="21"/>
              </w:rPr>
            </w:pPr>
            <w:r>
              <w:rPr>
                <w:rFonts w:hint="eastAsia"/>
                <w:szCs w:val="21"/>
              </w:rPr>
              <w:t>座高：380-510mm。</w:t>
            </w:r>
          </w:p>
          <w:p>
            <w:pPr>
              <w:jc w:val="left"/>
              <w:rPr>
                <w:szCs w:val="21"/>
              </w:rPr>
            </w:pPr>
            <w:r>
              <w:rPr>
                <w:rFonts w:hint="eastAsia"/>
                <w:szCs w:val="21"/>
              </w:rPr>
              <w:t>靠背：1.材质：采用PP耐冲击塑料一体注塑成型。</w:t>
            </w:r>
          </w:p>
          <w:p>
            <w:pPr>
              <w:jc w:val="left"/>
              <w:rPr>
                <w:szCs w:val="21"/>
              </w:rPr>
            </w:pPr>
            <w:r>
              <w:rPr>
                <w:rFonts w:hint="eastAsia"/>
                <w:szCs w:val="21"/>
              </w:rPr>
              <w:t>2.尺寸：长530*平面宽90*高250mm±10mm。</w:t>
            </w:r>
          </w:p>
          <w:p>
            <w:pPr>
              <w:jc w:val="left"/>
              <w:rPr>
                <w:szCs w:val="21"/>
              </w:rPr>
            </w:pPr>
            <w:r>
              <w:rPr>
                <w:rFonts w:hint="eastAsia"/>
                <w:szCs w:val="21"/>
              </w:rPr>
              <w:t>3.椅背超宽平面可做书写板使用。</w:t>
            </w:r>
          </w:p>
          <w:p>
            <w:pPr>
              <w:jc w:val="left"/>
              <w:rPr>
                <w:szCs w:val="21"/>
              </w:rPr>
            </w:pPr>
            <w:r>
              <w:rPr>
                <w:rFonts w:hint="eastAsia"/>
                <w:szCs w:val="21"/>
              </w:rPr>
              <w:t>坐垫：1.材质：采用PP耐冲击塑料一体注塑成型。</w:t>
            </w:r>
          </w:p>
          <w:p>
            <w:pPr>
              <w:jc w:val="left"/>
              <w:rPr>
                <w:szCs w:val="21"/>
              </w:rPr>
            </w:pPr>
            <w:r>
              <w:rPr>
                <w:rFonts w:hint="eastAsia"/>
                <w:szCs w:val="21"/>
              </w:rPr>
              <w:t>2.尺寸：角到边320mm±10mm。</w:t>
            </w:r>
          </w:p>
          <w:p>
            <w:pPr>
              <w:jc w:val="left"/>
              <w:rPr>
                <w:szCs w:val="21"/>
              </w:rPr>
            </w:pPr>
            <w:r>
              <w:rPr>
                <w:rFonts w:hint="eastAsia"/>
                <w:szCs w:val="21"/>
              </w:rPr>
              <w:t>3.马鞍型设计，坐感舒适。</w:t>
            </w:r>
          </w:p>
          <w:p>
            <w:pPr>
              <w:jc w:val="left"/>
              <w:rPr>
                <w:szCs w:val="21"/>
              </w:rPr>
            </w:pPr>
            <w:r>
              <w:rPr>
                <w:rFonts w:hint="eastAsia"/>
                <w:szCs w:val="21"/>
              </w:rPr>
              <w:t>脚架：1.材质及形状：圆形钢管/五星脚架；</w:t>
            </w:r>
          </w:p>
          <w:p>
            <w:pPr>
              <w:jc w:val="left"/>
              <w:rPr>
                <w:rFonts w:ascii="宋体" w:hAnsi="宋体" w:cs="宋体"/>
                <w:szCs w:val="21"/>
              </w:rPr>
            </w:pPr>
            <w:r>
              <w:rPr>
                <w:rFonts w:hint="eastAsia"/>
                <w:szCs w:val="21"/>
              </w:rPr>
              <w:t>2.表面涂装：钢管架焊接完成后，表面经酸洗、脱脂、磷化处理，耐腐蚀、防锈。外表采一级颗粒粉末。涂层需无漏喷、锈蚀；涂层需光滑均匀，色泽一致。内置液压升降机构，可随意调节座椅高低，底部配尼龙轮。</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张</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99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教师总控台电源装置</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教师台电源：交流220V，设插座式。交直流低压输出：2V-24V，每2V为一档,共12档，最大电流为8A, 过载自动断开。直流大电流输出：40A±10A，时间20S自动断开。直流稳压输出≥1.5V-30V范围内可连续可调，额定电流为3A，过载自动断开。直流高压输出：240V,300V二档，输出电流：100MA,过载自动断开。</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95" w:type="pct"/>
            <w:gridSpan w:val="3"/>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二、学生端实验室设备</w:t>
            </w:r>
          </w:p>
        </w:tc>
        <w:tc>
          <w:tcPr>
            <w:tcW w:w="301" w:type="pct"/>
            <w:shd w:val="clear" w:color="auto" w:fill="auto"/>
            <w:noWrap/>
            <w:vAlign w:val="center"/>
          </w:tcPr>
          <w:p>
            <w:pPr>
              <w:widowControl/>
              <w:jc w:val="center"/>
              <w:rPr>
                <w:rFonts w:ascii="宋体" w:hAnsi="宋体" w:cs="宋体"/>
                <w:kern w:val="0"/>
                <w:szCs w:val="21"/>
              </w:rPr>
            </w:pPr>
          </w:p>
        </w:tc>
        <w:tc>
          <w:tcPr>
            <w:tcW w:w="302" w:type="pct"/>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99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学生实验桌</w:t>
            </w:r>
          </w:p>
        </w:tc>
        <w:tc>
          <w:tcPr>
            <w:tcW w:w="2984"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1、规格：1200mm×600mm×760mm （±5mm）</w:t>
            </w:r>
          </w:p>
          <w:p>
            <w:pPr>
              <w:widowControl/>
              <w:jc w:val="left"/>
              <w:rPr>
                <w:rFonts w:ascii="宋体" w:hAnsi="宋体" w:cs="宋体"/>
                <w:kern w:val="0"/>
                <w:szCs w:val="21"/>
              </w:rPr>
            </w:pPr>
            <w:r>
              <w:rPr>
                <w:rFonts w:hint="eastAsia" w:ascii="宋体" w:hAnsi="宋体" w:cs="宋体"/>
                <w:kern w:val="0"/>
                <w:szCs w:val="21"/>
              </w:rPr>
              <w:t>2、台面：用12.7mm厚双面膜实芯理化板，且满足如下参数要求：</w:t>
            </w:r>
          </w:p>
          <w:p>
            <w:pPr>
              <w:widowControl/>
              <w:jc w:val="left"/>
              <w:rPr>
                <w:rFonts w:ascii="宋体" w:hAnsi="宋体" w:cs="宋体"/>
                <w:kern w:val="0"/>
                <w:szCs w:val="21"/>
              </w:rPr>
            </w:pPr>
            <w:r>
              <w:rPr>
                <w:rFonts w:hint="eastAsia" w:ascii="宋体" w:hAnsi="宋体" w:cs="宋体"/>
                <w:kern w:val="0"/>
                <w:szCs w:val="21"/>
              </w:rPr>
              <w:t>（1）化学性能检测：耐污染试剂包含65%硝酸、98%硫酸、氢氧化钾、液体石蜡、氯化铁（10%）、四氢呋喃等不少于108项，分级结果不低于“4级”。</w:t>
            </w:r>
          </w:p>
          <w:p>
            <w:pPr>
              <w:widowControl/>
              <w:jc w:val="left"/>
              <w:rPr>
                <w:rFonts w:ascii="宋体" w:hAnsi="宋体" w:cs="宋体"/>
                <w:kern w:val="0"/>
                <w:sz w:val="18"/>
                <w:szCs w:val="18"/>
              </w:rPr>
            </w:pPr>
            <w:r>
              <w:rPr>
                <w:rFonts w:hint="eastAsia" w:ascii="宋体" w:hAnsi="宋体" w:cs="宋体"/>
                <w:kern w:val="0"/>
                <w:szCs w:val="21"/>
              </w:rPr>
              <w:t>（2）环保性能检测：甲醛释放量&lt;0.005 mg/M3；同时台面参照GB 18584-2001《室内装饰装修材料木家具中有害物质限量》标准，满足4种重金属含量mg/kg</w:t>
            </w:r>
            <w:r>
              <w:rPr>
                <w:rFonts w:hint="eastAsia" w:ascii="宋体" w:hAnsi="宋体" w:cs="宋体"/>
                <w:kern w:val="0"/>
                <w:sz w:val="18"/>
                <w:szCs w:val="18"/>
              </w:rPr>
              <w:t>（可溶性铅≤2.8、镉：≤0.1、铬≤0.2、汞：未检出）。</w:t>
            </w:r>
          </w:p>
          <w:p>
            <w:pPr>
              <w:widowControl/>
              <w:jc w:val="left"/>
              <w:rPr>
                <w:rFonts w:ascii="宋体" w:hAnsi="宋体" w:cs="宋体"/>
                <w:kern w:val="0"/>
                <w:szCs w:val="21"/>
              </w:rPr>
            </w:pPr>
            <w:r>
              <w:rPr>
                <w:rFonts w:hint="eastAsia" w:ascii="宋体" w:hAnsi="宋体" w:cs="宋体"/>
                <w:kern w:val="0"/>
                <w:szCs w:val="21"/>
              </w:rPr>
              <w:t>（3）防霉性能检测：黑曲霉、土曲霉、球毛壳霉、宛氏拟青霉、绳状青霉、出芽短梗霉等不少于6种的霉菌检测，且防霉等级为0级。</w:t>
            </w:r>
          </w:p>
          <w:p>
            <w:pPr>
              <w:widowControl/>
              <w:jc w:val="left"/>
              <w:rPr>
                <w:rFonts w:ascii="宋体" w:hAnsi="宋体" w:cs="宋体"/>
                <w:kern w:val="0"/>
                <w:szCs w:val="21"/>
              </w:rPr>
            </w:pPr>
            <w:r>
              <w:rPr>
                <w:rFonts w:hint="eastAsia" w:ascii="宋体" w:hAnsi="宋体" w:cs="宋体"/>
                <w:kern w:val="0"/>
                <w:szCs w:val="21"/>
              </w:rPr>
              <w:t>（4）燃烧性能检测：水平燃烧符合HB级；垂直燃烧符合V-0级；台面参照GB8624-2012《建筑材料及制品燃烧性能分级》标准，满足：燃烧性能等级B1级；产烟特性等级S1级；燃烧滴落物/微粒等级d0级。</w:t>
            </w:r>
          </w:p>
          <w:p>
            <w:pPr>
              <w:widowControl/>
              <w:jc w:val="left"/>
              <w:rPr>
                <w:rFonts w:ascii="宋体" w:hAnsi="宋体" w:cs="宋体"/>
                <w:kern w:val="0"/>
                <w:sz w:val="18"/>
                <w:szCs w:val="18"/>
              </w:rPr>
            </w:pPr>
            <w:r>
              <w:rPr>
                <w:rFonts w:hint="eastAsia" w:ascii="宋体" w:hAnsi="宋体" w:cs="宋体"/>
                <w:kern w:val="0"/>
                <w:szCs w:val="21"/>
              </w:rPr>
              <w:t>（5）烟气毒性检测：烟气毒性等级 t1 级：ZA3</w:t>
            </w:r>
            <w:r>
              <w:rPr>
                <w:rFonts w:hint="eastAsia" w:ascii="宋体" w:hAnsi="宋体" w:cs="宋体"/>
                <w:kern w:val="0"/>
                <w:sz w:val="18"/>
                <w:szCs w:val="18"/>
              </w:rPr>
              <w:t>（达到准安全三级ZA3）。</w:t>
            </w:r>
          </w:p>
          <w:p>
            <w:pPr>
              <w:widowControl/>
              <w:jc w:val="left"/>
              <w:rPr>
                <w:rFonts w:ascii="宋体" w:hAnsi="宋体" w:cs="宋体"/>
                <w:kern w:val="0"/>
                <w:szCs w:val="21"/>
              </w:rPr>
            </w:pPr>
            <w:r>
              <w:rPr>
                <w:rFonts w:hint="eastAsia" w:ascii="宋体" w:hAnsi="宋体" w:cs="宋体"/>
                <w:kern w:val="0"/>
                <w:szCs w:val="21"/>
              </w:rPr>
              <w:t>（6）抗老化性检测：48小时无裂纹、无鼓泡、无粉化。</w:t>
            </w:r>
          </w:p>
          <w:p>
            <w:pPr>
              <w:widowControl/>
              <w:jc w:val="left"/>
              <w:rPr>
                <w:rFonts w:ascii="宋体" w:hAnsi="宋体" w:cs="宋体"/>
                <w:kern w:val="0"/>
                <w:szCs w:val="21"/>
              </w:rPr>
            </w:pPr>
            <w:r>
              <w:rPr>
                <w:rFonts w:hint="eastAsia" w:ascii="宋体" w:hAnsi="宋体" w:cs="宋体"/>
                <w:kern w:val="0"/>
                <w:szCs w:val="21"/>
              </w:rPr>
              <w:t>3、桌体：新型塑铝结构，学生位镂空式，易碰撞处全部用倒圆角。</w:t>
            </w:r>
          </w:p>
          <w:p>
            <w:pPr>
              <w:widowControl/>
              <w:jc w:val="left"/>
              <w:rPr>
                <w:rFonts w:ascii="宋体" w:hAnsi="宋体" w:cs="宋体"/>
                <w:kern w:val="0"/>
                <w:szCs w:val="21"/>
              </w:rPr>
            </w:pPr>
            <w:r>
              <w:rPr>
                <w:rFonts w:hint="eastAsia" w:ascii="宋体" w:hAnsi="宋体" w:cs="宋体"/>
                <w:kern w:val="0"/>
                <w:szCs w:val="21"/>
              </w:rPr>
              <w:t>4、 侧面用三段式高强度铝合金结构，整体规格：566*770mm，其中上支架尺寸为566*145*50mm±5mm,下支架尺寸为562*135*50mm±5mm。立柱用菱形八边型结构设计，内嵌入上下铸铝支架20mm，后端配备加固支撑梁。侧面上下支架用不小于4mm厚的铝压铸一次成型，易碰撞处全部用倒圆角。下支架可装地脚调整桌子高度，或通过专用孔位与地面固定，并配不同色ABS脚套装饰盖。</w:t>
            </w:r>
          </w:p>
          <w:p>
            <w:pPr>
              <w:widowControl/>
              <w:jc w:val="left"/>
              <w:rPr>
                <w:rFonts w:ascii="宋体" w:hAnsi="宋体" w:cs="宋体"/>
                <w:kern w:val="0"/>
                <w:szCs w:val="21"/>
                <w:highlight w:val="red"/>
              </w:rPr>
            </w:pPr>
            <w:r>
              <w:rPr>
                <w:rFonts w:hint="eastAsia" w:ascii="宋体" w:hAnsi="宋体" w:cs="宋体"/>
                <w:kern w:val="0"/>
                <w:szCs w:val="21"/>
              </w:rPr>
              <w:t>5、立柱用菱形八边型结构设计，规格为105*50mm±5mm，厚度不小于1.5mm。</w:t>
            </w:r>
          </w:p>
          <w:p>
            <w:pPr>
              <w:widowControl/>
              <w:jc w:val="left"/>
              <w:rPr>
                <w:rFonts w:ascii="宋体" w:hAnsi="宋体" w:cs="宋体"/>
                <w:kern w:val="0"/>
                <w:szCs w:val="21"/>
              </w:rPr>
            </w:pPr>
            <w:r>
              <w:rPr>
                <w:rFonts w:hint="eastAsia" w:ascii="宋体" w:hAnsi="宋体" w:cs="宋体"/>
                <w:kern w:val="0"/>
                <w:szCs w:val="21"/>
              </w:rPr>
              <w:t>6、前横梁尺寸为50*41mm±5mm，用前端半圆弧设计，圆弧角度为R30，中横梁尺寸为37*37mm±5mm，铝材上设计铝材撕拉线，可在安装中横梁后，在铝材上撕拉出一条空槽，把电源线置于槽中，最大限度保护学生的用电安全。后横梁、挡水条一体式，尺寸为90*50mm±5mm，用前端半圆弧，圆弧角度为R30，配镶入卡口挡水条。另外配备注塑挡水块。中下横梁尺寸为138*18.5mm，用上下收腰设计。所有安装螺丝处的厚度不小于2.2mm，其它厚度不小于1.2mm。</w:t>
            </w:r>
          </w:p>
          <w:p>
            <w:pPr>
              <w:widowControl/>
              <w:jc w:val="left"/>
              <w:rPr>
                <w:rFonts w:ascii="宋体" w:hAnsi="宋体" w:cs="宋体"/>
                <w:kern w:val="0"/>
                <w:szCs w:val="21"/>
              </w:rPr>
            </w:pPr>
            <w:r>
              <w:rPr>
                <w:rFonts w:hint="eastAsia" w:ascii="宋体" w:hAnsi="宋体" w:cs="宋体"/>
                <w:kern w:val="0"/>
                <w:szCs w:val="21"/>
              </w:rPr>
              <w:t>7、</w:t>
            </w:r>
            <w:r>
              <w:rPr>
                <w:rFonts w:hint="eastAsia" w:ascii="宋体" w:hAnsi="宋体" w:cs="宋体"/>
                <w:szCs w:val="21"/>
              </w:rPr>
              <w:t>下支架脚：下支架脚配不同装饰颜色的ABS脚套装饰盖。</w:t>
            </w:r>
          </w:p>
          <w:p>
            <w:pPr>
              <w:widowControl/>
              <w:jc w:val="left"/>
              <w:rPr>
                <w:rFonts w:ascii="宋体" w:hAnsi="宋体" w:cs="宋体"/>
                <w:kern w:val="0"/>
                <w:szCs w:val="21"/>
              </w:rPr>
            </w:pPr>
            <w:r>
              <w:rPr>
                <w:rFonts w:hint="eastAsia" w:ascii="宋体" w:hAnsi="宋体" w:cs="宋体"/>
                <w:kern w:val="0"/>
                <w:szCs w:val="21"/>
              </w:rPr>
              <w:t>8、书包斗：整体尺寸485*260*190mm±5mm,用环保型ABS塑料工程一次性注塑成型，底、面部加设经纬加强筋，表面圆角处理。电源盒整体尺寸：257*230*180mm±5mm，用环保型ABS塑料工程一次性注塑成型，电源面板抗阻燃性。</w:t>
            </w:r>
          </w:p>
          <w:p>
            <w:pPr>
              <w:widowControl/>
              <w:jc w:val="left"/>
              <w:rPr>
                <w:rFonts w:ascii="宋体" w:hAnsi="宋体" w:cs="宋体"/>
                <w:kern w:val="0"/>
                <w:szCs w:val="21"/>
              </w:rPr>
            </w:pPr>
            <w:r>
              <w:rPr>
                <w:rFonts w:hint="eastAsia" w:ascii="宋体" w:hAnsi="宋体" w:cs="宋体"/>
                <w:kern w:val="0"/>
                <w:szCs w:val="21"/>
              </w:rPr>
              <w:t>9、产品符合GB24820-2009《实验室家具通用技术条件》 、GB 28481-2012《塑料家具中有物质限量》GB/T 32487-2016《塑料家具通用条件》标准；投标人需提供产品2021年及以后版本且带CMA或CNAS标志的检测报告复印件，并加盖制造厂商公章。</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张</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99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多功能柱</w:t>
            </w:r>
          </w:p>
        </w:tc>
        <w:tc>
          <w:tcPr>
            <w:tcW w:w="2984" w:type="pct"/>
            <w:shd w:val="clear" w:color="auto" w:fill="auto"/>
            <w:vAlign w:val="center"/>
          </w:tcPr>
          <w:p>
            <w:pPr>
              <w:jc w:val="left"/>
              <w:rPr>
                <w:szCs w:val="21"/>
              </w:rPr>
            </w:pPr>
            <w:r>
              <w:rPr>
                <w:rFonts w:hint="eastAsia"/>
                <w:szCs w:val="21"/>
              </w:rPr>
              <w:t>尺寸：352*194*737mm。</w:t>
            </w:r>
          </w:p>
          <w:p>
            <w:pPr>
              <w:jc w:val="left"/>
              <w:rPr>
                <w:rFonts w:ascii="宋体" w:hAnsi="宋体" w:cs="宋体"/>
                <w:szCs w:val="21"/>
              </w:rPr>
            </w:pPr>
            <w:r>
              <w:rPr>
                <w:rFonts w:hint="eastAsia"/>
                <w:szCs w:val="21"/>
              </w:rPr>
              <w:t>由2个ABS工程塑料一次性注塑成型结合,表面沙面和光面相结合处理,以齿合槽配以螺丝连接，拆分组合方便，方便检修桶体内的风管或电线。</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学生安全电源</w:t>
            </w:r>
          </w:p>
        </w:tc>
        <w:tc>
          <w:tcPr>
            <w:tcW w:w="2984" w:type="pct"/>
            <w:shd w:val="clear" w:color="auto" w:fill="auto"/>
            <w:vAlign w:val="center"/>
          </w:tcPr>
          <w:p>
            <w:pPr>
              <w:jc w:val="left"/>
              <w:rPr>
                <w:rFonts w:ascii="宋体" w:hAnsi="宋体" w:cs="宋体"/>
                <w:szCs w:val="21"/>
              </w:rPr>
            </w:pPr>
            <w:r>
              <w:rPr>
                <w:rFonts w:hint="eastAsia"/>
                <w:szCs w:val="21"/>
              </w:rPr>
              <w:t>交流输出：1.5—24v、2A连续可调，直流稳压：1.25V-24V、2A无极调压  直流稳压：6V、0.5A输出；用防脱式接线柱。手动或自动过载保护，具有220V漏电开关保护和多功能六孔插座。</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99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学生凳</w:t>
            </w:r>
          </w:p>
        </w:tc>
        <w:tc>
          <w:tcPr>
            <w:tcW w:w="2984" w:type="pct"/>
            <w:shd w:val="clear" w:color="auto" w:fill="auto"/>
            <w:vAlign w:val="center"/>
          </w:tcPr>
          <w:p>
            <w:pPr>
              <w:jc w:val="left"/>
              <w:rPr>
                <w:szCs w:val="21"/>
              </w:rPr>
            </w:pPr>
            <w:r>
              <w:rPr>
                <w:rFonts w:hint="eastAsia"/>
                <w:szCs w:val="21"/>
              </w:rPr>
              <w:t>1.尺寸：</w:t>
            </w:r>
            <w:r>
              <w:rPr>
                <w:rFonts w:ascii="Calibri" w:hAnsi="Calibri"/>
                <w:szCs w:val="21"/>
              </w:rPr>
              <w:t>Φ</w:t>
            </w:r>
            <w:r>
              <w:rPr>
                <w:rFonts w:hint="eastAsia"/>
                <w:szCs w:val="21"/>
              </w:rPr>
              <w:t>296*450mm；</w:t>
            </w:r>
          </w:p>
          <w:p>
            <w:pPr>
              <w:jc w:val="left"/>
              <w:rPr>
                <w:szCs w:val="21"/>
              </w:rPr>
            </w:pPr>
            <w:r>
              <w:rPr>
                <w:rFonts w:hint="eastAsia"/>
                <w:szCs w:val="21"/>
              </w:rPr>
              <w:t>2.材质：ABS+钢管；</w:t>
            </w:r>
          </w:p>
          <w:p>
            <w:pPr>
              <w:jc w:val="left"/>
              <w:rPr>
                <w:rFonts w:ascii="宋体" w:hAnsi="宋体" w:cs="宋体"/>
                <w:szCs w:val="21"/>
              </w:rPr>
            </w:pPr>
            <w:r>
              <w:rPr>
                <w:rFonts w:hint="eastAsia"/>
                <w:szCs w:val="21"/>
              </w:rPr>
              <w:t>3.工艺：面板用ABS新料一体注塑成型，面板直径29.6cm±1cm。中间有內弧造型，深度为8mm。椅腿钢管尺寸：32*22*1.5mm，用鱼眼管满焊焊接，表面用高温粉体烤漆；脚垫用PP纤维质塑胶一体成型；凳子底部加黑色护垫，保护地板防止摩擦，所有零部件用永久性固定方式。</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kern w:val="0"/>
                <w:sz w:val="24"/>
              </w:rPr>
              <w:t>张</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95" w:type="pct"/>
            <w:gridSpan w:val="3"/>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三、环境装修装饰</w:t>
            </w:r>
          </w:p>
        </w:tc>
        <w:tc>
          <w:tcPr>
            <w:tcW w:w="301" w:type="pct"/>
            <w:shd w:val="clear" w:color="auto" w:fill="auto"/>
            <w:noWrap/>
            <w:vAlign w:val="center"/>
          </w:tcPr>
          <w:p>
            <w:pPr>
              <w:widowControl/>
              <w:jc w:val="center"/>
              <w:rPr>
                <w:rFonts w:ascii="宋体" w:hAnsi="宋体" w:cs="宋体"/>
                <w:b/>
                <w:bCs/>
                <w:kern w:val="0"/>
                <w:szCs w:val="21"/>
              </w:rPr>
            </w:pPr>
          </w:p>
        </w:tc>
        <w:tc>
          <w:tcPr>
            <w:tcW w:w="302" w:type="pct"/>
            <w:shd w:val="clear" w:color="auto" w:fill="auto"/>
            <w:noWrap/>
            <w:vAlign w:val="center"/>
          </w:tcPr>
          <w:p>
            <w:pPr>
              <w:widowControl/>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95" w:type="pct"/>
            <w:gridSpan w:val="3"/>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1、实验室基础设施-室内水电综合布线系统</w:t>
            </w:r>
          </w:p>
        </w:tc>
        <w:tc>
          <w:tcPr>
            <w:tcW w:w="301" w:type="pct"/>
            <w:shd w:val="clear" w:color="auto" w:fill="auto"/>
            <w:noWrap/>
            <w:vAlign w:val="center"/>
          </w:tcPr>
          <w:p>
            <w:pPr>
              <w:widowControl/>
              <w:jc w:val="center"/>
              <w:rPr>
                <w:rFonts w:ascii="宋体" w:hAnsi="宋体" w:cs="宋体"/>
                <w:b/>
                <w:bCs/>
                <w:kern w:val="0"/>
                <w:szCs w:val="21"/>
              </w:rPr>
            </w:pPr>
          </w:p>
        </w:tc>
        <w:tc>
          <w:tcPr>
            <w:tcW w:w="302" w:type="pct"/>
            <w:shd w:val="clear" w:color="auto" w:fill="auto"/>
            <w:noWrap/>
            <w:vAlign w:val="center"/>
          </w:tcPr>
          <w:p>
            <w:pPr>
              <w:widowControl/>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电路系统</w:t>
            </w:r>
          </w:p>
        </w:tc>
        <w:tc>
          <w:tcPr>
            <w:tcW w:w="2984"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用2.5平方国标线材，根据教学实验标准，连接好教师电源和学生电源正常使用。</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0" w:type="pct"/>
            <w:gridSpan w:val="5"/>
            <w:shd w:val="clear" w:color="auto" w:fill="auto"/>
            <w:noWrap/>
            <w:vAlign w:val="center"/>
          </w:tcPr>
          <w:p>
            <w:pPr>
              <w:widowControl/>
              <w:jc w:val="center"/>
              <w:rPr>
                <w:rFonts w:ascii="宋体" w:hAnsi="宋体" w:cs="宋体"/>
                <w:kern w:val="0"/>
                <w:szCs w:val="21"/>
              </w:rPr>
            </w:pPr>
            <w:r>
              <w:rPr>
                <w:rFonts w:hint="eastAsia" w:ascii="宋体" w:hAnsi="宋体" w:cs="宋体"/>
                <w:b/>
                <w:bCs/>
                <w:kern w:val="0"/>
                <w:szCs w:val="21"/>
              </w:rPr>
              <w:t>四、实验室基础设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实验室安装</w:t>
            </w:r>
          </w:p>
        </w:tc>
        <w:tc>
          <w:tcPr>
            <w:tcW w:w="2984"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整体实验室安装</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地面改造</w:t>
            </w:r>
          </w:p>
        </w:tc>
        <w:tc>
          <w:tcPr>
            <w:tcW w:w="2984"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地面以上瓷砖切沟、地面切沟铺设地下水电，铺设后地面回填，不锈钢卡槽覆盖。</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项</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0" w:type="pct"/>
            <w:gridSpan w:val="5"/>
            <w:tcBorders>
              <w:left w:val="nil"/>
              <w:right w:val="nil"/>
            </w:tcBorders>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697" w:type="pct"/>
            <w:gridSpan w:val="4"/>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2、新建物理准备室及仪器室</w:t>
            </w:r>
          </w:p>
        </w:tc>
        <w:tc>
          <w:tcPr>
            <w:tcW w:w="302" w:type="pct"/>
            <w:shd w:val="clear" w:color="auto" w:fill="auto"/>
            <w:noWrap/>
            <w:vAlign w:val="center"/>
          </w:tcPr>
          <w:p>
            <w:pPr>
              <w:widowControl/>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996"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货物名称</w:t>
            </w:r>
          </w:p>
        </w:tc>
        <w:tc>
          <w:tcPr>
            <w:tcW w:w="2984"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技术参数</w:t>
            </w:r>
          </w:p>
        </w:tc>
        <w:tc>
          <w:tcPr>
            <w:tcW w:w="301"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单位</w:t>
            </w:r>
          </w:p>
        </w:tc>
        <w:tc>
          <w:tcPr>
            <w:tcW w:w="302"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99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准备台</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szCs w:val="21"/>
              </w:rPr>
              <w:t>1、整体规格：2400*1200*780mm。</w:t>
            </w:r>
          </w:p>
          <w:p>
            <w:pPr>
              <w:widowControl/>
              <w:jc w:val="left"/>
              <w:textAlignment w:val="center"/>
              <w:rPr>
                <w:rFonts w:ascii="宋体" w:hAnsi="宋体" w:cs="宋体"/>
                <w:szCs w:val="21"/>
              </w:rPr>
            </w:pPr>
            <w:r>
              <w:rPr>
                <w:rFonts w:hint="eastAsia" w:ascii="宋体" w:hAnsi="宋体" w:cs="宋体"/>
                <w:szCs w:val="21"/>
              </w:rPr>
              <w:t>2、 台面：12.7mm厚双面膜实芯理化板。</w:t>
            </w:r>
          </w:p>
          <w:p>
            <w:pPr>
              <w:widowControl/>
              <w:jc w:val="left"/>
              <w:textAlignment w:val="center"/>
              <w:rPr>
                <w:rFonts w:ascii="宋体" w:hAnsi="宋体" w:cs="宋体"/>
                <w:szCs w:val="21"/>
              </w:rPr>
            </w:pPr>
            <w:r>
              <w:rPr>
                <w:rFonts w:hint="eastAsia" w:ascii="宋体" w:hAnsi="宋体" w:cs="宋体"/>
                <w:szCs w:val="21"/>
              </w:rPr>
              <w:t>3、桌体：新型塑铝结构，学生位镂空式，易碰撞处全部用倒圆角。</w:t>
            </w:r>
          </w:p>
          <w:p>
            <w:pPr>
              <w:widowControl/>
              <w:jc w:val="left"/>
              <w:textAlignment w:val="center"/>
              <w:rPr>
                <w:rFonts w:ascii="宋体" w:hAnsi="宋体" w:cs="宋体"/>
                <w:szCs w:val="21"/>
              </w:rPr>
            </w:pPr>
            <w:r>
              <w:rPr>
                <w:rFonts w:hint="eastAsia" w:ascii="宋体" w:hAnsi="宋体" w:cs="宋体"/>
                <w:szCs w:val="21"/>
              </w:rPr>
              <w:t>4、 侧面用三段式高强度铝合金结构，整体规格：566*770mm，其中上支架尺寸为566*145*50mm</w:t>
            </w:r>
            <w:r>
              <w:rPr>
                <w:rFonts w:hint="eastAsia" w:ascii="宋体" w:hAnsi="宋体" w:cs="宋体"/>
                <w:kern w:val="0"/>
                <w:szCs w:val="21"/>
              </w:rPr>
              <w:t>±5mm</w:t>
            </w:r>
            <w:r>
              <w:rPr>
                <w:rFonts w:hint="eastAsia" w:ascii="宋体" w:hAnsi="宋体" w:cs="宋体"/>
                <w:szCs w:val="21"/>
              </w:rPr>
              <w:t>,下支架尺寸为562*135*50mm</w:t>
            </w:r>
            <w:r>
              <w:rPr>
                <w:rFonts w:hint="eastAsia" w:ascii="宋体" w:hAnsi="宋体" w:cs="宋体"/>
                <w:kern w:val="0"/>
                <w:szCs w:val="21"/>
              </w:rPr>
              <w:t>±5mm</w:t>
            </w:r>
            <w:r>
              <w:rPr>
                <w:rFonts w:hint="eastAsia" w:ascii="宋体" w:hAnsi="宋体" w:cs="宋体"/>
                <w:szCs w:val="21"/>
              </w:rPr>
              <w:t>。立柱用菱形八边型结构设计，内嵌入上下铸铝支架20mm，后端配备加固支撑梁。侧面上下支架用不小于 4mm厚的铝压铸一次成型，易碰撞处全部用倒圆角。下支架配有不同色ABS脚套装饰盖。</w:t>
            </w:r>
          </w:p>
          <w:p>
            <w:pPr>
              <w:widowControl/>
              <w:jc w:val="left"/>
              <w:textAlignment w:val="center"/>
              <w:rPr>
                <w:rFonts w:ascii="宋体" w:hAnsi="宋体" w:cs="宋体"/>
                <w:szCs w:val="21"/>
              </w:rPr>
            </w:pPr>
            <w:r>
              <w:rPr>
                <w:rFonts w:hint="eastAsia" w:ascii="宋体" w:hAnsi="宋体" w:cs="宋体"/>
                <w:szCs w:val="21"/>
              </w:rPr>
              <w:t>5、立柱用菱形八边型结构设计，规格为105*50mm，厚度1.5mm。</w:t>
            </w:r>
          </w:p>
          <w:p>
            <w:pPr>
              <w:widowControl/>
              <w:jc w:val="left"/>
              <w:textAlignment w:val="center"/>
              <w:rPr>
                <w:rFonts w:ascii="宋体" w:hAnsi="宋体" w:cs="宋体"/>
                <w:szCs w:val="21"/>
              </w:rPr>
            </w:pPr>
            <w:r>
              <w:rPr>
                <w:rFonts w:hint="eastAsia" w:ascii="宋体" w:hAnsi="宋体" w:cs="宋体"/>
                <w:szCs w:val="21"/>
              </w:rPr>
              <w:t>6、前后横梁尺寸为50*41mm</w:t>
            </w:r>
            <w:r>
              <w:rPr>
                <w:rFonts w:hint="eastAsia" w:ascii="宋体" w:hAnsi="宋体" w:cs="宋体"/>
                <w:kern w:val="0"/>
                <w:szCs w:val="21"/>
              </w:rPr>
              <w:t>±5mm</w:t>
            </w:r>
            <w:r>
              <w:rPr>
                <w:rFonts w:hint="eastAsia" w:ascii="宋体" w:hAnsi="宋体" w:cs="宋体"/>
                <w:szCs w:val="21"/>
              </w:rPr>
              <w:t>，用前端半圆弧设计，圆弧角度为R30，中下横梁尺寸为138*18.5mm</w:t>
            </w:r>
            <w:r>
              <w:rPr>
                <w:rFonts w:hint="eastAsia" w:ascii="宋体" w:hAnsi="宋体" w:cs="宋体"/>
                <w:kern w:val="0"/>
                <w:szCs w:val="21"/>
              </w:rPr>
              <w:t>±5mm</w:t>
            </w:r>
            <w:r>
              <w:rPr>
                <w:rFonts w:hint="eastAsia" w:ascii="宋体" w:hAnsi="宋体" w:cs="宋体"/>
                <w:szCs w:val="21"/>
              </w:rPr>
              <w:t>，用上下收腰设计。所有安装螺丝处的厚度不小于2.2mm，其它厚度不小于1.2mm。</w:t>
            </w:r>
          </w:p>
          <w:p>
            <w:pPr>
              <w:widowControl/>
              <w:jc w:val="left"/>
              <w:textAlignment w:val="center"/>
              <w:rPr>
                <w:rFonts w:ascii="宋体" w:hAnsi="宋体" w:cs="宋体"/>
                <w:szCs w:val="21"/>
              </w:rPr>
            </w:pPr>
            <w:r>
              <w:rPr>
                <w:rFonts w:hint="eastAsia" w:ascii="宋体" w:hAnsi="宋体" w:cs="宋体"/>
                <w:szCs w:val="21"/>
              </w:rPr>
              <w:t>7、下支架脚：下支架脚配不同装饰颜色的ABS脚套装饰盖。</w:t>
            </w:r>
          </w:p>
          <w:p>
            <w:pPr>
              <w:widowControl/>
              <w:jc w:val="left"/>
              <w:textAlignment w:val="center"/>
              <w:rPr>
                <w:rFonts w:ascii="宋体" w:hAnsi="宋体" w:cs="宋体"/>
                <w:szCs w:val="21"/>
              </w:rPr>
            </w:pPr>
            <w:r>
              <w:rPr>
                <w:rFonts w:hint="eastAsia" w:ascii="宋体" w:hAnsi="宋体" w:cs="宋体"/>
                <w:szCs w:val="21"/>
              </w:rPr>
              <w:t>8、书包斗：整体尺寸485*260*190mm,用环保型ABS塑料工程一次性注塑成型，底、面部加设经纬加强筋，表面圆角处理。</w:t>
            </w:r>
          </w:p>
          <w:p>
            <w:pPr>
              <w:widowControl/>
              <w:jc w:val="left"/>
              <w:textAlignment w:val="center"/>
            </w:pPr>
            <w:r>
              <w:rPr>
                <w:rFonts w:hint="eastAsia"/>
              </w:rPr>
              <w:t>9、产品符合GB24820-2009《实验室家具通用技术条件》 、GB 28481-2012《塑料家具中有物质限量》GB/T 32487-2016《塑料家具通用条件》标准；投标人需提供产品2021年及以后版本且带CMA或CNAS标志的检测报告复印件，并加盖制造厂商公章。</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张</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996" w:type="pct"/>
            <w:shd w:val="clear" w:color="auto" w:fill="auto"/>
            <w:noWrap/>
            <w:vAlign w:val="center"/>
          </w:tcPr>
          <w:p>
            <w:pPr>
              <w:widowControl/>
              <w:jc w:val="center"/>
              <w:textAlignment w:val="center"/>
              <w:rPr>
                <w:rFonts w:ascii="宋体" w:hAnsi="宋体" w:cs="宋体"/>
                <w:kern w:val="0"/>
                <w:szCs w:val="21"/>
              </w:rPr>
            </w:pPr>
            <w:r>
              <w:rPr>
                <w:rFonts w:hint="eastAsia" w:ascii="宋体" w:hAnsi="宋体" w:cs="宋体"/>
                <w:kern w:val="0"/>
                <w:szCs w:val="21"/>
              </w:rPr>
              <w:t>多功能柱</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szCs w:val="21"/>
              </w:rPr>
              <w:t>尺寸：352*194*737mm。</w:t>
            </w:r>
          </w:p>
          <w:p>
            <w:pPr>
              <w:widowControl/>
              <w:jc w:val="left"/>
              <w:textAlignment w:val="center"/>
              <w:rPr>
                <w:rFonts w:ascii="宋体" w:hAnsi="宋体" w:cs="宋体"/>
                <w:szCs w:val="21"/>
              </w:rPr>
            </w:pPr>
            <w:r>
              <w:rPr>
                <w:rFonts w:hint="eastAsia" w:ascii="宋体" w:hAnsi="宋体" w:cs="宋体"/>
                <w:szCs w:val="21"/>
              </w:rPr>
              <w:t>由2个ABS工程塑料一次性注塑成型结合,表面沙面和光面相结合处理,以齿合槽配以螺丝连接，拆分组合方便，方便检修桶体内的风管或电线。</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99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仪器柜</w:t>
            </w:r>
          </w:p>
        </w:tc>
        <w:tc>
          <w:tcPr>
            <w:tcW w:w="2984" w:type="pct"/>
            <w:shd w:val="clear" w:color="auto" w:fill="auto"/>
            <w:vAlign w:val="center"/>
          </w:tcPr>
          <w:p>
            <w:pPr>
              <w:widowControl/>
              <w:jc w:val="left"/>
              <w:textAlignment w:val="center"/>
              <w:rPr>
                <w:rFonts w:ascii="宋体" w:hAnsi="宋体" w:cs="宋体"/>
                <w:kern w:val="0"/>
                <w:szCs w:val="21"/>
              </w:rPr>
            </w:pPr>
            <w:r>
              <w:rPr>
                <w:rFonts w:hint="eastAsia" w:ascii="宋体" w:hAnsi="宋体" w:cs="宋体"/>
                <w:kern w:val="0"/>
                <w:szCs w:val="21"/>
              </w:rPr>
              <w:t>1000×500×2000mm，整体用环保型ABS塑料一次性注塑成型，层板用2.5mm厚双面环保型PP改性塑料，耐强酸碱及有机溶剂，内设加强筋。</w:t>
            </w:r>
          </w:p>
          <w:p>
            <w:pPr>
              <w:widowControl/>
              <w:jc w:val="left"/>
              <w:textAlignment w:val="center"/>
              <w:rPr>
                <w:rFonts w:ascii="宋体" w:hAnsi="宋体" w:cs="宋体"/>
                <w:kern w:val="0"/>
                <w:szCs w:val="21"/>
              </w:rPr>
            </w:pPr>
            <w:r>
              <w:rPr>
                <w:rFonts w:hint="eastAsia" w:ascii="宋体" w:hAnsi="宋体" w:cs="宋体"/>
                <w:kern w:val="0"/>
                <w:szCs w:val="21"/>
              </w:rPr>
              <w:t>柜体：1、榫卯连接结构并合理布局加强筋。</w:t>
            </w:r>
          </w:p>
          <w:p>
            <w:pPr>
              <w:widowControl/>
              <w:jc w:val="left"/>
              <w:textAlignment w:val="center"/>
              <w:rPr>
                <w:rFonts w:ascii="宋体" w:hAnsi="宋体" w:cs="宋体"/>
                <w:kern w:val="0"/>
                <w:szCs w:val="21"/>
              </w:rPr>
            </w:pPr>
            <w:r>
              <w:rPr>
                <w:rFonts w:hint="eastAsia" w:ascii="宋体" w:hAnsi="宋体" w:cs="宋体"/>
                <w:kern w:val="0"/>
                <w:szCs w:val="21"/>
              </w:rPr>
              <w:t>2、上部为ABS工程塑料镶装玻璃对开门，带锁、内嵌式塑料扣手，用尼龙塑料铰链，内设PP改性塑料活动隔板2块。</w:t>
            </w:r>
          </w:p>
          <w:p>
            <w:pPr>
              <w:widowControl/>
              <w:jc w:val="left"/>
              <w:textAlignment w:val="center"/>
              <w:rPr>
                <w:rFonts w:ascii="宋体" w:hAnsi="宋体" w:cs="宋体"/>
                <w:kern w:val="0"/>
                <w:szCs w:val="21"/>
              </w:rPr>
            </w:pPr>
            <w:r>
              <w:rPr>
                <w:rFonts w:hint="eastAsia" w:ascii="宋体" w:hAnsi="宋体" w:cs="宋体"/>
                <w:kern w:val="0"/>
                <w:szCs w:val="21"/>
              </w:rPr>
              <w:t>3、下部为ABS工程塑料对开门，带锁、内嵌式塑料扣手，用尼龙塑料铰链，内设PP改性塑料活动隔板1块。</w:t>
            </w:r>
          </w:p>
          <w:p>
            <w:pPr>
              <w:widowControl/>
              <w:jc w:val="left"/>
              <w:textAlignment w:val="center"/>
              <w:rPr>
                <w:rFonts w:ascii="宋体" w:hAnsi="宋体" w:cs="宋体"/>
                <w:kern w:val="0"/>
                <w:szCs w:val="21"/>
              </w:rPr>
            </w:pPr>
            <w:r>
              <w:rPr>
                <w:rFonts w:hint="eastAsia" w:ascii="宋体" w:hAnsi="宋体" w:cs="宋体"/>
                <w:kern w:val="0"/>
                <w:szCs w:val="21"/>
              </w:rPr>
              <w:t>4、门板与侧板安装有防盗插销，防止从外部撬开柜门。</w:t>
            </w:r>
          </w:p>
          <w:p>
            <w:pPr>
              <w:widowControl/>
              <w:jc w:val="left"/>
              <w:textAlignment w:val="center"/>
              <w:rPr>
                <w:rFonts w:ascii="宋体" w:hAnsi="宋体" w:cs="宋体"/>
                <w:szCs w:val="21"/>
              </w:rPr>
            </w:pPr>
            <w:r>
              <w:rPr>
                <w:rFonts w:hint="eastAsia" w:ascii="宋体" w:hAnsi="宋体" w:cs="宋体"/>
                <w:kern w:val="0"/>
                <w:szCs w:val="21"/>
              </w:rPr>
              <w:t>5、底座高80mm，上下板30mm，重要部位加厚处理。</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tcBorders>
              <w:bottom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996" w:type="pct"/>
            <w:tcBorders>
              <w:bottom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kern w:val="0"/>
                <w:sz w:val="24"/>
              </w:rPr>
              <w:t>商用计算机</w:t>
            </w:r>
          </w:p>
        </w:tc>
        <w:tc>
          <w:tcPr>
            <w:tcW w:w="2984" w:type="pct"/>
            <w:tcBorders>
              <w:bottom w:val="single" w:color="auto" w:sz="4" w:space="0"/>
            </w:tcBorders>
            <w:shd w:val="clear" w:color="auto" w:fill="auto"/>
            <w:vAlign w:val="center"/>
          </w:tcPr>
          <w:p>
            <w:pPr>
              <w:jc w:val="left"/>
              <w:rPr>
                <w:szCs w:val="21"/>
              </w:rPr>
            </w:pPr>
            <w:r>
              <w:rPr>
                <w:rFonts w:hint="eastAsia"/>
                <w:szCs w:val="21"/>
              </w:rPr>
              <w:t>1、</w:t>
            </w:r>
            <w:r>
              <w:rPr>
                <w:rFonts w:hint="eastAsia" w:ascii="宋体" w:hAnsi="宋体" w:cs="宋体"/>
                <w:kern w:val="0"/>
                <w:szCs w:val="21"/>
              </w:rPr>
              <w:t>国产品牌</w:t>
            </w:r>
          </w:p>
          <w:p>
            <w:pPr>
              <w:jc w:val="left"/>
              <w:rPr>
                <w:szCs w:val="21"/>
              </w:rPr>
            </w:pPr>
            <w:r>
              <w:rPr>
                <w:rFonts w:hint="eastAsia"/>
                <w:szCs w:val="21"/>
              </w:rPr>
              <w:t>2、CPU:Intel 十代或以上，四核心，主频≥3.6GHz；</w:t>
            </w:r>
          </w:p>
          <w:p>
            <w:pPr>
              <w:jc w:val="left"/>
              <w:rPr>
                <w:szCs w:val="21"/>
              </w:rPr>
            </w:pPr>
            <w:r>
              <w:rPr>
                <w:rFonts w:hint="eastAsia"/>
                <w:szCs w:val="21"/>
              </w:rPr>
              <w:t>3、主板:Intel 460或以上；</w:t>
            </w:r>
          </w:p>
          <w:p>
            <w:pPr>
              <w:jc w:val="left"/>
              <w:rPr>
                <w:szCs w:val="21"/>
              </w:rPr>
            </w:pPr>
            <w:r>
              <w:rPr>
                <w:rFonts w:hint="eastAsia"/>
                <w:szCs w:val="21"/>
              </w:rPr>
              <w:t>4、内存:≥8GB，2个或以上内存插槽；</w:t>
            </w:r>
          </w:p>
          <w:p>
            <w:pPr>
              <w:jc w:val="left"/>
              <w:rPr>
                <w:szCs w:val="21"/>
              </w:rPr>
            </w:pPr>
            <w:r>
              <w:rPr>
                <w:rFonts w:hint="eastAsia"/>
                <w:szCs w:val="21"/>
              </w:rPr>
              <w:t>5、硬盘:≥256GB M.2 NVME SSD；</w:t>
            </w:r>
          </w:p>
          <w:p>
            <w:pPr>
              <w:jc w:val="left"/>
              <w:rPr>
                <w:szCs w:val="21"/>
              </w:rPr>
            </w:pPr>
            <w:r>
              <w:rPr>
                <w:rFonts w:hint="eastAsia"/>
                <w:szCs w:val="21"/>
              </w:rPr>
              <w:t>6、显卡:集成显卡,主板原生VGA、HDMI、DP三个视频输出接口；</w:t>
            </w:r>
          </w:p>
          <w:p>
            <w:pPr>
              <w:jc w:val="left"/>
              <w:rPr>
                <w:szCs w:val="21"/>
              </w:rPr>
            </w:pPr>
            <w:r>
              <w:rPr>
                <w:rFonts w:hint="eastAsia"/>
                <w:szCs w:val="21"/>
              </w:rPr>
              <w:t>7、键盘、鼠标:USB抗菌键盘,抗菌鼠标；</w:t>
            </w:r>
          </w:p>
          <w:p>
            <w:pPr>
              <w:jc w:val="left"/>
              <w:rPr>
                <w:szCs w:val="21"/>
              </w:rPr>
            </w:pPr>
            <w:r>
              <w:rPr>
                <w:rFonts w:hint="eastAsia"/>
                <w:szCs w:val="21"/>
              </w:rPr>
              <w:t>8、接口:≥5个3.5mm音频插孔，≥9个USB接口(其中USB 3.2不少于5个)。1个串行接口、2个PS/2接口；</w:t>
            </w:r>
          </w:p>
          <w:p>
            <w:pPr>
              <w:jc w:val="left"/>
              <w:rPr>
                <w:szCs w:val="21"/>
              </w:rPr>
            </w:pPr>
            <w:r>
              <w:rPr>
                <w:rFonts w:hint="eastAsia"/>
                <w:szCs w:val="21"/>
              </w:rPr>
              <w:t>9、扩展槽:≥1个全高PCI插槽;≥1个PCIe x1插槽;≥1个PCIe x16插槽；</w:t>
            </w:r>
          </w:p>
          <w:p>
            <w:pPr>
              <w:jc w:val="left"/>
              <w:rPr>
                <w:szCs w:val="21"/>
              </w:rPr>
            </w:pPr>
            <w:r>
              <w:rPr>
                <w:rFonts w:hint="eastAsia"/>
                <w:szCs w:val="21"/>
              </w:rPr>
              <w:t>10、机箱:≤11升可立卧两用机箱；</w:t>
            </w:r>
          </w:p>
          <w:p>
            <w:pPr>
              <w:jc w:val="left"/>
              <w:rPr>
                <w:szCs w:val="21"/>
              </w:rPr>
            </w:pPr>
            <w:r>
              <w:rPr>
                <w:rFonts w:hint="eastAsia"/>
                <w:szCs w:val="21"/>
              </w:rPr>
              <w:t>11、电源:≤180W节能电源；</w:t>
            </w:r>
          </w:p>
          <w:p>
            <w:pPr>
              <w:jc w:val="left"/>
              <w:rPr>
                <w:szCs w:val="21"/>
              </w:rPr>
            </w:pPr>
            <w:r>
              <w:rPr>
                <w:rFonts w:hint="eastAsia"/>
                <w:szCs w:val="21"/>
              </w:rPr>
              <w:t>12、显示器:≥23.8寸低蓝光液晶显示器，分辨率≥1920x1080、亮度≥250cd/m²、对比度≥1000:1、色域≥72%NTSC、可视角度≥178°/178°、响应时间≤5ms,VGA+HDMI接口带原厂HDMI线缆、VESA标准安装孔；</w:t>
            </w:r>
          </w:p>
          <w:p>
            <w:pPr>
              <w:jc w:val="left"/>
              <w:rPr>
                <w:szCs w:val="21"/>
              </w:rPr>
            </w:pPr>
            <w:r>
              <w:rPr>
                <w:rFonts w:hint="eastAsia"/>
                <w:szCs w:val="21"/>
              </w:rPr>
              <w:t>13、供应商所投标商用计算机需通过国家电子计算机质量监督检验中心平均无故障运行认证,且无故障运行时间达105万小时以上；</w:t>
            </w:r>
          </w:p>
          <w:p>
            <w:pPr>
              <w:jc w:val="left"/>
              <w:rPr>
                <w:szCs w:val="21"/>
              </w:rPr>
            </w:pPr>
            <w:r>
              <w:rPr>
                <w:rFonts w:hint="eastAsia"/>
                <w:szCs w:val="21"/>
              </w:rPr>
              <w:t>14、所投商用计算机支持国产桌面操作系统；</w:t>
            </w:r>
          </w:p>
        </w:tc>
        <w:tc>
          <w:tcPr>
            <w:tcW w:w="301" w:type="pct"/>
            <w:tcBorders>
              <w:bottom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302" w:type="pct"/>
            <w:tcBorders>
              <w:bottom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tcBorders>
              <w:bottom w:val="single" w:color="auto" w:sz="4" w:space="0"/>
            </w:tcBorders>
            <w:shd w:val="clear" w:color="auto" w:fill="auto"/>
            <w:noWrap/>
            <w:vAlign w:val="center"/>
          </w:tcPr>
          <w:p>
            <w:pPr>
              <w:widowControl/>
              <w:jc w:val="center"/>
              <w:textAlignment w:val="center"/>
              <w:rPr>
                <w:rFonts w:ascii="宋体" w:hAnsi="宋体" w:cs="宋体"/>
                <w:b/>
                <w:szCs w:val="21"/>
              </w:rPr>
            </w:pPr>
            <w:r>
              <w:rPr>
                <w:rFonts w:hint="eastAsia" w:ascii="宋体" w:hAnsi="宋体" w:cs="宋体"/>
                <w:b/>
                <w:kern w:val="0"/>
                <w:szCs w:val="21"/>
              </w:rPr>
              <w:t>5</w:t>
            </w:r>
          </w:p>
        </w:tc>
        <w:tc>
          <w:tcPr>
            <w:tcW w:w="996" w:type="pct"/>
            <w:tcBorders>
              <w:bottom w:val="single" w:color="auto"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rPr>
              <w:t>实验室安装</w:t>
            </w:r>
          </w:p>
        </w:tc>
        <w:tc>
          <w:tcPr>
            <w:tcW w:w="2984" w:type="pct"/>
            <w:tcBorders>
              <w:bottom w:val="single" w:color="auto"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整体实验室安装</w:t>
            </w:r>
          </w:p>
        </w:tc>
        <w:tc>
          <w:tcPr>
            <w:tcW w:w="301" w:type="pct"/>
            <w:tcBorders>
              <w:bottom w:val="single" w:color="auto"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rPr>
              <w:t>项</w:t>
            </w:r>
          </w:p>
        </w:tc>
        <w:tc>
          <w:tcPr>
            <w:tcW w:w="302" w:type="pct"/>
            <w:tcBorders>
              <w:bottom w:val="single" w:color="auto"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0" w:type="pct"/>
            <w:gridSpan w:val="5"/>
            <w:tcBorders>
              <w:top w:val="single" w:color="auto" w:sz="4" w:space="0"/>
              <w:left w:val="nil"/>
              <w:right w:val="nil"/>
            </w:tcBorders>
            <w:shd w:val="clear" w:color="auto" w:fill="auto"/>
            <w:noWrap/>
            <w:vAlign w:val="center"/>
          </w:tcPr>
          <w:p>
            <w:pPr>
              <w:widowControl/>
              <w:jc w:val="center"/>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0" w:type="pct"/>
            <w:gridSpan w:val="5"/>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3、新建化学下通风实验室（56座/室）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996"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货物名称</w:t>
            </w:r>
          </w:p>
        </w:tc>
        <w:tc>
          <w:tcPr>
            <w:tcW w:w="2984"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技术要求</w:t>
            </w:r>
          </w:p>
        </w:tc>
        <w:tc>
          <w:tcPr>
            <w:tcW w:w="301"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单位</w:t>
            </w:r>
          </w:p>
        </w:tc>
        <w:tc>
          <w:tcPr>
            <w:tcW w:w="302"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95" w:type="pct"/>
            <w:gridSpan w:val="3"/>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一、实验室设备</w:t>
            </w:r>
          </w:p>
        </w:tc>
        <w:tc>
          <w:tcPr>
            <w:tcW w:w="301" w:type="pct"/>
            <w:shd w:val="clear" w:color="auto" w:fill="auto"/>
            <w:noWrap/>
            <w:vAlign w:val="center"/>
          </w:tcPr>
          <w:p>
            <w:pPr>
              <w:widowControl/>
              <w:jc w:val="center"/>
              <w:rPr>
                <w:rFonts w:ascii="宋体" w:hAnsi="宋体" w:cs="宋体"/>
                <w:b/>
                <w:bCs/>
                <w:kern w:val="0"/>
                <w:szCs w:val="21"/>
              </w:rPr>
            </w:pPr>
          </w:p>
        </w:tc>
        <w:tc>
          <w:tcPr>
            <w:tcW w:w="302" w:type="pct"/>
            <w:shd w:val="clear" w:color="auto" w:fill="auto"/>
            <w:noWrap/>
            <w:vAlign w:val="center"/>
          </w:tcPr>
          <w:p>
            <w:pPr>
              <w:widowControl/>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95" w:type="pct"/>
            <w:gridSpan w:val="3"/>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1、教师端实验设备</w:t>
            </w:r>
          </w:p>
        </w:tc>
        <w:tc>
          <w:tcPr>
            <w:tcW w:w="301" w:type="pct"/>
            <w:shd w:val="clear" w:color="auto" w:fill="auto"/>
            <w:noWrap/>
            <w:vAlign w:val="center"/>
          </w:tcPr>
          <w:p>
            <w:pPr>
              <w:widowControl/>
              <w:jc w:val="center"/>
              <w:rPr>
                <w:rFonts w:ascii="宋体" w:hAnsi="宋体" w:cs="宋体"/>
                <w:b/>
                <w:bCs/>
                <w:kern w:val="0"/>
                <w:szCs w:val="21"/>
              </w:rPr>
            </w:pPr>
          </w:p>
        </w:tc>
        <w:tc>
          <w:tcPr>
            <w:tcW w:w="302" w:type="pct"/>
            <w:shd w:val="clear" w:color="auto" w:fill="auto"/>
            <w:noWrap/>
            <w:vAlign w:val="center"/>
          </w:tcPr>
          <w:p>
            <w:pPr>
              <w:widowControl/>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教师演示台</w:t>
            </w:r>
          </w:p>
        </w:tc>
        <w:tc>
          <w:tcPr>
            <w:tcW w:w="2984"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1、规格：2400×700×850mm（±5mm）</w:t>
            </w:r>
          </w:p>
          <w:p>
            <w:pPr>
              <w:widowControl/>
              <w:jc w:val="left"/>
              <w:rPr>
                <w:rFonts w:ascii="宋体" w:hAnsi="宋体" w:cs="宋体"/>
                <w:kern w:val="0"/>
                <w:szCs w:val="21"/>
              </w:rPr>
            </w:pPr>
            <w:r>
              <w:rPr>
                <w:rFonts w:hint="eastAsia" w:ascii="宋体" w:hAnsi="宋体" w:cs="宋体"/>
                <w:kern w:val="0"/>
                <w:szCs w:val="21"/>
              </w:rPr>
              <w:t>2、台面：用25mm厚金属树脂高能理化板，且满足如下参数要求：</w:t>
            </w:r>
          </w:p>
          <w:p>
            <w:pPr>
              <w:widowControl/>
              <w:jc w:val="left"/>
              <w:rPr>
                <w:rFonts w:ascii="宋体" w:hAnsi="宋体" w:cs="宋体"/>
                <w:kern w:val="0"/>
                <w:szCs w:val="21"/>
              </w:rPr>
            </w:pPr>
            <w:r>
              <w:rPr>
                <w:rFonts w:hint="eastAsia" w:ascii="宋体" w:hAnsi="宋体" w:cs="宋体"/>
                <w:kern w:val="0"/>
                <w:szCs w:val="21"/>
              </w:rPr>
              <w:t>（1）化学性能检测：耐污染试剂包含65%硝酸、98%硫酸、氢氧化钾、液体石蜡、氯化铁（10%）、四氢呋喃等不少于108项，分级结果不低于“4级”。</w:t>
            </w:r>
          </w:p>
          <w:p>
            <w:pPr>
              <w:widowControl/>
              <w:jc w:val="left"/>
              <w:rPr>
                <w:rFonts w:ascii="宋体" w:hAnsi="宋体" w:cs="宋体"/>
                <w:kern w:val="0"/>
                <w:szCs w:val="21"/>
              </w:rPr>
            </w:pPr>
            <w:r>
              <w:rPr>
                <w:rFonts w:hint="eastAsia" w:ascii="宋体" w:hAnsi="宋体" w:cs="宋体"/>
                <w:kern w:val="0"/>
                <w:szCs w:val="21"/>
              </w:rPr>
              <w:t>（2）物理性能检测：含水率：≤1.4；尺寸稳定性：≤0.45%；表面耐湿热性能：5级-无明显变化；表面耐划痕性能：3N作用下试件表面无大于90%的连续划痕；耐光色牢度性能：大于灰度卡4级等不低于13项检测。</w:t>
            </w:r>
          </w:p>
          <w:p>
            <w:pPr>
              <w:widowControl/>
              <w:jc w:val="left"/>
              <w:rPr>
                <w:rFonts w:ascii="宋体" w:hAnsi="宋体" w:cs="宋体"/>
                <w:kern w:val="0"/>
                <w:szCs w:val="21"/>
              </w:rPr>
            </w:pPr>
            <w:r>
              <w:rPr>
                <w:rFonts w:hint="eastAsia" w:ascii="宋体" w:hAnsi="宋体" w:cs="宋体"/>
                <w:kern w:val="0"/>
                <w:szCs w:val="21"/>
              </w:rPr>
              <w:t>（3）环保性能检测：甲醛释放量&lt;0.005 mg/M3；同时台面参照GB 18584-2001《室内装饰装修材料木家具中有害物质限量》标准，满足4种重金属含量mg/kg（可溶性铅≤2.2、镉：≤0.1、铬≤0.2、汞：未检出）。</w:t>
            </w:r>
          </w:p>
          <w:p>
            <w:pPr>
              <w:widowControl/>
              <w:jc w:val="left"/>
              <w:rPr>
                <w:rFonts w:ascii="宋体" w:hAnsi="宋体" w:cs="宋体"/>
                <w:kern w:val="0"/>
                <w:szCs w:val="21"/>
              </w:rPr>
            </w:pPr>
            <w:r>
              <w:rPr>
                <w:rFonts w:hint="eastAsia" w:ascii="宋体" w:hAnsi="宋体" w:cs="宋体"/>
                <w:kern w:val="0"/>
                <w:szCs w:val="21"/>
              </w:rPr>
              <w:t>（4）抗菌性能检测：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p>
          <w:p>
            <w:pPr>
              <w:widowControl/>
              <w:jc w:val="left"/>
              <w:rPr>
                <w:rFonts w:ascii="宋体" w:hAnsi="宋体" w:cs="宋体"/>
                <w:kern w:val="0"/>
                <w:szCs w:val="21"/>
              </w:rPr>
            </w:pPr>
            <w:r>
              <w:rPr>
                <w:rFonts w:hint="eastAsia" w:ascii="宋体" w:hAnsi="宋体" w:cs="宋体"/>
                <w:kern w:val="0"/>
                <w:szCs w:val="21"/>
              </w:rPr>
              <w:t>（5）防霉性能检测：黑曲霉、土曲霉、球毛壳霉、宛氏拟青霉、绳状青霉、出芽短梗霉等不少于6种的霉菌检测，且防霉等级为0级。</w:t>
            </w:r>
          </w:p>
          <w:p>
            <w:pPr>
              <w:widowControl/>
              <w:jc w:val="left"/>
              <w:rPr>
                <w:rFonts w:ascii="宋体" w:hAnsi="宋体" w:cs="宋体"/>
                <w:kern w:val="0"/>
                <w:szCs w:val="21"/>
              </w:rPr>
            </w:pPr>
            <w:r>
              <w:rPr>
                <w:rFonts w:hint="eastAsia" w:ascii="宋体" w:hAnsi="宋体" w:cs="宋体"/>
                <w:kern w:val="0"/>
                <w:szCs w:val="21"/>
              </w:rPr>
              <w:t>（6）燃烧性能检测：水平燃烧符合HB级；垂直燃烧符合V-0级；台面参照GB8624-2012《建筑材料及制品燃烧性能分级》标准，满足：燃烧性能等级B1级；产烟特性等级S1级；燃烧滴落物/微粒等级d0级。</w:t>
            </w:r>
          </w:p>
          <w:p>
            <w:pPr>
              <w:widowControl/>
              <w:jc w:val="left"/>
              <w:rPr>
                <w:rFonts w:ascii="宋体" w:hAnsi="宋体" w:cs="宋体"/>
                <w:kern w:val="0"/>
                <w:szCs w:val="21"/>
              </w:rPr>
            </w:pPr>
            <w:r>
              <w:rPr>
                <w:rFonts w:hint="eastAsia" w:ascii="宋体" w:hAnsi="宋体" w:cs="宋体"/>
                <w:kern w:val="0"/>
                <w:szCs w:val="21"/>
              </w:rPr>
              <w:t>（7）抗老化性检测：48小时无裂纹、无鼓泡、无粉化。</w:t>
            </w:r>
          </w:p>
          <w:p>
            <w:pPr>
              <w:widowControl/>
              <w:jc w:val="left"/>
              <w:rPr>
                <w:rFonts w:ascii="宋体" w:hAnsi="宋体" w:cs="宋体"/>
                <w:kern w:val="0"/>
                <w:szCs w:val="21"/>
              </w:rPr>
            </w:pPr>
            <w:r>
              <w:rPr>
                <w:rFonts w:hint="eastAsia" w:ascii="宋体" w:hAnsi="宋体" w:cs="宋体"/>
                <w:kern w:val="0"/>
                <w:szCs w:val="21"/>
              </w:rPr>
              <w:t>3、桌身：整体用≥1.0mm厚冷轧钢板，全部钢制件纳米陶瓷镀膜防锈处理。                                                                                  4、结构：演示台设有储物柜，中间为演示台,设置电源主控系统、多媒体设备（主机、显示器、中控、功放、交换机）的位置预留。</w:t>
            </w:r>
          </w:p>
          <w:p>
            <w:pPr>
              <w:widowControl/>
              <w:jc w:val="left"/>
              <w:rPr>
                <w:rFonts w:ascii="宋体" w:hAnsi="宋体" w:cs="宋体"/>
                <w:kern w:val="0"/>
                <w:szCs w:val="21"/>
              </w:rPr>
            </w:pPr>
            <w:r>
              <w:rPr>
                <w:rFonts w:hint="eastAsia" w:ascii="宋体" w:hAnsi="宋体" w:cs="宋体"/>
                <w:kern w:val="0"/>
                <w:szCs w:val="21"/>
              </w:rPr>
              <w:t>5、滑道：抽屉全部用三节承重式滚珠滑道。</w:t>
            </w:r>
          </w:p>
          <w:p>
            <w:pPr>
              <w:widowControl/>
              <w:jc w:val="left"/>
            </w:pPr>
            <w:r>
              <w:rPr>
                <w:rFonts w:hint="eastAsia" w:ascii="宋体" w:hAnsi="宋体" w:cs="宋体"/>
                <w:kern w:val="0"/>
                <w:szCs w:val="21"/>
              </w:rPr>
              <w:t>6、产品符合GB24820-2009《实验室家具通用技术条件》 、GB 28481-2012《塑料家具中有物质限量》GB/T 32487-2016《塑料家具通用条件》标准；投标人需提供产品2021年及以后版本且带CMA或CNAS标志的检测报告复印件，并加盖制造厂商公章。</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99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教师椅</w:t>
            </w:r>
          </w:p>
        </w:tc>
        <w:tc>
          <w:tcPr>
            <w:tcW w:w="2984" w:type="pct"/>
            <w:shd w:val="clear" w:color="auto" w:fill="auto"/>
            <w:vAlign w:val="center"/>
          </w:tcPr>
          <w:p>
            <w:pPr>
              <w:jc w:val="left"/>
              <w:rPr>
                <w:szCs w:val="21"/>
              </w:rPr>
            </w:pPr>
            <w:r>
              <w:rPr>
                <w:rFonts w:hint="eastAsia"/>
                <w:szCs w:val="21"/>
              </w:rPr>
              <w:t>座高：380-510mm。</w:t>
            </w:r>
          </w:p>
          <w:p>
            <w:pPr>
              <w:jc w:val="left"/>
              <w:rPr>
                <w:szCs w:val="21"/>
              </w:rPr>
            </w:pPr>
            <w:r>
              <w:rPr>
                <w:rFonts w:hint="eastAsia"/>
                <w:szCs w:val="21"/>
              </w:rPr>
              <w:t>靠背：1.材质：采用PP耐冲击塑料一体注塑成型。</w:t>
            </w:r>
          </w:p>
          <w:p>
            <w:pPr>
              <w:jc w:val="left"/>
              <w:rPr>
                <w:szCs w:val="21"/>
              </w:rPr>
            </w:pPr>
            <w:r>
              <w:rPr>
                <w:rFonts w:hint="eastAsia"/>
                <w:szCs w:val="21"/>
              </w:rPr>
              <w:t>2.尺寸：长530*平面宽90*高250mm±10mm。</w:t>
            </w:r>
          </w:p>
          <w:p>
            <w:pPr>
              <w:jc w:val="left"/>
              <w:rPr>
                <w:szCs w:val="21"/>
              </w:rPr>
            </w:pPr>
            <w:r>
              <w:rPr>
                <w:rFonts w:hint="eastAsia"/>
                <w:szCs w:val="21"/>
              </w:rPr>
              <w:t>3.椅背超宽平面可做书写板使用。</w:t>
            </w:r>
          </w:p>
          <w:p>
            <w:pPr>
              <w:jc w:val="left"/>
              <w:rPr>
                <w:szCs w:val="21"/>
              </w:rPr>
            </w:pPr>
            <w:r>
              <w:rPr>
                <w:rFonts w:hint="eastAsia"/>
                <w:szCs w:val="21"/>
              </w:rPr>
              <w:t>坐垫：1.材质：采用PP耐冲击塑料一体注塑成型。</w:t>
            </w:r>
          </w:p>
          <w:p>
            <w:pPr>
              <w:jc w:val="left"/>
              <w:rPr>
                <w:szCs w:val="21"/>
              </w:rPr>
            </w:pPr>
            <w:r>
              <w:rPr>
                <w:rFonts w:hint="eastAsia"/>
                <w:szCs w:val="21"/>
              </w:rPr>
              <w:t>2.尺寸：角到边320mm±10mm。</w:t>
            </w:r>
          </w:p>
          <w:p>
            <w:pPr>
              <w:jc w:val="left"/>
              <w:rPr>
                <w:szCs w:val="21"/>
              </w:rPr>
            </w:pPr>
            <w:r>
              <w:rPr>
                <w:rFonts w:hint="eastAsia"/>
                <w:szCs w:val="21"/>
              </w:rPr>
              <w:t>3.马鞍型设计，坐感舒适。</w:t>
            </w:r>
          </w:p>
          <w:p>
            <w:pPr>
              <w:jc w:val="left"/>
              <w:rPr>
                <w:szCs w:val="21"/>
              </w:rPr>
            </w:pPr>
            <w:r>
              <w:rPr>
                <w:rFonts w:hint="eastAsia"/>
                <w:szCs w:val="21"/>
              </w:rPr>
              <w:t>脚架：1.材质及形状：圆形钢管/五星脚架；</w:t>
            </w:r>
          </w:p>
          <w:p>
            <w:pPr>
              <w:jc w:val="left"/>
              <w:rPr>
                <w:rFonts w:ascii="宋体" w:hAnsi="宋体" w:cs="宋体"/>
                <w:szCs w:val="21"/>
              </w:rPr>
            </w:pPr>
            <w:r>
              <w:rPr>
                <w:rFonts w:hint="eastAsia"/>
                <w:szCs w:val="21"/>
              </w:rPr>
              <w:t>2.表面涂装：钢管架焊接完成后，表面经酸洗、脱脂、磷化处理，耐腐蚀、防锈。外表采一级颗粒粉末。涂层需无漏喷、锈蚀；涂层需光滑均匀，色泽一致。内置液压升降机构，可随意调节座椅高低，底部配尼龙轮。</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张</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教师总控台电源装置</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教师台电源：交流220V，设插座式。交直流低压输出：2V-24V，每2V为一档,共12档，最大电流为8A, 过载自动断开。直流大电流输出：40A±10A，时间20S自动断开。直流稳压输出≥1.5V-30V范围内可连续可调，额定电流为3A，过载自动断开。直流高压输出：240V,300V二档，输出电流：100MA,过载自动断开。</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教师化验水槽</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防堵、防臭内嵌式5mm厚400×300×250mm高密度一体成型，耐酸碱，耐热，耐有机溶剂PP水封式化验黑色水槽。水槽用从台面底部向上安装方式，台面不留沿。水槽与台面间用防水密封胶粘和封闭。</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洗眼器</w:t>
            </w:r>
          </w:p>
        </w:tc>
        <w:tc>
          <w:tcPr>
            <w:tcW w:w="2984" w:type="pct"/>
            <w:shd w:val="clear" w:color="auto" w:fill="auto"/>
            <w:vAlign w:val="center"/>
          </w:tcPr>
          <w:p>
            <w:pPr>
              <w:widowControl/>
              <w:jc w:val="left"/>
              <w:textAlignment w:val="center"/>
              <w:rPr>
                <w:rFonts w:ascii="宋体" w:hAnsi="宋体" w:cs="宋体"/>
                <w:kern w:val="0"/>
                <w:szCs w:val="21"/>
              </w:rPr>
            </w:pPr>
            <w:r>
              <w:rPr>
                <w:rFonts w:hint="eastAsia" w:ascii="宋体" w:hAnsi="宋体" w:cs="宋体"/>
                <w:kern w:val="0"/>
                <w:szCs w:val="21"/>
              </w:rPr>
              <w:t>台式单口洗眼器，安装在教师水槽旁边。</w:t>
            </w:r>
          </w:p>
          <w:p>
            <w:pPr>
              <w:widowControl/>
              <w:jc w:val="left"/>
              <w:textAlignment w:val="center"/>
              <w:rPr>
                <w:rFonts w:ascii="宋体" w:hAnsi="宋体" w:cs="宋体"/>
                <w:kern w:val="0"/>
                <w:szCs w:val="21"/>
              </w:rPr>
            </w:pPr>
            <w:r>
              <w:rPr>
                <w:rFonts w:hint="eastAsia" w:ascii="宋体" w:hAnsi="宋体" w:cs="宋体"/>
                <w:kern w:val="0"/>
                <w:szCs w:val="21"/>
              </w:rPr>
              <w:t>1、台面安装方式，平时放置于台面，紧急使用时可随意抽起，使用方便。</w:t>
            </w:r>
          </w:p>
          <w:p>
            <w:pPr>
              <w:widowControl/>
              <w:jc w:val="left"/>
              <w:textAlignment w:val="center"/>
              <w:rPr>
                <w:rFonts w:ascii="宋体" w:hAnsi="宋体" w:cs="宋体"/>
                <w:kern w:val="0"/>
                <w:szCs w:val="21"/>
              </w:rPr>
            </w:pPr>
            <w:r>
              <w:rPr>
                <w:rFonts w:hint="eastAsia" w:ascii="宋体" w:hAnsi="宋体" w:cs="宋体"/>
                <w:kern w:val="0"/>
                <w:szCs w:val="21"/>
              </w:rPr>
              <w:t>2、洗眼喷头：具有过滤泡棉及防尘功能，上面防尘盖平常可防尘，使用时可随时被水冲开，并降低突然打开时短暂的高水压，避免冲伤眼睛。</w:t>
            </w:r>
          </w:p>
          <w:p>
            <w:pPr>
              <w:widowControl/>
              <w:jc w:val="left"/>
              <w:textAlignment w:val="center"/>
              <w:rPr>
                <w:rFonts w:ascii="宋体" w:hAnsi="宋体" w:cs="宋体"/>
                <w:szCs w:val="21"/>
              </w:rPr>
            </w:pPr>
            <w:r>
              <w:rPr>
                <w:rFonts w:hint="eastAsia" w:ascii="宋体" w:hAnsi="宋体" w:cs="宋体"/>
                <w:kern w:val="0"/>
                <w:szCs w:val="21"/>
              </w:rPr>
              <w:t>3、控水阀用黄铜制作，经高亮度环氧树脂涂层处理，阀门可自动关闭，密封可靠。</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教师三联水嘴</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 xml:space="preserve">陶瓷阀芯90°旋转，铜质内芯外用聚碳酸酯一次注塑成型的防腐蚀、耐酸碱的实验室专用水嘴(一高二低) </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95" w:type="pct"/>
            <w:gridSpan w:val="3"/>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二、学生端实验室设备</w:t>
            </w:r>
          </w:p>
        </w:tc>
        <w:tc>
          <w:tcPr>
            <w:tcW w:w="301" w:type="pct"/>
            <w:shd w:val="clear" w:color="auto" w:fill="auto"/>
            <w:noWrap/>
            <w:vAlign w:val="center"/>
          </w:tcPr>
          <w:p>
            <w:pPr>
              <w:widowControl/>
              <w:jc w:val="center"/>
              <w:rPr>
                <w:rFonts w:ascii="宋体" w:hAnsi="宋体" w:cs="宋体"/>
                <w:kern w:val="0"/>
                <w:szCs w:val="21"/>
              </w:rPr>
            </w:pPr>
          </w:p>
        </w:tc>
        <w:tc>
          <w:tcPr>
            <w:tcW w:w="302" w:type="pct"/>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学生实验桌</w:t>
            </w:r>
          </w:p>
        </w:tc>
        <w:tc>
          <w:tcPr>
            <w:tcW w:w="2984"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1、规格：1200mm×600mm×760mm （±5mm）</w:t>
            </w:r>
          </w:p>
          <w:p>
            <w:pPr>
              <w:widowControl/>
              <w:jc w:val="left"/>
              <w:rPr>
                <w:rFonts w:ascii="宋体" w:hAnsi="宋体" w:cs="宋体"/>
                <w:kern w:val="0"/>
                <w:szCs w:val="21"/>
              </w:rPr>
            </w:pPr>
            <w:r>
              <w:rPr>
                <w:rFonts w:hint="eastAsia" w:ascii="宋体" w:hAnsi="宋体" w:cs="宋体"/>
                <w:kern w:val="0"/>
                <w:szCs w:val="21"/>
              </w:rPr>
              <w:t>2、台面：用12.7mm厚双面膜实芯理化板，且满足如下参数要求：</w:t>
            </w:r>
          </w:p>
          <w:p>
            <w:pPr>
              <w:widowControl/>
              <w:jc w:val="left"/>
              <w:rPr>
                <w:rFonts w:ascii="宋体" w:hAnsi="宋体" w:cs="宋体"/>
                <w:kern w:val="0"/>
                <w:szCs w:val="21"/>
              </w:rPr>
            </w:pPr>
            <w:r>
              <w:rPr>
                <w:rFonts w:hint="eastAsia" w:ascii="宋体" w:hAnsi="宋体" w:cs="宋体"/>
                <w:kern w:val="0"/>
                <w:szCs w:val="21"/>
              </w:rPr>
              <w:t>（1）化学性能检测：耐污染试剂包含65%硝酸、98%硫酸、氢氧化钾、液体石蜡、氯化铁（10%）、四氢呋喃等不少于108项，分级结果不低于“4级”。</w:t>
            </w:r>
          </w:p>
          <w:p>
            <w:pPr>
              <w:widowControl/>
              <w:jc w:val="left"/>
              <w:rPr>
                <w:rFonts w:ascii="宋体" w:hAnsi="宋体" w:cs="宋体"/>
                <w:kern w:val="0"/>
                <w:sz w:val="18"/>
                <w:szCs w:val="18"/>
              </w:rPr>
            </w:pPr>
            <w:r>
              <w:rPr>
                <w:rFonts w:hint="eastAsia" w:ascii="宋体" w:hAnsi="宋体" w:cs="宋体"/>
                <w:kern w:val="0"/>
                <w:szCs w:val="21"/>
              </w:rPr>
              <w:t>（2）环保性能检测：甲醛释放量&lt;0.005 mg/M3；同时台面参照GB 18584-2001《室内装饰装修材料木家具中有害物质限量》标准，满足4种重金属含量mg/kg</w:t>
            </w:r>
            <w:r>
              <w:rPr>
                <w:rFonts w:hint="eastAsia" w:ascii="宋体" w:hAnsi="宋体" w:cs="宋体"/>
                <w:kern w:val="0"/>
                <w:sz w:val="18"/>
                <w:szCs w:val="18"/>
              </w:rPr>
              <w:t>（可溶性铅≤2.8、镉：≤0.1、铬≤0.2、汞：未检出）。</w:t>
            </w:r>
          </w:p>
          <w:p>
            <w:pPr>
              <w:widowControl/>
              <w:jc w:val="left"/>
              <w:rPr>
                <w:rFonts w:ascii="宋体" w:hAnsi="宋体" w:cs="宋体"/>
                <w:kern w:val="0"/>
                <w:szCs w:val="21"/>
              </w:rPr>
            </w:pPr>
            <w:r>
              <w:rPr>
                <w:rFonts w:hint="eastAsia" w:ascii="宋体" w:hAnsi="宋体" w:cs="宋体"/>
                <w:kern w:val="0"/>
                <w:szCs w:val="21"/>
              </w:rPr>
              <w:t>（3）防霉性能检测：黑曲霉、土曲霉、球毛壳霉、宛氏拟青霉、绳状青霉、出芽短梗霉等不少于6种的霉菌检测，且防霉等级为0级。</w:t>
            </w:r>
          </w:p>
          <w:p>
            <w:pPr>
              <w:widowControl/>
              <w:jc w:val="left"/>
              <w:rPr>
                <w:rFonts w:ascii="宋体" w:hAnsi="宋体" w:cs="宋体"/>
                <w:kern w:val="0"/>
                <w:szCs w:val="21"/>
              </w:rPr>
            </w:pPr>
            <w:r>
              <w:rPr>
                <w:rFonts w:hint="eastAsia" w:ascii="宋体" w:hAnsi="宋体" w:cs="宋体"/>
                <w:kern w:val="0"/>
                <w:szCs w:val="21"/>
              </w:rPr>
              <w:t>（4）燃烧性能检测：水平燃烧符合HB级；垂直燃烧符合V-0级；台面参照GB8624-2012《建筑材料及制品燃烧性能分级》标准，满足：燃烧性能等级B1级；产烟特性等级S1级；燃烧滴落物/微粒等级d0级。</w:t>
            </w:r>
          </w:p>
          <w:p>
            <w:pPr>
              <w:widowControl/>
              <w:jc w:val="left"/>
              <w:rPr>
                <w:rFonts w:ascii="宋体" w:hAnsi="宋体" w:cs="宋体"/>
                <w:kern w:val="0"/>
                <w:sz w:val="18"/>
                <w:szCs w:val="18"/>
              </w:rPr>
            </w:pPr>
            <w:r>
              <w:rPr>
                <w:rFonts w:hint="eastAsia" w:ascii="宋体" w:hAnsi="宋体" w:cs="宋体"/>
                <w:kern w:val="0"/>
                <w:szCs w:val="21"/>
              </w:rPr>
              <w:t>（5）烟气毒性检测：烟气毒性等级 t1 级：ZA3</w:t>
            </w:r>
            <w:r>
              <w:rPr>
                <w:rFonts w:hint="eastAsia" w:ascii="宋体" w:hAnsi="宋体" w:cs="宋体"/>
                <w:kern w:val="0"/>
                <w:sz w:val="18"/>
                <w:szCs w:val="18"/>
              </w:rPr>
              <w:t>（达到准安全三级ZA3）。</w:t>
            </w:r>
          </w:p>
          <w:p>
            <w:pPr>
              <w:widowControl/>
              <w:jc w:val="left"/>
              <w:rPr>
                <w:rFonts w:ascii="宋体" w:hAnsi="宋体" w:cs="宋体"/>
                <w:kern w:val="0"/>
                <w:szCs w:val="21"/>
              </w:rPr>
            </w:pPr>
            <w:r>
              <w:rPr>
                <w:rFonts w:hint="eastAsia" w:ascii="宋体" w:hAnsi="宋体" w:cs="宋体"/>
                <w:kern w:val="0"/>
                <w:szCs w:val="21"/>
              </w:rPr>
              <w:t>（6）抗老化性检测：48小时无裂纹、无鼓泡、无粉化。</w:t>
            </w:r>
          </w:p>
          <w:p>
            <w:pPr>
              <w:widowControl/>
              <w:jc w:val="left"/>
              <w:rPr>
                <w:rFonts w:ascii="宋体" w:hAnsi="宋体" w:cs="宋体"/>
                <w:kern w:val="0"/>
                <w:szCs w:val="21"/>
              </w:rPr>
            </w:pPr>
            <w:r>
              <w:rPr>
                <w:rFonts w:hint="eastAsia" w:ascii="宋体" w:hAnsi="宋体" w:cs="宋体"/>
                <w:kern w:val="0"/>
                <w:szCs w:val="21"/>
              </w:rPr>
              <w:t>3、桌体：新型塑铝结构，学生位镂空式，易碰撞处全部用倒圆角。</w:t>
            </w:r>
          </w:p>
          <w:p>
            <w:pPr>
              <w:widowControl/>
              <w:jc w:val="left"/>
              <w:rPr>
                <w:rFonts w:ascii="宋体" w:hAnsi="宋体" w:cs="宋体"/>
                <w:kern w:val="0"/>
                <w:szCs w:val="21"/>
              </w:rPr>
            </w:pPr>
            <w:r>
              <w:rPr>
                <w:rFonts w:hint="eastAsia" w:ascii="宋体" w:hAnsi="宋体" w:cs="宋体"/>
                <w:kern w:val="0"/>
                <w:szCs w:val="21"/>
              </w:rPr>
              <w:t>4、 侧面用三段式高强度铝合金结构，整体规格：566*770mm，其中上支架尺寸为566*145*50mm±5mm,下支架尺寸为562*135*50mm±5mm。立柱用菱形八边型结构设计，内嵌入上下铸铝支架20mm，后端配备加固支撑梁。侧面上下支架用不小于4mm厚的铝压铸一次成型，易碰撞处全部用倒圆角。下支架可装地脚调整桌子高度，或通过专用孔位与地面固定，并配不同色ABS脚套装饰盖。</w:t>
            </w:r>
          </w:p>
          <w:p>
            <w:pPr>
              <w:widowControl/>
              <w:jc w:val="left"/>
              <w:rPr>
                <w:rFonts w:ascii="宋体" w:hAnsi="宋体" w:cs="宋体"/>
                <w:kern w:val="0"/>
                <w:szCs w:val="21"/>
              </w:rPr>
            </w:pPr>
            <w:r>
              <w:rPr>
                <w:rFonts w:hint="eastAsia" w:ascii="宋体" w:hAnsi="宋体" w:cs="宋体"/>
                <w:kern w:val="0"/>
                <w:szCs w:val="21"/>
              </w:rPr>
              <w:t>5、立柱用菱形八边型结构设计，规格为105*50mm±5mm，厚度不小于1.5mm。</w:t>
            </w:r>
          </w:p>
          <w:p>
            <w:pPr>
              <w:widowControl/>
              <w:jc w:val="left"/>
              <w:rPr>
                <w:rFonts w:ascii="宋体" w:hAnsi="宋体" w:cs="宋体"/>
                <w:kern w:val="0"/>
                <w:szCs w:val="21"/>
              </w:rPr>
            </w:pPr>
            <w:r>
              <w:rPr>
                <w:rFonts w:hint="eastAsia" w:ascii="宋体" w:hAnsi="宋体" w:cs="宋体"/>
                <w:kern w:val="0"/>
                <w:szCs w:val="21"/>
              </w:rPr>
              <w:t>6、前横梁尺寸为50*41mm±5mm，用前端半圆弧设计，圆弧角度为R30，中横梁尺寸为37*37mm±5mm，铝材上设计铝材撕拉线，可在安装中横梁后，在铝材上撕拉出一条空槽，把电源线置于槽中，最大限度保护学生的用电安全。后横梁、挡水条一体式，尺寸为90*50mm±5mm，用前端半圆弧，圆弧角度为R30，配镶入卡口挡水条。另外配备注塑挡水块。中下横梁尺寸为138*18.5mm，用上下收腰设计。所有安装螺丝处的厚度不小于2.2mm，其它厚度不小于1.2mm。</w:t>
            </w:r>
          </w:p>
          <w:p>
            <w:pPr>
              <w:widowControl/>
              <w:jc w:val="left"/>
              <w:rPr>
                <w:rFonts w:ascii="宋体" w:hAnsi="宋体" w:cs="宋体"/>
                <w:kern w:val="0"/>
                <w:szCs w:val="21"/>
              </w:rPr>
            </w:pPr>
            <w:r>
              <w:rPr>
                <w:rFonts w:hint="eastAsia" w:ascii="宋体" w:hAnsi="宋体" w:cs="宋体"/>
                <w:kern w:val="0"/>
                <w:szCs w:val="21"/>
              </w:rPr>
              <w:t>7、</w:t>
            </w:r>
            <w:r>
              <w:rPr>
                <w:rFonts w:hint="eastAsia" w:ascii="宋体" w:hAnsi="宋体" w:cs="宋体"/>
                <w:szCs w:val="21"/>
              </w:rPr>
              <w:t>下支架脚：下支架脚配不同装饰颜色的ABS脚套装饰盖。</w:t>
            </w:r>
          </w:p>
          <w:p>
            <w:pPr>
              <w:widowControl/>
              <w:jc w:val="left"/>
              <w:rPr>
                <w:rFonts w:ascii="宋体" w:hAnsi="宋体" w:cs="宋体"/>
                <w:kern w:val="0"/>
                <w:szCs w:val="21"/>
              </w:rPr>
            </w:pPr>
            <w:r>
              <w:rPr>
                <w:rFonts w:hint="eastAsia" w:ascii="宋体" w:hAnsi="宋体" w:cs="宋体"/>
                <w:kern w:val="0"/>
                <w:szCs w:val="21"/>
              </w:rPr>
              <w:t>8、书包斗：整体尺寸485*260*190mm±5mm,用环保型ABS塑料工程一次性注塑成型，底、面部加设经纬加强筋，表面圆角处理。电源盒整体尺寸：257*230*180mm±5mm，用环保型ABS塑料工程一次性注塑成型，电源面板抗阻燃性。</w:t>
            </w:r>
          </w:p>
          <w:p>
            <w:pPr>
              <w:rPr>
                <w:rFonts w:ascii="宋体" w:hAnsi="宋体" w:cs="宋体"/>
                <w:kern w:val="0"/>
                <w:szCs w:val="21"/>
              </w:rPr>
            </w:pPr>
            <w:r>
              <w:rPr>
                <w:rFonts w:hint="eastAsia" w:ascii="宋体" w:hAnsi="宋体" w:cs="宋体"/>
                <w:kern w:val="0"/>
                <w:szCs w:val="21"/>
              </w:rPr>
              <w:t>9、产品符合GB24820-2009《实验室家具通用技术条件》 、GB 28481-2012《塑料家具中有物质限量》GB/T 32487-2016《塑料家具通用条件》标准；投标人需提供产品2021年及以后版本且带CMA或CNAS标志的检测报告复印件，</w:t>
            </w:r>
            <w:r>
              <w:rPr>
                <w:rFonts w:hint="eastAsia"/>
              </w:rPr>
              <w:t>并加盖制造厂商公章。</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张</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多功能柱</w:t>
            </w:r>
          </w:p>
        </w:tc>
        <w:tc>
          <w:tcPr>
            <w:tcW w:w="2984" w:type="pct"/>
            <w:shd w:val="clear" w:color="auto" w:fill="auto"/>
            <w:vAlign w:val="center"/>
          </w:tcPr>
          <w:p>
            <w:pPr>
              <w:jc w:val="left"/>
              <w:rPr>
                <w:szCs w:val="21"/>
              </w:rPr>
            </w:pPr>
            <w:r>
              <w:rPr>
                <w:rFonts w:hint="eastAsia"/>
                <w:szCs w:val="21"/>
              </w:rPr>
              <w:t>尺寸：352*194*737mm。</w:t>
            </w:r>
          </w:p>
          <w:p>
            <w:pPr>
              <w:widowControl/>
              <w:jc w:val="left"/>
              <w:textAlignment w:val="center"/>
              <w:rPr>
                <w:rFonts w:ascii="宋体" w:hAnsi="宋体" w:cs="宋体"/>
                <w:szCs w:val="21"/>
              </w:rPr>
            </w:pPr>
            <w:r>
              <w:rPr>
                <w:rFonts w:hint="eastAsia"/>
                <w:szCs w:val="21"/>
              </w:rPr>
              <w:t>由2个ABS工程塑料一次性注塑成型结合,表面沙面和光面相结合处理,以齿合槽配以螺丝连接，拆分组合方便，方便检修桶体内的风管或电线。</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学生安全电源</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1、每两个学生中间，配备手动翻转式防尘结构的电源盒，面板用阻燃ABS制作，选用PC贴膜。使用时翻出。使用完毕按回原位。接受教师演示台送来的交流电源。</w:t>
            </w:r>
            <w:r>
              <w:rPr>
                <w:rFonts w:hint="eastAsia" w:ascii="宋体" w:hAnsi="宋体" w:cs="宋体"/>
                <w:kern w:val="0"/>
                <w:szCs w:val="21"/>
              </w:rPr>
              <w:br w:type="textWrapping"/>
            </w:r>
            <w:r>
              <w:rPr>
                <w:rFonts w:hint="eastAsia" w:ascii="宋体" w:hAnsi="宋体" w:cs="宋体"/>
                <w:kern w:val="0"/>
                <w:szCs w:val="21"/>
              </w:rPr>
              <w:t>2、低压交直流电源：交直流0-24每2V一档由教师统一调节控制输出。（短路、过载自动保护、自动复位。）</w:t>
            </w:r>
            <w:r>
              <w:rPr>
                <w:rFonts w:hint="eastAsia" w:ascii="宋体" w:hAnsi="宋体" w:cs="宋体"/>
                <w:kern w:val="0"/>
                <w:szCs w:val="21"/>
              </w:rPr>
              <w:br w:type="textWrapping"/>
            </w:r>
            <w:r>
              <w:rPr>
                <w:rFonts w:hint="eastAsia" w:ascii="宋体" w:hAnsi="宋体" w:cs="宋体"/>
                <w:kern w:val="0"/>
                <w:szCs w:val="21"/>
              </w:rPr>
              <w:t>3、交流电源：每台配备220V交流输出电源，电源全部由教师台控制。</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水槽台</w:t>
            </w:r>
          </w:p>
        </w:tc>
        <w:tc>
          <w:tcPr>
            <w:tcW w:w="2984" w:type="pct"/>
            <w:shd w:val="clear" w:color="auto" w:fill="auto"/>
            <w:vAlign w:val="center"/>
          </w:tcPr>
          <w:p>
            <w:pPr>
              <w:widowControl/>
              <w:jc w:val="left"/>
              <w:textAlignment w:val="center"/>
              <w:rPr>
                <w:rFonts w:ascii="宋体" w:hAnsi="宋体" w:cs="宋体"/>
                <w:kern w:val="0"/>
                <w:szCs w:val="21"/>
              </w:rPr>
            </w:pPr>
            <w:r>
              <w:rPr>
                <w:rFonts w:hint="eastAsia" w:ascii="宋体" w:hAnsi="宋体" w:cs="宋体"/>
                <w:kern w:val="0"/>
                <w:szCs w:val="21"/>
              </w:rPr>
              <w:t>1、柜体规格:500*600*820mm；</w:t>
            </w:r>
          </w:p>
          <w:p>
            <w:pPr>
              <w:widowControl/>
              <w:jc w:val="left"/>
              <w:textAlignment w:val="center"/>
              <w:rPr>
                <w:rFonts w:ascii="宋体" w:hAnsi="宋体" w:cs="宋体"/>
                <w:kern w:val="0"/>
                <w:szCs w:val="21"/>
              </w:rPr>
            </w:pPr>
            <w:r>
              <w:rPr>
                <w:rFonts w:hint="eastAsia" w:ascii="宋体" w:hAnsi="宋体" w:cs="宋体"/>
                <w:kern w:val="0"/>
                <w:szCs w:val="21"/>
              </w:rPr>
              <w:t>2、榫卯连接结构并合理布局加强筋；</w:t>
            </w:r>
          </w:p>
          <w:p>
            <w:pPr>
              <w:widowControl/>
              <w:jc w:val="left"/>
              <w:textAlignment w:val="center"/>
              <w:rPr>
                <w:rFonts w:ascii="宋体" w:hAnsi="宋体" w:cs="宋体"/>
                <w:kern w:val="0"/>
                <w:szCs w:val="21"/>
              </w:rPr>
            </w:pPr>
            <w:r>
              <w:rPr>
                <w:rFonts w:hint="eastAsia" w:ascii="宋体" w:hAnsi="宋体" w:cs="宋体"/>
                <w:kern w:val="0"/>
                <w:szCs w:val="21"/>
              </w:rPr>
              <w:t>3、前门规格：510*365mm，主体壁厚不小于2mm背面设有厚2mm、高度不低于4.5mm的加强筋横6根竖6根；</w:t>
            </w:r>
          </w:p>
          <w:p>
            <w:pPr>
              <w:widowControl/>
              <w:jc w:val="left"/>
              <w:textAlignment w:val="center"/>
              <w:rPr>
                <w:rFonts w:ascii="宋体" w:hAnsi="宋体" w:cs="宋体"/>
                <w:kern w:val="0"/>
                <w:szCs w:val="21"/>
              </w:rPr>
            </w:pPr>
            <w:r>
              <w:rPr>
                <w:rFonts w:hint="eastAsia" w:ascii="宋体" w:hAnsi="宋体" w:cs="宋体"/>
                <w:kern w:val="0"/>
                <w:szCs w:val="21"/>
              </w:rPr>
              <w:t>4、前门带内凹式塑料扣手，门与整体水柜不用铰链连接，直接用内嵌式组装。柜子整体用环保型ABS工程塑料注塑成型；</w:t>
            </w:r>
          </w:p>
          <w:p>
            <w:pPr>
              <w:widowControl/>
              <w:jc w:val="left"/>
              <w:textAlignment w:val="center"/>
              <w:rPr>
                <w:rFonts w:ascii="宋体" w:hAnsi="宋体" w:cs="宋体"/>
                <w:kern w:val="0"/>
                <w:szCs w:val="21"/>
              </w:rPr>
            </w:pPr>
            <w:r>
              <w:rPr>
                <w:rFonts w:hint="eastAsia" w:ascii="宋体" w:hAnsi="宋体" w:cs="宋体"/>
                <w:kern w:val="0"/>
                <w:szCs w:val="21"/>
              </w:rPr>
              <w:t>5、水槽规格：500*600*350mm，水槽用环保型PP材料一次性注塑成型，耐强酸碱&lt;80度有机溶剂并耐150度以下高温，壁厚3.5mm；</w:t>
            </w:r>
          </w:p>
          <w:p>
            <w:pPr>
              <w:widowControl/>
              <w:jc w:val="left"/>
              <w:textAlignment w:val="center"/>
              <w:rPr>
                <w:rFonts w:ascii="宋体" w:hAnsi="宋体" w:cs="宋体"/>
                <w:szCs w:val="21"/>
              </w:rPr>
            </w:pPr>
            <w:r>
              <w:rPr>
                <w:rFonts w:hint="eastAsia" w:ascii="宋体" w:hAnsi="宋体" w:cs="宋体"/>
                <w:kern w:val="0"/>
                <w:szCs w:val="21"/>
              </w:rPr>
              <w:t xml:space="preserve">6、侧板规格600*300*780mm，左右侧板一致、主体壁厚不小于2.5mm、背面设有厚2mm、高度不低于5.5mm的加强筋横4根竖4根。                                                         </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三联水嘴</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陶瓷阀芯90°旋转，铜质内芯外用聚碳酸酯一次注塑成型的防腐蚀、耐酸碱的实验室专用水嘴(一高二低)</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学生凳</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szCs w:val="21"/>
              </w:rPr>
              <w:t>1.尺寸：Φ296*450mm；</w:t>
            </w:r>
          </w:p>
          <w:p>
            <w:pPr>
              <w:widowControl/>
              <w:jc w:val="left"/>
              <w:textAlignment w:val="center"/>
              <w:rPr>
                <w:rFonts w:ascii="宋体" w:hAnsi="宋体" w:cs="宋体"/>
                <w:szCs w:val="21"/>
              </w:rPr>
            </w:pPr>
            <w:r>
              <w:rPr>
                <w:rFonts w:hint="eastAsia" w:ascii="宋体" w:hAnsi="宋体" w:cs="宋体"/>
                <w:szCs w:val="21"/>
              </w:rPr>
              <w:t>2.材质：ABS+钢管；</w:t>
            </w:r>
          </w:p>
          <w:p>
            <w:pPr>
              <w:widowControl/>
              <w:jc w:val="left"/>
              <w:textAlignment w:val="center"/>
              <w:rPr>
                <w:rFonts w:ascii="宋体" w:hAnsi="宋体" w:cs="宋体"/>
                <w:szCs w:val="21"/>
              </w:rPr>
            </w:pPr>
            <w:r>
              <w:rPr>
                <w:rFonts w:hint="eastAsia" w:ascii="宋体" w:hAnsi="宋体" w:cs="宋体"/>
                <w:szCs w:val="21"/>
              </w:rPr>
              <w:t>3.工艺：面板用ABS新料一体注塑成型，面板直径29.6cm±1cm。中间有內弧造型，深度为8mm。椅腿钢管尺寸：32*22*1.5mm，用鱼眼管满焊焊接，表面用高温粉体烤漆；脚垫用PP纤维质塑胶一体成型；凳子底部加黑色护垫，保护地板防止摩擦，所有零部件用永久性固定方式。</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条</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95" w:type="pct"/>
            <w:gridSpan w:val="3"/>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三、通风系统</w:t>
            </w:r>
          </w:p>
        </w:tc>
        <w:tc>
          <w:tcPr>
            <w:tcW w:w="301" w:type="pct"/>
            <w:shd w:val="clear" w:color="auto" w:fill="auto"/>
            <w:noWrap/>
            <w:vAlign w:val="center"/>
          </w:tcPr>
          <w:p>
            <w:pPr>
              <w:widowControl/>
              <w:jc w:val="center"/>
              <w:rPr>
                <w:rFonts w:ascii="宋体" w:hAnsi="宋体" w:cs="宋体"/>
                <w:kern w:val="0"/>
                <w:szCs w:val="21"/>
              </w:rPr>
            </w:pPr>
          </w:p>
        </w:tc>
        <w:tc>
          <w:tcPr>
            <w:tcW w:w="302" w:type="pct"/>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实验台通风装置</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用PVC塑料注塑成型的隐蔽式吸风罩，设在台面上，可任意调节方向和高度。</w:t>
            </w:r>
          </w:p>
        </w:tc>
        <w:tc>
          <w:tcPr>
            <w:tcW w:w="3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实验室通风机</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选用防腐蚀的6#变频调速风机，功率5.5KW,N=125-1250转/分，风量为0-12000m³/小时，噪声要求按行业标准≤55分贝，材质用pvc可焊塑料制作，异型件、井架等。电机动力4KW。通风排毒效果为99%以上（3-5分钟）每小时换气不小于20次，罩口风速不低于6米/以上。</w:t>
            </w:r>
          </w:p>
        </w:tc>
        <w:tc>
          <w:tcPr>
            <w:tcW w:w="3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风机减振器</w:t>
            </w:r>
          </w:p>
        </w:tc>
        <w:tc>
          <w:tcPr>
            <w:tcW w:w="2984" w:type="pct"/>
            <w:shd w:val="clear" w:color="auto" w:fill="auto"/>
            <w:vAlign w:val="center"/>
          </w:tcPr>
          <w:p>
            <w:pPr>
              <w:jc w:val="left"/>
              <w:rPr>
                <w:szCs w:val="21"/>
              </w:rPr>
            </w:pPr>
            <w:r>
              <w:rPr>
                <w:rFonts w:hint="eastAsia"/>
                <w:szCs w:val="21"/>
              </w:rPr>
              <w:t>专用设计减振</w:t>
            </w:r>
          </w:p>
        </w:tc>
        <w:tc>
          <w:tcPr>
            <w:tcW w:w="3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通风机消音器</w:t>
            </w:r>
          </w:p>
        </w:tc>
        <w:tc>
          <w:tcPr>
            <w:tcW w:w="2984" w:type="pct"/>
            <w:shd w:val="clear" w:color="auto" w:fill="auto"/>
            <w:vAlign w:val="center"/>
          </w:tcPr>
          <w:p>
            <w:pPr>
              <w:widowControl/>
              <w:jc w:val="left"/>
              <w:textAlignment w:val="center"/>
              <w:rPr>
                <w:rFonts w:ascii="宋体" w:hAnsi="宋体" w:cs="宋体"/>
                <w:kern w:val="0"/>
                <w:szCs w:val="21"/>
              </w:rPr>
            </w:pPr>
            <w:r>
              <w:rPr>
                <w:rFonts w:hint="eastAsia" w:ascii="宋体" w:hAnsi="宋体" w:cs="宋体"/>
                <w:kern w:val="0"/>
                <w:szCs w:val="21"/>
              </w:rPr>
              <w:t>（1）消音器用化工专用工程塑料，耐腐蚀，耐酸碱性能好的圆管制作，并且内壁装有吸音作用的材料，同时提高减少风的阻力。</w:t>
            </w:r>
          </w:p>
          <w:p>
            <w:pPr>
              <w:widowControl/>
              <w:jc w:val="left"/>
              <w:textAlignment w:val="center"/>
              <w:rPr>
                <w:rFonts w:ascii="宋体" w:hAnsi="宋体" w:cs="宋体"/>
                <w:szCs w:val="21"/>
              </w:rPr>
            </w:pPr>
            <w:r>
              <w:rPr>
                <w:rFonts w:hint="eastAsia" w:ascii="宋体" w:hAnsi="宋体" w:cs="宋体"/>
                <w:kern w:val="0"/>
                <w:szCs w:val="21"/>
              </w:rPr>
              <w:t>（2）可以控制噪音达到国家规定噪音55db以下标准。</w:t>
            </w:r>
          </w:p>
        </w:tc>
        <w:tc>
          <w:tcPr>
            <w:tcW w:w="3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风机出入口软接头</w:t>
            </w:r>
          </w:p>
        </w:tc>
        <w:tc>
          <w:tcPr>
            <w:tcW w:w="2984" w:type="pct"/>
            <w:shd w:val="clear" w:color="auto" w:fill="auto"/>
            <w:vAlign w:val="center"/>
          </w:tcPr>
          <w:p>
            <w:pPr>
              <w:jc w:val="left"/>
              <w:rPr>
                <w:szCs w:val="21"/>
              </w:rPr>
            </w:pPr>
            <w:r>
              <w:rPr>
                <w:rFonts w:hint="eastAsia"/>
                <w:szCs w:val="21"/>
              </w:rPr>
              <w:t>专业设计</w:t>
            </w:r>
          </w:p>
        </w:tc>
        <w:tc>
          <w:tcPr>
            <w:tcW w:w="3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防雨帽</w:t>
            </w:r>
          </w:p>
        </w:tc>
        <w:tc>
          <w:tcPr>
            <w:tcW w:w="2984" w:type="pct"/>
            <w:shd w:val="clear" w:color="auto" w:fill="auto"/>
            <w:vAlign w:val="center"/>
          </w:tcPr>
          <w:p>
            <w:pPr>
              <w:jc w:val="left"/>
              <w:rPr>
                <w:szCs w:val="21"/>
              </w:rPr>
            </w:pPr>
            <w:r>
              <w:rPr>
                <w:rFonts w:hint="eastAsia"/>
                <w:szCs w:val="21"/>
              </w:rPr>
              <w:t>伞型结构</w:t>
            </w:r>
          </w:p>
        </w:tc>
        <w:tc>
          <w:tcPr>
            <w:tcW w:w="3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1.7</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地下通风系统</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主通风道用防腐蚀￠400mm专用国标管（UPVC）埋地止室外；支风道用￠200mm国标管（UPVC），接口用专用胶连接。行程通风管用￠400mm防腐蚀国标管（UPVC）。</w:t>
            </w:r>
          </w:p>
        </w:tc>
        <w:tc>
          <w:tcPr>
            <w:tcW w:w="3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95" w:type="pct"/>
            <w:gridSpan w:val="3"/>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 xml:space="preserve">            四、环境装修装饰</w:t>
            </w:r>
          </w:p>
        </w:tc>
        <w:tc>
          <w:tcPr>
            <w:tcW w:w="301" w:type="pct"/>
            <w:shd w:val="clear" w:color="auto" w:fill="auto"/>
            <w:noWrap/>
            <w:vAlign w:val="center"/>
          </w:tcPr>
          <w:p>
            <w:pPr>
              <w:widowControl/>
              <w:jc w:val="center"/>
              <w:rPr>
                <w:rFonts w:ascii="宋体" w:hAnsi="宋体" w:cs="宋体"/>
                <w:b/>
                <w:bCs/>
                <w:kern w:val="0"/>
                <w:szCs w:val="21"/>
              </w:rPr>
            </w:pPr>
          </w:p>
        </w:tc>
        <w:tc>
          <w:tcPr>
            <w:tcW w:w="302" w:type="pct"/>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95" w:type="pct"/>
            <w:gridSpan w:val="3"/>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1、实验室基础设施-室内水电综合布线系统</w:t>
            </w:r>
          </w:p>
        </w:tc>
        <w:tc>
          <w:tcPr>
            <w:tcW w:w="301" w:type="pct"/>
            <w:shd w:val="clear" w:color="auto" w:fill="auto"/>
            <w:noWrap/>
            <w:vAlign w:val="center"/>
          </w:tcPr>
          <w:p>
            <w:pPr>
              <w:widowControl/>
              <w:jc w:val="center"/>
              <w:rPr>
                <w:rFonts w:ascii="宋体" w:hAnsi="宋体" w:cs="宋体"/>
                <w:b/>
                <w:bCs/>
                <w:kern w:val="0"/>
                <w:szCs w:val="21"/>
              </w:rPr>
            </w:pPr>
          </w:p>
        </w:tc>
        <w:tc>
          <w:tcPr>
            <w:tcW w:w="302" w:type="pct"/>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电路系统</w:t>
            </w:r>
          </w:p>
        </w:tc>
        <w:tc>
          <w:tcPr>
            <w:tcW w:w="2984"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用2.5平方国标线材，根据教学实验标准，连接好教师电源和学生电源正常使用。</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给排水系统</w:t>
            </w:r>
          </w:p>
        </w:tc>
        <w:tc>
          <w:tcPr>
            <w:tcW w:w="2984"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供水主管φ25PPR，国标φ50PVC排水管。</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0" w:type="pct"/>
            <w:gridSpan w:val="5"/>
            <w:shd w:val="clear" w:color="auto" w:fill="auto"/>
            <w:noWrap/>
            <w:vAlign w:val="center"/>
          </w:tcPr>
          <w:p>
            <w:pPr>
              <w:widowControl/>
              <w:jc w:val="center"/>
              <w:textAlignment w:val="center"/>
              <w:rPr>
                <w:rFonts w:ascii="宋体" w:hAnsi="宋体" w:cs="宋体"/>
                <w:b/>
                <w:bCs/>
                <w:szCs w:val="21"/>
              </w:rPr>
            </w:pPr>
            <w:r>
              <w:rPr>
                <w:rFonts w:hint="eastAsia" w:ascii="宋体" w:hAnsi="宋体" w:cs="宋体"/>
                <w:b/>
                <w:bCs/>
                <w:kern w:val="0"/>
                <w:szCs w:val="21"/>
              </w:rPr>
              <w:t>五、实验室基础设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rPr>
              <w:t>1.1</w:t>
            </w:r>
          </w:p>
        </w:tc>
        <w:tc>
          <w:tcPr>
            <w:tcW w:w="996" w:type="pct"/>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实验室安装</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整体实验室安装</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tcBorders>
              <w:bottom w:val="single" w:color="auto" w:sz="4" w:space="0"/>
            </w:tcBorders>
            <w:shd w:val="clear" w:color="auto" w:fill="auto"/>
            <w:noWrap/>
            <w:vAlign w:val="center"/>
          </w:tcPr>
          <w:p>
            <w:pPr>
              <w:widowControl/>
              <w:jc w:val="center"/>
              <w:textAlignment w:val="center"/>
              <w:rPr>
                <w:rFonts w:ascii="宋体" w:hAnsi="宋体" w:cs="宋体"/>
                <w:kern w:val="0"/>
                <w:szCs w:val="21"/>
              </w:rPr>
            </w:pPr>
            <w:r>
              <w:rPr>
                <w:rFonts w:hint="eastAsia" w:ascii="宋体" w:hAnsi="宋体" w:cs="宋体"/>
                <w:kern w:val="0"/>
                <w:szCs w:val="21"/>
              </w:rPr>
              <w:t>1.2</w:t>
            </w:r>
          </w:p>
        </w:tc>
        <w:tc>
          <w:tcPr>
            <w:tcW w:w="996" w:type="pct"/>
            <w:tcBorders>
              <w:bottom w:val="single" w:color="auto" w:sz="4" w:space="0"/>
            </w:tcBorders>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地面改造</w:t>
            </w:r>
          </w:p>
        </w:tc>
        <w:tc>
          <w:tcPr>
            <w:tcW w:w="2984" w:type="pct"/>
            <w:tcBorders>
              <w:bottom w:val="single" w:color="auto" w:sz="4" w:space="0"/>
            </w:tcBorders>
            <w:shd w:val="clear" w:color="auto" w:fill="auto"/>
            <w:vAlign w:val="center"/>
          </w:tcPr>
          <w:p>
            <w:pPr>
              <w:widowControl/>
              <w:jc w:val="left"/>
              <w:textAlignment w:val="center"/>
              <w:rPr>
                <w:rFonts w:ascii="宋体" w:hAnsi="宋体" w:cs="宋体"/>
                <w:kern w:val="0"/>
                <w:szCs w:val="21"/>
              </w:rPr>
            </w:pPr>
            <w:r>
              <w:rPr>
                <w:rFonts w:hint="eastAsia" w:ascii="宋体" w:hAnsi="宋体" w:cs="宋体"/>
                <w:kern w:val="0"/>
                <w:szCs w:val="21"/>
              </w:rPr>
              <w:t>地面以上瓷砖切沟、地面切沟铺设地下水电，铺设后地面回填，不锈钢卡槽覆盖。</w:t>
            </w:r>
          </w:p>
        </w:tc>
        <w:tc>
          <w:tcPr>
            <w:tcW w:w="301" w:type="pct"/>
            <w:tcBorders>
              <w:bottom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项</w:t>
            </w:r>
          </w:p>
        </w:tc>
        <w:tc>
          <w:tcPr>
            <w:tcW w:w="302" w:type="pct"/>
            <w:tcBorders>
              <w:bottom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0" w:type="pct"/>
            <w:gridSpan w:val="5"/>
            <w:tcBorders>
              <w:left w:val="nil"/>
              <w:bottom w:val="single" w:color="auto" w:sz="4" w:space="0"/>
              <w:right w:val="nil"/>
            </w:tcBorders>
            <w:shd w:val="clear" w:color="auto" w:fill="auto"/>
            <w:noWrap/>
            <w:vAlign w:val="center"/>
          </w:tcPr>
          <w:p>
            <w:pPr>
              <w:pStyle w:val="2"/>
              <w:ind w:firstLine="2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0" w:type="pct"/>
            <w:gridSpan w:val="5"/>
            <w:tcBorders>
              <w:top w:val="single" w:color="auto" w:sz="4" w:space="0"/>
            </w:tcBorders>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4、</w:t>
            </w:r>
            <w:r>
              <w:rPr>
                <w:rFonts w:hint="eastAsia" w:ascii="宋体" w:hAnsi="宋体" w:cs="宋体"/>
                <w:b/>
                <w:kern w:val="0"/>
                <w:szCs w:val="21"/>
              </w:rPr>
              <w:t>新建化学准备室及仪器室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996"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货物名称</w:t>
            </w:r>
          </w:p>
        </w:tc>
        <w:tc>
          <w:tcPr>
            <w:tcW w:w="2984"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技术要求</w:t>
            </w:r>
          </w:p>
        </w:tc>
        <w:tc>
          <w:tcPr>
            <w:tcW w:w="301"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单位</w:t>
            </w:r>
          </w:p>
        </w:tc>
        <w:tc>
          <w:tcPr>
            <w:tcW w:w="302"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99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准备台</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szCs w:val="21"/>
              </w:rPr>
              <w:t>1、整体规格：2400*1200*780mm。</w:t>
            </w:r>
          </w:p>
          <w:p>
            <w:pPr>
              <w:widowControl/>
              <w:jc w:val="left"/>
              <w:textAlignment w:val="center"/>
              <w:rPr>
                <w:rFonts w:ascii="宋体" w:hAnsi="宋体" w:cs="宋体"/>
                <w:szCs w:val="21"/>
              </w:rPr>
            </w:pPr>
            <w:r>
              <w:rPr>
                <w:rFonts w:hint="eastAsia" w:ascii="宋体" w:hAnsi="宋体" w:cs="宋体"/>
                <w:szCs w:val="21"/>
              </w:rPr>
              <w:t>2、 台面：12.7mm厚双面膜实芯理化板。</w:t>
            </w:r>
          </w:p>
          <w:p>
            <w:pPr>
              <w:widowControl/>
              <w:jc w:val="left"/>
              <w:textAlignment w:val="center"/>
              <w:rPr>
                <w:rFonts w:ascii="宋体" w:hAnsi="宋体" w:cs="宋体"/>
                <w:szCs w:val="21"/>
              </w:rPr>
            </w:pPr>
            <w:r>
              <w:rPr>
                <w:rFonts w:hint="eastAsia" w:ascii="宋体" w:hAnsi="宋体" w:cs="宋体"/>
                <w:szCs w:val="21"/>
              </w:rPr>
              <w:t>3、桌体：新型塑铝结构，学生位镂空式，易碰撞处全部用倒圆角。</w:t>
            </w:r>
          </w:p>
          <w:p>
            <w:pPr>
              <w:widowControl/>
              <w:jc w:val="left"/>
              <w:textAlignment w:val="center"/>
              <w:rPr>
                <w:rFonts w:ascii="宋体" w:hAnsi="宋体" w:cs="宋体"/>
                <w:szCs w:val="21"/>
              </w:rPr>
            </w:pPr>
            <w:r>
              <w:rPr>
                <w:rFonts w:hint="eastAsia" w:ascii="宋体" w:hAnsi="宋体" w:cs="宋体"/>
                <w:szCs w:val="21"/>
              </w:rPr>
              <w:t>4、 侧面用三段式高强度铝合金结构，整体规格：566*770mm，其中上支架尺寸为566*145*50mm</w:t>
            </w:r>
            <w:r>
              <w:rPr>
                <w:rFonts w:hint="eastAsia" w:ascii="宋体" w:hAnsi="宋体" w:cs="宋体"/>
                <w:kern w:val="0"/>
                <w:szCs w:val="21"/>
              </w:rPr>
              <w:t>±5mm</w:t>
            </w:r>
            <w:r>
              <w:rPr>
                <w:rFonts w:hint="eastAsia" w:ascii="宋体" w:hAnsi="宋体" w:cs="宋体"/>
                <w:szCs w:val="21"/>
              </w:rPr>
              <w:t>,下支架尺寸为562*135*50mm</w:t>
            </w:r>
            <w:r>
              <w:rPr>
                <w:rFonts w:hint="eastAsia" w:ascii="宋体" w:hAnsi="宋体" w:cs="宋体"/>
                <w:kern w:val="0"/>
                <w:szCs w:val="21"/>
              </w:rPr>
              <w:t>±5mm</w:t>
            </w:r>
            <w:r>
              <w:rPr>
                <w:rFonts w:hint="eastAsia" w:ascii="宋体" w:hAnsi="宋体" w:cs="宋体"/>
                <w:szCs w:val="21"/>
              </w:rPr>
              <w:t>。立柱用菱形八边型结构设计，内嵌入上下铸铝支架20mm，后端配备加固支撑梁。侧面上下支架用不小于 4mm厚的铝压铸一次成型，易碰撞处全部用倒圆角。下支架配有不同色ABS脚套装饰盖。</w:t>
            </w:r>
          </w:p>
          <w:p>
            <w:pPr>
              <w:widowControl/>
              <w:jc w:val="left"/>
              <w:textAlignment w:val="center"/>
              <w:rPr>
                <w:rFonts w:ascii="宋体" w:hAnsi="宋体" w:cs="宋体"/>
                <w:szCs w:val="21"/>
              </w:rPr>
            </w:pPr>
            <w:r>
              <w:rPr>
                <w:rFonts w:hint="eastAsia" w:ascii="宋体" w:hAnsi="宋体" w:cs="宋体"/>
                <w:szCs w:val="21"/>
              </w:rPr>
              <w:t>5、立柱用菱形八边型结构设计，规格为105*50mm，厚度1.5mm。</w:t>
            </w:r>
          </w:p>
          <w:p>
            <w:pPr>
              <w:widowControl/>
              <w:jc w:val="left"/>
              <w:textAlignment w:val="center"/>
              <w:rPr>
                <w:rFonts w:ascii="宋体" w:hAnsi="宋体" w:cs="宋体"/>
                <w:szCs w:val="21"/>
              </w:rPr>
            </w:pPr>
            <w:r>
              <w:rPr>
                <w:rFonts w:hint="eastAsia" w:ascii="宋体" w:hAnsi="宋体" w:cs="宋体"/>
                <w:szCs w:val="21"/>
              </w:rPr>
              <w:t>6、前后横梁尺寸为50*41mm</w:t>
            </w:r>
            <w:r>
              <w:rPr>
                <w:rFonts w:hint="eastAsia" w:ascii="宋体" w:hAnsi="宋体" w:cs="宋体"/>
                <w:kern w:val="0"/>
                <w:szCs w:val="21"/>
              </w:rPr>
              <w:t>±5mm</w:t>
            </w:r>
            <w:r>
              <w:rPr>
                <w:rFonts w:hint="eastAsia" w:ascii="宋体" w:hAnsi="宋体" w:cs="宋体"/>
                <w:szCs w:val="21"/>
              </w:rPr>
              <w:t>，用前端半圆弧设计，圆弧角度为R30，中下横梁尺寸为138*18.5mm</w:t>
            </w:r>
            <w:r>
              <w:rPr>
                <w:rFonts w:hint="eastAsia" w:ascii="宋体" w:hAnsi="宋体" w:cs="宋体"/>
                <w:kern w:val="0"/>
                <w:szCs w:val="21"/>
              </w:rPr>
              <w:t>±5mm</w:t>
            </w:r>
            <w:r>
              <w:rPr>
                <w:rFonts w:hint="eastAsia" w:ascii="宋体" w:hAnsi="宋体" w:cs="宋体"/>
                <w:szCs w:val="21"/>
              </w:rPr>
              <w:t>，用上下收腰设计。所有安装螺丝处的厚度不小于2.2mm，其它厚度不小于1.2mm。</w:t>
            </w:r>
          </w:p>
          <w:p>
            <w:pPr>
              <w:widowControl/>
              <w:jc w:val="left"/>
              <w:textAlignment w:val="center"/>
              <w:rPr>
                <w:rFonts w:ascii="宋体" w:hAnsi="宋体" w:cs="宋体"/>
                <w:szCs w:val="21"/>
              </w:rPr>
            </w:pPr>
            <w:r>
              <w:rPr>
                <w:rFonts w:hint="eastAsia" w:ascii="宋体" w:hAnsi="宋体" w:cs="宋体"/>
                <w:szCs w:val="21"/>
              </w:rPr>
              <w:t>7、下支架脚：下支架脚配不同装饰颜色的ABS脚套装饰盖。</w:t>
            </w:r>
          </w:p>
          <w:p>
            <w:pPr>
              <w:widowControl/>
              <w:jc w:val="left"/>
              <w:textAlignment w:val="center"/>
              <w:rPr>
                <w:rFonts w:ascii="宋体" w:hAnsi="宋体" w:cs="宋体"/>
                <w:szCs w:val="21"/>
              </w:rPr>
            </w:pPr>
            <w:r>
              <w:rPr>
                <w:rFonts w:hint="eastAsia" w:ascii="宋体" w:hAnsi="宋体" w:cs="宋体"/>
                <w:szCs w:val="21"/>
              </w:rPr>
              <w:t>8、书包斗：整体尺寸485*260*190mm,用环保型ABS塑料工程一次性注塑成型，底、面部加设经纬加强筋，表面圆角处理。</w:t>
            </w:r>
          </w:p>
          <w:p>
            <w:pPr>
              <w:widowControl/>
              <w:jc w:val="left"/>
              <w:textAlignment w:val="center"/>
            </w:pPr>
            <w:r>
              <w:rPr>
                <w:rFonts w:hint="eastAsia"/>
              </w:rPr>
              <w:t>9、产品符合GB24820-2009《实验室家具通用技术条件》 、GB 28481-2012《塑料家具中有物质限量》GB/T 32487-2016《塑料家具通用条件》标准；投标人需提供产品2021年及以后版本且带CMA或CNAS标志的检测报告复印件，并加盖制造厂商公章。</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张</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textAlignment w:val="center"/>
              <w:rPr>
                <w:rFonts w:ascii="宋体" w:hAnsi="宋体" w:cs="宋体"/>
                <w:kern w:val="0"/>
                <w:szCs w:val="21"/>
              </w:rPr>
            </w:pPr>
            <w:r>
              <w:rPr>
                <w:rFonts w:hint="eastAsia" w:ascii="宋体" w:hAnsi="宋体" w:cs="宋体"/>
                <w:kern w:val="0"/>
                <w:szCs w:val="21"/>
              </w:rPr>
              <w:t>2</w:t>
            </w:r>
          </w:p>
        </w:tc>
        <w:tc>
          <w:tcPr>
            <w:tcW w:w="996" w:type="pct"/>
            <w:shd w:val="clear" w:color="auto" w:fill="auto"/>
            <w:noWrap/>
            <w:vAlign w:val="center"/>
          </w:tcPr>
          <w:p>
            <w:pPr>
              <w:widowControl/>
              <w:jc w:val="center"/>
              <w:textAlignment w:val="center"/>
              <w:rPr>
                <w:rFonts w:ascii="宋体" w:hAnsi="宋体" w:cs="宋体"/>
                <w:kern w:val="0"/>
                <w:szCs w:val="21"/>
              </w:rPr>
            </w:pPr>
            <w:r>
              <w:rPr>
                <w:rFonts w:hint="eastAsia" w:ascii="宋体" w:hAnsi="宋体" w:cs="宋体"/>
                <w:kern w:val="0"/>
                <w:szCs w:val="21"/>
              </w:rPr>
              <w:t>多功能柱</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szCs w:val="21"/>
              </w:rPr>
              <w:t>尺寸：352*194*737mm。</w:t>
            </w:r>
          </w:p>
          <w:p>
            <w:pPr>
              <w:widowControl/>
              <w:jc w:val="left"/>
              <w:textAlignment w:val="center"/>
              <w:rPr>
                <w:rFonts w:ascii="宋体" w:hAnsi="宋体" w:cs="宋体"/>
                <w:szCs w:val="21"/>
              </w:rPr>
            </w:pPr>
            <w:r>
              <w:rPr>
                <w:rFonts w:hint="eastAsia" w:ascii="宋体" w:hAnsi="宋体" w:cs="宋体"/>
                <w:szCs w:val="21"/>
              </w:rPr>
              <w:t>由2个ABS工程塑料一次性注塑成型结合,表面沙面和光面相结合处理,以齿合槽配以螺丝连接，拆分组合方便，方便检修桶体内的风管或电线。</w:t>
            </w:r>
          </w:p>
        </w:tc>
        <w:tc>
          <w:tcPr>
            <w:tcW w:w="301" w:type="pct"/>
            <w:shd w:val="clear" w:color="auto" w:fill="auto"/>
            <w:noWrap/>
            <w:vAlign w:val="center"/>
          </w:tcPr>
          <w:p>
            <w:pPr>
              <w:widowControl/>
              <w:jc w:val="center"/>
              <w:textAlignment w:val="center"/>
              <w:rPr>
                <w:rFonts w:ascii="宋体" w:hAnsi="宋体" w:cs="宋体"/>
                <w:kern w:val="0"/>
                <w:szCs w:val="21"/>
              </w:rPr>
            </w:pPr>
            <w:r>
              <w:rPr>
                <w:rFonts w:hint="eastAsia" w:ascii="宋体" w:hAnsi="宋体" w:cs="宋体"/>
                <w:kern w:val="0"/>
                <w:szCs w:val="21"/>
              </w:rPr>
              <w:t>个</w:t>
            </w:r>
          </w:p>
        </w:tc>
        <w:tc>
          <w:tcPr>
            <w:tcW w:w="302" w:type="pct"/>
            <w:shd w:val="clear" w:color="auto" w:fill="auto"/>
            <w:noWrap/>
            <w:vAlign w:val="center"/>
          </w:tcPr>
          <w:p>
            <w:pPr>
              <w:widowControl/>
              <w:jc w:val="center"/>
              <w:textAlignment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99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仪器柜</w:t>
            </w:r>
          </w:p>
        </w:tc>
        <w:tc>
          <w:tcPr>
            <w:tcW w:w="2984" w:type="pct"/>
            <w:shd w:val="clear" w:color="auto" w:fill="auto"/>
            <w:vAlign w:val="center"/>
          </w:tcPr>
          <w:p>
            <w:pPr>
              <w:widowControl/>
              <w:jc w:val="left"/>
              <w:textAlignment w:val="center"/>
              <w:rPr>
                <w:rFonts w:ascii="宋体" w:hAnsi="宋体" w:cs="宋体"/>
                <w:kern w:val="0"/>
                <w:szCs w:val="21"/>
              </w:rPr>
            </w:pPr>
            <w:r>
              <w:rPr>
                <w:rFonts w:hint="eastAsia" w:ascii="宋体" w:hAnsi="宋体" w:cs="宋体"/>
                <w:kern w:val="0"/>
                <w:szCs w:val="21"/>
              </w:rPr>
              <w:t>1000×500×2000mm，整体用环保型ABS塑料一次性注塑成型，层板用2.5mm厚双面环保型PP改性塑料，耐强酸碱及有机溶剂，内设加强筋。</w:t>
            </w:r>
          </w:p>
          <w:p>
            <w:pPr>
              <w:widowControl/>
              <w:jc w:val="left"/>
              <w:textAlignment w:val="center"/>
              <w:rPr>
                <w:rFonts w:ascii="宋体" w:hAnsi="宋体" w:cs="宋体"/>
                <w:kern w:val="0"/>
                <w:szCs w:val="21"/>
              </w:rPr>
            </w:pPr>
            <w:r>
              <w:rPr>
                <w:rFonts w:hint="eastAsia" w:ascii="宋体" w:hAnsi="宋体" w:cs="宋体"/>
                <w:kern w:val="0"/>
                <w:szCs w:val="21"/>
              </w:rPr>
              <w:t>柜体：1、榫卯连接结构并合理布局加强筋。</w:t>
            </w:r>
          </w:p>
          <w:p>
            <w:pPr>
              <w:widowControl/>
              <w:jc w:val="left"/>
              <w:textAlignment w:val="center"/>
              <w:rPr>
                <w:rFonts w:ascii="宋体" w:hAnsi="宋体" w:cs="宋体"/>
                <w:kern w:val="0"/>
                <w:szCs w:val="21"/>
              </w:rPr>
            </w:pPr>
            <w:r>
              <w:rPr>
                <w:rFonts w:hint="eastAsia" w:ascii="宋体" w:hAnsi="宋体" w:cs="宋体"/>
                <w:kern w:val="0"/>
                <w:szCs w:val="21"/>
              </w:rPr>
              <w:t>2、上部为ABS工程塑料镶装玻璃对开门，带锁、内嵌式塑料扣手，用尼龙塑料铰链，内设PP改性塑料活动隔板2块。</w:t>
            </w:r>
          </w:p>
          <w:p>
            <w:pPr>
              <w:widowControl/>
              <w:jc w:val="left"/>
              <w:textAlignment w:val="center"/>
              <w:rPr>
                <w:rFonts w:ascii="宋体" w:hAnsi="宋体" w:cs="宋体"/>
                <w:kern w:val="0"/>
                <w:szCs w:val="21"/>
              </w:rPr>
            </w:pPr>
            <w:r>
              <w:rPr>
                <w:rFonts w:hint="eastAsia" w:ascii="宋体" w:hAnsi="宋体" w:cs="宋体"/>
                <w:kern w:val="0"/>
                <w:szCs w:val="21"/>
              </w:rPr>
              <w:t>3、下部为ABS工程塑料对开门，带锁、内嵌式塑料扣手，用尼龙塑料铰链，内设PP改性塑料活动隔板1块。</w:t>
            </w:r>
          </w:p>
          <w:p>
            <w:pPr>
              <w:widowControl/>
              <w:jc w:val="left"/>
              <w:textAlignment w:val="center"/>
              <w:rPr>
                <w:rFonts w:ascii="宋体" w:hAnsi="宋体" w:cs="宋体"/>
                <w:kern w:val="0"/>
                <w:szCs w:val="21"/>
              </w:rPr>
            </w:pPr>
            <w:r>
              <w:rPr>
                <w:rFonts w:hint="eastAsia" w:ascii="宋体" w:hAnsi="宋体" w:cs="宋体"/>
                <w:kern w:val="0"/>
                <w:szCs w:val="21"/>
              </w:rPr>
              <w:t>4、门板与侧板安装有防盗插销，防止从外部撬开柜门。</w:t>
            </w:r>
          </w:p>
          <w:p>
            <w:pPr>
              <w:widowControl/>
              <w:jc w:val="left"/>
              <w:textAlignment w:val="center"/>
              <w:rPr>
                <w:rFonts w:ascii="宋体" w:hAnsi="宋体" w:cs="宋体"/>
                <w:szCs w:val="21"/>
              </w:rPr>
            </w:pPr>
            <w:r>
              <w:rPr>
                <w:rFonts w:hint="eastAsia" w:ascii="宋体" w:hAnsi="宋体" w:cs="宋体"/>
                <w:kern w:val="0"/>
                <w:szCs w:val="21"/>
              </w:rPr>
              <w:t>5、底座高80mm，上下板30mm，重要部位加厚处理。</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99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毒害品通风柜</w:t>
            </w:r>
          </w:p>
        </w:tc>
        <w:tc>
          <w:tcPr>
            <w:tcW w:w="2984" w:type="pct"/>
            <w:shd w:val="clear" w:color="auto" w:fill="auto"/>
            <w:vAlign w:val="center"/>
          </w:tcPr>
          <w:p>
            <w:pPr>
              <w:widowControl/>
              <w:jc w:val="left"/>
              <w:textAlignment w:val="center"/>
              <w:rPr>
                <w:rFonts w:ascii="宋体" w:hAnsi="宋体" w:cs="宋体"/>
                <w:kern w:val="0"/>
                <w:szCs w:val="21"/>
              </w:rPr>
            </w:pPr>
            <w:r>
              <w:rPr>
                <w:rFonts w:hint="eastAsia" w:ascii="宋体" w:hAnsi="宋体" w:cs="宋体"/>
                <w:kern w:val="0"/>
                <w:szCs w:val="21"/>
              </w:rPr>
              <w:t>1、规格186cm*90cm*52cm。</w:t>
            </w:r>
          </w:p>
          <w:p>
            <w:pPr>
              <w:widowControl/>
              <w:jc w:val="left"/>
              <w:textAlignment w:val="center"/>
              <w:rPr>
                <w:rFonts w:ascii="宋体" w:hAnsi="宋体" w:cs="宋体"/>
                <w:kern w:val="0"/>
                <w:szCs w:val="21"/>
              </w:rPr>
            </w:pPr>
            <w:r>
              <w:rPr>
                <w:rFonts w:hint="eastAsia" w:ascii="宋体" w:hAnsi="宋体" w:cs="宋体"/>
                <w:kern w:val="0"/>
                <w:szCs w:val="21"/>
              </w:rPr>
              <w:t>2、毒害品储存柜外壳体全部用1.２mm的镀锌钢板，柜体底座用2.0mm的镀锌钢板,环氧树脂粉末喷涂。1.5毫米厚钢方管骨架。</w:t>
            </w:r>
          </w:p>
          <w:p>
            <w:pPr>
              <w:widowControl/>
              <w:jc w:val="left"/>
              <w:textAlignment w:val="center"/>
              <w:rPr>
                <w:rFonts w:ascii="宋体" w:hAnsi="宋体" w:cs="宋体"/>
                <w:kern w:val="0"/>
                <w:szCs w:val="21"/>
              </w:rPr>
            </w:pPr>
            <w:r>
              <w:rPr>
                <w:rFonts w:hint="eastAsia" w:ascii="宋体" w:hAnsi="宋体" w:cs="宋体"/>
                <w:kern w:val="0"/>
                <w:szCs w:val="21"/>
              </w:rPr>
              <w:t>3、毒害品储存柜体内胆（上，下、左、右内衬板）全部用pp（聚丙烯树脂）板；柜底部设置进风口，进风口底部风阀；柜体的底板中部有Φ10mm漏液孔，漏液孔上面盖上60目304×不锈钢网；柜体底部设h=160mm黄沙(防倒）挡板，柜体内部最下层留有可以存放不少于120mm厚黄沙的填埋腔，用于埋放金属钠、黄磷（白磷）等的易燃物品；柜底装四个Φ60mm的移动轮；前轮后有2个手动调节罗杆。</w:t>
            </w:r>
          </w:p>
          <w:p>
            <w:pPr>
              <w:widowControl/>
              <w:jc w:val="left"/>
              <w:textAlignment w:val="center"/>
              <w:rPr>
                <w:rFonts w:ascii="宋体" w:hAnsi="宋体" w:cs="宋体"/>
                <w:kern w:val="0"/>
                <w:szCs w:val="21"/>
              </w:rPr>
            </w:pPr>
            <w:r>
              <w:rPr>
                <w:rFonts w:hint="eastAsia" w:ascii="宋体" w:hAnsi="宋体" w:cs="宋体"/>
                <w:kern w:val="0"/>
                <w:szCs w:val="21"/>
              </w:rPr>
              <w:t>4、柜中部有3个三层阶梯式的PP聚丙烯树脂活动搁板，每层阶梯板外延边有3mm高的积液盘；下层搁板外沿镶装有H48.5×W16.5（mm）PVC一次成型护栏, 护栏中间嵌有（警示红 ，警示蓝，警示黄）0.5mm厚度的PVC装饰条，可区分碱性，酸性药品和易燃品的存放；每个搁板靠背板处有一排导风口，阶梯高度50mm（包括积液盘的高度）。</w:t>
            </w:r>
          </w:p>
          <w:p>
            <w:pPr>
              <w:widowControl/>
              <w:jc w:val="left"/>
              <w:textAlignment w:val="center"/>
              <w:rPr>
                <w:rFonts w:ascii="宋体" w:hAnsi="宋体" w:cs="宋体"/>
                <w:kern w:val="0"/>
                <w:szCs w:val="21"/>
              </w:rPr>
            </w:pPr>
            <w:r>
              <w:rPr>
                <w:rFonts w:hint="eastAsia" w:ascii="宋体" w:hAnsi="宋体" w:cs="宋体"/>
                <w:kern w:val="0"/>
                <w:szCs w:val="21"/>
              </w:rPr>
              <w:t>5、柜体填充具有保温隔热作用的材料，（密度150㎏/m3，厚度：40mm）。</w:t>
            </w:r>
          </w:p>
          <w:p>
            <w:pPr>
              <w:widowControl/>
              <w:jc w:val="left"/>
              <w:textAlignment w:val="center"/>
              <w:rPr>
                <w:rFonts w:ascii="宋体" w:hAnsi="宋体" w:cs="宋体"/>
                <w:kern w:val="0"/>
                <w:szCs w:val="21"/>
              </w:rPr>
            </w:pPr>
            <w:r>
              <w:rPr>
                <w:rFonts w:hint="eastAsia" w:ascii="宋体" w:hAnsi="宋体" w:cs="宋体"/>
                <w:kern w:val="0"/>
                <w:szCs w:val="21"/>
              </w:rPr>
              <w:t>6、柜体门与柜体之间安装防火膨胀密封件，密封件符合GB 16807-2009的要求。（柜体门与柜体之间应安装环保热膨胀密封条。当温度为150℃-180℃时密封条局部膨胀，温度达到750℃时密封条全部膨胀，膨胀比例为1:5，以保证储存药品的安全性。）</w:t>
            </w:r>
          </w:p>
          <w:p>
            <w:pPr>
              <w:widowControl/>
              <w:jc w:val="left"/>
              <w:textAlignment w:val="center"/>
              <w:rPr>
                <w:rFonts w:ascii="宋体" w:hAnsi="宋体" w:cs="宋体"/>
                <w:kern w:val="0"/>
                <w:szCs w:val="21"/>
              </w:rPr>
            </w:pPr>
            <w:r>
              <w:rPr>
                <w:rFonts w:hint="eastAsia" w:ascii="宋体" w:hAnsi="宋体" w:cs="宋体"/>
                <w:kern w:val="0"/>
                <w:szCs w:val="21"/>
              </w:rPr>
              <w:t>7、存储柜上安装的磁锁、机械密码锁等机械锁应符合GA/T 73的要求。</w:t>
            </w:r>
          </w:p>
          <w:p>
            <w:pPr>
              <w:widowControl/>
              <w:jc w:val="left"/>
              <w:textAlignment w:val="center"/>
              <w:rPr>
                <w:rFonts w:ascii="宋体" w:hAnsi="宋体" w:cs="宋体"/>
                <w:kern w:val="0"/>
                <w:szCs w:val="21"/>
              </w:rPr>
            </w:pPr>
            <w:r>
              <w:rPr>
                <w:rFonts w:hint="eastAsia" w:ascii="宋体" w:hAnsi="宋体" w:cs="宋体"/>
                <w:kern w:val="0"/>
                <w:szCs w:val="21"/>
              </w:rPr>
              <w:t>8、部中间有Φ150mm出风口，柜顶风口内置一个AC220V、50HZ、0.18A轴流风机，最大风量不小于326m3/h、转速不低于2550转/min、环境温度（-10~+70）℃，控制开关设置柜体顶部的右上角，当风机开机前要把柜门下面中间的进风口推置打开状态。</w:t>
            </w:r>
          </w:p>
          <w:p>
            <w:pPr>
              <w:widowControl/>
              <w:jc w:val="left"/>
              <w:textAlignment w:val="center"/>
              <w:rPr>
                <w:rFonts w:ascii="宋体" w:hAnsi="宋体" w:cs="宋体"/>
                <w:szCs w:val="21"/>
              </w:rPr>
            </w:pPr>
            <w:r>
              <w:rPr>
                <w:rFonts w:hint="eastAsia" w:ascii="宋体" w:hAnsi="宋体" w:cs="宋体"/>
                <w:kern w:val="0"/>
                <w:szCs w:val="21"/>
              </w:rPr>
              <w:t>9、设置进风口及可调风阀，可调风阀旋转灵活，并能控制风量大小。柜体设置通风口，通风口最大风速应不小于0.5m/s。配有微电脑定时时控开关，能设定时间自动打开和关闭风机，电源开关有指示灯指示风机是否正常工作，可自动和手动控制。通风管道口径宜用Φ160mm，通风管应耐高温、阻燃、耐腐蚀，符合JGJ 141的要求10 柜体顶上配置温湿度控制器，对柜内相对温湿度实时监控，数字显示设定和测量值，柜内的温湿度如超过设定的测量值即时报警提示。电源AC220V±10％50HZ,温度启控0~99.9℃（用户设定），湿度启控0~99.9％RH（用户设定）。</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99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易燃品通风柜</w:t>
            </w:r>
          </w:p>
        </w:tc>
        <w:tc>
          <w:tcPr>
            <w:tcW w:w="2984" w:type="pct"/>
            <w:shd w:val="clear" w:color="auto" w:fill="auto"/>
            <w:vAlign w:val="center"/>
          </w:tcPr>
          <w:p>
            <w:pPr>
              <w:widowControl/>
              <w:jc w:val="left"/>
              <w:textAlignment w:val="center"/>
              <w:rPr>
                <w:rFonts w:ascii="宋体" w:hAnsi="宋体" w:cs="宋体"/>
                <w:kern w:val="0"/>
                <w:szCs w:val="21"/>
              </w:rPr>
            </w:pPr>
            <w:r>
              <w:rPr>
                <w:rFonts w:hint="eastAsia" w:ascii="宋体" w:hAnsi="宋体" w:cs="宋体"/>
                <w:kern w:val="0"/>
                <w:szCs w:val="21"/>
              </w:rPr>
              <w:t>1、规格186cm*90cm*52cm。</w:t>
            </w:r>
          </w:p>
          <w:p>
            <w:pPr>
              <w:widowControl/>
              <w:jc w:val="left"/>
              <w:textAlignment w:val="center"/>
              <w:rPr>
                <w:rFonts w:ascii="宋体" w:hAnsi="宋体" w:cs="宋体"/>
                <w:kern w:val="0"/>
                <w:szCs w:val="21"/>
              </w:rPr>
            </w:pPr>
            <w:r>
              <w:rPr>
                <w:rFonts w:hint="eastAsia" w:ascii="宋体" w:hAnsi="宋体" w:cs="宋体"/>
                <w:kern w:val="0"/>
                <w:szCs w:val="21"/>
              </w:rPr>
              <w:t>2、毒害品储存柜外壳体全部用1.２mm的镀锌钢板，柜体底座用2.0mm的镀锌钢板,环氧树脂粉末喷涂。1.5毫米厚钢方管骨架。</w:t>
            </w:r>
          </w:p>
          <w:p>
            <w:pPr>
              <w:widowControl/>
              <w:jc w:val="left"/>
              <w:textAlignment w:val="center"/>
              <w:rPr>
                <w:rFonts w:ascii="宋体" w:hAnsi="宋体" w:cs="宋体"/>
                <w:kern w:val="0"/>
                <w:szCs w:val="21"/>
              </w:rPr>
            </w:pPr>
            <w:r>
              <w:rPr>
                <w:rFonts w:hint="eastAsia" w:ascii="宋体" w:hAnsi="宋体" w:cs="宋体"/>
                <w:kern w:val="0"/>
                <w:szCs w:val="21"/>
              </w:rPr>
              <w:t>3、毒害品储存柜体内胆（上，下、左、右内衬板）全部用pp（聚丙烯树脂）板；柜底部设置进风口，进风口底部风阀；柜体的底板中部有Φ10mm漏液孔，漏液孔上面盖上60目304×不锈钢网；柜体底部设h=160mm黄沙(防倒）挡板，柜体内部最下层留有可以存放不少于120mm厚黄沙的填埋腔，用于埋放金属钠、黄磷（白磷）等的易燃物品；柜底装四个Φ60mm的移动轮；前轮后有2个手动调节罗杆。</w:t>
            </w:r>
          </w:p>
          <w:p>
            <w:pPr>
              <w:widowControl/>
              <w:jc w:val="left"/>
              <w:textAlignment w:val="center"/>
              <w:rPr>
                <w:rFonts w:ascii="宋体" w:hAnsi="宋体" w:cs="宋体"/>
                <w:kern w:val="0"/>
                <w:szCs w:val="21"/>
              </w:rPr>
            </w:pPr>
            <w:r>
              <w:rPr>
                <w:rFonts w:hint="eastAsia" w:ascii="宋体" w:hAnsi="宋体" w:cs="宋体"/>
                <w:kern w:val="0"/>
                <w:szCs w:val="21"/>
              </w:rPr>
              <w:t>4、柜中部有3个三层阶梯式的PP聚丙烯树脂活动搁板，每层阶梯板外延边有3mm高的积液盘；下层搁板外沿镶装有H48.5×W16.5（mm）PVC一次成型护栏, 护栏中间嵌有（警示红 ，警示蓝，警示黄）0.5mm厚度的PVC装饰条，可区分碱性，酸性药品和易燃品的存放；每个搁板靠背板处有一排导风口，阶梯高度50mm（包括积液盘的高度）。</w:t>
            </w:r>
          </w:p>
          <w:p>
            <w:pPr>
              <w:widowControl/>
              <w:jc w:val="left"/>
              <w:textAlignment w:val="center"/>
              <w:rPr>
                <w:rFonts w:ascii="宋体" w:hAnsi="宋体" w:cs="宋体"/>
                <w:kern w:val="0"/>
                <w:szCs w:val="21"/>
              </w:rPr>
            </w:pPr>
            <w:r>
              <w:rPr>
                <w:rFonts w:hint="eastAsia" w:ascii="宋体" w:hAnsi="宋体" w:cs="宋体"/>
                <w:kern w:val="0"/>
                <w:szCs w:val="21"/>
              </w:rPr>
              <w:t>5、填充具有保温隔热作用的材料，（密度150㎏/m3，厚度：40mm）。</w:t>
            </w:r>
          </w:p>
          <w:p>
            <w:pPr>
              <w:widowControl/>
              <w:jc w:val="left"/>
              <w:textAlignment w:val="center"/>
              <w:rPr>
                <w:rFonts w:ascii="宋体" w:hAnsi="宋体" w:cs="宋体"/>
                <w:kern w:val="0"/>
                <w:szCs w:val="21"/>
              </w:rPr>
            </w:pPr>
            <w:r>
              <w:rPr>
                <w:rFonts w:hint="eastAsia" w:ascii="宋体" w:hAnsi="宋体" w:cs="宋体"/>
                <w:kern w:val="0"/>
                <w:szCs w:val="21"/>
              </w:rPr>
              <w:t>6、门与柜体之间安装防火膨胀密封件，密封件应符合GB 16807-2009的要求。（柜体门与柜体之间应安装环保热膨胀密封条。当温度为150℃-180℃时密封条局部膨胀，温度达到750℃时密封条全部膨胀，膨胀比例为1:5，以保证储存药品的安全性。）</w:t>
            </w:r>
          </w:p>
          <w:p>
            <w:pPr>
              <w:widowControl/>
              <w:jc w:val="left"/>
              <w:textAlignment w:val="center"/>
              <w:rPr>
                <w:rFonts w:ascii="宋体" w:hAnsi="宋体" w:cs="宋体"/>
                <w:kern w:val="0"/>
                <w:szCs w:val="21"/>
              </w:rPr>
            </w:pPr>
            <w:r>
              <w:rPr>
                <w:rFonts w:hint="eastAsia" w:ascii="宋体" w:hAnsi="宋体" w:cs="宋体"/>
                <w:kern w:val="0"/>
                <w:szCs w:val="21"/>
              </w:rPr>
              <w:t>7、柜上安装的磁锁、机械密码锁等机械锁应符合GA/T 73的要求。</w:t>
            </w:r>
          </w:p>
          <w:p>
            <w:pPr>
              <w:widowControl/>
              <w:jc w:val="left"/>
              <w:textAlignment w:val="center"/>
              <w:rPr>
                <w:rFonts w:ascii="宋体" w:hAnsi="宋体" w:cs="宋体"/>
                <w:kern w:val="0"/>
                <w:szCs w:val="21"/>
              </w:rPr>
            </w:pPr>
            <w:r>
              <w:rPr>
                <w:rFonts w:hint="eastAsia" w:ascii="宋体" w:hAnsi="宋体" w:cs="宋体"/>
                <w:kern w:val="0"/>
                <w:szCs w:val="21"/>
              </w:rPr>
              <w:t>8、部中间有Φ150mm出风口，柜顶风口内置一个AC220V、50HZ、0.18A轴流风机，最大风量不小于326m3/h、转速不低于2550转/min、环境温度（-10~+70）℃，控制开关设置柜体顶部的右上角，当风机开机前要把柜门下面中间的进风口推置打开状态。</w:t>
            </w:r>
          </w:p>
          <w:p>
            <w:pPr>
              <w:widowControl/>
              <w:jc w:val="left"/>
              <w:textAlignment w:val="center"/>
              <w:rPr>
                <w:rFonts w:ascii="宋体" w:hAnsi="宋体" w:cs="宋体"/>
                <w:kern w:val="0"/>
                <w:szCs w:val="21"/>
              </w:rPr>
            </w:pPr>
            <w:r>
              <w:rPr>
                <w:rFonts w:hint="eastAsia" w:ascii="宋体" w:hAnsi="宋体" w:cs="宋体"/>
                <w:kern w:val="0"/>
                <w:szCs w:val="21"/>
              </w:rPr>
              <w:t>9、底部设置进风口及可调风阀，可调风阀旋转灵活，并能控制风量大小。柜体设置通风口，通风口最大风速不小于0.5m/s。配有微电脑定时时控开关，能设定时间自动打开和关闭风机，电源开关有指示灯指示风机是否正常工作，可自动和手动控制。通风管道口径用Φ160mm，通风管应耐高温、阻燃、耐腐蚀，符合JGJ 141的要求10、柜体顶上配置温湿度控制器，对柜内相对温湿度实时监控，数字显示设定和测量值，柜内的温湿度如超过设定的测量值即时报警提示。电源AC220V±10％50HZ,温度启控0~99.9℃（用户设定），湿度启控0~99.9％RH（用户设定）。</w:t>
            </w:r>
          </w:p>
          <w:p>
            <w:pPr>
              <w:widowControl/>
              <w:jc w:val="left"/>
              <w:textAlignment w:val="center"/>
              <w:rPr>
                <w:rFonts w:ascii="宋体" w:hAnsi="宋体" w:cs="宋体"/>
                <w:kern w:val="0"/>
                <w:szCs w:val="21"/>
              </w:rPr>
            </w:pPr>
            <w:r>
              <w:rPr>
                <w:rFonts w:hint="eastAsia" w:ascii="宋体" w:hAnsi="宋体" w:cs="宋体"/>
                <w:kern w:val="0"/>
                <w:szCs w:val="21"/>
              </w:rPr>
              <w:t>10、底部设置进风口及可调风阀，可调风阀旋转灵活，并能控制风量大小。柜体设置通风口，通风口最大风速应不小于0.5m/s。配有微电脑定时时控开关，能设定时间自动打开和关闭风机，电源开关有指示灯指示风机是否正常工作，可自动和手动控制。通风管道口径用Φ160mm，通风管耐高温、阻燃、耐腐蚀；</w:t>
            </w:r>
          </w:p>
          <w:p>
            <w:pPr>
              <w:widowControl/>
              <w:jc w:val="left"/>
              <w:textAlignment w:val="center"/>
              <w:rPr>
                <w:rFonts w:ascii="宋体" w:hAnsi="宋体" w:cs="宋体"/>
                <w:szCs w:val="21"/>
              </w:rPr>
            </w:pPr>
            <w:r>
              <w:rPr>
                <w:rFonts w:hint="eastAsia" w:ascii="宋体" w:hAnsi="宋体" w:cs="宋体"/>
                <w:kern w:val="0"/>
                <w:szCs w:val="21"/>
              </w:rPr>
              <w:t>11、柜体顶上配置温湿度控制器，对柜内相对温湿度实时监控，数字显示设定和测量值，柜内的温湿度如超过设定的测量值即时报警提示。电源AC220V±10％50HZ,温度启控0~99.9℃（用户设定），湿度启控0~99.9％RH（用户设定）。</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99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通风柜</w:t>
            </w:r>
          </w:p>
        </w:tc>
        <w:tc>
          <w:tcPr>
            <w:tcW w:w="2984" w:type="pct"/>
            <w:shd w:val="clear" w:color="auto" w:fill="auto"/>
            <w:vAlign w:val="center"/>
          </w:tcPr>
          <w:p>
            <w:pPr>
              <w:widowControl/>
              <w:jc w:val="left"/>
              <w:textAlignment w:val="center"/>
              <w:rPr>
                <w:rFonts w:ascii="宋体" w:hAnsi="宋体" w:cs="宋体"/>
                <w:kern w:val="0"/>
                <w:szCs w:val="21"/>
              </w:rPr>
            </w:pPr>
            <w:r>
              <w:rPr>
                <w:rFonts w:hint="eastAsia" w:ascii="宋体" w:hAnsi="宋体" w:cs="宋体"/>
                <w:kern w:val="0"/>
                <w:szCs w:val="21"/>
              </w:rPr>
              <w:t xml:space="preserve">尺寸：1200*850*2350mm       </w:t>
            </w:r>
          </w:p>
          <w:p>
            <w:pPr>
              <w:widowControl/>
              <w:jc w:val="left"/>
              <w:textAlignment w:val="center"/>
              <w:rPr>
                <w:rFonts w:ascii="宋体" w:hAnsi="宋体" w:cs="宋体"/>
                <w:kern w:val="0"/>
                <w:szCs w:val="21"/>
              </w:rPr>
            </w:pPr>
            <w:r>
              <w:rPr>
                <w:rFonts w:hint="eastAsia" w:ascii="宋体" w:hAnsi="宋体" w:cs="宋体"/>
                <w:kern w:val="0"/>
                <w:szCs w:val="21"/>
              </w:rPr>
              <w:t>柜体完全用瓷白色聚丙烯PP 板材制作，经无缝焊接而成。</w:t>
            </w:r>
          </w:p>
          <w:p>
            <w:pPr>
              <w:widowControl/>
              <w:jc w:val="left"/>
              <w:textAlignment w:val="center"/>
              <w:rPr>
                <w:rFonts w:ascii="宋体" w:hAnsi="宋体" w:cs="宋体"/>
                <w:kern w:val="0"/>
                <w:szCs w:val="21"/>
              </w:rPr>
            </w:pPr>
            <w:r>
              <w:rPr>
                <w:rFonts w:hint="eastAsia" w:ascii="宋体" w:hAnsi="宋体" w:cs="宋体"/>
                <w:kern w:val="0"/>
                <w:szCs w:val="21"/>
              </w:rPr>
              <w:t>1、导流板：用5mm厚优质纯料PP(聚丙烯)板制作，全方位无极式吸风，废气捕捉无死角。上部导流板角度设计保证最小的涡流发生、降低噪音。</w:t>
            </w:r>
          </w:p>
          <w:p>
            <w:pPr>
              <w:widowControl/>
              <w:jc w:val="left"/>
              <w:textAlignment w:val="center"/>
              <w:rPr>
                <w:rFonts w:ascii="宋体" w:hAnsi="宋体" w:cs="宋体"/>
                <w:kern w:val="0"/>
                <w:szCs w:val="21"/>
              </w:rPr>
            </w:pPr>
            <w:r>
              <w:rPr>
                <w:rFonts w:hint="eastAsia" w:ascii="宋体" w:hAnsi="宋体" w:cs="宋体"/>
                <w:kern w:val="0"/>
                <w:szCs w:val="21"/>
              </w:rPr>
              <w:t>2、操作台面：用 8mm厚聚丙烯台面，前端做突起设计，防止可能的溅漏。</w:t>
            </w:r>
          </w:p>
          <w:p>
            <w:pPr>
              <w:widowControl/>
              <w:jc w:val="left"/>
              <w:textAlignment w:val="center"/>
              <w:rPr>
                <w:rFonts w:ascii="宋体" w:hAnsi="宋体" w:cs="宋体"/>
                <w:kern w:val="0"/>
                <w:szCs w:val="21"/>
              </w:rPr>
            </w:pPr>
            <w:r>
              <w:rPr>
                <w:rFonts w:hint="eastAsia" w:ascii="宋体" w:hAnsi="宋体" w:cs="宋体"/>
                <w:kern w:val="0"/>
                <w:szCs w:val="21"/>
              </w:rPr>
              <w:t>3、液晶面板：控制面板位于右侧立柱，设照明、风机风阀控制开关。</w:t>
            </w:r>
          </w:p>
          <w:p>
            <w:pPr>
              <w:widowControl/>
              <w:jc w:val="left"/>
              <w:textAlignment w:val="center"/>
              <w:rPr>
                <w:rFonts w:ascii="宋体" w:hAnsi="宋体" w:cs="宋体"/>
                <w:kern w:val="0"/>
                <w:szCs w:val="21"/>
              </w:rPr>
            </w:pPr>
            <w:r>
              <w:rPr>
                <w:rFonts w:hint="eastAsia" w:ascii="宋体" w:hAnsi="宋体" w:cs="宋体"/>
                <w:kern w:val="0"/>
                <w:szCs w:val="21"/>
              </w:rPr>
              <w:t>4、插座：每台通风柜装设实验室多功能防溅插座220V10A 电源插座4个。</w:t>
            </w:r>
          </w:p>
          <w:p>
            <w:pPr>
              <w:widowControl/>
              <w:jc w:val="left"/>
              <w:textAlignment w:val="center"/>
              <w:rPr>
                <w:rFonts w:ascii="宋体" w:hAnsi="宋体" w:cs="宋体"/>
                <w:kern w:val="0"/>
                <w:szCs w:val="21"/>
              </w:rPr>
            </w:pPr>
            <w:r>
              <w:rPr>
                <w:rFonts w:hint="eastAsia" w:ascii="宋体" w:hAnsi="宋体" w:cs="宋体"/>
                <w:kern w:val="0"/>
                <w:szCs w:val="21"/>
              </w:rPr>
              <w:t>5、玻璃移门视窗：用厚5mm钢化玻璃，可以轻松滑动，精准静止于任何高度。配重与玻璃视窗连接用标准同步带同步轮传动，确保门框水平升降以及使用者的安全。</w:t>
            </w:r>
          </w:p>
          <w:p>
            <w:pPr>
              <w:widowControl/>
              <w:jc w:val="left"/>
              <w:textAlignment w:val="center"/>
              <w:rPr>
                <w:rFonts w:ascii="宋体" w:hAnsi="宋体" w:cs="宋体"/>
                <w:kern w:val="0"/>
                <w:szCs w:val="21"/>
              </w:rPr>
            </w:pPr>
            <w:r>
              <w:rPr>
                <w:rFonts w:hint="eastAsia" w:ascii="宋体" w:hAnsi="宋体" w:cs="宋体"/>
                <w:kern w:val="0"/>
                <w:szCs w:val="21"/>
              </w:rPr>
              <w:t>6.照明：用LED灯，满足应用需要，快速换修设计。</w:t>
            </w:r>
          </w:p>
          <w:p>
            <w:pPr>
              <w:widowControl/>
              <w:jc w:val="left"/>
              <w:textAlignment w:val="center"/>
              <w:rPr>
                <w:rFonts w:ascii="宋体" w:hAnsi="宋体" w:cs="宋体"/>
                <w:szCs w:val="21"/>
              </w:rPr>
            </w:pPr>
            <w:r>
              <w:rPr>
                <w:rFonts w:hint="eastAsia" w:ascii="宋体" w:hAnsi="宋体" w:cs="宋体"/>
                <w:kern w:val="0"/>
                <w:szCs w:val="21"/>
              </w:rPr>
              <w:t>7、导流夹、门把手、合页：耐酸碱PP材质。</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99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通风系统</w:t>
            </w:r>
          </w:p>
        </w:tc>
        <w:tc>
          <w:tcPr>
            <w:tcW w:w="2984" w:type="pct"/>
            <w:shd w:val="clear" w:color="auto" w:fill="auto"/>
            <w:vAlign w:val="center"/>
          </w:tcPr>
          <w:p>
            <w:pPr>
              <w:widowControl/>
              <w:jc w:val="left"/>
              <w:textAlignment w:val="center"/>
              <w:rPr>
                <w:rFonts w:ascii="宋体" w:hAnsi="宋体" w:cs="宋体"/>
                <w:kern w:val="0"/>
                <w:szCs w:val="21"/>
              </w:rPr>
            </w:pPr>
            <w:r>
              <w:rPr>
                <w:rFonts w:hint="eastAsia" w:ascii="宋体" w:hAnsi="宋体" w:cs="宋体"/>
                <w:kern w:val="0"/>
                <w:szCs w:val="21"/>
              </w:rPr>
              <w:t>轴流风机，排出废气至室外，通风主管道用优质国标PVC材料，根据实际通风需要设计规格</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99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进排水系统</w:t>
            </w:r>
          </w:p>
        </w:tc>
        <w:tc>
          <w:tcPr>
            <w:tcW w:w="2984" w:type="pct"/>
            <w:shd w:val="clear" w:color="auto" w:fill="auto"/>
            <w:vAlign w:val="center"/>
          </w:tcPr>
          <w:p>
            <w:pPr>
              <w:widowControl/>
              <w:jc w:val="left"/>
              <w:textAlignment w:val="center"/>
              <w:rPr>
                <w:rFonts w:ascii="宋体" w:hAnsi="宋体" w:cs="宋体"/>
                <w:kern w:val="0"/>
                <w:szCs w:val="21"/>
              </w:rPr>
            </w:pPr>
            <w:r>
              <w:rPr>
                <w:rFonts w:hint="eastAsia" w:ascii="宋体" w:hAnsi="宋体" w:cs="宋体"/>
                <w:kern w:val="0"/>
                <w:szCs w:val="21"/>
              </w:rPr>
              <w:t>1、进水管用优质PP-R管，主管直径25mm。</w:t>
            </w:r>
          </w:p>
          <w:p>
            <w:pPr>
              <w:widowControl/>
              <w:jc w:val="left"/>
              <w:textAlignment w:val="center"/>
              <w:rPr>
                <w:rFonts w:ascii="宋体" w:hAnsi="宋体" w:cs="宋体"/>
                <w:kern w:val="0"/>
                <w:szCs w:val="21"/>
              </w:rPr>
            </w:pPr>
            <w:r>
              <w:rPr>
                <w:rFonts w:hint="eastAsia" w:ascii="宋体" w:hAnsi="宋体" w:cs="宋体"/>
                <w:kern w:val="0"/>
                <w:szCs w:val="21"/>
              </w:rPr>
              <w:t>2、排水管用优质PVC-U管，管直径50mm。</w:t>
            </w:r>
          </w:p>
          <w:p>
            <w:pPr>
              <w:widowControl/>
              <w:jc w:val="left"/>
              <w:textAlignment w:val="center"/>
              <w:rPr>
                <w:rFonts w:ascii="宋体" w:hAnsi="宋体" w:cs="宋体"/>
                <w:kern w:val="0"/>
                <w:szCs w:val="21"/>
              </w:rPr>
            </w:pPr>
            <w:r>
              <w:rPr>
                <w:rFonts w:hint="eastAsia" w:ascii="宋体" w:hAnsi="宋体" w:cs="宋体"/>
                <w:kern w:val="0"/>
                <w:szCs w:val="21"/>
              </w:rPr>
              <w:t>3、弯头、直接、三通、外丝管套、生料带、PVC管胶水等。</w:t>
            </w:r>
          </w:p>
          <w:p>
            <w:pPr>
              <w:widowControl/>
              <w:jc w:val="left"/>
              <w:textAlignment w:val="center"/>
              <w:rPr>
                <w:rFonts w:ascii="宋体" w:hAnsi="宋体" w:cs="宋体"/>
                <w:kern w:val="0"/>
                <w:szCs w:val="21"/>
              </w:rPr>
            </w:pPr>
            <w:r>
              <w:rPr>
                <w:rFonts w:hint="eastAsia" w:ascii="宋体" w:hAnsi="宋体" w:cs="宋体"/>
                <w:kern w:val="0"/>
                <w:szCs w:val="21"/>
              </w:rPr>
              <w:t>4、上水管用不锈钢波纹管编织软管，长度不小于75cm，下水管用优质硅胶接口PVC软管。</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99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水槽台</w:t>
            </w:r>
          </w:p>
        </w:tc>
        <w:tc>
          <w:tcPr>
            <w:tcW w:w="2984" w:type="pct"/>
            <w:shd w:val="clear" w:color="auto" w:fill="auto"/>
            <w:vAlign w:val="center"/>
          </w:tcPr>
          <w:p>
            <w:pPr>
              <w:widowControl/>
              <w:jc w:val="left"/>
              <w:textAlignment w:val="center"/>
              <w:rPr>
                <w:rFonts w:ascii="宋体" w:hAnsi="宋体" w:cs="宋体"/>
                <w:kern w:val="0"/>
                <w:szCs w:val="21"/>
              </w:rPr>
            </w:pPr>
            <w:r>
              <w:rPr>
                <w:rFonts w:hint="eastAsia" w:ascii="宋体" w:hAnsi="宋体" w:cs="宋体"/>
                <w:kern w:val="0"/>
                <w:szCs w:val="21"/>
              </w:rPr>
              <w:t>1、柜体规格:500*600*820mm；</w:t>
            </w:r>
          </w:p>
          <w:p>
            <w:pPr>
              <w:widowControl/>
              <w:jc w:val="left"/>
              <w:textAlignment w:val="center"/>
              <w:rPr>
                <w:rFonts w:ascii="宋体" w:hAnsi="宋体" w:cs="宋体"/>
                <w:kern w:val="0"/>
                <w:szCs w:val="21"/>
              </w:rPr>
            </w:pPr>
            <w:r>
              <w:rPr>
                <w:rFonts w:hint="eastAsia" w:ascii="宋体" w:hAnsi="宋体" w:cs="宋体"/>
                <w:kern w:val="0"/>
                <w:szCs w:val="21"/>
              </w:rPr>
              <w:t>2、榫卯连接结构并合理布局加强筋，用M6螺丝固定；</w:t>
            </w:r>
          </w:p>
          <w:p>
            <w:pPr>
              <w:widowControl/>
              <w:jc w:val="left"/>
              <w:textAlignment w:val="center"/>
              <w:rPr>
                <w:rFonts w:ascii="宋体" w:hAnsi="宋体" w:cs="宋体"/>
                <w:kern w:val="0"/>
                <w:szCs w:val="21"/>
              </w:rPr>
            </w:pPr>
            <w:r>
              <w:rPr>
                <w:rFonts w:hint="eastAsia" w:ascii="宋体" w:hAnsi="宋体" w:cs="宋体"/>
                <w:kern w:val="0"/>
                <w:szCs w:val="21"/>
              </w:rPr>
              <w:t>3、前门规格：510*365mm，主体壁厚不小于2mm背面设有厚2mm、高度不低于4.5mm的加强筋横6根竖6根；</w:t>
            </w:r>
          </w:p>
          <w:p>
            <w:pPr>
              <w:widowControl/>
              <w:jc w:val="left"/>
              <w:textAlignment w:val="center"/>
              <w:rPr>
                <w:rFonts w:ascii="宋体" w:hAnsi="宋体" w:cs="宋体"/>
                <w:kern w:val="0"/>
                <w:szCs w:val="21"/>
              </w:rPr>
            </w:pPr>
            <w:r>
              <w:rPr>
                <w:rFonts w:hint="eastAsia" w:ascii="宋体" w:hAnsi="宋体" w:cs="宋体"/>
                <w:kern w:val="0"/>
                <w:szCs w:val="21"/>
              </w:rPr>
              <w:t>4、前门带内凹式塑料扣手，门与整体水柜不用铰链连接，直接用内嵌式组装。柜子整体用环保型ABS工程塑料注塑成型；</w:t>
            </w:r>
          </w:p>
          <w:p>
            <w:pPr>
              <w:widowControl/>
              <w:jc w:val="left"/>
              <w:textAlignment w:val="center"/>
              <w:rPr>
                <w:rFonts w:ascii="宋体" w:hAnsi="宋体" w:cs="宋体"/>
                <w:kern w:val="0"/>
                <w:szCs w:val="21"/>
              </w:rPr>
            </w:pPr>
            <w:r>
              <w:rPr>
                <w:rFonts w:hint="eastAsia" w:ascii="宋体" w:hAnsi="宋体" w:cs="宋体"/>
                <w:kern w:val="0"/>
                <w:szCs w:val="21"/>
              </w:rPr>
              <w:t>5、水槽规格：500*600*350mm，水槽用环保型PP材料一次性注塑成型，耐强酸碱&lt;80度有机溶剂并耐150度以下高温，壁厚3.5mm；</w:t>
            </w:r>
          </w:p>
          <w:p>
            <w:pPr>
              <w:widowControl/>
              <w:jc w:val="left"/>
              <w:textAlignment w:val="center"/>
              <w:rPr>
                <w:rFonts w:ascii="宋体" w:hAnsi="宋体" w:cs="宋体"/>
                <w:szCs w:val="21"/>
              </w:rPr>
            </w:pPr>
            <w:r>
              <w:rPr>
                <w:rFonts w:hint="eastAsia" w:ascii="宋体" w:hAnsi="宋体" w:cs="宋体"/>
                <w:kern w:val="0"/>
                <w:szCs w:val="21"/>
              </w:rPr>
              <w:t xml:space="preserve">6、侧板规格600*300*780mm，左右侧板一致、主体壁厚不小于2.5mm、背面设有厚2mm、高度不低于5.5mm的加强筋横4根竖4根。                                                         </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99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三联水嘴</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陶瓷阀芯90°旋转，铜质内芯外用聚碳酸酯一次注塑成型的防腐蚀、耐酸碱的实验室专用水嘴(一高二低)</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99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实验室布线</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按国标施工，*用φ20㎜优质PVC-U国标管预先埋地，耐压500V；*220V市电用2.5㎜²电线。</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99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商用计算机</w:t>
            </w:r>
          </w:p>
        </w:tc>
        <w:tc>
          <w:tcPr>
            <w:tcW w:w="2984" w:type="pct"/>
            <w:shd w:val="clear" w:color="auto" w:fill="auto"/>
            <w:vAlign w:val="center"/>
          </w:tcPr>
          <w:p>
            <w:pPr>
              <w:jc w:val="left"/>
              <w:rPr>
                <w:szCs w:val="21"/>
              </w:rPr>
            </w:pPr>
            <w:r>
              <w:rPr>
                <w:rFonts w:hint="eastAsia"/>
                <w:szCs w:val="21"/>
              </w:rPr>
              <w:t>1、</w:t>
            </w:r>
            <w:r>
              <w:rPr>
                <w:rFonts w:hint="eastAsia" w:ascii="宋体" w:hAnsi="宋体" w:cs="宋体"/>
                <w:kern w:val="0"/>
                <w:szCs w:val="21"/>
              </w:rPr>
              <w:t>国产品牌</w:t>
            </w:r>
          </w:p>
          <w:p>
            <w:pPr>
              <w:jc w:val="left"/>
              <w:rPr>
                <w:szCs w:val="21"/>
              </w:rPr>
            </w:pPr>
            <w:r>
              <w:rPr>
                <w:rFonts w:hint="eastAsia"/>
                <w:szCs w:val="21"/>
              </w:rPr>
              <w:t>2、CPU:Intel 十代或以上，四核心，主频≥3.6GHz；</w:t>
            </w:r>
          </w:p>
          <w:p>
            <w:pPr>
              <w:jc w:val="left"/>
              <w:rPr>
                <w:szCs w:val="21"/>
              </w:rPr>
            </w:pPr>
            <w:r>
              <w:rPr>
                <w:rFonts w:hint="eastAsia"/>
                <w:szCs w:val="21"/>
              </w:rPr>
              <w:t>3、主板:Intel 460或以上；</w:t>
            </w:r>
          </w:p>
          <w:p>
            <w:pPr>
              <w:jc w:val="left"/>
              <w:rPr>
                <w:szCs w:val="21"/>
              </w:rPr>
            </w:pPr>
            <w:r>
              <w:rPr>
                <w:rFonts w:hint="eastAsia"/>
                <w:szCs w:val="21"/>
              </w:rPr>
              <w:t>4、内存:≥8GB，2个或以上内存插槽；</w:t>
            </w:r>
          </w:p>
          <w:p>
            <w:pPr>
              <w:jc w:val="left"/>
              <w:rPr>
                <w:szCs w:val="21"/>
              </w:rPr>
            </w:pPr>
            <w:r>
              <w:rPr>
                <w:rFonts w:hint="eastAsia"/>
                <w:szCs w:val="21"/>
              </w:rPr>
              <w:t>5、硬盘:≥256GB M.2 NVME SSD；</w:t>
            </w:r>
          </w:p>
          <w:p>
            <w:pPr>
              <w:jc w:val="left"/>
              <w:rPr>
                <w:szCs w:val="21"/>
              </w:rPr>
            </w:pPr>
            <w:r>
              <w:rPr>
                <w:rFonts w:hint="eastAsia"/>
                <w:szCs w:val="21"/>
              </w:rPr>
              <w:t>6、显卡:集成显卡,主板原生VGA、HDMI、DP三个视频输出接口；</w:t>
            </w:r>
          </w:p>
          <w:p>
            <w:pPr>
              <w:jc w:val="left"/>
              <w:rPr>
                <w:szCs w:val="21"/>
              </w:rPr>
            </w:pPr>
            <w:r>
              <w:rPr>
                <w:rFonts w:hint="eastAsia"/>
                <w:szCs w:val="21"/>
              </w:rPr>
              <w:t>7、键盘、鼠标:USB抗菌键盘,抗菌鼠标；</w:t>
            </w:r>
          </w:p>
          <w:p>
            <w:pPr>
              <w:jc w:val="left"/>
              <w:rPr>
                <w:szCs w:val="21"/>
              </w:rPr>
            </w:pPr>
            <w:r>
              <w:rPr>
                <w:rFonts w:hint="eastAsia"/>
                <w:szCs w:val="21"/>
              </w:rPr>
              <w:t>8、接口:≥5个3.5mm音频插孔，≥9个USB接口(其中USB 3.2不少于5个)。1个串行接口、2个PS/2接口；</w:t>
            </w:r>
          </w:p>
          <w:p>
            <w:pPr>
              <w:jc w:val="left"/>
              <w:rPr>
                <w:szCs w:val="21"/>
              </w:rPr>
            </w:pPr>
            <w:r>
              <w:rPr>
                <w:rFonts w:hint="eastAsia"/>
                <w:szCs w:val="21"/>
              </w:rPr>
              <w:t>9、扩展槽:≥1个全高PCI插槽;≥1个PCIe x1插槽;≥1个PCIe x16插槽；</w:t>
            </w:r>
          </w:p>
          <w:p>
            <w:pPr>
              <w:jc w:val="left"/>
              <w:rPr>
                <w:szCs w:val="21"/>
              </w:rPr>
            </w:pPr>
            <w:r>
              <w:rPr>
                <w:rFonts w:hint="eastAsia"/>
                <w:szCs w:val="21"/>
              </w:rPr>
              <w:t>10、机箱:≤11升可立卧两用机箱；</w:t>
            </w:r>
          </w:p>
          <w:p>
            <w:pPr>
              <w:jc w:val="left"/>
              <w:rPr>
                <w:szCs w:val="21"/>
              </w:rPr>
            </w:pPr>
            <w:r>
              <w:rPr>
                <w:rFonts w:hint="eastAsia"/>
                <w:szCs w:val="21"/>
              </w:rPr>
              <w:t>11、电源:≤180W节能电源；</w:t>
            </w:r>
          </w:p>
          <w:p>
            <w:pPr>
              <w:jc w:val="left"/>
              <w:rPr>
                <w:szCs w:val="21"/>
              </w:rPr>
            </w:pPr>
            <w:r>
              <w:rPr>
                <w:rFonts w:hint="eastAsia"/>
                <w:szCs w:val="21"/>
              </w:rPr>
              <w:t>12、显示器:≥23.8寸低蓝光液晶显示器，分辨率≥1920x1080、亮度≥250cd/m²、对比度≥1000:1、色域≥72%NTSC、可视角度≥178°/178°、响应时间≤5ms,VGA+HDMI接口带原厂HDMI线缆、VESA标准安装孔；</w:t>
            </w:r>
          </w:p>
          <w:p>
            <w:pPr>
              <w:jc w:val="left"/>
              <w:rPr>
                <w:szCs w:val="21"/>
              </w:rPr>
            </w:pPr>
            <w:r>
              <w:rPr>
                <w:rFonts w:hint="eastAsia"/>
                <w:szCs w:val="21"/>
              </w:rPr>
              <w:t>13、供应商所投标商用计算机需通过国家电子计算机质量监督检验中心平均无故障运行认证,且无故障运行时间达105万小时以上；</w:t>
            </w:r>
          </w:p>
          <w:p>
            <w:pPr>
              <w:jc w:val="left"/>
              <w:rPr>
                <w:szCs w:val="21"/>
              </w:rPr>
            </w:pPr>
            <w:r>
              <w:rPr>
                <w:rFonts w:hint="eastAsia"/>
                <w:szCs w:val="21"/>
              </w:rPr>
              <w:t>14、所投商用计算机支持国产桌面操作系统；</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textAlignment w:val="center"/>
              <w:rPr>
                <w:rFonts w:ascii="宋体" w:hAnsi="宋体" w:cs="宋体"/>
                <w:kern w:val="0"/>
                <w:szCs w:val="21"/>
              </w:rPr>
            </w:pPr>
            <w:r>
              <w:rPr>
                <w:rFonts w:hint="eastAsia" w:ascii="宋体" w:hAnsi="宋体" w:cs="宋体"/>
                <w:kern w:val="0"/>
                <w:szCs w:val="21"/>
              </w:rPr>
              <w:t>13</w:t>
            </w:r>
          </w:p>
        </w:tc>
        <w:tc>
          <w:tcPr>
            <w:tcW w:w="996" w:type="pct"/>
            <w:shd w:val="clear" w:color="auto" w:fill="auto"/>
            <w:noWrap/>
            <w:vAlign w:val="center"/>
          </w:tcPr>
          <w:p>
            <w:pPr>
              <w:jc w:val="center"/>
              <w:rPr>
                <w:szCs w:val="21"/>
              </w:rPr>
            </w:pPr>
            <w:r>
              <w:rPr>
                <w:rFonts w:hint="eastAsia"/>
                <w:szCs w:val="21"/>
              </w:rPr>
              <w:t>实验室安装</w:t>
            </w:r>
          </w:p>
        </w:tc>
        <w:tc>
          <w:tcPr>
            <w:tcW w:w="2984" w:type="pct"/>
            <w:shd w:val="clear" w:color="auto" w:fill="auto"/>
            <w:vAlign w:val="center"/>
          </w:tcPr>
          <w:p>
            <w:pPr>
              <w:widowControl/>
              <w:jc w:val="left"/>
              <w:textAlignment w:val="center"/>
              <w:rPr>
                <w:rFonts w:ascii="宋体" w:hAnsi="宋体" w:cs="宋体"/>
                <w:kern w:val="0"/>
                <w:szCs w:val="21"/>
              </w:rPr>
            </w:pPr>
            <w:r>
              <w:rPr>
                <w:rFonts w:hint="eastAsia" w:ascii="宋体" w:hAnsi="宋体" w:cs="宋体"/>
                <w:kern w:val="0"/>
                <w:szCs w:val="21"/>
              </w:rPr>
              <w:t>整体准备室安装</w:t>
            </w:r>
          </w:p>
        </w:tc>
        <w:tc>
          <w:tcPr>
            <w:tcW w:w="301" w:type="pct"/>
            <w:shd w:val="clear" w:color="auto" w:fill="auto"/>
            <w:noWrap/>
            <w:vAlign w:val="center"/>
          </w:tcPr>
          <w:p>
            <w:pPr>
              <w:widowControl/>
              <w:jc w:val="center"/>
              <w:textAlignment w:val="center"/>
              <w:rPr>
                <w:rFonts w:ascii="宋体" w:hAnsi="宋体" w:cs="宋体"/>
                <w:kern w:val="0"/>
                <w:szCs w:val="21"/>
              </w:rPr>
            </w:pPr>
            <w:r>
              <w:rPr>
                <w:rFonts w:hint="eastAsia" w:ascii="宋体" w:hAnsi="宋体" w:cs="宋体"/>
                <w:kern w:val="0"/>
                <w:szCs w:val="21"/>
              </w:rPr>
              <w:t>项</w:t>
            </w:r>
          </w:p>
        </w:tc>
        <w:tc>
          <w:tcPr>
            <w:tcW w:w="302" w:type="pct"/>
            <w:shd w:val="clear" w:color="auto" w:fill="auto"/>
            <w:noWrap/>
            <w:vAlign w:val="center"/>
          </w:tcPr>
          <w:p>
            <w:pPr>
              <w:widowControl/>
              <w:jc w:val="center"/>
              <w:textAlignment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tcBorders>
              <w:bottom w:val="single" w:color="auto" w:sz="4" w:space="0"/>
            </w:tcBorders>
            <w:shd w:val="clear" w:color="auto" w:fill="auto"/>
            <w:noWrap/>
            <w:vAlign w:val="center"/>
          </w:tcPr>
          <w:p>
            <w:pPr>
              <w:widowControl/>
              <w:jc w:val="center"/>
              <w:textAlignment w:val="center"/>
              <w:rPr>
                <w:rFonts w:ascii="宋体" w:hAnsi="宋体" w:cs="宋体"/>
                <w:kern w:val="0"/>
                <w:szCs w:val="21"/>
              </w:rPr>
            </w:pPr>
            <w:r>
              <w:rPr>
                <w:rFonts w:hint="eastAsia" w:ascii="宋体" w:hAnsi="宋体" w:cs="宋体"/>
                <w:kern w:val="0"/>
                <w:szCs w:val="21"/>
              </w:rPr>
              <w:t>14</w:t>
            </w:r>
          </w:p>
        </w:tc>
        <w:tc>
          <w:tcPr>
            <w:tcW w:w="996" w:type="pct"/>
            <w:tcBorders>
              <w:bottom w:val="single" w:color="auto" w:sz="4" w:space="0"/>
            </w:tcBorders>
            <w:shd w:val="clear" w:color="auto" w:fill="auto"/>
            <w:noWrap/>
            <w:vAlign w:val="center"/>
          </w:tcPr>
          <w:p>
            <w:pPr>
              <w:widowControl/>
              <w:jc w:val="center"/>
              <w:textAlignment w:val="center"/>
              <w:rPr>
                <w:rFonts w:ascii="宋体" w:hAnsi="宋体" w:cs="宋体"/>
                <w:kern w:val="0"/>
                <w:szCs w:val="21"/>
              </w:rPr>
            </w:pPr>
            <w:r>
              <w:rPr>
                <w:rFonts w:hint="eastAsia" w:ascii="宋体" w:hAnsi="宋体" w:cs="宋体"/>
                <w:kern w:val="0"/>
                <w:szCs w:val="21"/>
              </w:rPr>
              <w:t>地面改造</w:t>
            </w:r>
          </w:p>
        </w:tc>
        <w:tc>
          <w:tcPr>
            <w:tcW w:w="2984" w:type="pct"/>
            <w:tcBorders>
              <w:bottom w:val="single" w:color="auto" w:sz="4" w:space="0"/>
            </w:tcBorders>
            <w:shd w:val="clear" w:color="auto" w:fill="auto"/>
            <w:vAlign w:val="center"/>
          </w:tcPr>
          <w:p>
            <w:pPr>
              <w:widowControl/>
              <w:jc w:val="left"/>
              <w:textAlignment w:val="center"/>
              <w:rPr>
                <w:rFonts w:ascii="宋体" w:hAnsi="宋体" w:cs="宋体"/>
                <w:kern w:val="0"/>
                <w:szCs w:val="21"/>
              </w:rPr>
            </w:pPr>
            <w:r>
              <w:rPr>
                <w:rFonts w:hint="eastAsia" w:ascii="宋体" w:hAnsi="宋体" w:cs="宋体"/>
                <w:kern w:val="0"/>
                <w:szCs w:val="21"/>
              </w:rPr>
              <w:t>地面以上瓷砖切沟、地面切沟铺设地下水电，铺设后地面回填，不锈钢卡槽覆盖。</w:t>
            </w:r>
          </w:p>
        </w:tc>
        <w:tc>
          <w:tcPr>
            <w:tcW w:w="301" w:type="pct"/>
            <w:tcBorders>
              <w:bottom w:val="single" w:color="auto" w:sz="4" w:space="0"/>
            </w:tcBorders>
            <w:shd w:val="clear" w:color="auto" w:fill="auto"/>
            <w:noWrap/>
            <w:vAlign w:val="center"/>
          </w:tcPr>
          <w:p>
            <w:pPr>
              <w:widowControl/>
              <w:jc w:val="center"/>
              <w:textAlignment w:val="center"/>
              <w:rPr>
                <w:rFonts w:ascii="宋体" w:hAnsi="宋体" w:cs="宋体"/>
                <w:kern w:val="0"/>
                <w:szCs w:val="21"/>
              </w:rPr>
            </w:pPr>
            <w:r>
              <w:rPr>
                <w:rFonts w:hint="eastAsia" w:ascii="宋体" w:hAnsi="宋体" w:cs="宋体"/>
                <w:kern w:val="0"/>
                <w:szCs w:val="21"/>
              </w:rPr>
              <w:t>项</w:t>
            </w:r>
          </w:p>
        </w:tc>
        <w:tc>
          <w:tcPr>
            <w:tcW w:w="302" w:type="pct"/>
            <w:tcBorders>
              <w:bottom w:val="single" w:color="auto" w:sz="4" w:space="0"/>
            </w:tcBorders>
            <w:shd w:val="clear" w:color="auto" w:fill="auto"/>
            <w:noWrap/>
            <w:vAlign w:val="center"/>
          </w:tcPr>
          <w:p>
            <w:pPr>
              <w:widowControl/>
              <w:jc w:val="center"/>
              <w:textAlignment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0" w:type="pct"/>
            <w:gridSpan w:val="5"/>
            <w:tcBorders>
              <w:left w:val="nil"/>
              <w:right w:val="nil"/>
            </w:tcBorders>
            <w:shd w:val="clear" w:color="auto" w:fill="auto"/>
            <w:noWrap/>
            <w:vAlign w:val="center"/>
          </w:tcPr>
          <w:p>
            <w:pPr>
              <w:widowControl/>
              <w:jc w:val="center"/>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0" w:type="pct"/>
            <w:gridSpan w:val="5"/>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5、新建生物实验室（56座/室）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996"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货物名称</w:t>
            </w:r>
          </w:p>
        </w:tc>
        <w:tc>
          <w:tcPr>
            <w:tcW w:w="2984"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技术要求</w:t>
            </w:r>
          </w:p>
        </w:tc>
        <w:tc>
          <w:tcPr>
            <w:tcW w:w="301"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单位</w:t>
            </w:r>
          </w:p>
        </w:tc>
        <w:tc>
          <w:tcPr>
            <w:tcW w:w="302"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95" w:type="pct"/>
            <w:gridSpan w:val="3"/>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一、实验室设备</w:t>
            </w:r>
          </w:p>
        </w:tc>
        <w:tc>
          <w:tcPr>
            <w:tcW w:w="301" w:type="pct"/>
            <w:shd w:val="clear" w:color="auto" w:fill="auto"/>
            <w:noWrap/>
            <w:vAlign w:val="center"/>
          </w:tcPr>
          <w:p>
            <w:pPr>
              <w:widowControl/>
              <w:jc w:val="center"/>
              <w:rPr>
                <w:rFonts w:ascii="宋体" w:hAnsi="宋体" w:cs="宋体"/>
                <w:b/>
                <w:bCs/>
                <w:kern w:val="0"/>
                <w:szCs w:val="21"/>
              </w:rPr>
            </w:pPr>
          </w:p>
        </w:tc>
        <w:tc>
          <w:tcPr>
            <w:tcW w:w="302" w:type="pct"/>
            <w:shd w:val="clear" w:color="auto" w:fill="auto"/>
            <w:noWrap/>
            <w:vAlign w:val="center"/>
          </w:tcPr>
          <w:p>
            <w:pPr>
              <w:widowControl/>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95" w:type="pct"/>
            <w:gridSpan w:val="3"/>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1、教师端实验设备</w:t>
            </w:r>
          </w:p>
        </w:tc>
        <w:tc>
          <w:tcPr>
            <w:tcW w:w="301" w:type="pct"/>
            <w:shd w:val="clear" w:color="auto" w:fill="auto"/>
            <w:noWrap/>
            <w:vAlign w:val="center"/>
          </w:tcPr>
          <w:p>
            <w:pPr>
              <w:widowControl/>
              <w:jc w:val="center"/>
              <w:rPr>
                <w:rFonts w:ascii="宋体" w:hAnsi="宋体" w:cs="宋体"/>
                <w:b/>
                <w:bCs/>
                <w:kern w:val="0"/>
                <w:szCs w:val="21"/>
              </w:rPr>
            </w:pPr>
          </w:p>
        </w:tc>
        <w:tc>
          <w:tcPr>
            <w:tcW w:w="302" w:type="pct"/>
            <w:shd w:val="clear" w:color="auto" w:fill="auto"/>
            <w:noWrap/>
            <w:vAlign w:val="center"/>
          </w:tcPr>
          <w:p>
            <w:pPr>
              <w:widowControl/>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教师演示台</w:t>
            </w:r>
          </w:p>
        </w:tc>
        <w:tc>
          <w:tcPr>
            <w:tcW w:w="2984"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1、规格：2400×700×850mm（±5mm）</w:t>
            </w:r>
          </w:p>
          <w:p>
            <w:pPr>
              <w:widowControl/>
              <w:jc w:val="left"/>
              <w:rPr>
                <w:rFonts w:ascii="宋体" w:hAnsi="宋体" w:cs="宋体"/>
                <w:kern w:val="0"/>
                <w:szCs w:val="21"/>
              </w:rPr>
            </w:pPr>
            <w:r>
              <w:rPr>
                <w:rFonts w:hint="eastAsia" w:ascii="宋体" w:hAnsi="宋体" w:cs="宋体"/>
                <w:kern w:val="0"/>
                <w:szCs w:val="21"/>
              </w:rPr>
              <w:t>2、台面：用25mm厚金属树脂高能理化板，且满足如下参数要求：</w:t>
            </w:r>
          </w:p>
          <w:p>
            <w:pPr>
              <w:widowControl/>
              <w:jc w:val="left"/>
              <w:rPr>
                <w:rFonts w:ascii="宋体" w:hAnsi="宋体" w:cs="宋体"/>
                <w:kern w:val="0"/>
                <w:szCs w:val="21"/>
              </w:rPr>
            </w:pPr>
            <w:r>
              <w:rPr>
                <w:rFonts w:hint="eastAsia" w:ascii="宋体" w:hAnsi="宋体" w:cs="宋体"/>
                <w:kern w:val="0"/>
                <w:szCs w:val="21"/>
              </w:rPr>
              <w:t>（1）化学性能检测：耐污染试剂包含65%硝酸、98%硫酸、氢氧化钾、液体石蜡、氯化铁（10%）、四氢呋喃等不少于108项，分级结果不低于“4级”。</w:t>
            </w:r>
          </w:p>
          <w:p>
            <w:pPr>
              <w:widowControl/>
              <w:jc w:val="left"/>
              <w:rPr>
                <w:rFonts w:ascii="宋体" w:hAnsi="宋体" w:cs="宋体"/>
                <w:kern w:val="0"/>
                <w:szCs w:val="21"/>
              </w:rPr>
            </w:pPr>
            <w:r>
              <w:rPr>
                <w:rFonts w:hint="eastAsia" w:ascii="宋体" w:hAnsi="宋体" w:cs="宋体"/>
                <w:kern w:val="0"/>
                <w:szCs w:val="21"/>
              </w:rPr>
              <w:t>（2）物理性能检测：含水率：≤1.4；尺寸稳定性：≤0.45%；表面耐湿热性能：5级-无明显变化；表面耐划痕性能：3N作用下试件表面无大于90%的连续划痕；耐光色牢度性能：大于灰度卡4级等不低于13项检测。</w:t>
            </w:r>
          </w:p>
          <w:p>
            <w:pPr>
              <w:widowControl/>
              <w:jc w:val="left"/>
              <w:rPr>
                <w:rFonts w:ascii="宋体" w:hAnsi="宋体" w:cs="宋体"/>
                <w:kern w:val="0"/>
                <w:szCs w:val="21"/>
              </w:rPr>
            </w:pPr>
            <w:r>
              <w:rPr>
                <w:rFonts w:hint="eastAsia" w:ascii="宋体" w:hAnsi="宋体" w:cs="宋体"/>
                <w:kern w:val="0"/>
                <w:szCs w:val="21"/>
              </w:rPr>
              <w:t>（3）环保性能检测：甲醛释放量&lt;0.005 mg/M3；同时台面参照GB 18584-2001《室内装饰装修材料木家具中有害物质限量》标准，满足4种重金属含量mg/kg（可溶性铅≤2.2、镉：≤0.1、铬≤0.2、汞：未检出）。</w:t>
            </w:r>
          </w:p>
          <w:p>
            <w:pPr>
              <w:widowControl/>
              <w:jc w:val="left"/>
              <w:rPr>
                <w:rFonts w:ascii="宋体" w:hAnsi="宋体" w:cs="宋体"/>
                <w:kern w:val="0"/>
                <w:szCs w:val="21"/>
              </w:rPr>
            </w:pPr>
            <w:r>
              <w:rPr>
                <w:rFonts w:hint="eastAsia" w:ascii="宋体" w:hAnsi="宋体" w:cs="宋体"/>
                <w:kern w:val="0"/>
                <w:szCs w:val="21"/>
              </w:rPr>
              <w:t>（4）抗菌性能检测：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p>
          <w:p>
            <w:pPr>
              <w:widowControl/>
              <w:jc w:val="left"/>
              <w:rPr>
                <w:rFonts w:ascii="宋体" w:hAnsi="宋体" w:cs="宋体"/>
                <w:kern w:val="0"/>
                <w:szCs w:val="21"/>
              </w:rPr>
            </w:pPr>
            <w:r>
              <w:rPr>
                <w:rFonts w:hint="eastAsia" w:ascii="宋体" w:hAnsi="宋体" w:cs="宋体"/>
                <w:kern w:val="0"/>
                <w:szCs w:val="21"/>
              </w:rPr>
              <w:t>（5）防霉性能检测：黑曲霉、土曲霉、球毛壳霉、宛氏拟青霉、绳状青霉、出芽短梗霉等不少于6种的霉菌检测，且防霉等级为0级。</w:t>
            </w:r>
          </w:p>
          <w:p>
            <w:pPr>
              <w:widowControl/>
              <w:jc w:val="left"/>
              <w:rPr>
                <w:rFonts w:ascii="宋体" w:hAnsi="宋体" w:cs="宋体"/>
                <w:kern w:val="0"/>
                <w:szCs w:val="21"/>
              </w:rPr>
            </w:pPr>
            <w:r>
              <w:rPr>
                <w:rFonts w:hint="eastAsia" w:ascii="宋体" w:hAnsi="宋体" w:cs="宋体"/>
                <w:kern w:val="0"/>
                <w:szCs w:val="21"/>
              </w:rPr>
              <w:t>（6）燃烧性能检测：水平燃烧符合HB级；垂直燃烧符合V-0级；台面参照GB8624-2012《建筑材料及制品燃烧性能分级》标准，满足：燃烧性能等级B1级；产烟特性等级S1级；燃烧滴落物/微粒等级d0级。</w:t>
            </w:r>
          </w:p>
          <w:p>
            <w:pPr>
              <w:widowControl/>
              <w:jc w:val="left"/>
              <w:rPr>
                <w:rFonts w:ascii="宋体" w:hAnsi="宋体" w:cs="宋体"/>
                <w:kern w:val="0"/>
                <w:szCs w:val="21"/>
              </w:rPr>
            </w:pPr>
            <w:r>
              <w:rPr>
                <w:rFonts w:hint="eastAsia" w:ascii="宋体" w:hAnsi="宋体" w:cs="宋体"/>
                <w:kern w:val="0"/>
                <w:szCs w:val="21"/>
              </w:rPr>
              <w:t>（7）抗老化性检测：48小时无裂纹、无鼓泡、无粉化。</w:t>
            </w:r>
          </w:p>
          <w:p>
            <w:pPr>
              <w:widowControl/>
              <w:jc w:val="left"/>
              <w:rPr>
                <w:rFonts w:ascii="宋体" w:hAnsi="宋体" w:cs="宋体"/>
                <w:kern w:val="0"/>
                <w:szCs w:val="21"/>
              </w:rPr>
            </w:pPr>
            <w:r>
              <w:rPr>
                <w:rFonts w:hint="eastAsia" w:ascii="宋体" w:hAnsi="宋体" w:cs="宋体"/>
                <w:kern w:val="0"/>
                <w:szCs w:val="21"/>
              </w:rPr>
              <w:t>3、桌身：整体用≥1.0mm厚冷轧钢板，全部钢制件纳米陶瓷镀膜防锈处理。                                                                                  4、结构：演示台设有储物柜，中间为演示台,设置电源主控系统、多媒体设备（主机、显示器、中控、功放、交换机）的位置预留。</w:t>
            </w:r>
          </w:p>
          <w:p>
            <w:pPr>
              <w:widowControl/>
              <w:jc w:val="left"/>
              <w:rPr>
                <w:rFonts w:ascii="宋体" w:hAnsi="宋体" w:cs="宋体"/>
                <w:kern w:val="0"/>
                <w:szCs w:val="21"/>
              </w:rPr>
            </w:pPr>
            <w:r>
              <w:rPr>
                <w:rFonts w:hint="eastAsia" w:ascii="宋体" w:hAnsi="宋体" w:cs="宋体"/>
                <w:kern w:val="0"/>
                <w:szCs w:val="21"/>
              </w:rPr>
              <w:t>5、滑道：抽屉全部用三节承重式滚珠滑道。</w:t>
            </w:r>
          </w:p>
          <w:p>
            <w:pPr>
              <w:widowControl/>
              <w:jc w:val="left"/>
            </w:pPr>
            <w:r>
              <w:rPr>
                <w:rFonts w:hint="eastAsia" w:ascii="宋体" w:hAnsi="宋体" w:cs="宋体"/>
                <w:kern w:val="0"/>
                <w:szCs w:val="21"/>
              </w:rPr>
              <w:t>6、产品符合GB24820-2009《实验室家具通用技术条件》 、GB 28481-2012《塑料家具中有物质限量》GB/T 32487-2016《塑料家具通用条件》标准；投标人需提供产品2021年及以后版本且带CMA或CNAS标志的检测报告复印件，并加盖制造厂商公章。</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99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教师椅</w:t>
            </w:r>
          </w:p>
        </w:tc>
        <w:tc>
          <w:tcPr>
            <w:tcW w:w="2984" w:type="pct"/>
            <w:shd w:val="clear" w:color="auto" w:fill="auto"/>
            <w:vAlign w:val="center"/>
          </w:tcPr>
          <w:p>
            <w:pPr>
              <w:jc w:val="left"/>
              <w:rPr>
                <w:szCs w:val="21"/>
              </w:rPr>
            </w:pPr>
            <w:r>
              <w:rPr>
                <w:rFonts w:hint="eastAsia"/>
                <w:szCs w:val="21"/>
              </w:rPr>
              <w:t>座高：380-510mm。</w:t>
            </w:r>
          </w:p>
          <w:p>
            <w:pPr>
              <w:jc w:val="left"/>
              <w:rPr>
                <w:szCs w:val="21"/>
              </w:rPr>
            </w:pPr>
            <w:r>
              <w:rPr>
                <w:rFonts w:hint="eastAsia"/>
                <w:szCs w:val="21"/>
              </w:rPr>
              <w:t>靠背：1.材质：采用PP耐冲击塑料一体注塑成型。</w:t>
            </w:r>
          </w:p>
          <w:p>
            <w:pPr>
              <w:jc w:val="left"/>
              <w:rPr>
                <w:szCs w:val="21"/>
              </w:rPr>
            </w:pPr>
            <w:r>
              <w:rPr>
                <w:rFonts w:hint="eastAsia"/>
                <w:szCs w:val="21"/>
              </w:rPr>
              <w:t>2.尺寸：长530*平面宽90*高250mm±10mm。</w:t>
            </w:r>
          </w:p>
          <w:p>
            <w:pPr>
              <w:jc w:val="left"/>
              <w:rPr>
                <w:szCs w:val="21"/>
              </w:rPr>
            </w:pPr>
            <w:r>
              <w:rPr>
                <w:rFonts w:hint="eastAsia"/>
                <w:szCs w:val="21"/>
              </w:rPr>
              <w:t>3.椅背超宽平面可做书写板使用。</w:t>
            </w:r>
          </w:p>
          <w:p>
            <w:pPr>
              <w:jc w:val="left"/>
              <w:rPr>
                <w:szCs w:val="21"/>
              </w:rPr>
            </w:pPr>
            <w:r>
              <w:rPr>
                <w:rFonts w:hint="eastAsia"/>
                <w:szCs w:val="21"/>
              </w:rPr>
              <w:t>坐垫：1.材质：采用PP耐冲击塑料一体注塑成型。</w:t>
            </w:r>
          </w:p>
          <w:p>
            <w:pPr>
              <w:jc w:val="left"/>
              <w:rPr>
                <w:szCs w:val="21"/>
              </w:rPr>
            </w:pPr>
            <w:r>
              <w:rPr>
                <w:rFonts w:hint="eastAsia"/>
                <w:szCs w:val="21"/>
              </w:rPr>
              <w:t>2.尺寸：角到边320mm±10mm。</w:t>
            </w:r>
          </w:p>
          <w:p>
            <w:pPr>
              <w:jc w:val="left"/>
              <w:rPr>
                <w:szCs w:val="21"/>
              </w:rPr>
            </w:pPr>
            <w:r>
              <w:rPr>
                <w:rFonts w:hint="eastAsia"/>
                <w:szCs w:val="21"/>
              </w:rPr>
              <w:t>3.马鞍型设计，坐感舒适。</w:t>
            </w:r>
          </w:p>
          <w:p>
            <w:pPr>
              <w:jc w:val="left"/>
              <w:rPr>
                <w:szCs w:val="21"/>
              </w:rPr>
            </w:pPr>
            <w:r>
              <w:rPr>
                <w:rFonts w:hint="eastAsia"/>
                <w:szCs w:val="21"/>
              </w:rPr>
              <w:t>脚架：1.材质及形状：圆形钢管/五星脚架；</w:t>
            </w:r>
          </w:p>
          <w:p>
            <w:pPr>
              <w:jc w:val="left"/>
              <w:rPr>
                <w:rFonts w:ascii="宋体" w:hAnsi="宋体" w:cs="宋体"/>
                <w:szCs w:val="21"/>
              </w:rPr>
            </w:pPr>
            <w:r>
              <w:rPr>
                <w:rFonts w:hint="eastAsia"/>
                <w:szCs w:val="21"/>
              </w:rPr>
              <w:t>2.表面涂装：钢管架焊接完成后，表面经酸洗、脱脂、磷化处理，耐腐蚀、防锈。外表采一级颗粒粉末。涂层需无漏喷、锈蚀；涂层需光滑均匀，色泽一致。内置液压升降机构，可随意调节座椅高低，底部配尼龙轮。</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张</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教师总控台电源装置</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装置在教师演示台，为抽屉式，用教学安全交流总电源，对学生220V插座输出进行分组控制，有漏电保护功能、过载保护和复位功能。对学生台分四组控制。</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教师化验水槽</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防堵、防臭内嵌式5mm厚400×300×250mm高密度一体成型，耐酸碱，耐热，耐有机溶剂PP水封式化验黑色水槽。水槽用从台面底部向上安装方式，台面不留沿。水槽与台面间用防水密封胶粘和封闭。</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洗眼器</w:t>
            </w:r>
          </w:p>
        </w:tc>
        <w:tc>
          <w:tcPr>
            <w:tcW w:w="2984" w:type="pct"/>
            <w:shd w:val="clear" w:color="auto" w:fill="auto"/>
            <w:vAlign w:val="center"/>
          </w:tcPr>
          <w:p>
            <w:pPr>
              <w:widowControl/>
              <w:jc w:val="left"/>
              <w:textAlignment w:val="center"/>
              <w:rPr>
                <w:rFonts w:ascii="宋体" w:hAnsi="宋体" w:cs="宋体"/>
                <w:kern w:val="0"/>
                <w:szCs w:val="21"/>
              </w:rPr>
            </w:pPr>
            <w:r>
              <w:rPr>
                <w:rFonts w:hint="eastAsia" w:ascii="宋体" w:hAnsi="宋体" w:cs="宋体"/>
                <w:kern w:val="0"/>
                <w:szCs w:val="21"/>
              </w:rPr>
              <w:t>台式单口洗眼器，安装在教师水槽旁边。</w:t>
            </w:r>
            <w:r>
              <w:rPr>
                <w:rFonts w:hint="eastAsia" w:ascii="宋体" w:hAnsi="宋体" w:cs="宋体"/>
                <w:kern w:val="0"/>
                <w:szCs w:val="21"/>
              </w:rPr>
              <w:br w:type="textWrapping"/>
            </w:r>
            <w:r>
              <w:rPr>
                <w:rFonts w:hint="eastAsia" w:ascii="宋体" w:hAnsi="宋体" w:cs="宋体"/>
                <w:kern w:val="0"/>
                <w:szCs w:val="21"/>
              </w:rPr>
              <w:t>1、台面安装方式，平时放置于台面，紧急使用时可随意抽起。</w:t>
            </w:r>
          </w:p>
          <w:p>
            <w:pPr>
              <w:widowControl/>
              <w:jc w:val="left"/>
              <w:textAlignment w:val="center"/>
              <w:rPr>
                <w:rFonts w:ascii="宋体" w:hAnsi="宋体" w:cs="宋体"/>
                <w:kern w:val="0"/>
                <w:szCs w:val="21"/>
              </w:rPr>
            </w:pPr>
            <w:r>
              <w:rPr>
                <w:rFonts w:hint="eastAsia" w:ascii="宋体" w:hAnsi="宋体" w:cs="宋体"/>
                <w:kern w:val="0"/>
                <w:szCs w:val="21"/>
              </w:rPr>
              <w:t>2、洗眼喷头：具有过滤泡棉及防尘功能，上面防尘盖平常可防尘，使用时可随时被水冲开，并降低突然打开时短暂的高水压，避免冲伤眼睛。</w:t>
            </w:r>
          </w:p>
          <w:p>
            <w:pPr>
              <w:widowControl/>
              <w:jc w:val="left"/>
              <w:textAlignment w:val="center"/>
              <w:rPr>
                <w:rFonts w:ascii="宋体" w:hAnsi="宋体" w:cs="宋体"/>
                <w:szCs w:val="21"/>
              </w:rPr>
            </w:pPr>
            <w:r>
              <w:rPr>
                <w:rFonts w:hint="eastAsia" w:ascii="宋体" w:hAnsi="宋体" w:cs="宋体"/>
                <w:kern w:val="0"/>
                <w:szCs w:val="21"/>
              </w:rPr>
              <w:t>3、控水阀用黄铜制作，高亮度环氧树脂涂层处理，阀门可自动关闭，密封可靠。</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教师三联水嘴</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陶瓷阀芯90°旋转，铜质内芯外用聚碳酸酯一次注塑成型的防腐蚀、耐酸碱的实验室专用水嘴(一高二低)。</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95" w:type="pct"/>
            <w:gridSpan w:val="3"/>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二、学生端实验室设备</w:t>
            </w:r>
          </w:p>
        </w:tc>
        <w:tc>
          <w:tcPr>
            <w:tcW w:w="301" w:type="pct"/>
            <w:shd w:val="clear" w:color="auto" w:fill="auto"/>
            <w:noWrap/>
            <w:vAlign w:val="center"/>
          </w:tcPr>
          <w:p>
            <w:pPr>
              <w:widowControl/>
              <w:jc w:val="center"/>
              <w:rPr>
                <w:rFonts w:ascii="宋体" w:hAnsi="宋体" w:cs="宋体"/>
                <w:b/>
                <w:bCs/>
                <w:kern w:val="0"/>
                <w:szCs w:val="21"/>
              </w:rPr>
            </w:pPr>
          </w:p>
        </w:tc>
        <w:tc>
          <w:tcPr>
            <w:tcW w:w="302" w:type="pct"/>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学生实验桌</w:t>
            </w:r>
          </w:p>
        </w:tc>
        <w:tc>
          <w:tcPr>
            <w:tcW w:w="2984"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1、规格：1200mm×600mm×760mm （±5mm）</w:t>
            </w:r>
          </w:p>
          <w:p>
            <w:pPr>
              <w:widowControl/>
              <w:jc w:val="left"/>
              <w:rPr>
                <w:rFonts w:ascii="宋体" w:hAnsi="宋体" w:cs="宋体"/>
                <w:kern w:val="0"/>
                <w:szCs w:val="21"/>
              </w:rPr>
            </w:pPr>
            <w:r>
              <w:rPr>
                <w:rFonts w:hint="eastAsia" w:ascii="宋体" w:hAnsi="宋体" w:cs="宋体"/>
                <w:kern w:val="0"/>
                <w:szCs w:val="21"/>
              </w:rPr>
              <w:t>2、台面：用12.7mm厚双面膜实芯理化板，且满足如下参数要求：</w:t>
            </w:r>
          </w:p>
          <w:p>
            <w:pPr>
              <w:widowControl/>
              <w:jc w:val="left"/>
              <w:rPr>
                <w:rFonts w:ascii="宋体" w:hAnsi="宋体" w:cs="宋体"/>
                <w:kern w:val="0"/>
                <w:szCs w:val="21"/>
              </w:rPr>
            </w:pPr>
            <w:r>
              <w:rPr>
                <w:rFonts w:hint="eastAsia" w:ascii="宋体" w:hAnsi="宋体" w:cs="宋体"/>
                <w:kern w:val="0"/>
                <w:szCs w:val="21"/>
              </w:rPr>
              <w:t>（1）化学性能检测：耐污染试剂包含65%硝酸、98%硫酸、氢氧化钾、液体石蜡、氯化铁（10%）、四氢呋喃等不少于108项，分级结果不低于“4级”。</w:t>
            </w:r>
          </w:p>
          <w:p>
            <w:pPr>
              <w:widowControl/>
              <w:jc w:val="left"/>
              <w:rPr>
                <w:rFonts w:ascii="宋体" w:hAnsi="宋体" w:cs="宋体"/>
                <w:kern w:val="0"/>
                <w:sz w:val="18"/>
                <w:szCs w:val="18"/>
              </w:rPr>
            </w:pPr>
            <w:r>
              <w:rPr>
                <w:rFonts w:hint="eastAsia" w:ascii="宋体" w:hAnsi="宋体" w:cs="宋体"/>
                <w:kern w:val="0"/>
                <w:szCs w:val="21"/>
              </w:rPr>
              <w:t>（2）环保性能检测：甲醛释放量&lt;0.005 mg/M3；同时台面参照GB 18584-2001《室内装饰装修材料木家具中有害物质限量》标准，满足4种重金属含量mg/kg</w:t>
            </w:r>
            <w:r>
              <w:rPr>
                <w:rFonts w:hint="eastAsia" w:ascii="宋体" w:hAnsi="宋体" w:cs="宋体"/>
                <w:kern w:val="0"/>
                <w:sz w:val="18"/>
                <w:szCs w:val="18"/>
              </w:rPr>
              <w:t>（可溶性铅≤2.8、镉：≤0.1、铬≤0.2、汞：未检出）。</w:t>
            </w:r>
          </w:p>
          <w:p>
            <w:pPr>
              <w:widowControl/>
              <w:jc w:val="left"/>
              <w:rPr>
                <w:rFonts w:ascii="宋体" w:hAnsi="宋体" w:cs="宋体"/>
                <w:kern w:val="0"/>
                <w:szCs w:val="21"/>
              </w:rPr>
            </w:pPr>
            <w:r>
              <w:rPr>
                <w:rFonts w:hint="eastAsia" w:ascii="宋体" w:hAnsi="宋体" w:cs="宋体"/>
                <w:kern w:val="0"/>
                <w:szCs w:val="21"/>
              </w:rPr>
              <w:t>（3）防霉性能检测：黑曲霉、土曲霉、球毛壳霉、宛氏拟青霉、绳状青霉、出芽短梗霉等不少于6种的霉菌检测，且防霉等级为0级。</w:t>
            </w:r>
          </w:p>
          <w:p>
            <w:pPr>
              <w:widowControl/>
              <w:jc w:val="left"/>
              <w:rPr>
                <w:rFonts w:ascii="宋体" w:hAnsi="宋体" w:cs="宋体"/>
                <w:kern w:val="0"/>
                <w:szCs w:val="21"/>
              </w:rPr>
            </w:pPr>
            <w:r>
              <w:rPr>
                <w:rFonts w:hint="eastAsia" w:ascii="宋体" w:hAnsi="宋体" w:cs="宋体"/>
                <w:kern w:val="0"/>
                <w:szCs w:val="21"/>
              </w:rPr>
              <w:t>（4）燃烧性能检测：水平燃烧符合HB级；垂直燃烧符合V-0级；台面参照GB8624-2012《建筑材料及制品燃烧性能分级》标准，满足：燃烧性能等级B1级；产烟特性等级S1级；燃烧滴落物/微粒等级d0级。</w:t>
            </w:r>
          </w:p>
          <w:p>
            <w:pPr>
              <w:widowControl/>
              <w:jc w:val="left"/>
              <w:rPr>
                <w:rFonts w:ascii="宋体" w:hAnsi="宋体" w:cs="宋体"/>
                <w:kern w:val="0"/>
                <w:sz w:val="18"/>
                <w:szCs w:val="18"/>
              </w:rPr>
            </w:pPr>
            <w:r>
              <w:rPr>
                <w:rFonts w:hint="eastAsia" w:ascii="宋体" w:hAnsi="宋体" w:cs="宋体"/>
                <w:kern w:val="0"/>
                <w:szCs w:val="21"/>
              </w:rPr>
              <w:t>（5）烟气毒性检测：烟气毒性等级 t1 级：ZA3</w:t>
            </w:r>
            <w:r>
              <w:rPr>
                <w:rFonts w:hint="eastAsia" w:ascii="宋体" w:hAnsi="宋体" w:cs="宋体"/>
                <w:kern w:val="0"/>
                <w:sz w:val="18"/>
                <w:szCs w:val="18"/>
              </w:rPr>
              <w:t>（达到准安全三级ZA3）。</w:t>
            </w:r>
          </w:p>
          <w:p>
            <w:pPr>
              <w:widowControl/>
              <w:jc w:val="left"/>
              <w:rPr>
                <w:rFonts w:ascii="宋体" w:hAnsi="宋体" w:cs="宋体"/>
                <w:kern w:val="0"/>
                <w:szCs w:val="21"/>
              </w:rPr>
            </w:pPr>
            <w:r>
              <w:rPr>
                <w:rFonts w:hint="eastAsia" w:ascii="宋体" w:hAnsi="宋体" w:cs="宋体"/>
                <w:kern w:val="0"/>
                <w:szCs w:val="21"/>
              </w:rPr>
              <w:t>（6）抗老化性检测：48小时无裂纹、无鼓泡、无粉化。</w:t>
            </w:r>
          </w:p>
          <w:p>
            <w:pPr>
              <w:widowControl/>
              <w:jc w:val="left"/>
              <w:rPr>
                <w:rFonts w:ascii="宋体" w:hAnsi="宋体" w:cs="宋体"/>
                <w:kern w:val="0"/>
                <w:szCs w:val="21"/>
              </w:rPr>
            </w:pPr>
            <w:r>
              <w:rPr>
                <w:rFonts w:hint="eastAsia" w:ascii="宋体" w:hAnsi="宋体" w:cs="宋体"/>
                <w:kern w:val="0"/>
                <w:szCs w:val="21"/>
              </w:rPr>
              <w:t>3、桌体：新型塑铝结构，学生位镂空式，易碰撞处全部用倒圆角。</w:t>
            </w:r>
          </w:p>
          <w:p>
            <w:pPr>
              <w:widowControl/>
              <w:jc w:val="left"/>
              <w:rPr>
                <w:rFonts w:ascii="宋体" w:hAnsi="宋体" w:cs="宋体"/>
                <w:kern w:val="0"/>
                <w:szCs w:val="21"/>
              </w:rPr>
            </w:pPr>
            <w:r>
              <w:rPr>
                <w:rFonts w:hint="eastAsia" w:ascii="宋体" w:hAnsi="宋体" w:cs="宋体"/>
                <w:kern w:val="0"/>
                <w:szCs w:val="21"/>
              </w:rPr>
              <w:t>4、 侧面用三段式高强度铝合金结构，整体规格：566*770mm，其中上支架尺寸为566*145*50mm±5mm,下支架尺寸为562*135*50mm±5mm。立柱用菱形八边型结构设计，内嵌入上下铸铝支架20mm，后端配备加固支撑梁。侧面上下支架用不小于4mm厚的铝压铸一次成型，易碰撞处全部用倒圆角。下支架可装地脚调整桌子高度，或通过专用孔位与地面固定，并配不同色ABS脚套装饰盖。</w:t>
            </w:r>
          </w:p>
          <w:p>
            <w:pPr>
              <w:widowControl/>
              <w:jc w:val="left"/>
              <w:rPr>
                <w:rFonts w:ascii="宋体" w:hAnsi="宋体" w:cs="宋体"/>
                <w:kern w:val="0"/>
                <w:szCs w:val="21"/>
                <w:highlight w:val="red"/>
              </w:rPr>
            </w:pPr>
            <w:r>
              <w:rPr>
                <w:rFonts w:hint="eastAsia" w:ascii="宋体" w:hAnsi="宋体" w:cs="宋体"/>
                <w:kern w:val="0"/>
                <w:szCs w:val="21"/>
              </w:rPr>
              <w:t>5、立柱用菱形八边型结构设计，规格为105*50mm±5mm，厚度不小于1.5mm。</w:t>
            </w:r>
          </w:p>
          <w:p>
            <w:pPr>
              <w:widowControl/>
              <w:jc w:val="left"/>
              <w:rPr>
                <w:rFonts w:ascii="宋体" w:hAnsi="宋体" w:cs="宋体"/>
                <w:kern w:val="0"/>
                <w:szCs w:val="21"/>
              </w:rPr>
            </w:pPr>
            <w:r>
              <w:rPr>
                <w:rFonts w:hint="eastAsia" w:ascii="宋体" w:hAnsi="宋体" w:cs="宋体"/>
                <w:kern w:val="0"/>
                <w:szCs w:val="21"/>
              </w:rPr>
              <w:t>6、前横梁尺寸为50*41mm±5mm，用前端半圆弧设计，圆弧角度为R30，中横梁尺寸为37*37mm±5mm，铝材上设计铝材撕拉线，可在安装中横梁后，在铝材上撕拉出一条空槽，把电源线置于槽中，最大限度保护学生的用电安全。后横梁、挡水条一体式，尺寸为90*50mm±5mm，用前端半圆弧，圆弧角度为R30，配镶入卡口挡水条。另外配备注塑挡水块。中下横梁尺寸为138*18.5mm，用上下收腰设计。所有安装螺丝处的厚度不小于2.2mm，其它厚度不小于1.2mm。</w:t>
            </w:r>
          </w:p>
          <w:p>
            <w:pPr>
              <w:widowControl/>
              <w:jc w:val="left"/>
              <w:rPr>
                <w:rFonts w:ascii="宋体" w:hAnsi="宋体" w:cs="宋体"/>
                <w:kern w:val="0"/>
                <w:szCs w:val="21"/>
              </w:rPr>
            </w:pPr>
            <w:r>
              <w:rPr>
                <w:rFonts w:hint="eastAsia" w:ascii="宋体" w:hAnsi="宋体" w:cs="宋体"/>
                <w:kern w:val="0"/>
                <w:szCs w:val="21"/>
              </w:rPr>
              <w:t>7、</w:t>
            </w:r>
            <w:r>
              <w:rPr>
                <w:rFonts w:hint="eastAsia" w:ascii="宋体" w:hAnsi="宋体" w:cs="宋体"/>
                <w:szCs w:val="21"/>
              </w:rPr>
              <w:t>下支架脚：下支架脚配不同装饰颜色的ABS脚套装饰盖。</w:t>
            </w:r>
          </w:p>
          <w:p>
            <w:pPr>
              <w:widowControl/>
              <w:jc w:val="left"/>
              <w:rPr>
                <w:rFonts w:ascii="宋体" w:hAnsi="宋体" w:cs="宋体"/>
                <w:kern w:val="0"/>
                <w:szCs w:val="21"/>
              </w:rPr>
            </w:pPr>
            <w:r>
              <w:rPr>
                <w:rFonts w:hint="eastAsia" w:ascii="宋体" w:hAnsi="宋体" w:cs="宋体"/>
                <w:kern w:val="0"/>
                <w:szCs w:val="21"/>
              </w:rPr>
              <w:t>8、书包斗：整体尺寸485*260*190mm±5mm,用环保型ABS塑料工程一次性注塑成型，底、面部加设经纬加强筋，表面圆角处理。电源盒整体尺寸：257*230*180mm±5mm，用环保型ABS塑料工程一次性注塑成型，电源面板抗阻燃性。</w:t>
            </w:r>
          </w:p>
          <w:p>
            <w:pPr>
              <w:widowControl/>
              <w:jc w:val="left"/>
              <w:rPr>
                <w:rFonts w:ascii="宋体" w:hAnsi="宋体" w:cs="宋体"/>
                <w:kern w:val="0"/>
                <w:szCs w:val="21"/>
              </w:rPr>
            </w:pPr>
            <w:r>
              <w:rPr>
                <w:rFonts w:hint="eastAsia" w:ascii="宋体" w:hAnsi="宋体" w:cs="宋体"/>
                <w:kern w:val="0"/>
                <w:szCs w:val="21"/>
              </w:rPr>
              <w:t>9、产品符合GB24820-2009《实验室家具通用技术条件》 、GB 28481-2012《塑料家具中有物质限量》GB/T 32487-2016《塑料家具通用条件》标准；投标人需提供产品2021年及以后版本且带CMA或CNAS标志的检测报告复印件，并加盖制造厂商公章。</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张</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多功能柱</w:t>
            </w:r>
          </w:p>
        </w:tc>
        <w:tc>
          <w:tcPr>
            <w:tcW w:w="2984" w:type="pct"/>
            <w:shd w:val="clear" w:color="auto" w:fill="auto"/>
            <w:vAlign w:val="center"/>
          </w:tcPr>
          <w:p>
            <w:pPr>
              <w:jc w:val="left"/>
              <w:rPr>
                <w:szCs w:val="21"/>
              </w:rPr>
            </w:pPr>
            <w:r>
              <w:rPr>
                <w:rFonts w:hint="eastAsia"/>
                <w:szCs w:val="21"/>
              </w:rPr>
              <w:t>尺寸：352*194*737mm。</w:t>
            </w:r>
          </w:p>
          <w:p>
            <w:pPr>
              <w:widowControl/>
              <w:jc w:val="left"/>
              <w:textAlignment w:val="center"/>
              <w:rPr>
                <w:rFonts w:ascii="宋体" w:hAnsi="宋体" w:cs="宋体"/>
                <w:szCs w:val="21"/>
              </w:rPr>
            </w:pPr>
            <w:r>
              <w:rPr>
                <w:rFonts w:hint="eastAsia"/>
                <w:szCs w:val="21"/>
              </w:rPr>
              <w:t>由2个ABS工程塑料一次性注塑成型结合,表面沙面和光面相结合处理,以齿合槽配以螺丝连接，拆分组合方便，方便检修桶体内的风管或电线。</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学生安全电源</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1、每两个学生中间，配备手动翻转式防尘结构的电源盒，面板用阻燃ABS制作，选用PC贴膜。使用时翻出。使用完毕按回原位。接受教师演示台送来的交流电源。</w:t>
            </w:r>
            <w:r>
              <w:rPr>
                <w:rFonts w:hint="eastAsia" w:ascii="宋体" w:hAnsi="宋体" w:cs="宋体"/>
                <w:kern w:val="0"/>
                <w:szCs w:val="21"/>
              </w:rPr>
              <w:br w:type="textWrapping"/>
            </w:r>
            <w:r>
              <w:rPr>
                <w:rFonts w:hint="eastAsia" w:ascii="宋体" w:hAnsi="宋体" w:cs="宋体"/>
                <w:kern w:val="0"/>
                <w:szCs w:val="21"/>
              </w:rPr>
              <w:t>2、低压交直流电源：交直流0-24每2V一档由教师统一调节控制输出。（短路、过载自动保护、自动复位。）</w:t>
            </w:r>
            <w:r>
              <w:rPr>
                <w:rFonts w:hint="eastAsia" w:ascii="宋体" w:hAnsi="宋体" w:cs="宋体"/>
                <w:kern w:val="0"/>
                <w:szCs w:val="21"/>
              </w:rPr>
              <w:br w:type="textWrapping"/>
            </w:r>
            <w:r>
              <w:rPr>
                <w:rFonts w:hint="eastAsia" w:ascii="宋体" w:hAnsi="宋体" w:cs="宋体"/>
                <w:kern w:val="0"/>
                <w:szCs w:val="21"/>
              </w:rPr>
              <w:t>3、交流电源：每台配备220V交流输出电源，电源全部由教师台控制。</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水槽台</w:t>
            </w:r>
          </w:p>
        </w:tc>
        <w:tc>
          <w:tcPr>
            <w:tcW w:w="2984" w:type="pct"/>
            <w:shd w:val="clear" w:color="auto" w:fill="auto"/>
            <w:vAlign w:val="center"/>
          </w:tcPr>
          <w:p>
            <w:pPr>
              <w:widowControl/>
              <w:jc w:val="left"/>
              <w:textAlignment w:val="center"/>
              <w:rPr>
                <w:rFonts w:ascii="宋体" w:hAnsi="宋体" w:cs="宋体"/>
                <w:kern w:val="0"/>
                <w:szCs w:val="21"/>
              </w:rPr>
            </w:pPr>
            <w:r>
              <w:rPr>
                <w:rFonts w:hint="eastAsia" w:ascii="宋体" w:hAnsi="宋体" w:cs="宋体"/>
                <w:kern w:val="0"/>
                <w:szCs w:val="21"/>
              </w:rPr>
              <w:t>1、柜体规格:500*600*820mm；</w:t>
            </w:r>
          </w:p>
          <w:p>
            <w:pPr>
              <w:widowControl/>
              <w:jc w:val="left"/>
              <w:textAlignment w:val="center"/>
              <w:rPr>
                <w:rFonts w:ascii="宋体" w:hAnsi="宋体" w:cs="宋体"/>
                <w:kern w:val="0"/>
                <w:szCs w:val="21"/>
              </w:rPr>
            </w:pPr>
            <w:r>
              <w:rPr>
                <w:rFonts w:hint="eastAsia" w:ascii="宋体" w:hAnsi="宋体" w:cs="宋体"/>
                <w:kern w:val="0"/>
                <w:szCs w:val="21"/>
              </w:rPr>
              <w:t>2、榫卯连接结构并合理布局加强筋；</w:t>
            </w:r>
          </w:p>
          <w:p>
            <w:pPr>
              <w:widowControl/>
              <w:jc w:val="left"/>
              <w:textAlignment w:val="center"/>
              <w:rPr>
                <w:rFonts w:ascii="宋体" w:hAnsi="宋体" w:cs="宋体"/>
                <w:kern w:val="0"/>
                <w:szCs w:val="21"/>
              </w:rPr>
            </w:pPr>
            <w:r>
              <w:rPr>
                <w:rFonts w:hint="eastAsia" w:ascii="宋体" w:hAnsi="宋体" w:cs="宋体"/>
                <w:kern w:val="0"/>
                <w:szCs w:val="21"/>
              </w:rPr>
              <w:t>3、前门规格：510*365mm，主体壁厚不小于2mm背面设有厚2mm、高度不低于4.5mm的加强筋横6根竖6根；</w:t>
            </w:r>
          </w:p>
          <w:p>
            <w:pPr>
              <w:widowControl/>
              <w:jc w:val="left"/>
              <w:textAlignment w:val="center"/>
              <w:rPr>
                <w:rFonts w:ascii="宋体" w:hAnsi="宋体" w:cs="宋体"/>
                <w:kern w:val="0"/>
                <w:szCs w:val="21"/>
              </w:rPr>
            </w:pPr>
            <w:r>
              <w:rPr>
                <w:rFonts w:hint="eastAsia" w:ascii="宋体" w:hAnsi="宋体" w:cs="宋体"/>
                <w:kern w:val="0"/>
                <w:szCs w:val="21"/>
              </w:rPr>
              <w:t>4、前门带内凹式塑料扣手，门与整体水柜不用铰链连接，直接用内嵌式组装。柜子整体用环保型ABS工程塑料注塑成型；</w:t>
            </w:r>
          </w:p>
          <w:p>
            <w:pPr>
              <w:widowControl/>
              <w:jc w:val="left"/>
              <w:textAlignment w:val="center"/>
              <w:rPr>
                <w:rFonts w:ascii="宋体" w:hAnsi="宋体" w:cs="宋体"/>
                <w:kern w:val="0"/>
                <w:szCs w:val="21"/>
              </w:rPr>
            </w:pPr>
            <w:r>
              <w:rPr>
                <w:rFonts w:hint="eastAsia" w:ascii="宋体" w:hAnsi="宋体" w:cs="宋体"/>
                <w:kern w:val="0"/>
                <w:szCs w:val="21"/>
              </w:rPr>
              <w:t>5、水槽规格：500*600*350mm，水槽用环保型PP材料一次性注塑成型，耐强酸碱&lt;80度有机溶剂并耐150度以下高温，壁厚3.5mm；</w:t>
            </w:r>
          </w:p>
          <w:p>
            <w:pPr>
              <w:widowControl/>
              <w:jc w:val="left"/>
              <w:textAlignment w:val="center"/>
              <w:rPr>
                <w:rFonts w:ascii="宋体" w:hAnsi="宋体" w:cs="宋体"/>
                <w:szCs w:val="21"/>
              </w:rPr>
            </w:pPr>
            <w:r>
              <w:rPr>
                <w:rFonts w:hint="eastAsia" w:ascii="宋体" w:hAnsi="宋体" w:cs="宋体"/>
                <w:kern w:val="0"/>
                <w:szCs w:val="21"/>
              </w:rPr>
              <w:t xml:space="preserve">6、侧板规格600*300*780mm，左右侧板一致、主体壁厚不小于2.5mm、背面设有厚2mm、高度不低于5.5mm的加强筋横4根竖4根。                                                     </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三联水嘴</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陶瓷阀芯90°旋转，铜质内芯外用聚碳酸酯一次注塑成型的防腐蚀、耐酸碱的实验室专用水嘴(一高二低)</w:t>
            </w:r>
            <w:r>
              <w:rPr>
                <w:rFonts w:hint="eastAsia" w:ascii="宋体" w:hAnsi="宋体" w:cs="宋体"/>
                <w:szCs w:val="21"/>
              </w:rPr>
              <w:t>。</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生物灯</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底座用优质ABS材料制成，弯头用钢制蛇型管可360度旋转，不易生锈，灯管架为优质ABS注塑成型。LED节能灯功率：7W</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2.7</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学生凳</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szCs w:val="21"/>
              </w:rPr>
              <w:t>1.尺寸：Φ296*450mm；</w:t>
            </w:r>
          </w:p>
          <w:p>
            <w:pPr>
              <w:widowControl/>
              <w:jc w:val="left"/>
              <w:textAlignment w:val="center"/>
              <w:rPr>
                <w:rFonts w:ascii="宋体" w:hAnsi="宋体" w:cs="宋体"/>
                <w:szCs w:val="21"/>
              </w:rPr>
            </w:pPr>
            <w:r>
              <w:rPr>
                <w:rFonts w:hint="eastAsia" w:ascii="宋体" w:hAnsi="宋体" w:cs="宋体"/>
                <w:szCs w:val="21"/>
              </w:rPr>
              <w:t>2.材质：ABS+钢管；</w:t>
            </w:r>
          </w:p>
          <w:p>
            <w:pPr>
              <w:widowControl/>
              <w:jc w:val="left"/>
              <w:textAlignment w:val="center"/>
              <w:rPr>
                <w:rFonts w:ascii="宋体" w:hAnsi="宋体" w:cs="宋体"/>
                <w:szCs w:val="21"/>
              </w:rPr>
            </w:pPr>
            <w:r>
              <w:rPr>
                <w:rFonts w:hint="eastAsia" w:ascii="宋体" w:hAnsi="宋体" w:cs="宋体"/>
                <w:szCs w:val="21"/>
              </w:rPr>
              <w:t>3.工艺：面板用ABS新料一体注塑成型，面板直径29.6cm±1cm。中间有內弧造型，深度为8mm。椅腿钢管尺寸：32*22*1.5mm，用鱼眼管满焊焊接，表面用高温粉体烤漆；脚垫用PP纤维质塑胶一体成型；凳子底部加黑色护垫，保护地板防止摩擦，所有零部件用永久性固定方式。</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条</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95" w:type="pct"/>
            <w:gridSpan w:val="3"/>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 xml:space="preserve">         三、环境装修装饰</w:t>
            </w:r>
          </w:p>
        </w:tc>
        <w:tc>
          <w:tcPr>
            <w:tcW w:w="301" w:type="pct"/>
            <w:shd w:val="clear" w:color="auto" w:fill="auto"/>
            <w:noWrap/>
            <w:vAlign w:val="center"/>
          </w:tcPr>
          <w:p>
            <w:pPr>
              <w:widowControl/>
              <w:jc w:val="center"/>
              <w:rPr>
                <w:rFonts w:ascii="宋体" w:hAnsi="宋体" w:cs="宋体"/>
                <w:b/>
                <w:bCs/>
                <w:kern w:val="0"/>
                <w:szCs w:val="21"/>
              </w:rPr>
            </w:pPr>
          </w:p>
        </w:tc>
        <w:tc>
          <w:tcPr>
            <w:tcW w:w="302" w:type="pct"/>
            <w:shd w:val="clear" w:color="auto" w:fill="auto"/>
            <w:noWrap/>
            <w:vAlign w:val="center"/>
          </w:tcPr>
          <w:p>
            <w:pPr>
              <w:widowControl/>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95" w:type="pct"/>
            <w:gridSpan w:val="3"/>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1、实验室基础设施-室内水电综合布线系统</w:t>
            </w:r>
          </w:p>
        </w:tc>
        <w:tc>
          <w:tcPr>
            <w:tcW w:w="301" w:type="pct"/>
            <w:shd w:val="clear" w:color="auto" w:fill="auto"/>
            <w:noWrap/>
            <w:vAlign w:val="center"/>
          </w:tcPr>
          <w:p>
            <w:pPr>
              <w:widowControl/>
              <w:jc w:val="center"/>
              <w:rPr>
                <w:rFonts w:ascii="宋体" w:hAnsi="宋体" w:cs="宋体"/>
                <w:b/>
                <w:bCs/>
                <w:kern w:val="0"/>
                <w:szCs w:val="21"/>
              </w:rPr>
            </w:pPr>
          </w:p>
        </w:tc>
        <w:tc>
          <w:tcPr>
            <w:tcW w:w="302" w:type="pct"/>
            <w:shd w:val="clear" w:color="auto" w:fill="auto"/>
            <w:noWrap/>
            <w:vAlign w:val="center"/>
          </w:tcPr>
          <w:p>
            <w:pPr>
              <w:widowControl/>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电路系统</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用2.5平方国标线材，根据教学实验标准，连接好教师电源和学生电源正常使用。</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给排水系统</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供水主管φ25PPR，国标φ50PVC排水管。</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0" w:type="pct"/>
            <w:gridSpan w:val="5"/>
            <w:shd w:val="clear" w:color="auto" w:fill="auto"/>
            <w:noWrap/>
            <w:vAlign w:val="center"/>
          </w:tcPr>
          <w:p>
            <w:pPr>
              <w:widowControl/>
              <w:jc w:val="center"/>
              <w:rPr>
                <w:rFonts w:ascii="宋体" w:hAnsi="宋体" w:cs="宋体"/>
                <w:kern w:val="0"/>
                <w:szCs w:val="21"/>
              </w:rPr>
            </w:pPr>
            <w:r>
              <w:rPr>
                <w:rFonts w:hint="eastAsia" w:ascii="宋体" w:hAnsi="宋体" w:cs="宋体"/>
                <w:b/>
                <w:bCs/>
                <w:kern w:val="0"/>
                <w:szCs w:val="21"/>
              </w:rPr>
              <w:t>四、实验室基础设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rPr>
              <w:t>1.1</w:t>
            </w:r>
          </w:p>
        </w:tc>
        <w:tc>
          <w:tcPr>
            <w:tcW w:w="996" w:type="pct"/>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实验室安装</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整体实验室安装</w:t>
            </w:r>
          </w:p>
        </w:tc>
        <w:tc>
          <w:tcPr>
            <w:tcW w:w="301"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302"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tcBorders>
              <w:bottom w:val="single" w:color="auto" w:sz="4" w:space="0"/>
            </w:tcBorders>
            <w:shd w:val="clear" w:color="auto" w:fill="auto"/>
            <w:noWrap/>
            <w:vAlign w:val="center"/>
          </w:tcPr>
          <w:p>
            <w:pPr>
              <w:widowControl/>
              <w:jc w:val="center"/>
              <w:textAlignment w:val="center"/>
              <w:rPr>
                <w:rFonts w:ascii="宋体" w:hAnsi="宋体" w:cs="宋体"/>
                <w:kern w:val="0"/>
                <w:szCs w:val="21"/>
              </w:rPr>
            </w:pPr>
            <w:r>
              <w:rPr>
                <w:rFonts w:hint="eastAsia" w:ascii="宋体" w:hAnsi="宋体" w:cs="宋体"/>
                <w:kern w:val="0"/>
                <w:szCs w:val="21"/>
              </w:rPr>
              <w:t>1.2</w:t>
            </w:r>
          </w:p>
        </w:tc>
        <w:tc>
          <w:tcPr>
            <w:tcW w:w="996" w:type="pct"/>
            <w:tcBorders>
              <w:bottom w:val="single" w:color="auto" w:sz="4" w:space="0"/>
            </w:tcBorders>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地面改造</w:t>
            </w:r>
          </w:p>
        </w:tc>
        <w:tc>
          <w:tcPr>
            <w:tcW w:w="2984" w:type="pct"/>
            <w:tcBorders>
              <w:bottom w:val="single" w:color="auto" w:sz="4" w:space="0"/>
            </w:tcBorders>
            <w:shd w:val="clear" w:color="auto" w:fill="auto"/>
            <w:vAlign w:val="center"/>
          </w:tcPr>
          <w:p>
            <w:pPr>
              <w:widowControl/>
              <w:jc w:val="left"/>
              <w:textAlignment w:val="center"/>
              <w:rPr>
                <w:rFonts w:ascii="宋体" w:hAnsi="宋体" w:cs="宋体"/>
                <w:kern w:val="0"/>
                <w:szCs w:val="21"/>
              </w:rPr>
            </w:pPr>
            <w:r>
              <w:rPr>
                <w:rFonts w:hint="eastAsia" w:ascii="宋体" w:hAnsi="宋体" w:cs="宋体"/>
                <w:kern w:val="0"/>
                <w:szCs w:val="21"/>
              </w:rPr>
              <w:t>地面以上瓷砖切沟、地面切沟铺设地下水电，铺设后地面回填，不锈钢卡槽覆盖。</w:t>
            </w:r>
          </w:p>
        </w:tc>
        <w:tc>
          <w:tcPr>
            <w:tcW w:w="301" w:type="pct"/>
            <w:tcBorders>
              <w:bottom w:val="single" w:color="auto" w:sz="4" w:space="0"/>
            </w:tcBorders>
            <w:shd w:val="clear" w:color="auto" w:fill="auto"/>
            <w:noWrap/>
            <w:vAlign w:val="center"/>
          </w:tcPr>
          <w:p>
            <w:pPr>
              <w:widowControl/>
              <w:jc w:val="center"/>
              <w:textAlignment w:val="center"/>
              <w:rPr>
                <w:rFonts w:ascii="宋体" w:hAnsi="宋体" w:cs="宋体"/>
                <w:kern w:val="0"/>
                <w:szCs w:val="21"/>
              </w:rPr>
            </w:pPr>
            <w:r>
              <w:rPr>
                <w:rFonts w:hint="eastAsia" w:ascii="宋体" w:hAnsi="宋体" w:cs="宋体"/>
                <w:kern w:val="0"/>
                <w:szCs w:val="21"/>
              </w:rPr>
              <w:t>项</w:t>
            </w:r>
          </w:p>
        </w:tc>
        <w:tc>
          <w:tcPr>
            <w:tcW w:w="302" w:type="pct"/>
            <w:tcBorders>
              <w:bottom w:val="single" w:color="auto" w:sz="4" w:space="0"/>
            </w:tcBorders>
            <w:shd w:val="clear" w:color="auto" w:fill="auto"/>
            <w:noWrap/>
            <w:vAlign w:val="center"/>
          </w:tcPr>
          <w:p>
            <w:pPr>
              <w:widowControl/>
              <w:jc w:val="center"/>
              <w:textAlignment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0" w:type="pct"/>
            <w:gridSpan w:val="5"/>
            <w:tcBorders>
              <w:left w:val="nil"/>
              <w:right w:val="nil"/>
            </w:tcBorders>
            <w:shd w:val="clear" w:color="auto" w:fill="auto"/>
            <w:noWrap/>
            <w:vAlign w:val="center"/>
          </w:tcPr>
          <w:p>
            <w:pPr>
              <w:widowControl/>
              <w:jc w:val="center"/>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0" w:type="pct"/>
            <w:gridSpan w:val="5"/>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6、</w:t>
            </w:r>
            <w:r>
              <w:rPr>
                <w:rFonts w:hint="eastAsia" w:ascii="宋体" w:hAnsi="宋体" w:cs="宋体"/>
                <w:b/>
                <w:kern w:val="0"/>
                <w:szCs w:val="21"/>
              </w:rPr>
              <w:t>新建生物准备室及仪器室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996"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货物名称</w:t>
            </w:r>
          </w:p>
        </w:tc>
        <w:tc>
          <w:tcPr>
            <w:tcW w:w="2984"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技术要求</w:t>
            </w:r>
          </w:p>
        </w:tc>
        <w:tc>
          <w:tcPr>
            <w:tcW w:w="301"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单位</w:t>
            </w:r>
          </w:p>
        </w:tc>
        <w:tc>
          <w:tcPr>
            <w:tcW w:w="302"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99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准备台</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szCs w:val="21"/>
              </w:rPr>
              <w:t>1、整体规格：2400*1200*780mm。</w:t>
            </w:r>
          </w:p>
          <w:p>
            <w:pPr>
              <w:widowControl/>
              <w:jc w:val="left"/>
              <w:textAlignment w:val="center"/>
              <w:rPr>
                <w:rFonts w:ascii="宋体" w:hAnsi="宋体" w:cs="宋体"/>
                <w:szCs w:val="21"/>
              </w:rPr>
            </w:pPr>
            <w:r>
              <w:rPr>
                <w:rFonts w:hint="eastAsia" w:ascii="宋体" w:hAnsi="宋体" w:cs="宋体"/>
                <w:szCs w:val="21"/>
              </w:rPr>
              <w:t>2、 台面：12.7mm厚双面膜实芯理化板。</w:t>
            </w:r>
          </w:p>
          <w:p>
            <w:pPr>
              <w:widowControl/>
              <w:jc w:val="left"/>
              <w:textAlignment w:val="center"/>
              <w:rPr>
                <w:rFonts w:ascii="宋体" w:hAnsi="宋体" w:cs="宋体"/>
                <w:szCs w:val="21"/>
              </w:rPr>
            </w:pPr>
            <w:r>
              <w:rPr>
                <w:rFonts w:hint="eastAsia" w:ascii="宋体" w:hAnsi="宋体" w:cs="宋体"/>
                <w:szCs w:val="21"/>
              </w:rPr>
              <w:t>3、桌体：新型塑铝结构，学生位镂空式，易碰撞处全部用倒圆角。</w:t>
            </w:r>
          </w:p>
          <w:p>
            <w:pPr>
              <w:widowControl/>
              <w:jc w:val="left"/>
              <w:textAlignment w:val="center"/>
              <w:rPr>
                <w:rFonts w:ascii="宋体" w:hAnsi="宋体" w:cs="宋体"/>
                <w:szCs w:val="21"/>
              </w:rPr>
            </w:pPr>
            <w:r>
              <w:rPr>
                <w:rFonts w:hint="eastAsia" w:ascii="宋体" w:hAnsi="宋体" w:cs="宋体"/>
                <w:szCs w:val="21"/>
              </w:rPr>
              <w:t>4、 侧面用三段式高强度铝合金结构，整体规格：566*770mm，其中上支架尺寸为566*145*50mm</w:t>
            </w:r>
            <w:r>
              <w:rPr>
                <w:rFonts w:hint="eastAsia" w:ascii="宋体" w:hAnsi="宋体" w:cs="宋体"/>
                <w:kern w:val="0"/>
                <w:szCs w:val="21"/>
              </w:rPr>
              <w:t>±5mm</w:t>
            </w:r>
            <w:r>
              <w:rPr>
                <w:rFonts w:hint="eastAsia" w:ascii="宋体" w:hAnsi="宋体" w:cs="宋体"/>
                <w:szCs w:val="21"/>
              </w:rPr>
              <w:t>,下支架尺寸为562*135*50mm</w:t>
            </w:r>
            <w:r>
              <w:rPr>
                <w:rFonts w:hint="eastAsia" w:ascii="宋体" w:hAnsi="宋体" w:cs="宋体"/>
                <w:kern w:val="0"/>
                <w:szCs w:val="21"/>
              </w:rPr>
              <w:t>±5mm</w:t>
            </w:r>
            <w:r>
              <w:rPr>
                <w:rFonts w:hint="eastAsia" w:ascii="宋体" w:hAnsi="宋体" w:cs="宋体"/>
                <w:szCs w:val="21"/>
              </w:rPr>
              <w:t>。立柱用菱形八边型结构设计，内嵌入上下铸铝支架20mm，后端配备加固支撑梁。侧面上下支架用不小于 4mm厚的铝压铸一次成型，易碰撞处全部用倒圆角。下支架配有不同色ABS脚套装饰盖。</w:t>
            </w:r>
          </w:p>
          <w:p>
            <w:pPr>
              <w:widowControl/>
              <w:jc w:val="left"/>
              <w:textAlignment w:val="center"/>
              <w:rPr>
                <w:rFonts w:ascii="宋体" w:hAnsi="宋体" w:cs="宋体"/>
                <w:szCs w:val="21"/>
              </w:rPr>
            </w:pPr>
            <w:r>
              <w:rPr>
                <w:rFonts w:hint="eastAsia" w:ascii="宋体" w:hAnsi="宋体" w:cs="宋体"/>
                <w:szCs w:val="21"/>
              </w:rPr>
              <w:t>5、立柱用菱形八边型结构设计，规格为105*50mm，厚度1.5mm。</w:t>
            </w:r>
          </w:p>
          <w:p>
            <w:pPr>
              <w:widowControl/>
              <w:jc w:val="left"/>
              <w:textAlignment w:val="center"/>
              <w:rPr>
                <w:rFonts w:ascii="宋体" w:hAnsi="宋体" w:cs="宋体"/>
                <w:szCs w:val="21"/>
              </w:rPr>
            </w:pPr>
            <w:r>
              <w:rPr>
                <w:rFonts w:hint="eastAsia" w:ascii="宋体" w:hAnsi="宋体" w:cs="宋体"/>
                <w:szCs w:val="21"/>
              </w:rPr>
              <w:t>6、前后横梁尺寸为50*41mm</w:t>
            </w:r>
            <w:r>
              <w:rPr>
                <w:rFonts w:hint="eastAsia" w:ascii="宋体" w:hAnsi="宋体" w:cs="宋体"/>
                <w:kern w:val="0"/>
                <w:szCs w:val="21"/>
              </w:rPr>
              <w:t>±5mm</w:t>
            </w:r>
            <w:r>
              <w:rPr>
                <w:rFonts w:hint="eastAsia" w:ascii="宋体" w:hAnsi="宋体" w:cs="宋体"/>
                <w:szCs w:val="21"/>
              </w:rPr>
              <w:t>，用前端半圆弧设计，圆弧角度为R30，中下横梁尺寸为138*18.5mm</w:t>
            </w:r>
            <w:r>
              <w:rPr>
                <w:rFonts w:hint="eastAsia" w:ascii="宋体" w:hAnsi="宋体" w:cs="宋体"/>
                <w:kern w:val="0"/>
                <w:szCs w:val="21"/>
              </w:rPr>
              <w:t>±5mm</w:t>
            </w:r>
            <w:r>
              <w:rPr>
                <w:rFonts w:hint="eastAsia" w:ascii="宋体" w:hAnsi="宋体" w:cs="宋体"/>
                <w:szCs w:val="21"/>
              </w:rPr>
              <w:t>，用上下收腰设计。所有安装螺丝处的厚度不小于2.2mm，其它厚度不小于1.2mm。</w:t>
            </w:r>
          </w:p>
          <w:p>
            <w:pPr>
              <w:widowControl/>
              <w:jc w:val="left"/>
              <w:textAlignment w:val="center"/>
              <w:rPr>
                <w:rFonts w:ascii="宋体" w:hAnsi="宋体" w:cs="宋体"/>
                <w:szCs w:val="21"/>
              </w:rPr>
            </w:pPr>
            <w:r>
              <w:rPr>
                <w:rFonts w:hint="eastAsia" w:ascii="宋体" w:hAnsi="宋体" w:cs="宋体"/>
                <w:szCs w:val="21"/>
              </w:rPr>
              <w:t>7、下支架脚：下支架脚配不同装饰颜色的ABS脚套装饰盖。</w:t>
            </w:r>
          </w:p>
          <w:p>
            <w:pPr>
              <w:widowControl/>
              <w:jc w:val="left"/>
              <w:textAlignment w:val="center"/>
              <w:rPr>
                <w:rFonts w:ascii="宋体" w:hAnsi="宋体" w:cs="宋体"/>
                <w:szCs w:val="21"/>
              </w:rPr>
            </w:pPr>
            <w:r>
              <w:rPr>
                <w:rFonts w:hint="eastAsia" w:ascii="宋体" w:hAnsi="宋体" w:cs="宋体"/>
                <w:szCs w:val="21"/>
              </w:rPr>
              <w:t>8、书包斗：整体尺寸485*260*190mm,用环保型ABS塑料工程一次性注塑成型，底、面部加设经纬加强筋，表面圆角处理。</w:t>
            </w:r>
          </w:p>
          <w:p>
            <w:pPr>
              <w:widowControl/>
              <w:jc w:val="left"/>
              <w:textAlignment w:val="center"/>
            </w:pPr>
            <w:r>
              <w:rPr>
                <w:rFonts w:hint="eastAsia"/>
              </w:rPr>
              <w:t>9、产品符合GB24820-2009《实验室家具通用技术条件》 、GB 28481-2012《塑料家具中有物质限量》GB/T 32487-2016《塑料家具通用条件》标准；投标人需提供产品2021年及以后版本且带CMA或CNAS标志的检测报告复印件，并加盖制造厂商公章。</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张</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99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仪器柜</w:t>
            </w:r>
          </w:p>
        </w:tc>
        <w:tc>
          <w:tcPr>
            <w:tcW w:w="2984" w:type="pct"/>
            <w:shd w:val="clear" w:color="auto" w:fill="auto"/>
            <w:vAlign w:val="center"/>
          </w:tcPr>
          <w:p>
            <w:pPr>
              <w:widowControl/>
              <w:jc w:val="left"/>
              <w:textAlignment w:val="center"/>
              <w:rPr>
                <w:rFonts w:ascii="宋体" w:hAnsi="宋体" w:cs="宋体"/>
                <w:kern w:val="0"/>
                <w:szCs w:val="21"/>
              </w:rPr>
            </w:pPr>
            <w:r>
              <w:rPr>
                <w:rFonts w:hint="eastAsia" w:ascii="宋体" w:hAnsi="宋体" w:cs="宋体"/>
                <w:kern w:val="0"/>
                <w:szCs w:val="21"/>
              </w:rPr>
              <w:t>1000×500×2000mm，整体用环保型ABS塑料一次性注塑成型，层板用2.5mm厚双面环保型PP改性塑料，耐强酸碱及有机溶剂，内设加强筋。</w:t>
            </w:r>
          </w:p>
          <w:p>
            <w:pPr>
              <w:widowControl/>
              <w:jc w:val="left"/>
              <w:textAlignment w:val="center"/>
              <w:rPr>
                <w:rFonts w:ascii="宋体" w:hAnsi="宋体" w:cs="宋体"/>
                <w:kern w:val="0"/>
                <w:szCs w:val="21"/>
              </w:rPr>
            </w:pPr>
            <w:r>
              <w:rPr>
                <w:rFonts w:hint="eastAsia" w:ascii="宋体" w:hAnsi="宋体" w:cs="宋体"/>
                <w:kern w:val="0"/>
                <w:szCs w:val="21"/>
              </w:rPr>
              <w:t>柜体：1、榫卯连接结构并合理布局加强筋。</w:t>
            </w:r>
          </w:p>
          <w:p>
            <w:pPr>
              <w:widowControl/>
              <w:jc w:val="left"/>
              <w:textAlignment w:val="center"/>
              <w:rPr>
                <w:rFonts w:ascii="宋体" w:hAnsi="宋体" w:cs="宋体"/>
                <w:kern w:val="0"/>
                <w:szCs w:val="21"/>
              </w:rPr>
            </w:pPr>
            <w:r>
              <w:rPr>
                <w:rFonts w:hint="eastAsia" w:ascii="宋体" w:hAnsi="宋体" w:cs="宋体"/>
                <w:kern w:val="0"/>
                <w:szCs w:val="21"/>
              </w:rPr>
              <w:t>2、上部为ABS工程塑料镶装玻璃对开门，带锁、内嵌式塑料扣手，用尼龙塑料铰链，内设PP改性塑料活动隔板2块。</w:t>
            </w:r>
          </w:p>
          <w:p>
            <w:pPr>
              <w:widowControl/>
              <w:jc w:val="left"/>
              <w:textAlignment w:val="center"/>
              <w:rPr>
                <w:rFonts w:ascii="宋体" w:hAnsi="宋体" w:cs="宋体"/>
                <w:kern w:val="0"/>
                <w:szCs w:val="21"/>
              </w:rPr>
            </w:pPr>
            <w:r>
              <w:rPr>
                <w:rFonts w:hint="eastAsia" w:ascii="宋体" w:hAnsi="宋体" w:cs="宋体"/>
                <w:kern w:val="0"/>
                <w:szCs w:val="21"/>
              </w:rPr>
              <w:t>3、下部为ABS工程塑料对开门，带锁、内嵌式塑料扣手，用尼龙塑料铰链，内设PP改性塑料活动隔板1块。</w:t>
            </w:r>
          </w:p>
          <w:p>
            <w:pPr>
              <w:widowControl/>
              <w:jc w:val="left"/>
              <w:textAlignment w:val="center"/>
              <w:rPr>
                <w:rFonts w:ascii="宋体" w:hAnsi="宋体" w:cs="宋体"/>
                <w:kern w:val="0"/>
                <w:szCs w:val="21"/>
              </w:rPr>
            </w:pPr>
            <w:r>
              <w:rPr>
                <w:rFonts w:hint="eastAsia" w:ascii="宋体" w:hAnsi="宋体" w:cs="宋体"/>
                <w:kern w:val="0"/>
                <w:szCs w:val="21"/>
              </w:rPr>
              <w:t>4、门板与侧板安装有防盗插销，防止从外部撬开柜门。</w:t>
            </w:r>
          </w:p>
          <w:p>
            <w:pPr>
              <w:widowControl/>
              <w:jc w:val="left"/>
              <w:textAlignment w:val="center"/>
              <w:rPr>
                <w:rFonts w:ascii="宋体" w:hAnsi="宋体" w:cs="宋体"/>
                <w:szCs w:val="21"/>
              </w:rPr>
            </w:pPr>
            <w:r>
              <w:rPr>
                <w:rFonts w:hint="eastAsia" w:ascii="宋体" w:hAnsi="宋体" w:cs="宋体"/>
                <w:kern w:val="0"/>
                <w:szCs w:val="21"/>
              </w:rPr>
              <w:t>5、底座高80mm，上下板30mm，重要部位加厚处理。</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99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水槽台</w:t>
            </w:r>
          </w:p>
        </w:tc>
        <w:tc>
          <w:tcPr>
            <w:tcW w:w="2984" w:type="pct"/>
            <w:shd w:val="clear" w:color="auto" w:fill="auto"/>
            <w:vAlign w:val="center"/>
          </w:tcPr>
          <w:p>
            <w:pPr>
              <w:widowControl/>
              <w:jc w:val="left"/>
              <w:textAlignment w:val="center"/>
              <w:rPr>
                <w:rFonts w:ascii="宋体" w:hAnsi="宋体" w:cs="宋体"/>
                <w:kern w:val="0"/>
                <w:szCs w:val="21"/>
              </w:rPr>
            </w:pPr>
            <w:r>
              <w:rPr>
                <w:rFonts w:hint="eastAsia" w:ascii="宋体" w:hAnsi="宋体" w:cs="宋体"/>
                <w:kern w:val="0"/>
                <w:szCs w:val="21"/>
              </w:rPr>
              <w:t>1、柜体规格:500*600*820mm；</w:t>
            </w:r>
          </w:p>
          <w:p>
            <w:pPr>
              <w:widowControl/>
              <w:jc w:val="left"/>
              <w:textAlignment w:val="center"/>
              <w:rPr>
                <w:rFonts w:ascii="宋体" w:hAnsi="宋体" w:cs="宋体"/>
                <w:kern w:val="0"/>
                <w:szCs w:val="21"/>
              </w:rPr>
            </w:pPr>
            <w:r>
              <w:rPr>
                <w:rFonts w:hint="eastAsia" w:ascii="宋体" w:hAnsi="宋体" w:cs="宋体"/>
                <w:kern w:val="0"/>
                <w:szCs w:val="21"/>
              </w:rPr>
              <w:t>2、榫卯连接结构并合理布局加强筋；</w:t>
            </w:r>
          </w:p>
          <w:p>
            <w:pPr>
              <w:widowControl/>
              <w:jc w:val="left"/>
              <w:textAlignment w:val="center"/>
              <w:rPr>
                <w:rFonts w:ascii="宋体" w:hAnsi="宋体" w:cs="宋体"/>
                <w:kern w:val="0"/>
                <w:szCs w:val="21"/>
              </w:rPr>
            </w:pPr>
            <w:r>
              <w:rPr>
                <w:rFonts w:hint="eastAsia" w:ascii="宋体" w:hAnsi="宋体" w:cs="宋体"/>
                <w:kern w:val="0"/>
                <w:szCs w:val="21"/>
              </w:rPr>
              <w:t>3、前门规格：510*365mm，主体壁厚不小于2mm背面设有厚2mm、高度不低于4.5mm的加强筋横6根竖6根；</w:t>
            </w:r>
          </w:p>
          <w:p>
            <w:pPr>
              <w:widowControl/>
              <w:jc w:val="left"/>
              <w:textAlignment w:val="center"/>
              <w:rPr>
                <w:rFonts w:ascii="宋体" w:hAnsi="宋体" w:cs="宋体"/>
                <w:kern w:val="0"/>
                <w:szCs w:val="21"/>
              </w:rPr>
            </w:pPr>
            <w:r>
              <w:rPr>
                <w:rFonts w:hint="eastAsia" w:ascii="宋体" w:hAnsi="宋体" w:cs="宋体"/>
                <w:kern w:val="0"/>
                <w:szCs w:val="21"/>
              </w:rPr>
              <w:t>4、前门带内凹式塑料扣手，门与整体水柜不用铰链连接，直接用内嵌式组装。柜子整体用环保型ABS工程塑料注塑成型；</w:t>
            </w:r>
          </w:p>
          <w:p>
            <w:pPr>
              <w:widowControl/>
              <w:jc w:val="left"/>
              <w:textAlignment w:val="center"/>
              <w:rPr>
                <w:rFonts w:ascii="宋体" w:hAnsi="宋体" w:cs="宋体"/>
                <w:kern w:val="0"/>
                <w:szCs w:val="21"/>
              </w:rPr>
            </w:pPr>
            <w:r>
              <w:rPr>
                <w:rFonts w:hint="eastAsia" w:ascii="宋体" w:hAnsi="宋体" w:cs="宋体"/>
                <w:kern w:val="0"/>
                <w:szCs w:val="21"/>
              </w:rPr>
              <w:t>5、水槽规格：500*600*350mm，水槽用环保型PP材料一次性注塑成型，耐强酸碱&lt;80度有机溶剂并耐150度以下高温，壁厚3.5mm；</w:t>
            </w:r>
          </w:p>
          <w:p>
            <w:pPr>
              <w:widowControl/>
              <w:jc w:val="left"/>
              <w:textAlignment w:val="center"/>
              <w:rPr>
                <w:rFonts w:ascii="宋体" w:hAnsi="宋体" w:cs="宋体"/>
                <w:szCs w:val="21"/>
              </w:rPr>
            </w:pPr>
            <w:r>
              <w:rPr>
                <w:rFonts w:hint="eastAsia" w:ascii="宋体" w:hAnsi="宋体" w:cs="宋体"/>
                <w:kern w:val="0"/>
                <w:szCs w:val="21"/>
              </w:rPr>
              <w:t xml:space="preserve">6、侧板规格600*300*780mm，左右侧板一致、主体壁厚不小于2.5mm、背面设有厚2mm、高度不低于5.5mm的加强筋横4根竖4根。                                                         </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99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三联水嘴</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陶瓷阀芯90°旋转，铜质内芯外用聚碳酸酯一次注塑成型的防腐蚀、耐酸碱的实验室专用水嘴(一高二低)</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99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进排水系统</w:t>
            </w:r>
          </w:p>
        </w:tc>
        <w:tc>
          <w:tcPr>
            <w:tcW w:w="2984" w:type="pct"/>
            <w:shd w:val="clear" w:color="auto" w:fill="auto"/>
            <w:vAlign w:val="center"/>
          </w:tcPr>
          <w:p>
            <w:pPr>
              <w:jc w:val="left"/>
              <w:rPr>
                <w:szCs w:val="21"/>
              </w:rPr>
            </w:pPr>
            <w:r>
              <w:rPr>
                <w:rFonts w:hint="eastAsia" w:ascii="宋体" w:hAnsi="宋体" w:cs="宋体"/>
                <w:kern w:val="0"/>
                <w:szCs w:val="21"/>
              </w:rPr>
              <w:t>供水主管φ25PPR，国标φ50PVC排水管。</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99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实验室布线</w:t>
            </w:r>
          </w:p>
        </w:tc>
        <w:tc>
          <w:tcPr>
            <w:tcW w:w="2984" w:type="pct"/>
            <w:shd w:val="clear" w:color="auto" w:fill="auto"/>
            <w:vAlign w:val="center"/>
          </w:tcPr>
          <w:p>
            <w:pPr>
              <w:jc w:val="left"/>
              <w:rPr>
                <w:szCs w:val="21"/>
              </w:rPr>
            </w:pPr>
            <w:r>
              <w:rPr>
                <w:rFonts w:hint="eastAsia" w:ascii="宋体" w:hAnsi="宋体" w:cs="宋体"/>
                <w:kern w:val="0"/>
                <w:szCs w:val="21"/>
              </w:rPr>
              <w:t>按国标施工，*用φ20㎜优质PVC-U国标管预先埋地，耐压500V；*220V市电用2.5㎜²电线。</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99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商用计算机</w:t>
            </w:r>
          </w:p>
        </w:tc>
        <w:tc>
          <w:tcPr>
            <w:tcW w:w="2984" w:type="pct"/>
            <w:shd w:val="clear" w:color="auto" w:fill="auto"/>
            <w:vAlign w:val="center"/>
          </w:tcPr>
          <w:p>
            <w:pPr>
              <w:jc w:val="left"/>
              <w:rPr>
                <w:szCs w:val="21"/>
              </w:rPr>
            </w:pPr>
            <w:r>
              <w:rPr>
                <w:rFonts w:hint="eastAsia"/>
                <w:szCs w:val="21"/>
              </w:rPr>
              <w:t>1、</w:t>
            </w:r>
            <w:r>
              <w:rPr>
                <w:rFonts w:hint="eastAsia" w:ascii="宋体" w:hAnsi="宋体" w:cs="宋体"/>
                <w:kern w:val="0"/>
                <w:szCs w:val="21"/>
              </w:rPr>
              <w:t>国产品牌</w:t>
            </w:r>
          </w:p>
          <w:p>
            <w:pPr>
              <w:jc w:val="left"/>
              <w:rPr>
                <w:szCs w:val="21"/>
              </w:rPr>
            </w:pPr>
            <w:r>
              <w:rPr>
                <w:rFonts w:hint="eastAsia"/>
                <w:szCs w:val="21"/>
              </w:rPr>
              <w:t>2、CPU:Intel 十代或以上，四核心，主频≥3.6GHz；</w:t>
            </w:r>
          </w:p>
          <w:p>
            <w:pPr>
              <w:jc w:val="left"/>
              <w:rPr>
                <w:szCs w:val="21"/>
              </w:rPr>
            </w:pPr>
            <w:r>
              <w:rPr>
                <w:rFonts w:hint="eastAsia"/>
                <w:szCs w:val="21"/>
              </w:rPr>
              <w:t>3、主板:Intel 460或以上；</w:t>
            </w:r>
          </w:p>
          <w:p>
            <w:pPr>
              <w:jc w:val="left"/>
              <w:rPr>
                <w:szCs w:val="21"/>
              </w:rPr>
            </w:pPr>
            <w:r>
              <w:rPr>
                <w:rFonts w:hint="eastAsia"/>
                <w:szCs w:val="21"/>
              </w:rPr>
              <w:t>4、内存:≥8GB，2个或以上内存插槽；</w:t>
            </w:r>
          </w:p>
          <w:p>
            <w:pPr>
              <w:jc w:val="left"/>
              <w:rPr>
                <w:szCs w:val="21"/>
              </w:rPr>
            </w:pPr>
            <w:r>
              <w:rPr>
                <w:rFonts w:hint="eastAsia"/>
                <w:szCs w:val="21"/>
              </w:rPr>
              <w:t>5、硬盘:≥256GB M.2 NVME SSD；</w:t>
            </w:r>
          </w:p>
          <w:p>
            <w:pPr>
              <w:jc w:val="left"/>
              <w:rPr>
                <w:szCs w:val="21"/>
              </w:rPr>
            </w:pPr>
            <w:r>
              <w:rPr>
                <w:rFonts w:hint="eastAsia"/>
                <w:szCs w:val="21"/>
              </w:rPr>
              <w:t>6、显卡:集成显卡,主板原生VGA、HDMI、DP三个视频输出接口；</w:t>
            </w:r>
          </w:p>
          <w:p>
            <w:pPr>
              <w:jc w:val="left"/>
              <w:rPr>
                <w:szCs w:val="21"/>
              </w:rPr>
            </w:pPr>
            <w:r>
              <w:rPr>
                <w:rFonts w:hint="eastAsia"/>
                <w:szCs w:val="21"/>
              </w:rPr>
              <w:t>7、键盘、鼠标:USB抗菌键盘,抗菌鼠标；</w:t>
            </w:r>
          </w:p>
          <w:p>
            <w:pPr>
              <w:jc w:val="left"/>
              <w:rPr>
                <w:szCs w:val="21"/>
              </w:rPr>
            </w:pPr>
            <w:r>
              <w:rPr>
                <w:rFonts w:hint="eastAsia"/>
                <w:szCs w:val="21"/>
              </w:rPr>
              <w:t>8、接口:≥5个3.5mm音频插孔，≥9个USB接口(其中USB 3.2不少于5个)。1个串行接口、2个PS/2接口；</w:t>
            </w:r>
          </w:p>
          <w:p>
            <w:pPr>
              <w:jc w:val="left"/>
              <w:rPr>
                <w:szCs w:val="21"/>
              </w:rPr>
            </w:pPr>
            <w:r>
              <w:rPr>
                <w:rFonts w:hint="eastAsia"/>
                <w:szCs w:val="21"/>
              </w:rPr>
              <w:t>9、扩展槽:≥1个全高PCI插槽;≥1个PCIe x1插槽;≥1个PCIe x16插槽；</w:t>
            </w:r>
          </w:p>
          <w:p>
            <w:pPr>
              <w:jc w:val="left"/>
              <w:rPr>
                <w:szCs w:val="21"/>
              </w:rPr>
            </w:pPr>
            <w:r>
              <w:rPr>
                <w:rFonts w:hint="eastAsia"/>
                <w:szCs w:val="21"/>
              </w:rPr>
              <w:t>10、机箱:≤11升可立卧两用机箱；</w:t>
            </w:r>
          </w:p>
          <w:p>
            <w:pPr>
              <w:jc w:val="left"/>
              <w:rPr>
                <w:szCs w:val="21"/>
              </w:rPr>
            </w:pPr>
            <w:r>
              <w:rPr>
                <w:rFonts w:hint="eastAsia"/>
                <w:szCs w:val="21"/>
              </w:rPr>
              <w:t>11、电源:≤180W节能电源；</w:t>
            </w:r>
          </w:p>
          <w:p>
            <w:pPr>
              <w:jc w:val="left"/>
              <w:rPr>
                <w:szCs w:val="21"/>
              </w:rPr>
            </w:pPr>
            <w:r>
              <w:rPr>
                <w:rFonts w:hint="eastAsia"/>
                <w:szCs w:val="21"/>
              </w:rPr>
              <w:t>12、显示器:≥23.8寸低蓝光液晶显示器，分辨率≥1920x1080、亮度≥250cd/m²、对比度≥1000:1、色域≥72%NTSC、可视角度≥178°/178°、响应时间≤5ms,VGA+HDMI接口带原厂HDMI线缆、VESA标准安装孔；</w:t>
            </w:r>
          </w:p>
          <w:p>
            <w:pPr>
              <w:jc w:val="left"/>
              <w:rPr>
                <w:szCs w:val="21"/>
              </w:rPr>
            </w:pPr>
            <w:r>
              <w:rPr>
                <w:rFonts w:hint="eastAsia"/>
                <w:szCs w:val="21"/>
              </w:rPr>
              <w:t>13、供应商所投标商用计算机需通过国家电子计算机质量监督检验中心平均无故障运行认证,且无故障运行时间达105万小时以上；</w:t>
            </w:r>
          </w:p>
          <w:p>
            <w:pPr>
              <w:jc w:val="left"/>
              <w:rPr>
                <w:szCs w:val="21"/>
              </w:rPr>
            </w:pPr>
            <w:r>
              <w:rPr>
                <w:rFonts w:hint="eastAsia"/>
                <w:szCs w:val="21"/>
              </w:rPr>
              <w:t>14、所投商用计算机支持国产桌面操作系统；</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tcBorders>
              <w:bottom w:val="single" w:color="auto" w:sz="4" w:space="0"/>
            </w:tcBorders>
            <w:shd w:val="clear" w:color="auto" w:fill="auto"/>
            <w:noWrap/>
            <w:vAlign w:val="center"/>
          </w:tcPr>
          <w:p>
            <w:pPr>
              <w:widowControl/>
              <w:jc w:val="center"/>
              <w:textAlignment w:val="center"/>
              <w:rPr>
                <w:rFonts w:ascii="宋体" w:hAnsi="宋体" w:cs="宋体"/>
                <w:kern w:val="0"/>
                <w:szCs w:val="21"/>
              </w:rPr>
            </w:pPr>
            <w:r>
              <w:rPr>
                <w:rFonts w:hint="eastAsia" w:ascii="宋体" w:hAnsi="宋体" w:cs="宋体"/>
                <w:kern w:val="0"/>
                <w:szCs w:val="21"/>
              </w:rPr>
              <w:t>8</w:t>
            </w:r>
          </w:p>
        </w:tc>
        <w:tc>
          <w:tcPr>
            <w:tcW w:w="996" w:type="pct"/>
            <w:tcBorders>
              <w:bottom w:val="single" w:color="auto" w:sz="4" w:space="0"/>
            </w:tcBorders>
            <w:shd w:val="clear" w:color="auto" w:fill="auto"/>
            <w:noWrap/>
            <w:vAlign w:val="center"/>
          </w:tcPr>
          <w:p>
            <w:pPr>
              <w:widowControl/>
              <w:jc w:val="center"/>
              <w:textAlignment w:val="center"/>
              <w:rPr>
                <w:rFonts w:ascii="宋体" w:hAnsi="宋体" w:cs="宋体"/>
                <w:kern w:val="0"/>
                <w:szCs w:val="21"/>
              </w:rPr>
            </w:pPr>
            <w:r>
              <w:rPr>
                <w:rFonts w:hint="eastAsia" w:ascii="宋体" w:hAnsi="宋体" w:cs="宋体"/>
                <w:kern w:val="0"/>
                <w:szCs w:val="21"/>
              </w:rPr>
              <w:t>地面改造</w:t>
            </w:r>
          </w:p>
        </w:tc>
        <w:tc>
          <w:tcPr>
            <w:tcW w:w="2984" w:type="pct"/>
            <w:tcBorders>
              <w:bottom w:val="single" w:color="auto" w:sz="4" w:space="0"/>
            </w:tcBorders>
            <w:shd w:val="clear" w:color="auto" w:fill="auto"/>
            <w:vAlign w:val="center"/>
          </w:tcPr>
          <w:p>
            <w:pPr>
              <w:widowControl/>
              <w:jc w:val="left"/>
              <w:textAlignment w:val="center"/>
              <w:rPr>
                <w:rFonts w:ascii="宋体" w:hAnsi="宋体" w:cs="宋体"/>
                <w:kern w:val="0"/>
                <w:szCs w:val="21"/>
              </w:rPr>
            </w:pPr>
            <w:r>
              <w:rPr>
                <w:rFonts w:hint="eastAsia" w:ascii="宋体" w:hAnsi="宋体" w:cs="宋体"/>
                <w:kern w:val="0"/>
                <w:szCs w:val="21"/>
              </w:rPr>
              <w:t>地面以上瓷砖切沟、地面切沟铺设地下水电，铺设后地面回填，不锈钢卡槽覆盖。</w:t>
            </w:r>
          </w:p>
        </w:tc>
        <w:tc>
          <w:tcPr>
            <w:tcW w:w="301" w:type="pct"/>
            <w:tcBorders>
              <w:bottom w:val="single" w:color="auto" w:sz="4" w:space="0"/>
            </w:tcBorders>
            <w:shd w:val="clear" w:color="auto" w:fill="auto"/>
            <w:noWrap/>
            <w:vAlign w:val="center"/>
          </w:tcPr>
          <w:p>
            <w:pPr>
              <w:widowControl/>
              <w:jc w:val="center"/>
              <w:textAlignment w:val="center"/>
              <w:rPr>
                <w:rFonts w:ascii="宋体" w:hAnsi="宋体" w:cs="宋体"/>
                <w:kern w:val="0"/>
                <w:szCs w:val="21"/>
              </w:rPr>
            </w:pPr>
            <w:r>
              <w:rPr>
                <w:rFonts w:hint="eastAsia" w:ascii="宋体" w:hAnsi="宋体" w:cs="宋体"/>
                <w:kern w:val="0"/>
                <w:szCs w:val="21"/>
              </w:rPr>
              <w:t>项</w:t>
            </w:r>
          </w:p>
        </w:tc>
        <w:tc>
          <w:tcPr>
            <w:tcW w:w="302" w:type="pct"/>
            <w:tcBorders>
              <w:bottom w:val="single" w:color="auto" w:sz="4" w:space="0"/>
            </w:tcBorders>
            <w:shd w:val="clear" w:color="auto" w:fill="auto"/>
            <w:noWrap/>
            <w:vAlign w:val="center"/>
          </w:tcPr>
          <w:p>
            <w:pPr>
              <w:widowControl/>
              <w:jc w:val="center"/>
              <w:textAlignment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0" w:type="pct"/>
            <w:gridSpan w:val="5"/>
            <w:tcBorders>
              <w:left w:val="nil"/>
              <w:right w:val="nil"/>
            </w:tcBorders>
            <w:shd w:val="clear" w:color="auto" w:fill="auto"/>
            <w:noWrap/>
            <w:vAlign w:val="center"/>
          </w:tcPr>
          <w:p>
            <w:pPr>
              <w:widowControl/>
              <w:jc w:val="center"/>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0" w:type="pct"/>
            <w:gridSpan w:val="5"/>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7、物理实验室改造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996"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货物名称</w:t>
            </w:r>
          </w:p>
        </w:tc>
        <w:tc>
          <w:tcPr>
            <w:tcW w:w="2984"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技术要求</w:t>
            </w:r>
          </w:p>
        </w:tc>
        <w:tc>
          <w:tcPr>
            <w:tcW w:w="301"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单位</w:t>
            </w:r>
          </w:p>
        </w:tc>
        <w:tc>
          <w:tcPr>
            <w:tcW w:w="302"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教师总控台电源装置</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教师台电源：交流220V，设插座式。交直流低压输出：2V-24V，每2V为一档,共12档，最大电流为8A, 过载自动断开。直流大电流输出：40A±10A，时间20S自动断开。直流稳压输出≥1.5V-30V范围内可连续可调，额定电流为3A，过载自动断开。直流高压输出：240V,300V二档，输出电流：100MA,过载自动断开。</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99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学生安全电源</w:t>
            </w:r>
          </w:p>
        </w:tc>
        <w:tc>
          <w:tcPr>
            <w:tcW w:w="2984" w:type="pct"/>
            <w:shd w:val="clear" w:color="auto" w:fill="auto"/>
            <w:noWrap/>
            <w:vAlign w:val="center"/>
          </w:tcPr>
          <w:p>
            <w:pPr>
              <w:pStyle w:val="2"/>
              <w:ind w:firstLine="0" w:firstLineChars="0"/>
              <w:rPr>
                <w:szCs w:val="21"/>
              </w:rPr>
            </w:pPr>
            <w:r>
              <w:rPr>
                <w:rFonts w:hint="eastAsia" w:ascii="宋体" w:hAnsi="宋体" w:cs="宋体"/>
                <w:kern w:val="0"/>
                <w:szCs w:val="21"/>
              </w:rPr>
              <w:t>根据现有情况改造,按教学实验标准，连接好学生电源正常使用。</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项</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电路系统</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用2.5平方国标线材，根据教学实验标准，连接好教师电源和学生电源正常使用。</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99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学生实验桌</w:t>
            </w:r>
          </w:p>
        </w:tc>
        <w:tc>
          <w:tcPr>
            <w:tcW w:w="2984" w:type="pct"/>
            <w:shd w:val="clear" w:color="auto" w:fill="auto"/>
            <w:vAlign w:val="center"/>
          </w:tcPr>
          <w:p>
            <w:pPr>
              <w:widowControl/>
              <w:jc w:val="left"/>
              <w:textAlignment w:val="center"/>
              <w:rPr>
                <w:rFonts w:ascii="宋体" w:hAnsi="宋体" w:cs="宋体"/>
                <w:kern w:val="0"/>
                <w:szCs w:val="21"/>
              </w:rPr>
            </w:pPr>
            <w:r>
              <w:rPr>
                <w:rFonts w:hint="eastAsia" w:ascii="宋体" w:hAnsi="宋体" w:cs="宋体"/>
                <w:kern w:val="0"/>
                <w:szCs w:val="21"/>
              </w:rPr>
              <w:t>1200*600*780全木结构</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张</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99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学生安全电源</w:t>
            </w:r>
          </w:p>
        </w:tc>
        <w:tc>
          <w:tcPr>
            <w:tcW w:w="2984" w:type="pct"/>
            <w:shd w:val="clear" w:color="auto" w:fill="auto"/>
            <w:vAlign w:val="center"/>
          </w:tcPr>
          <w:p>
            <w:pPr>
              <w:widowControl/>
              <w:jc w:val="left"/>
              <w:textAlignment w:val="center"/>
              <w:rPr>
                <w:rFonts w:ascii="宋体" w:hAnsi="宋体" w:cs="宋体"/>
                <w:kern w:val="0"/>
                <w:szCs w:val="21"/>
              </w:rPr>
            </w:pPr>
            <w:r>
              <w:rPr>
                <w:rStyle w:val="74"/>
                <w:rFonts w:hint="default"/>
                <w:color w:val="auto"/>
                <w:sz w:val="21"/>
                <w:szCs w:val="21"/>
              </w:rPr>
              <w:t>操作面板铝合金外框：全铝面板/外框，交流输出：1.5—24v、2A连续可调    直流稳压：1.25V-24V、2A无极调压  直流稳压：6V、0.5A输出；用防脱式接线柱。手动或自动过载保护，有电压、电流表和测试用表表示，具有220V漏电开关保护和多功能六孔插座。</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rPr>
              <w:t>6</w:t>
            </w:r>
          </w:p>
        </w:tc>
        <w:tc>
          <w:tcPr>
            <w:tcW w:w="996"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rPr>
              <w:t>实验室安装</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整体实验室安装</w:t>
            </w:r>
          </w:p>
        </w:tc>
        <w:tc>
          <w:tcPr>
            <w:tcW w:w="301"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302" w:type="pct"/>
            <w:shd w:val="clear" w:color="auto" w:fill="auto"/>
            <w:noWrap/>
            <w:vAlign w:val="center"/>
          </w:tcPr>
          <w:p>
            <w:pPr>
              <w:widowControl/>
              <w:jc w:val="center"/>
              <w:textAlignment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tcBorders>
              <w:bottom w:val="single" w:color="auto" w:sz="4" w:space="0"/>
            </w:tcBorders>
            <w:shd w:val="clear" w:color="auto" w:fill="auto"/>
            <w:noWrap/>
            <w:vAlign w:val="center"/>
          </w:tcPr>
          <w:p>
            <w:pPr>
              <w:widowControl/>
              <w:jc w:val="center"/>
              <w:textAlignment w:val="center"/>
              <w:rPr>
                <w:rFonts w:ascii="宋体" w:hAnsi="宋体" w:cs="宋体"/>
                <w:kern w:val="0"/>
                <w:szCs w:val="21"/>
              </w:rPr>
            </w:pPr>
            <w:r>
              <w:rPr>
                <w:rFonts w:hint="eastAsia" w:ascii="宋体" w:hAnsi="宋体" w:cs="宋体"/>
                <w:kern w:val="0"/>
                <w:szCs w:val="21"/>
              </w:rPr>
              <w:t>7</w:t>
            </w:r>
          </w:p>
        </w:tc>
        <w:tc>
          <w:tcPr>
            <w:tcW w:w="996" w:type="pct"/>
            <w:tcBorders>
              <w:bottom w:val="single" w:color="auto" w:sz="4" w:space="0"/>
            </w:tcBorders>
            <w:shd w:val="clear" w:color="auto" w:fill="auto"/>
            <w:noWrap/>
            <w:vAlign w:val="center"/>
          </w:tcPr>
          <w:p>
            <w:pPr>
              <w:widowControl/>
              <w:jc w:val="center"/>
              <w:textAlignment w:val="center"/>
              <w:rPr>
                <w:rFonts w:ascii="宋体" w:hAnsi="宋体" w:cs="宋体"/>
                <w:kern w:val="0"/>
                <w:szCs w:val="21"/>
              </w:rPr>
            </w:pPr>
            <w:r>
              <w:rPr>
                <w:rFonts w:hint="eastAsia" w:ascii="宋体" w:hAnsi="宋体" w:cs="宋体"/>
                <w:kern w:val="0"/>
                <w:szCs w:val="21"/>
              </w:rPr>
              <w:t>地面改造</w:t>
            </w:r>
          </w:p>
        </w:tc>
        <w:tc>
          <w:tcPr>
            <w:tcW w:w="2984" w:type="pct"/>
            <w:tcBorders>
              <w:bottom w:val="single" w:color="auto" w:sz="4" w:space="0"/>
            </w:tcBorders>
            <w:shd w:val="clear" w:color="auto" w:fill="auto"/>
            <w:vAlign w:val="center"/>
          </w:tcPr>
          <w:p>
            <w:pPr>
              <w:widowControl/>
              <w:jc w:val="left"/>
              <w:textAlignment w:val="center"/>
              <w:rPr>
                <w:rFonts w:ascii="宋体" w:hAnsi="宋体" w:cs="宋体"/>
                <w:kern w:val="0"/>
                <w:szCs w:val="21"/>
              </w:rPr>
            </w:pPr>
            <w:r>
              <w:rPr>
                <w:rFonts w:hint="eastAsia" w:ascii="宋体" w:hAnsi="宋体" w:cs="宋体"/>
                <w:kern w:val="0"/>
                <w:szCs w:val="21"/>
              </w:rPr>
              <w:t>地面以上瓷砖切沟、地面切沟铺设地下水电，铺设后地面回填，不锈钢卡槽覆盖。</w:t>
            </w:r>
          </w:p>
        </w:tc>
        <w:tc>
          <w:tcPr>
            <w:tcW w:w="301" w:type="pct"/>
            <w:tcBorders>
              <w:bottom w:val="single" w:color="auto" w:sz="4" w:space="0"/>
            </w:tcBorders>
            <w:shd w:val="clear" w:color="auto" w:fill="auto"/>
            <w:noWrap/>
            <w:vAlign w:val="center"/>
          </w:tcPr>
          <w:p>
            <w:pPr>
              <w:widowControl/>
              <w:jc w:val="center"/>
              <w:textAlignment w:val="center"/>
              <w:rPr>
                <w:rFonts w:ascii="宋体" w:hAnsi="宋体" w:cs="宋体"/>
                <w:kern w:val="0"/>
                <w:szCs w:val="21"/>
              </w:rPr>
            </w:pPr>
            <w:r>
              <w:rPr>
                <w:rFonts w:hint="eastAsia" w:ascii="宋体" w:hAnsi="宋体" w:cs="宋体"/>
                <w:kern w:val="0"/>
                <w:szCs w:val="21"/>
              </w:rPr>
              <w:t>项</w:t>
            </w:r>
          </w:p>
        </w:tc>
        <w:tc>
          <w:tcPr>
            <w:tcW w:w="302" w:type="pct"/>
            <w:tcBorders>
              <w:bottom w:val="single" w:color="auto" w:sz="4" w:space="0"/>
            </w:tcBorders>
            <w:shd w:val="clear" w:color="auto" w:fill="auto"/>
            <w:noWrap/>
            <w:vAlign w:val="center"/>
          </w:tcPr>
          <w:p>
            <w:pPr>
              <w:widowControl/>
              <w:jc w:val="center"/>
              <w:textAlignment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0" w:type="pct"/>
            <w:gridSpan w:val="5"/>
            <w:tcBorders>
              <w:left w:val="nil"/>
              <w:right w:val="nil"/>
            </w:tcBorders>
            <w:shd w:val="clear" w:color="auto" w:fill="auto"/>
            <w:noWrap/>
            <w:vAlign w:val="center"/>
          </w:tcPr>
          <w:p>
            <w:pPr>
              <w:widowControl/>
              <w:jc w:val="center"/>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0" w:type="pct"/>
            <w:gridSpan w:val="5"/>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8、化学不通风改造成通风实验室(改造下通风实验室）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996"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货物名称</w:t>
            </w:r>
          </w:p>
        </w:tc>
        <w:tc>
          <w:tcPr>
            <w:tcW w:w="2984"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技术要求</w:t>
            </w:r>
          </w:p>
        </w:tc>
        <w:tc>
          <w:tcPr>
            <w:tcW w:w="301"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单位</w:t>
            </w:r>
          </w:p>
        </w:tc>
        <w:tc>
          <w:tcPr>
            <w:tcW w:w="30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实验台通风装置</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用PVC塑料注塑成型的隐蔽式吸风罩，设在台面上，可任意调节方向和高度。</w:t>
            </w:r>
          </w:p>
        </w:tc>
        <w:tc>
          <w:tcPr>
            <w:tcW w:w="3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实验室通风机</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选用防腐蚀的6#变频调速风机，功率5.5KW,N=125-1250转/分，风量为0-12000m³/小时，噪声要求按行业标准≤55分贝，材质用pvc可焊塑料制作，异型件、井架等。电机动力4KW。通风排毒效果为99%以上（3-5分钟）每小时换气不小于20次，罩口风速不低于6米/以上。</w:t>
            </w:r>
          </w:p>
        </w:tc>
        <w:tc>
          <w:tcPr>
            <w:tcW w:w="3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textAlignment w:val="center"/>
              <w:rPr>
                <w:rFonts w:ascii="宋体" w:hAnsi="宋体" w:cs="宋体"/>
                <w:kern w:val="0"/>
                <w:szCs w:val="21"/>
              </w:rPr>
            </w:pPr>
            <w:r>
              <w:rPr>
                <w:rFonts w:hint="eastAsia" w:ascii="宋体" w:hAnsi="宋体" w:cs="宋体"/>
                <w:kern w:val="0"/>
                <w:szCs w:val="21"/>
              </w:rPr>
              <w:t>3</w:t>
            </w:r>
          </w:p>
        </w:tc>
        <w:tc>
          <w:tcPr>
            <w:tcW w:w="996" w:type="pct"/>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控制器</w:t>
            </w:r>
          </w:p>
        </w:tc>
        <w:tc>
          <w:tcPr>
            <w:tcW w:w="2984" w:type="pct"/>
            <w:shd w:val="clear" w:color="auto" w:fill="auto"/>
            <w:vAlign w:val="center"/>
          </w:tcPr>
          <w:p>
            <w:pPr>
              <w:widowControl/>
              <w:jc w:val="left"/>
              <w:textAlignment w:val="center"/>
              <w:rPr>
                <w:rFonts w:ascii="宋体" w:hAnsi="宋体" w:cs="宋体"/>
                <w:kern w:val="0"/>
                <w:szCs w:val="21"/>
              </w:rPr>
            </w:pPr>
            <w:r>
              <w:rPr>
                <w:rFonts w:hint="eastAsia" w:ascii="宋体" w:hAnsi="宋体" w:cs="宋体"/>
                <w:kern w:val="0"/>
                <w:szCs w:val="21"/>
              </w:rPr>
              <w:t>用变频调速，0-50HZ调节，电子集成电路，无级调速，随意控制风机风速风量大小。</w:t>
            </w:r>
          </w:p>
        </w:tc>
        <w:tc>
          <w:tcPr>
            <w:tcW w:w="301" w:type="pct"/>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个</w:t>
            </w:r>
          </w:p>
        </w:tc>
        <w:tc>
          <w:tcPr>
            <w:tcW w:w="302" w:type="pct"/>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风机减振器</w:t>
            </w:r>
          </w:p>
        </w:tc>
        <w:tc>
          <w:tcPr>
            <w:tcW w:w="2984" w:type="pct"/>
            <w:shd w:val="clear" w:color="auto" w:fill="auto"/>
            <w:vAlign w:val="center"/>
          </w:tcPr>
          <w:p>
            <w:pPr>
              <w:jc w:val="left"/>
              <w:rPr>
                <w:szCs w:val="21"/>
              </w:rPr>
            </w:pPr>
            <w:r>
              <w:rPr>
                <w:rFonts w:hint="eastAsia"/>
                <w:szCs w:val="21"/>
              </w:rPr>
              <w:t>专用设计减振</w:t>
            </w:r>
          </w:p>
        </w:tc>
        <w:tc>
          <w:tcPr>
            <w:tcW w:w="3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996"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通风机消音器</w:t>
            </w:r>
          </w:p>
        </w:tc>
        <w:tc>
          <w:tcPr>
            <w:tcW w:w="2984" w:type="pct"/>
            <w:shd w:val="clear" w:color="auto" w:fill="auto"/>
            <w:vAlign w:val="center"/>
          </w:tcPr>
          <w:p>
            <w:pPr>
              <w:widowControl/>
              <w:jc w:val="left"/>
              <w:textAlignment w:val="center"/>
              <w:rPr>
                <w:rFonts w:ascii="宋体" w:hAnsi="宋体" w:cs="宋体"/>
                <w:kern w:val="0"/>
                <w:szCs w:val="21"/>
              </w:rPr>
            </w:pPr>
            <w:r>
              <w:rPr>
                <w:rFonts w:hint="eastAsia" w:ascii="宋体" w:hAnsi="宋体" w:cs="宋体"/>
                <w:kern w:val="0"/>
                <w:szCs w:val="21"/>
              </w:rPr>
              <w:t>（1）消音器用化工专用工程塑料，耐腐蚀，耐酸碱性能好的圆管制作，并且内壁装有吸音作用的材料，同时提高减少风的阻力。</w:t>
            </w:r>
          </w:p>
          <w:p>
            <w:pPr>
              <w:jc w:val="left"/>
              <w:rPr>
                <w:szCs w:val="21"/>
              </w:rPr>
            </w:pPr>
            <w:r>
              <w:rPr>
                <w:rFonts w:hint="eastAsia" w:ascii="宋体" w:hAnsi="宋体" w:cs="宋体"/>
                <w:kern w:val="0"/>
                <w:szCs w:val="21"/>
              </w:rPr>
              <w:t>（2）可以控制噪音达到国家规定噪音55db以下标准。</w:t>
            </w:r>
          </w:p>
        </w:tc>
        <w:tc>
          <w:tcPr>
            <w:tcW w:w="3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风机出入口软接头</w:t>
            </w:r>
          </w:p>
        </w:tc>
        <w:tc>
          <w:tcPr>
            <w:tcW w:w="2984" w:type="pct"/>
            <w:shd w:val="clear" w:color="auto" w:fill="auto"/>
            <w:vAlign w:val="center"/>
          </w:tcPr>
          <w:p>
            <w:pPr>
              <w:jc w:val="left"/>
              <w:rPr>
                <w:szCs w:val="21"/>
              </w:rPr>
            </w:pPr>
            <w:r>
              <w:rPr>
                <w:rFonts w:hint="eastAsia"/>
                <w:szCs w:val="21"/>
              </w:rPr>
              <w:t>专业设计</w:t>
            </w:r>
          </w:p>
        </w:tc>
        <w:tc>
          <w:tcPr>
            <w:tcW w:w="3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防雨帽</w:t>
            </w:r>
          </w:p>
        </w:tc>
        <w:tc>
          <w:tcPr>
            <w:tcW w:w="2984" w:type="pct"/>
            <w:shd w:val="clear" w:color="auto" w:fill="auto"/>
            <w:vAlign w:val="center"/>
          </w:tcPr>
          <w:p>
            <w:pPr>
              <w:jc w:val="left"/>
              <w:rPr>
                <w:szCs w:val="21"/>
              </w:rPr>
            </w:pPr>
            <w:r>
              <w:rPr>
                <w:rFonts w:hint="eastAsia"/>
                <w:szCs w:val="21"/>
              </w:rPr>
              <w:t>伞型结构</w:t>
            </w:r>
          </w:p>
        </w:tc>
        <w:tc>
          <w:tcPr>
            <w:tcW w:w="3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996" w:type="pct"/>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地下通风系统</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主通风道用防腐蚀￠400mm专用国标管（UPVC）埋地止室外；支风道用￠200mm国标管（UPVC），接口用专用胶连接。行程通风管用￠400mm防腐蚀国标管（UPVC）。</w:t>
            </w:r>
          </w:p>
        </w:tc>
        <w:tc>
          <w:tcPr>
            <w:tcW w:w="301" w:type="pct"/>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302" w:type="pct"/>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电路系统</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用2.5平方国标线材，根据教学实验标准，连接好教师电源和学生电源正常使用。</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给排水系统</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供水主管φ25PPR，国标φ50PVC排水管。</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tcBorders>
              <w:bottom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996" w:type="pct"/>
            <w:tcBorders>
              <w:bottom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三联水嘴</w:t>
            </w:r>
          </w:p>
        </w:tc>
        <w:tc>
          <w:tcPr>
            <w:tcW w:w="2984" w:type="pct"/>
            <w:tcBorders>
              <w:bottom w:val="single" w:color="auto"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陶瓷阀芯90°旋转，铜质内芯外用聚碳酸酯一次注塑成型的防腐蚀、耐酸碱的实验室专用水嘴(一高二低)。</w:t>
            </w:r>
          </w:p>
        </w:tc>
        <w:tc>
          <w:tcPr>
            <w:tcW w:w="301" w:type="pct"/>
            <w:tcBorders>
              <w:bottom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tcBorders>
              <w:bottom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tcBorders>
              <w:bottom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996" w:type="pct"/>
            <w:tcBorders>
              <w:bottom w:val="single" w:color="auto" w:sz="4" w:space="0"/>
            </w:tcBorders>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地面改造</w:t>
            </w:r>
          </w:p>
        </w:tc>
        <w:tc>
          <w:tcPr>
            <w:tcW w:w="2984" w:type="pct"/>
            <w:tcBorders>
              <w:bottom w:val="single" w:color="auto" w:sz="4" w:space="0"/>
            </w:tcBorders>
            <w:shd w:val="clear" w:color="auto" w:fill="auto"/>
            <w:vAlign w:val="center"/>
          </w:tcPr>
          <w:p>
            <w:pPr>
              <w:widowControl/>
              <w:jc w:val="left"/>
              <w:textAlignment w:val="center"/>
              <w:rPr>
                <w:rFonts w:ascii="宋体" w:hAnsi="宋体" w:cs="宋体"/>
                <w:kern w:val="0"/>
                <w:szCs w:val="21"/>
              </w:rPr>
            </w:pPr>
            <w:r>
              <w:rPr>
                <w:rFonts w:hint="eastAsia" w:ascii="宋体" w:hAnsi="宋体" w:cs="宋体"/>
                <w:kern w:val="0"/>
                <w:szCs w:val="21"/>
              </w:rPr>
              <w:t>地面以上瓷砖切沟、地面切沟铺设地下水电，铺设后地面回填，不锈钢卡槽覆盖。</w:t>
            </w:r>
          </w:p>
        </w:tc>
        <w:tc>
          <w:tcPr>
            <w:tcW w:w="301" w:type="pct"/>
            <w:tcBorders>
              <w:bottom w:val="single" w:color="auto" w:sz="4" w:space="0"/>
            </w:tcBorders>
            <w:shd w:val="clear" w:color="auto" w:fill="auto"/>
            <w:noWrap/>
            <w:vAlign w:val="center"/>
          </w:tcPr>
          <w:p>
            <w:pPr>
              <w:widowControl/>
              <w:jc w:val="center"/>
              <w:textAlignment w:val="center"/>
              <w:rPr>
                <w:rFonts w:ascii="宋体" w:hAnsi="宋体" w:cs="宋体"/>
                <w:kern w:val="0"/>
                <w:szCs w:val="21"/>
              </w:rPr>
            </w:pPr>
            <w:r>
              <w:rPr>
                <w:rFonts w:hint="eastAsia" w:ascii="宋体" w:hAnsi="宋体" w:cs="宋体"/>
                <w:kern w:val="0"/>
                <w:szCs w:val="21"/>
              </w:rPr>
              <w:t>项</w:t>
            </w:r>
          </w:p>
        </w:tc>
        <w:tc>
          <w:tcPr>
            <w:tcW w:w="302" w:type="pct"/>
            <w:tcBorders>
              <w:bottom w:val="single" w:color="auto" w:sz="4" w:space="0"/>
            </w:tcBorders>
            <w:shd w:val="clear" w:color="auto" w:fill="auto"/>
            <w:noWrap/>
            <w:vAlign w:val="center"/>
          </w:tcPr>
          <w:p>
            <w:pPr>
              <w:widowControl/>
              <w:jc w:val="center"/>
              <w:textAlignment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0" w:type="pct"/>
            <w:gridSpan w:val="5"/>
            <w:tcBorders>
              <w:left w:val="nil"/>
              <w:right w:val="nil"/>
            </w:tcBorders>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0" w:type="pct"/>
            <w:gridSpan w:val="5"/>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9、生物实验室改造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996"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货物名称</w:t>
            </w:r>
          </w:p>
        </w:tc>
        <w:tc>
          <w:tcPr>
            <w:tcW w:w="2984"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技术要求</w:t>
            </w:r>
          </w:p>
        </w:tc>
        <w:tc>
          <w:tcPr>
            <w:tcW w:w="301"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单位</w:t>
            </w:r>
          </w:p>
        </w:tc>
        <w:tc>
          <w:tcPr>
            <w:tcW w:w="30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生物灯</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底座用优质ABS材料制成，弯头用钢制蛇型管可360度旋转，不易生锈，灯管架为优质ABS注塑成型。LED节能灯功率：12W.</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钢化玻璃学生台面</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2800*600*12</w:t>
            </w:r>
          </w:p>
        </w:tc>
        <w:tc>
          <w:tcPr>
            <w:tcW w:w="30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电路系统</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用2.5平方国标线材，根据教学实验标准，连接好教师电源和学生电源正常使用。</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给排水系统</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供水主管φ25PPR，国标φ50PVC排水管。</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99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三联水嘴</w:t>
            </w:r>
          </w:p>
        </w:tc>
        <w:tc>
          <w:tcPr>
            <w:tcW w:w="2984" w:type="pct"/>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陶瓷阀芯90°旋转，铜质内芯外用聚碳酸酯一次注塑成型的防腐蚀、耐酸碱的实验室专用水嘴(一高二低)</w:t>
            </w:r>
          </w:p>
        </w:tc>
        <w:tc>
          <w:tcPr>
            <w:tcW w:w="30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30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3"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996" w:type="pct"/>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地面改造</w:t>
            </w:r>
          </w:p>
        </w:tc>
        <w:tc>
          <w:tcPr>
            <w:tcW w:w="2984" w:type="pct"/>
            <w:shd w:val="clear" w:color="auto" w:fill="auto"/>
            <w:vAlign w:val="center"/>
          </w:tcPr>
          <w:p>
            <w:pPr>
              <w:widowControl/>
              <w:jc w:val="left"/>
              <w:textAlignment w:val="center"/>
              <w:rPr>
                <w:rFonts w:ascii="宋体" w:hAnsi="宋体" w:cs="宋体"/>
                <w:kern w:val="0"/>
                <w:szCs w:val="21"/>
              </w:rPr>
            </w:pPr>
            <w:r>
              <w:rPr>
                <w:rFonts w:hint="eastAsia" w:ascii="宋体" w:hAnsi="宋体" w:cs="宋体"/>
                <w:kern w:val="0"/>
                <w:szCs w:val="21"/>
              </w:rPr>
              <w:t>地面以上瓷砖切沟、地面切沟铺设地下水电，铺设后地面回填，不锈钢卡槽覆盖。</w:t>
            </w:r>
          </w:p>
        </w:tc>
        <w:tc>
          <w:tcPr>
            <w:tcW w:w="301" w:type="pct"/>
            <w:shd w:val="clear" w:color="auto" w:fill="auto"/>
            <w:noWrap/>
            <w:vAlign w:val="center"/>
          </w:tcPr>
          <w:p>
            <w:pPr>
              <w:widowControl/>
              <w:jc w:val="center"/>
              <w:textAlignment w:val="center"/>
              <w:rPr>
                <w:rFonts w:ascii="宋体" w:hAnsi="宋体" w:cs="宋体"/>
                <w:kern w:val="0"/>
                <w:szCs w:val="21"/>
              </w:rPr>
            </w:pPr>
            <w:r>
              <w:rPr>
                <w:rFonts w:hint="eastAsia" w:ascii="宋体" w:hAnsi="宋体" w:cs="宋体"/>
                <w:kern w:val="0"/>
                <w:szCs w:val="21"/>
              </w:rPr>
              <w:t>项</w:t>
            </w:r>
          </w:p>
        </w:tc>
        <w:tc>
          <w:tcPr>
            <w:tcW w:w="302" w:type="pct"/>
            <w:shd w:val="clear" w:color="auto" w:fill="auto"/>
            <w:noWrap/>
            <w:vAlign w:val="center"/>
          </w:tcPr>
          <w:p>
            <w:pPr>
              <w:widowControl/>
              <w:jc w:val="center"/>
              <w:textAlignment w:val="center"/>
              <w:rPr>
                <w:rFonts w:ascii="宋体" w:hAnsi="宋体" w:cs="宋体"/>
                <w:kern w:val="0"/>
                <w:szCs w:val="21"/>
              </w:rPr>
            </w:pPr>
            <w:r>
              <w:rPr>
                <w:rFonts w:hint="eastAsia" w:ascii="宋体" w:hAnsi="宋体" w:cs="宋体"/>
                <w:kern w:val="0"/>
                <w:szCs w:val="21"/>
              </w:rPr>
              <w:t>1</w:t>
            </w:r>
          </w:p>
        </w:tc>
      </w:tr>
    </w:tbl>
    <w:p>
      <w:pPr>
        <w:rPr>
          <w:color w:val="auto"/>
        </w:rPr>
      </w:pPr>
    </w:p>
    <w:p>
      <w:pPr>
        <w:widowControl/>
        <w:spacing w:line="500" w:lineRule="exact"/>
        <w:rPr>
          <w:rFonts w:hint="eastAsia" w:ascii="宋体" w:hAnsi="宋体" w:cs="宋体"/>
          <w:b/>
          <w:bCs/>
          <w:sz w:val="24"/>
        </w:rPr>
      </w:pPr>
      <w:bookmarkStart w:id="42" w:name="_Toc8903"/>
      <w:bookmarkStart w:id="43" w:name="_Toc32074"/>
    </w:p>
    <w:p>
      <w:pPr>
        <w:widowControl/>
        <w:spacing w:line="500" w:lineRule="exact"/>
        <w:rPr>
          <w:rFonts w:ascii="宋体" w:hAnsi="宋体" w:cs="宋体"/>
          <w:b/>
          <w:bCs/>
          <w:sz w:val="24"/>
        </w:rPr>
      </w:pPr>
      <w:bookmarkStart w:id="61" w:name="_GoBack"/>
      <w:bookmarkEnd w:id="61"/>
      <w:r>
        <w:rPr>
          <w:rFonts w:hint="eastAsia" w:ascii="宋体" w:hAnsi="宋体" w:cs="宋体"/>
          <w:b/>
          <w:bCs/>
          <w:sz w:val="24"/>
        </w:rPr>
        <w:t>1、此次招标核心产品为学生实验桌。</w:t>
      </w:r>
    </w:p>
    <w:p>
      <w:pPr>
        <w:widowControl/>
        <w:spacing w:line="500" w:lineRule="exact"/>
        <w:rPr>
          <w:rFonts w:ascii="宋体" w:hAnsi="宋体" w:cs="宋体"/>
          <w:b/>
          <w:bCs/>
          <w:sz w:val="24"/>
        </w:rPr>
      </w:pPr>
      <w:r>
        <w:rPr>
          <w:rFonts w:hint="eastAsia" w:ascii="宋体" w:hAnsi="宋体" w:cs="宋体"/>
          <w:b/>
          <w:bCs/>
          <w:sz w:val="24"/>
        </w:rPr>
        <w:t>2、供应商提供的货物必须是原装全新、高于或等于竞争性谈判文件规定技术参数的产品，并提供相关证明材料。</w:t>
      </w:r>
    </w:p>
    <w:p>
      <w:pPr>
        <w:widowControl/>
        <w:spacing w:line="500" w:lineRule="exact"/>
        <w:rPr>
          <w:rFonts w:ascii="宋体" w:hAnsi="宋体" w:cs="宋体"/>
          <w:b/>
          <w:bCs/>
          <w:sz w:val="24"/>
        </w:rPr>
      </w:pPr>
      <w:r>
        <w:rPr>
          <w:rFonts w:hint="eastAsia" w:ascii="宋体" w:hAnsi="宋体" w:cs="宋体"/>
          <w:b/>
          <w:bCs/>
          <w:sz w:val="24"/>
        </w:rPr>
        <w:t>3、履约验收：履约验收时成交供应商按采购人要求提供以下材料：所投商用计算机支持国产桌面操作系统（提供操作系统厂商兼容性认证证书或测试报告），未提供或提供的上述材料与谈判文件规定的技术参数不符的，按废标处理，并自行承担由此产生的所有费用。</w:t>
      </w:r>
    </w:p>
    <w:p>
      <w:pPr>
        <w:widowControl/>
        <w:spacing w:line="500" w:lineRule="exact"/>
        <w:rPr>
          <w:rFonts w:ascii="宋体" w:hAnsi="宋体" w:cs="宋体"/>
          <w:b/>
          <w:bCs/>
          <w:sz w:val="24"/>
        </w:rPr>
      </w:pPr>
      <w:r>
        <w:rPr>
          <w:rFonts w:hint="eastAsia" w:ascii="宋体" w:hAnsi="宋体" w:cs="宋体"/>
          <w:b/>
          <w:bCs/>
          <w:sz w:val="24"/>
        </w:rPr>
        <w:t>4、属于节能产品政府采购清单规定必须强制采购的, 必须采购当期节能产品政府采购清单内设备或产品；在价格、技术、服务等指标同等条件下，优先采购节能、环保产品。（开标时需提供供应商所投产品属于政府采购清单规定的节能环保产品的证明材料）。</w:t>
      </w:r>
    </w:p>
    <w:p>
      <w:pPr>
        <w:widowControl/>
        <w:spacing w:line="500" w:lineRule="exact"/>
        <w:rPr>
          <w:rFonts w:ascii="宋体" w:hAnsi="宋体" w:cs="宋体"/>
          <w:b/>
          <w:bCs/>
          <w:sz w:val="24"/>
        </w:rPr>
      </w:pPr>
      <w:r>
        <w:rPr>
          <w:rFonts w:hint="eastAsia" w:ascii="宋体" w:hAnsi="宋体" w:cs="宋体"/>
          <w:b/>
          <w:bCs/>
          <w:sz w:val="24"/>
        </w:rPr>
        <w:t>5、供应商的投标报价应包括货物本身的费用、包装费、运输费、装卸费、第三方检测费、运输过程保险费、安装费、垃圾清理费、旧线路改造费、旧教室部分设备改造费、质量保证费、相关的伴随服务费、货物本身已支付或将支付的各种税费以及其它交付使用前的所有费用。供应商投标前可自行前往考察。</w:t>
      </w:r>
    </w:p>
    <w:p>
      <w:pPr>
        <w:widowControl/>
        <w:spacing w:line="500" w:lineRule="exact"/>
        <w:rPr>
          <w:rFonts w:ascii="宋体" w:hAnsi="宋体" w:cs="宋体"/>
          <w:b/>
          <w:bCs/>
          <w:sz w:val="24"/>
        </w:rPr>
        <w:sectPr>
          <w:headerReference r:id="rId8" w:type="default"/>
          <w:footerReference r:id="rId9" w:type="default"/>
          <w:pgSz w:w="11907" w:h="16840"/>
          <w:pgMar w:top="1440" w:right="1519" w:bottom="1440" w:left="1576" w:header="850" w:footer="998" w:gutter="0"/>
          <w:pgNumType w:fmt="numberInDash"/>
          <w:cols w:space="720" w:num="1"/>
          <w:docGrid w:type="lines" w:linePitch="380" w:charSpace="0"/>
        </w:sectPr>
      </w:pPr>
      <w:r>
        <w:rPr>
          <w:rFonts w:hint="eastAsia" w:ascii="宋体" w:hAnsi="宋体" w:cs="宋体"/>
          <w:b/>
          <w:bCs/>
          <w:sz w:val="24"/>
        </w:rPr>
        <w:t>6、本项目标的物所属行业：工业。</w:t>
      </w:r>
    </w:p>
    <w:p>
      <w:pPr>
        <w:rPr>
          <w:color w:val="auto"/>
          <w:kern w:val="0"/>
        </w:rPr>
      </w:pPr>
    </w:p>
    <w:p>
      <w:pPr>
        <w:pStyle w:val="9"/>
        <w:spacing w:before="0" w:after="0" w:line="360" w:lineRule="auto"/>
        <w:ind w:firstLine="880" w:firstLineChars="200"/>
        <w:jc w:val="center"/>
        <w:rPr>
          <w:rFonts w:ascii="宋体" w:hAnsi="宋体" w:cs="宋体"/>
          <w:color w:val="auto"/>
          <w:sz w:val="24"/>
          <w:szCs w:val="24"/>
        </w:rPr>
      </w:pPr>
      <w:r>
        <w:rPr>
          <w:rFonts w:hint="eastAsia"/>
          <w:color w:val="auto"/>
          <w:kern w:val="0"/>
        </w:rPr>
        <w:t>第六部分  合同格式及主要条款</w:t>
      </w:r>
      <w:bookmarkEnd w:id="42"/>
      <w:bookmarkEnd w:id="43"/>
    </w:p>
    <w:p>
      <w:pPr>
        <w:adjustRightInd w:val="0"/>
        <w:spacing w:line="360" w:lineRule="auto"/>
        <w:ind w:firstLine="480" w:firstLineChars="200"/>
        <w:textAlignment w:val="baseline"/>
        <w:rPr>
          <w:rFonts w:ascii="宋体" w:hAnsi="宋体" w:cs="宋体"/>
          <w:color w:val="auto"/>
          <w:sz w:val="24"/>
        </w:rPr>
      </w:pPr>
    </w:p>
    <w:p>
      <w:pPr>
        <w:adjustRightIn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甲方：（采购单位）</w:t>
      </w:r>
    </w:p>
    <w:p>
      <w:pPr>
        <w:adjustRightIn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乙方：（供应商 ）</w:t>
      </w:r>
    </w:p>
    <w:p>
      <w:pPr>
        <w:adjustRightIn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甲、乙双方持采购人、采购代理公司签发的采购项目成交通知书，根据采购文件、响应性文件的内容，并经双方协商一致，达成以下合同条款：</w:t>
      </w:r>
    </w:p>
    <w:p>
      <w:pPr>
        <w:adjustRightIn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 xml:space="preserve">一、本合同所指货物为此次采购的货物（注明品名、规格、数量、单价等技术要求），合同总价款为 元（大写）           </w:t>
      </w:r>
    </w:p>
    <w:p>
      <w:pPr>
        <w:adjustRightIn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二、货物质量要求及乙方对质量负责条件和期限：</w:t>
      </w:r>
    </w:p>
    <w:p>
      <w:pPr>
        <w:adjustRightIn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乙方提供的货物是达到乙方响应文件及澄清中的技术标准。（售后服务要求按采购文件及响应性文件相应条款制订）</w:t>
      </w:r>
    </w:p>
    <w:p>
      <w:pPr>
        <w:adjustRightIn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三、交货时间、地点、方式、验收：</w:t>
      </w:r>
    </w:p>
    <w:p>
      <w:pPr>
        <w:adjustRightIn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乙方应于2023年 月 日前按甲方要求在  （甲方指定地点）将货物运送达到验收条件。货物运送产生的费用由乙方负责。由甲方组织相关人员进行验收。</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四、付款方式：</w:t>
      </w:r>
      <w:r>
        <w:rPr>
          <w:rFonts w:hint="eastAsia" w:ascii="宋体" w:hAnsi="宋体" w:cs="宋体"/>
          <w:bCs/>
          <w:color w:val="auto"/>
          <w:sz w:val="24"/>
        </w:rPr>
        <w:t>项目供货安装验收合格后支付合同金额的75%，剩余款项三个月内付清。</w:t>
      </w:r>
    </w:p>
    <w:p>
      <w:pPr>
        <w:adjustRightIn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五、违约责任：甲方无正当理由拒收货物、拒付货款的，向乙方偿付拒收拒付部分货物款总额的________违约金。</w:t>
      </w:r>
    </w:p>
    <w:p>
      <w:pPr>
        <w:adjustRightIn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乙方所交货物的规格型号、技术要求、质量品质等不符合合同规定，甲方有权拒收货物，乙方应负责更换并承担因更换而支付的全部实际费用。因更换而造成逾期交货，则按逾期交货处理。</w:t>
      </w:r>
    </w:p>
    <w:p>
      <w:pPr>
        <w:adjustRightIn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乙方不能交付货物的，乙方向甲方支付未交付部分货物款总额____违约金。</w:t>
      </w:r>
    </w:p>
    <w:p>
      <w:pPr>
        <w:adjustRightIn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若因中标人（成交人）原因不能按期按质供货的，将扣除中标人（成交人）2万元的违约金，同时视为虚假应标，甲方有权单方解除合同并追究乙方违约责任。</w:t>
      </w:r>
    </w:p>
    <w:p>
      <w:pPr>
        <w:adjustRightIn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六、因货物的质量问题发生争议，由甲方所在地市级技术监督单位进行质量鉴定。</w:t>
      </w:r>
    </w:p>
    <w:p>
      <w:pPr>
        <w:adjustRightIn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七、甲乙双方应严格遵守投标要求和供应商须知，如有违反，按投标要求和供应商须知规定予以处理。</w:t>
      </w:r>
    </w:p>
    <w:p>
      <w:pPr>
        <w:adjustRightIn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八、采购文件及其修改补充、投标文件及其修改补充澄清均为本合同的组成部分。</w:t>
      </w:r>
    </w:p>
    <w:p>
      <w:pPr>
        <w:adjustRightIn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九、本合同发生争议时双方应按合同条款协商解决。双方协商不成的，可以根据仲裁协议向当地仲裁机构申请仲裁。当事人没有订立仲裁协议或者仲裁协议无效的，可以向当地人民法院起诉。</w:t>
      </w:r>
    </w:p>
    <w:p>
      <w:pPr>
        <w:adjustRightIn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十、合同生效及其它：</w:t>
      </w:r>
    </w:p>
    <w:p>
      <w:pPr>
        <w:adjustRightIn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本合同经甲、乙双方代表签字、加盖公章和骑缝章后生效。本合同一式五份，甲乙双方各持两份。合同签订后在2个工作日内，采购人将合同在焦作市政府采购网公示并备案。</w:t>
      </w:r>
    </w:p>
    <w:p>
      <w:pPr>
        <w:adjustRightIn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乙方：</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甲方：</w:t>
      </w:r>
    </w:p>
    <w:p>
      <w:pPr>
        <w:adjustRightIn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地址：</w:t>
      </w:r>
    </w:p>
    <w:p>
      <w:pPr>
        <w:adjustRightIn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法定代表人：                   法定代表人：</w:t>
      </w:r>
    </w:p>
    <w:p>
      <w:pPr>
        <w:adjustRightIn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委托代理人：                   委托代理人：</w:t>
      </w:r>
    </w:p>
    <w:p>
      <w:pPr>
        <w:adjustRightIn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电话：</w:t>
      </w:r>
      <w:r>
        <w:rPr>
          <w:rFonts w:hint="eastAsia" w:ascii="宋体" w:hAnsi="宋体" w:cs="宋体"/>
          <w:color w:val="auto"/>
          <w:sz w:val="24"/>
        </w:rPr>
        <w:tab/>
      </w:r>
      <w:r>
        <w:rPr>
          <w:rFonts w:hint="eastAsia" w:ascii="宋体" w:hAnsi="宋体" w:cs="宋体"/>
          <w:color w:val="auto"/>
          <w:sz w:val="24"/>
        </w:rPr>
        <w:t xml:space="preserve">                         电话：</w:t>
      </w:r>
    </w:p>
    <w:p>
      <w:pPr>
        <w:adjustRightIn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rPr>
        <w:tab/>
      </w:r>
      <w:r>
        <w:rPr>
          <w:rFonts w:hint="eastAsia" w:ascii="宋体" w:hAnsi="宋体" w:cs="宋体"/>
          <w:color w:val="auto"/>
          <w:sz w:val="24"/>
        </w:rPr>
        <w:t xml:space="preserve">                  开户银行：</w:t>
      </w:r>
    </w:p>
    <w:p>
      <w:pPr>
        <w:adjustRightIn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银行账号：</w:t>
      </w:r>
      <w:r>
        <w:rPr>
          <w:rFonts w:hint="eastAsia" w:ascii="宋体" w:hAnsi="宋体" w:cs="宋体"/>
          <w:color w:val="auto"/>
          <w:sz w:val="24"/>
        </w:rPr>
        <w:tab/>
      </w:r>
      <w:r>
        <w:rPr>
          <w:rFonts w:hint="eastAsia" w:ascii="宋体" w:hAnsi="宋体" w:cs="宋体"/>
          <w:color w:val="auto"/>
          <w:sz w:val="24"/>
        </w:rPr>
        <w:t xml:space="preserve">                  银行账号：</w:t>
      </w:r>
    </w:p>
    <w:p>
      <w:pPr>
        <w:adjustRightIn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签约时间：                     签约地点：</w:t>
      </w:r>
    </w:p>
    <w:p>
      <w:pPr>
        <w:adjustRightInd w:val="0"/>
        <w:spacing w:line="360" w:lineRule="auto"/>
        <w:ind w:firstLine="480" w:firstLineChars="200"/>
        <w:textAlignment w:val="baseline"/>
        <w:rPr>
          <w:rFonts w:ascii="宋体" w:hAnsi="宋体" w:cs="宋体"/>
          <w:b/>
          <w:bCs/>
          <w:color w:val="auto"/>
          <w:sz w:val="24"/>
        </w:rPr>
      </w:pPr>
      <w:r>
        <w:rPr>
          <w:rFonts w:hint="eastAsia" w:ascii="黑体" w:hAnsi="黑体" w:eastAsia="黑体" w:cs="黑体"/>
          <w:color w:val="auto"/>
          <w:sz w:val="24"/>
        </w:rPr>
        <w:t>重要提示：</w:t>
      </w:r>
      <w:r>
        <w:rPr>
          <w:rFonts w:hint="eastAsia" w:ascii="宋体" w:hAnsi="宋体" w:cs="宋体"/>
          <w:b/>
          <w:bCs/>
          <w:color w:val="auto"/>
          <w:sz w:val="24"/>
        </w:rPr>
        <w:t>以上合同文本作为签订合同的重要依据，涉及付款方式、供应商名称等实质性内容不得变更。其他部分按照竞争性谈判文件及采购资料增减确定。</w:t>
      </w:r>
    </w:p>
    <w:p>
      <w:pPr>
        <w:pStyle w:val="2"/>
        <w:spacing w:after="0" w:line="360" w:lineRule="auto"/>
        <w:ind w:firstLine="1040" w:firstLineChars="200"/>
        <w:jc w:val="center"/>
        <w:rPr>
          <w:b/>
          <w:bCs/>
          <w:color w:val="auto"/>
          <w:sz w:val="52"/>
          <w:szCs w:val="52"/>
        </w:rPr>
      </w:pPr>
    </w:p>
    <w:p>
      <w:pPr>
        <w:pStyle w:val="5"/>
        <w:rPr>
          <w:color w:val="auto"/>
        </w:rPr>
      </w:pPr>
    </w:p>
    <w:p>
      <w:pPr>
        <w:rPr>
          <w:color w:val="auto"/>
        </w:rPr>
      </w:pPr>
    </w:p>
    <w:p>
      <w:pPr>
        <w:pStyle w:val="2"/>
        <w:spacing w:after="0" w:line="360" w:lineRule="auto"/>
        <w:ind w:firstLine="1040" w:firstLineChars="200"/>
        <w:jc w:val="center"/>
        <w:rPr>
          <w:b/>
          <w:bCs/>
          <w:color w:val="auto"/>
          <w:sz w:val="52"/>
          <w:szCs w:val="52"/>
        </w:rPr>
      </w:pPr>
    </w:p>
    <w:p>
      <w:pPr>
        <w:pStyle w:val="2"/>
        <w:spacing w:after="0" w:line="360" w:lineRule="auto"/>
        <w:ind w:firstLine="1040" w:firstLineChars="200"/>
        <w:jc w:val="center"/>
        <w:rPr>
          <w:b/>
          <w:bCs/>
          <w:color w:val="auto"/>
          <w:sz w:val="52"/>
          <w:szCs w:val="52"/>
        </w:rPr>
      </w:pPr>
    </w:p>
    <w:p>
      <w:pPr>
        <w:pStyle w:val="2"/>
        <w:spacing w:after="0" w:line="360" w:lineRule="auto"/>
        <w:ind w:firstLine="1040" w:firstLineChars="200"/>
        <w:jc w:val="center"/>
        <w:rPr>
          <w:b/>
          <w:bCs/>
          <w:color w:val="auto"/>
          <w:sz w:val="52"/>
          <w:szCs w:val="52"/>
        </w:rPr>
      </w:pPr>
    </w:p>
    <w:p>
      <w:pPr>
        <w:pStyle w:val="2"/>
        <w:spacing w:after="0" w:line="360" w:lineRule="auto"/>
        <w:ind w:firstLine="880" w:firstLineChars="200"/>
        <w:jc w:val="center"/>
        <w:rPr>
          <w:rFonts w:ascii="Book Antiqua" w:hAnsi="Book Antiqua"/>
          <w:b/>
          <w:bCs/>
          <w:color w:val="auto"/>
          <w:kern w:val="0"/>
          <w:sz w:val="44"/>
          <w:szCs w:val="44"/>
        </w:rPr>
      </w:pPr>
    </w:p>
    <w:p>
      <w:pPr>
        <w:pStyle w:val="2"/>
        <w:spacing w:after="0" w:line="360" w:lineRule="auto"/>
        <w:ind w:firstLine="0" w:firstLineChars="0"/>
        <w:jc w:val="center"/>
        <w:outlineLvl w:val="0"/>
        <w:rPr>
          <w:rFonts w:ascii="Book Antiqua" w:hAnsi="Book Antiqua"/>
          <w:b/>
          <w:bCs/>
          <w:color w:val="auto"/>
          <w:kern w:val="0"/>
          <w:sz w:val="44"/>
          <w:szCs w:val="44"/>
        </w:rPr>
      </w:pPr>
      <w:bookmarkStart w:id="44" w:name="_Toc32644"/>
      <w:r>
        <w:rPr>
          <w:rFonts w:hint="eastAsia" w:ascii="Book Antiqua" w:hAnsi="Book Antiqua"/>
          <w:b/>
          <w:bCs/>
          <w:color w:val="auto"/>
          <w:kern w:val="0"/>
          <w:sz w:val="44"/>
          <w:szCs w:val="44"/>
        </w:rPr>
        <w:t>第七部分 履约验收</w:t>
      </w:r>
      <w:bookmarkEnd w:id="44"/>
    </w:p>
    <w:p>
      <w:pPr>
        <w:pStyle w:val="5"/>
        <w:rPr>
          <w:color w:val="auto"/>
        </w:rPr>
      </w:pPr>
    </w:p>
    <w:p>
      <w:pPr>
        <w:pStyle w:val="2"/>
        <w:spacing w:after="0" w:line="360" w:lineRule="auto"/>
        <w:ind w:firstLine="480" w:firstLineChars="200"/>
        <w:rPr>
          <w:color w:val="auto"/>
          <w:sz w:val="24"/>
        </w:rPr>
      </w:pPr>
      <w:r>
        <w:rPr>
          <w:rFonts w:hint="eastAsia"/>
          <w:color w:val="auto"/>
          <w:sz w:val="24"/>
        </w:rPr>
        <w:t>供应商履约完成后，向采购人提出验收建议，采购人自收到验收建议之日起五个工作日内，采购人组织供应商参与，共同完成验收。技术复杂、专业性强等项目可适当延长验收时间。验收流程如下：</w:t>
      </w:r>
    </w:p>
    <w:p>
      <w:pPr>
        <w:pStyle w:val="2"/>
        <w:numPr>
          <w:ilvl w:val="0"/>
          <w:numId w:val="10"/>
        </w:numPr>
        <w:spacing w:after="0" w:line="360" w:lineRule="auto"/>
        <w:ind w:firstLine="480" w:firstLineChars="200"/>
        <w:rPr>
          <w:color w:val="auto"/>
          <w:sz w:val="24"/>
        </w:rPr>
      </w:pPr>
      <w:r>
        <w:rPr>
          <w:rFonts w:hint="eastAsia"/>
          <w:color w:val="auto"/>
          <w:sz w:val="24"/>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pPr>
        <w:pStyle w:val="2"/>
        <w:numPr>
          <w:ilvl w:val="0"/>
          <w:numId w:val="10"/>
        </w:numPr>
        <w:spacing w:after="0" w:line="360" w:lineRule="auto"/>
        <w:ind w:firstLine="480" w:firstLineChars="200"/>
        <w:rPr>
          <w:color w:val="auto"/>
          <w:sz w:val="24"/>
        </w:rPr>
      </w:pPr>
      <w:r>
        <w:rPr>
          <w:rFonts w:hint="eastAsia"/>
          <w:color w:val="auto"/>
          <w:sz w:val="24"/>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pPr>
        <w:pStyle w:val="2"/>
        <w:numPr>
          <w:ilvl w:val="0"/>
          <w:numId w:val="10"/>
        </w:numPr>
        <w:spacing w:after="0" w:line="360" w:lineRule="auto"/>
        <w:ind w:firstLine="480" w:firstLineChars="200"/>
        <w:rPr>
          <w:color w:val="auto"/>
          <w:sz w:val="24"/>
        </w:rPr>
      </w:pPr>
      <w:r>
        <w:rPr>
          <w:rFonts w:hint="eastAsia"/>
          <w:color w:val="auto"/>
          <w:sz w:val="24"/>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pPr>
        <w:pStyle w:val="2"/>
        <w:numPr>
          <w:ilvl w:val="0"/>
          <w:numId w:val="10"/>
        </w:numPr>
        <w:spacing w:after="0" w:line="360" w:lineRule="auto"/>
        <w:ind w:firstLine="480" w:firstLineChars="200"/>
        <w:rPr>
          <w:color w:val="auto"/>
          <w:sz w:val="24"/>
        </w:rPr>
      </w:pPr>
      <w:r>
        <w:rPr>
          <w:rFonts w:hint="eastAsia"/>
          <w:color w:val="auto"/>
          <w:sz w:val="24"/>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委会情形，采购人应及时报财政部门。</w:t>
      </w:r>
    </w:p>
    <w:p>
      <w:pPr>
        <w:pStyle w:val="9"/>
        <w:spacing w:before="0" w:after="0" w:line="360" w:lineRule="auto"/>
        <w:ind w:firstLine="480" w:firstLineChars="200"/>
        <w:rPr>
          <w:rFonts w:ascii="宋体" w:hAnsi="宋体" w:cs="宋体"/>
          <w:color w:val="auto"/>
          <w:kern w:val="0"/>
          <w:sz w:val="24"/>
          <w:u w:val="single"/>
        </w:rPr>
      </w:pPr>
      <w:bookmarkStart w:id="45" w:name="_Toc11553"/>
      <w:bookmarkStart w:id="46" w:name="_Toc12542"/>
      <w:r>
        <w:rPr>
          <w:rFonts w:hint="eastAsia" w:ascii="Times New Roman" w:hAnsi="Times New Roman"/>
          <w:b w:val="0"/>
          <w:bCs w:val="0"/>
          <w:color w:val="auto"/>
          <w:kern w:val="2"/>
          <w:sz w:val="24"/>
          <w:szCs w:val="24"/>
          <w:u w:val="single"/>
        </w:rPr>
        <w:t>5.其他要求：根据《绿色数据中心政府采购需求标准（试行）》文件要求，本项目要求供应商在验收阶段提供相关检测报告、认证报告。</w:t>
      </w:r>
      <w:bookmarkEnd w:id="45"/>
      <w:bookmarkEnd w:id="46"/>
    </w:p>
    <w:p>
      <w:pPr>
        <w:pStyle w:val="9"/>
        <w:spacing w:before="0" w:after="0" w:line="360" w:lineRule="auto"/>
        <w:ind w:firstLine="480" w:firstLineChars="200"/>
        <w:jc w:val="center"/>
        <w:rPr>
          <w:rFonts w:ascii="宋体" w:hAnsi="宋体" w:cs="宋体"/>
          <w:color w:val="auto"/>
          <w:kern w:val="0"/>
          <w:sz w:val="24"/>
        </w:rPr>
      </w:pPr>
    </w:p>
    <w:p>
      <w:pPr>
        <w:pStyle w:val="5"/>
        <w:ind w:left="0" w:leftChars="0" w:firstLine="0" w:firstLineChars="0"/>
        <w:rPr>
          <w:rFonts w:ascii="宋体" w:hAnsi="宋体" w:cs="宋体"/>
          <w:color w:val="auto"/>
          <w:kern w:val="0"/>
          <w:sz w:val="24"/>
        </w:rPr>
      </w:pPr>
    </w:p>
    <w:p>
      <w:pPr>
        <w:rPr>
          <w:color w:val="auto"/>
        </w:rPr>
      </w:pPr>
    </w:p>
    <w:p>
      <w:pPr>
        <w:rPr>
          <w:rFonts w:ascii="宋体" w:hAnsi="宋体" w:cs="宋体"/>
          <w:color w:val="auto"/>
          <w:kern w:val="0"/>
          <w:sz w:val="24"/>
        </w:rPr>
      </w:pPr>
    </w:p>
    <w:p>
      <w:pPr>
        <w:pStyle w:val="9"/>
        <w:spacing w:before="0" w:after="0" w:line="360" w:lineRule="auto"/>
        <w:jc w:val="center"/>
        <w:rPr>
          <w:rFonts w:ascii="宋体" w:hAnsi="宋体"/>
          <w:color w:val="auto"/>
          <w:sz w:val="32"/>
          <w:szCs w:val="32"/>
        </w:rPr>
      </w:pPr>
      <w:bookmarkStart w:id="47" w:name="_Toc27385"/>
      <w:bookmarkStart w:id="48" w:name="_Toc26203"/>
      <w:r>
        <w:rPr>
          <w:rFonts w:hint="eastAsia"/>
          <w:color w:val="auto"/>
          <w:kern w:val="0"/>
        </w:rPr>
        <w:t>第八部分  附件—供应商响应文件格式</w:t>
      </w:r>
      <w:bookmarkEnd w:id="47"/>
      <w:bookmarkEnd w:id="48"/>
    </w:p>
    <w:p>
      <w:pPr>
        <w:adjustRightInd w:val="0"/>
        <w:snapToGrid w:val="0"/>
        <w:spacing w:line="360" w:lineRule="auto"/>
        <w:jc w:val="center"/>
        <w:rPr>
          <w:rFonts w:ascii="宋体" w:hAnsi="宋体"/>
          <w:color w:val="auto"/>
          <w:sz w:val="32"/>
          <w:szCs w:val="32"/>
          <w:u w:val="single"/>
        </w:rPr>
      </w:pPr>
    </w:p>
    <w:p>
      <w:pPr>
        <w:adjustRightInd w:val="0"/>
        <w:snapToGrid w:val="0"/>
        <w:spacing w:line="360" w:lineRule="auto"/>
        <w:jc w:val="center"/>
        <w:rPr>
          <w:rFonts w:ascii="宋体" w:hAnsi="宋体"/>
          <w:b/>
          <w:bCs/>
          <w:color w:val="auto"/>
          <w:sz w:val="32"/>
          <w:szCs w:val="32"/>
        </w:rPr>
      </w:pPr>
      <w:r>
        <w:rPr>
          <w:rFonts w:hint="eastAsia" w:ascii="宋体" w:hAnsi="宋体"/>
          <w:color w:val="auto"/>
          <w:sz w:val="32"/>
          <w:szCs w:val="32"/>
          <w:u w:val="single"/>
        </w:rPr>
        <w:t xml:space="preserve">                          （项目名称 </w:t>
      </w:r>
      <w:r>
        <w:rPr>
          <w:rFonts w:ascii="宋体" w:hAnsi="宋体"/>
          <w:color w:val="auto"/>
          <w:sz w:val="32"/>
          <w:szCs w:val="32"/>
          <w:u w:val="single"/>
        </w:rPr>
        <w:t>）</w:t>
      </w:r>
    </w:p>
    <w:p>
      <w:pPr>
        <w:spacing w:line="360" w:lineRule="auto"/>
        <w:jc w:val="center"/>
        <w:rPr>
          <w:rFonts w:ascii="宋体" w:hAnsi="宋体"/>
          <w:b/>
          <w:color w:val="auto"/>
          <w:sz w:val="96"/>
          <w:szCs w:val="90"/>
        </w:rPr>
      </w:pPr>
    </w:p>
    <w:p>
      <w:pPr>
        <w:spacing w:line="360" w:lineRule="auto"/>
        <w:jc w:val="center"/>
        <w:rPr>
          <w:rFonts w:ascii="宋体" w:hAnsi="宋体"/>
          <w:b/>
          <w:color w:val="auto"/>
          <w:sz w:val="96"/>
          <w:szCs w:val="90"/>
        </w:rPr>
      </w:pPr>
      <w:r>
        <w:rPr>
          <w:rFonts w:hint="eastAsia" w:ascii="宋体" w:hAnsi="宋体"/>
          <w:b/>
          <w:color w:val="auto"/>
          <w:sz w:val="96"/>
          <w:szCs w:val="90"/>
        </w:rPr>
        <w:t>响应文件</w:t>
      </w:r>
    </w:p>
    <w:p>
      <w:pPr>
        <w:spacing w:line="360" w:lineRule="auto"/>
        <w:jc w:val="center"/>
        <w:rPr>
          <w:rFonts w:ascii="宋体" w:hAnsi="宋体"/>
          <w:color w:val="auto"/>
        </w:rPr>
      </w:pPr>
      <w:r>
        <w:rPr>
          <w:rFonts w:hint="eastAsia" w:ascii="宋体" w:hAnsi="宋体"/>
          <w:color w:val="auto"/>
        </w:rPr>
        <w:t>（封面格式）</w:t>
      </w: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ind w:firstLine="1059" w:firstLineChars="353"/>
        <w:rPr>
          <w:rFonts w:ascii="宋体" w:hAnsi="宋体"/>
          <w:color w:val="auto"/>
          <w:sz w:val="30"/>
          <w:szCs w:val="30"/>
          <w:u w:val="single"/>
        </w:rPr>
      </w:pPr>
      <w:r>
        <w:rPr>
          <w:rFonts w:hint="eastAsia" w:ascii="宋体" w:hAnsi="宋体"/>
          <w:color w:val="auto"/>
          <w:sz w:val="30"/>
          <w:szCs w:val="30"/>
        </w:rPr>
        <w:t>供 应 商：</w:t>
      </w:r>
    </w:p>
    <w:p>
      <w:pPr>
        <w:spacing w:line="360" w:lineRule="auto"/>
        <w:ind w:firstLine="1059" w:firstLineChars="353"/>
        <w:rPr>
          <w:rFonts w:ascii="宋体" w:hAnsi="宋体"/>
          <w:color w:val="auto"/>
          <w:sz w:val="30"/>
          <w:szCs w:val="30"/>
        </w:rPr>
      </w:pPr>
      <w:r>
        <w:rPr>
          <w:rFonts w:hint="eastAsia" w:ascii="宋体" w:hAnsi="宋体"/>
          <w:color w:val="auto"/>
          <w:sz w:val="30"/>
          <w:szCs w:val="30"/>
        </w:rPr>
        <w:t>法定代表人（授权委托人）：</w:t>
      </w:r>
      <w:r>
        <w:rPr>
          <w:rFonts w:hint="eastAsia" w:ascii="宋体" w:hAnsi="宋体"/>
          <w:color w:val="auto"/>
          <w:sz w:val="30"/>
          <w:szCs w:val="30"/>
          <w:u w:val="single"/>
        </w:rPr>
        <w:t xml:space="preserve">    （签字或盖章）</w:t>
      </w:r>
    </w:p>
    <w:p>
      <w:pPr>
        <w:spacing w:line="360" w:lineRule="auto"/>
        <w:ind w:firstLine="1059" w:firstLineChars="353"/>
        <w:rPr>
          <w:rFonts w:ascii="宋体" w:hAnsi="宋体"/>
          <w:color w:val="auto"/>
        </w:rPr>
      </w:pPr>
      <w:r>
        <w:rPr>
          <w:rFonts w:hint="eastAsia" w:ascii="宋体" w:hAnsi="宋体"/>
          <w:color w:val="auto"/>
          <w:sz w:val="30"/>
          <w:szCs w:val="30"/>
        </w:rPr>
        <w:t>日      期：      年   月   日</w:t>
      </w:r>
    </w:p>
    <w:p>
      <w:pPr>
        <w:widowControl/>
        <w:spacing w:line="360" w:lineRule="auto"/>
        <w:jc w:val="left"/>
        <w:rPr>
          <w:rFonts w:ascii="宋体" w:hAnsi="宋体"/>
          <w:b/>
          <w:bCs/>
          <w:color w:val="auto"/>
          <w:kern w:val="0"/>
          <w:sz w:val="36"/>
          <w:szCs w:val="36"/>
        </w:rPr>
      </w:pPr>
      <w:r>
        <w:rPr>
          <w:rFonts w:ascii="宋体" w:hAnsi="宋体"/>
          <w:b/>
          <w:bCs/>
          <w:color w:val="auto"/>
          <w:kern w:val="0"/>
          <w:sz w:val="36"/>
          <w:szCs w:val="36"/>
        </w:rPr>
        <w:br w:type="page"/>
      </w:r>
    </w:p>
    <w:p>
      <w:pPr>
        <w:spacing w:line="360" w:lineRule="auto"/>
        <w:ind w:right="-92" w:rightChars="-44"/>
        <w:jc w:val="center"/>
        <w:rPr>
          <w:rFonts w:ascii="宋体" w:hAnsi="宋体"/>
          <w:color w:val="auto"/>
          <w:kern w:val="0"/>
          <w:sz w:val="44"/>
          <w:szCs w:val="44"/>
        </w:rPr>
      </w:pPr>
      <w:r>
        <w:rPr>
          <w:rFonts w:hint="eastAsia" w:ascii="宋体" w:hAnsi="宋体"/>
          <w:b/>
          <w:bCs/>
          <w:color w:val="auto"/>
          <w:kern w:val="0"/>
          <w:sz w:val="44"/>
          <w:szCs w:val="44"/>
        </w:rPr>
        <w:t>目     录</w:t>
      </w:r>
    </w:p>
    <w:p>
      <w:pPr>
        <w:widowControl/>
        <w:spacing w:line="360" w:lineRule="auto"/>
        <w:jc w:val="center"/>
        <w:rPr>
          <w:rFonts w:ascii="宋体" w:hAnsi="宋体" w:cs="宋体"/>
          <w:b/>
          <w:bCs/>
          <w:color w:val="auto"/>
          <w:kern w:val="0"/>
          <w:sz w:val="44"/>
          <w:szCs w:val="44"/>
        </w:rPr>
      </w:pPr>
      <w:r>
        <w:rPr>
          <w:rFonts w:hint="eastAsia" w:ascii="宋体" w:hAnsi="宋体" w:cs="宋体"/>
          <w:b/>
          <w:bCs/>
          <w:color w:val="auto"/>
          <w:kern w:val="0"/>
          <w:sz w:val="44"/>
          <w:szCs w:val="44"/>
        </w:rPr>
        <w:t>（格式自拟）</w:t>
      </w:r>
    </w:p>
    <w:p>
      <w:pPr>
        <w:pStyle w:val="10"/>
        <w:spacing w:before="0" w:after="0" w:line="360" w:lineRule="auto"/>
        <w:rPr>
          <w:color w:val="auto"/>
        </w:rPr>
      </w:pPr>
      <w:r>
        <w:rPr>
          <w:rFonts w:ascii="宋体" w:hAnsi="宋体"/>
          <w:b w:val="0"/>
          <w:color w:val="auto"/>
          <w:kern w:val="0"/>
          <w:sz w:val="28"/>
          <w:szCs w:val="28"/>
        </w:rPr>
        <w:br w:type="page"/>
      </w:r>
      <w:bookmarkStart w:id="49" w:name="_Toc19928"/>
      <w:r>
        <w:rPr>
          <w:rFonts w:hint="eastAsia"/>
          <w:color w:val="auto"/>
        </w:rPr>
        <w:t>附件1：</w:t>
      </w:r>
      <w:bookmarkEnd w:id="49"/>
    </w:p>
    <w:p>
      <w:pPr>
        <w:widowControl/>
        <w:spacing w:line="360" w:lineRule="auto"/>
        <w:jc w:val="center"/>
        <w:rPr>
          <w:rFonts w:ascii="宋体" w:hAnsi="宋体"/>
          <w:b/>
          <w:bCs/>
          <w:color w:val="auto"/>
          <w:kern w:val="0"/>
          <w:sz w:val="44"/>
          <w:szCs w:val="44"/>
        </w:rPr>
      </w:pPr>
      <w:r>
        <w:rPr>
          <w:rFonts w:hint="eastAsia" w:ascii="宋体" w:hAnsi="宋体"/>
          <w:b/>
          <w:bCs/>
          <w:color w:val="auto"/>
          <w:kern w:val="0"/>
          <w:sz w:val="44"/>
          <w:szCs w:val="44"/>
        </w:rPr>
        <w:t>投标函</w:t>
      </w:r>
    </w:p>
    <w:p>
      <w:pPr>
        <w:pStyle w:val="10"/>
        <w:rPr>
          <w:color w:val="auto"/>
        </w:rPr>
      </w:pPr>
    </w:p>
    <w:p>
      <w:pPr>
        <w:widowControl/>
        <w:spacing w:line="360" w:lineRule="auto"/>
        <w:ind w:firstLine="560" w:firstLineChars="200"/>
        <w:rPr>
          <w:rFonts w:ascii="宋体" w:hAnsi="宋体"/>
          <w:b/>
          <w:bCs/>
          <w:color w:val="auto"/>
          <w:kern w:val="0"/>
          <w:sz w:val="28"/>
          <w:szCs w:val="28"/>
          <w:u w:val="single"/>
        </w:rPr>
      </w:pPr>
      <w:r>
        <w:rPr>
          <w:rFonts w:hint="eastAsia" w:ascii="宋体" w:hAnsi="宋体"/>
          <w:b/>
          <w:bCs/>
          <w:color w:val="auto"/>
          <w:kern w:val="0"/>
          <w:sz w:val="28"/>
          <w:szCs w:val="28"/>
        </w:rPr>
        <w:t>致：</w:t>
      </w:r>
      <w:r>
        <w:rPr>
          <w:rFonts w:hint="eastAsia" w:ascii="宋体" w:hAnsi="宋体"/>
          <w:b/>
          <w:bCs/>
          <w:color w:val="auto"/>
          <w:kern w:val="0"/>
          <w:sz w:val="28"/>
          <w:szCs w:val="28"/>
          <w:u w:val="single"/>
        </w:rPr>
        <w:t xml:space="preserve">                    （采购人名称） </w:t>
      </w:r>
    </w:p>
    <w:p>
      <w:pPr>
        <w:pStyle w:val="2"/>
        <w:spacing w:after="0" w:line="360" w:lineRule="auto"/>
        <w:ind w:firstLine="480" w:firstLineChars="200"/>
        <w:rPr>
          <w:color w:val="auto"/>
        </w:rPr>
      </w:pPr>
      <w:r>
        <w:rPr>
          <w:rFonts w:hint="eastAsia" w:ascii="宋体" w:hAnsi="宋体"/>
          <w:color w:val="auto"/>
          <w:sz w:val="24"/>
        </w:rPr>
        <w:t>我单位</w:t>
      </w:r>
      <w:r>
        <w:rPr>
          <w:rFonts w:hint="eastAsia" w:ascii="宋体" w:hAnsi="宋体" w:cs="宋体"/>
          <w:color w:val="auto"/>
          <w:sz w:val="24"/>
        </w:rPr>
        <w:t>已收到的 项目</w:t>
      </w:r>
      <w:r>
        <w:rPr>
          <w:rFonts w:hint="eastAsia" w:ascii="宋体" w:hAnsi="宋体"/>
          <w:color w:val="auto"/>
          <w:sz w:val="24"/>
        </w:rPr>
        <w:t>（采购编号：）</w:t>
      </w:r>
      <w:r>
        <w:rPr>
          <w:rFonts w:hint="eastAsia" w:ascii="宋体" w:hAnsi="宋体" w:cs="宋体"/>
          <w:color w:val="auto"/>
          <w:sz w:val="24"/>
        </w:rPr>
        <w:t>采购文件及有关纪要通知，现</w:t>
      </w:r>
      <w:r>
        <w:rPr>
          <w:rFonts w:hint="eastAsia" w:ascii="宋体" w:hAnsi="宋体"/>
          <w:color w:val="auto"/>
          <w:sz w:val="24"/>
        </w:rPr>
        <w:t>对参与投标及成交后工作，做出如下郑重承诺：</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1、我方愿以总价为人民币（大写）（小写 ）￥元，供货及安装期：，按合同约定实施和完成本项目。 </w:t>
      </w:r>
    </w:p>
    <w:p>
      <w:pPr>
        <w:widowControl/>
        <w:spacing w:line="360" w:lineRule="auto"/>
        <w:ind w:firstLine="480" w:firstLineChars="200"/>
        <w:rPr>
          <w:rFonts w:ascii="宋体" w:hAnsi="宋体" w:cs="宋体"/>
          <w:strike/>
          <w:color w:val="auto"/>
          <w:sz w:val="24"/>
        </w:rPr>
      </w:pPr>
      <w:r>
        <w:rPr>
          <w:rFonts w:hint="eastAsia" w:ascii="宋体" w:hAnsi="宋体" w:cs="宋体"/>
          <w:color w:val="auto"/>
          <w:sz w:val="24"/>
        </w:rPr>
        <w:t>2、</w:t>
      </w:r>
      <w:r>
        <w:rPr>
          <w:rFonts w:hint="eastAsia" w:ascii="宋体" w:hAnsi="宋体"/>
          <w:color w:val="auto"/>
          <w:sz w:val="24"/>
        </w:rPr>
        <w:t>在响应性文件递交截止时间后至确定成交人的</w:t>
      </w:r>
      <w:r>
        <w:rPr>
          <w:color w:val="auto"/>
        </w:rPr>
        <w:fldChar w:fldCharType="begin"/>
      </w:r>
      <w:r>
        <w:rPr>
          <w:color w:val="auto"/>
        </w:rPr>
        <w:instrText xml:space="preserve"> HYPERLINK "https://baike.so.com/doc/5394983-5632135.html" \t "https://baike.so.com/doc/_blank" </w:instrText>
      </w:r>
      <w:r>
        <w:rPr>
          <w:color w:val="auto"/>
        </w:rPr>
        <w:fldChar w:fldCharType="separate"/>
      </w:r>
      <w:r>
        <w:rPr>
          <w:rFonts w:ascii="宋体" w:hAnsi="宋体"/>
          <w:color w:val="auto"/>
          <w:sz w:val="24"/>
        </w:rPr>
        <w:t>投标有效期</w:t>
      </w:r>
      <w:r>
        <w:rPr>
          <w:rFonts w:ascii="宋体" w:hAnsi="宋体"/>
          <w:color w:val="auto"/>
          <w:sz w:val="24"/>
        </w:rPr>
        <w:fldChar w:fldCharType="end"/>
      </w:r>
      <w:r>
        <w:rPr>
          <w:rFonts w:ascii="宋体" w:hAnsi="宋体"/>
          <w:color w:val="auto"/>
          <w:sz w:val="24"/>
        </w:rPr>
        <w:t>内</w:t>
      </w:r>
      <w:r>
        <w:rPr>
          <w:rFonts w:hint="eastAsia" w:ascii="宋体" w:hAnsi="宋体"/>
          <w:color w:val="auto"/>
          <w:sz w:val="24"/>
        </w:rPr>
        <w:t>，我单位不得要求退出竞标或者修改响应性文件。</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3、我方明白采购人不一定接纳最低投标报价的采购，也不需要采购人解释选择或否决任何供应商的原因和理由。</w:t>
      </w:r>
    </w:p>
    <w:p>
      <w:pPr>
        <w:widowControl/>
        <w:spacing w:line="360" w:lineRule="auto"/>
        <w:ind w:firstLine="480" w:firstLineChars="200"/>
        <w:rPr>
          <w:rFonts w:ascii="宋体" w:hAnsi="宋体"/>
          <w:color w:val="auto"/>
          <w:kern w:val="0"/>
          <w:sz w:val="24"/>
        </w:rPr>
      </w:pPr>
    </w:p>
    <w:p>
      <w:pPr>
        <w:widowControl/>
        <w:spacing w:line="360" w:lineRule="auto"/>
        <w:ind w:firstLine="480" w:firstLineChars="200"/>
        <w:rPr>
          <w:rFonts w:ascii="宋体" w:hAnsi="宋体"/>
          <w:color w:val="auto"/>
          <w:kern w:val="0"/>
          <w:sz w:val="24"/>
        </w:rPr>
      </w:pPr>
    </w:p>
    <w:p>
      <w:pPr>
        <w:widowControl/>
        <w:spacing w:line="360" w:lineRule="auto"/>
        <w:ind w:firstLine="480" w:firstLineChars="200"/>
        <w:rPr>
          <w:rFonts w:ascii="宋体" w:hAnsi="宋体"/>
          <w:color w:val="auto"/>
          <w:kern w:val="0"/>
          <w:sz w:val="24"/>
        </w:rPr>
      </w:pP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供应商：（盖章）</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法定代表人或授权委托代理人：（签字或盖章）</w:t>
      </w:r>
    </w:p>
    <w:p>
      <w:pPr>
        <w:widowControl/>
        <w:spacing w:line="360" w:lineRule="auto"/>
        <w:ind w:firstLine="480" w:firstLineChars="200"/>
        <w:rPr>
          <w:rFonts w:ascii="宋体" w:hAnsi="宋体"/>
          <w:b/>
          <w:bCs/>
          <w:color w:val="auto"/>
          <w:kern w:val="0"/>
          <w:sz w:val="32"/>
          <w:szCs w:val="32"/>
        </w:rPr>
      </w:pPr>
      <w:r>
        <w:rPr>
          <w:rFonts w:hint="eastAsia" w:ascii="宋体" w:hAnsi="宋体"/>
          <w:color w:val="auto"/>
          <w:kern w:val="0"/>
          <w:sz w:val="24"/>
        </w:rPr>
        <w:t>年      月      日</w:t>
      </w:r>
    </w:p>
    <w:p>
      <w:pPr>
        <w:widowControl/>
        <w:spacing w:line="360" w:lineRule="auto"/>
        <w:ind w:firstLine="640" w:firstLineChars="200"/>
        <w:jc w:val="center"/>
        <w:rPr>
          <w:rFonts w:ascii="宋体" w:hAnsi="宋体"/>
          <w:b/>
          <w:bCs/>
          <w:color w:val="auto"/>
          <w:kern w:val="0"/>
          <w:sz w:val="32"/>
          <w:szCs w:val="32"/>
        </w:rPr>
      </w:pPr>
    </w:p>
    <w:p>
      <w:pPr>
        <w:widowControl/>
        <w:spacing w:line="360" w:lineRule="auto"/>
        <w:ind w:firstLine="640" w:firstLineChars="200"/>
        <w:jc w:val="center"/>
        <w:rPr>
          <w:rFonts w:ascii="宋体" w:hAnsi="宋体"/>
          <w:b/>
          <w:bCs/>
          <w:color w:val="auto"/>
          <w:kern w:val="0"/>
          <w:sz w:val="32"/>
          <w:szCs w:val="32"/>
        </w:rPr>
      </w:pPr>
    </w:p>
    <w:p>
      <w:pPr>
        <w:widowControl/>
        <w:spacing w:line="360" w:lineRule="auto"/>
        <w:ind w:firstLine="640" w:firstLineChars="200"/>
        <w:jc w:val="center"/>
        <w:rPr>
          <w:rFonts w:ascii="宋体" w:hAnsi="宋体"/>
          <w:b/>
          <w:bCs/>
          <w:color w:val="auto"/>
          <w:kern w:val="0"/>
          <w:sz w:val="32"/>
          <w:szCs w:val="32"/>
        </w:rPr>
      </w:pPr>
    </w:p>
    <w:p>
      <w:pPr>
        <w:widowControl/>
        <w:spacing w:line="360" w:lineRule="auto"/>
        <w:ind w:firstLine="640" w:firstLineChars="200"/>
        <w:jc w:val="center"/>
        <w:rPr>
          <w:rFonts w:ascii="宋体" w:hAnsi="宋体"/>
          <w:b/>
          <w:bCs/>
          <w:color w:val="auto"/>
          <w:kern w:val="0"/>
          <w:sz w:val="32"/>
          <w:szCs w:val="32"/>
        </w:rPr>
      </w:pPr>
    </w:p>
    <w:p>
      <w:pPr>
        <w:pStyle w:val="10"/>
        <w:rPr>
          <w:rFonts w:ascii="宋体" w:hAnsi="宋体"/>
          <w:color w:val="auto"/>
          <w:kern w:val="0"/>
        </w:rPr>
      </w:pPr>
    </w:p>
    <w:p>
      <w:pPr>
        <w:rPr>
          <w:color w:val="auto"/>
        </w:rPr>
      </w:pPr>
    </w:p>
    <w:p>
      <w:pPr>
        <w:widowControl/>
        <w:spacing w:line="360" w:lineRule="auto"/>
        <w:ind w:firstLine="880" w:firstLineChars="200"/>
        <w:jc w:val="center"/>
        <w:rPr>
          <w:color w:val="auto"/>
        </w:rPr>
      </w:pPr>
      <w:r>
        <w:rPr>
          <w:rFonts w:hint="eastAsia" w:ascii="宋体" w:hAnsi="宋体"/>
          <w:b/>
          <w:bCs/>
          <w:color w:val="auto"/>
          <w:kern w:val="0"/>
          <w:sz w:val="44"/>
          <w:szCs w:val="44"/>
        </w:rPr>
        <w:t>第</w:t>
      </w:r>
      <w:r>
        <w:rPr>
          <w:rFonts w:hint="eastAsia" w:ascii="宋体" w:hAnsi="宋体"/>
          <w:b/>
          <w:bCs/>
          <w:color w:val="auto"/>
          <w:kern w:val="0"/>
          <w:sz w:val="44"/>
          <w:szCs w:val="44"/>
          <w:u w:val="single"/>
        </w:rPr>
        <w:t xml:space="preserve"> 一 </w:t>
      </w:r>
      <w:r>
        <w:rPr>
          <w:rFonts w:hint="eastAsia" w:ascii="宋体" w:hAnsi="宋体"/>
          <w:b/>
          <w:bCs/>
          <w:color w:val="auto"/>
          <w:kern w:val="0"/>
          <w:sz w:val="44"/>
          <w:szCs w:val="44"/>
        </w:rPr>
        <w:t>轮报价</w:t>
      </w:r>
    </w:p>
    <w:p>
      <w:pPr>
        <w:pStyle w:val="51"/>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说明：1、供应商单位应将第一轮报价填入下表并按要求签字或盖章，本表要附在响应文件中。</w:t>
      </w:r>
    </w:p>
    <w:p>
      <w:pPr>
        <w:pStyle w:val="51"/>
        <w:spacing w:line="360" w:lineRule="auto"/>
        <w:ind w:firstLine="480" w:firstLineChars="200"/>
        <w:rPr>
          <w:rFonts w:ascii="宋体" w:hAnsi="宋体" w:eastAsia="宋体"/>
          <w:color w:val="auto"/>
          <w:sz w:val="24"/>
          <w:szCs w:val="24"/>
        </w:rPr>
      </w:pPr>
    </w:p>
    <w:tbl>
      <w:tblPr>
        <w:tblStyle w:val="26"/>
        <w:tblW w:w="8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6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2182" w:type="dxa"/>
            <w:vAlign w:val="center"/>
          </w:tcPr>
          <w:p>
            <w:pPr>
              <w:spacing w:line="360" w:lineRule="auto"/>
              <w:jc w:val="center"/>
              <w:rPr>
                <w:rFonts w:ascii="宋体" w:hAnsi="宋体"/>
                <w:color w:val="auto"/>
                <w:sz w:val="24"/>
                <w:shd w:val="clear" w:color="auto" w:fill="FFFFFF"/>
              </w:rPr>
            </w:pPr>
            <w:r>
              <w:rPr>
                <w:rFonts w:hint="eastAsia" w:ascii="宋体" w:hAnsi="宋体"/>
                <w:color w:val="auto"/>
                <w:sz w:val="24"/>
                <w:shd w:val="clear" w:color="auto" w:fill="FFFFFF"/>
              </w:rPr>
              <w:t>项目名称</w:t>
            </w:r>
          </w:p>
        </w:tc>
        <w:tc>
          <w:tcPr>
            <w:tcW w:w="6226" w:type="dxa"/>
            <w:vAlign w:val="center"/>
          </w:tcPr>
          <w:p>
            <w:pPr>
              <w:spacing w:line="360" w:lineRule="auto"/>
              <w:rPr>
                <w:rFonts w:ascii="宋体" w:hAnsi="宋体"/>
                <w:color w:val="auto"/>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2182" w:type="dxa"/>
            <w:vAlign w:val="center"/>
          </w:tcPr>
          <w:p>
            <w:pPr>
              <w:spacing w:line="360" w:lineRule="auto"/>
              <w:jc w:val="center"/>
              <w:rPr>
                <w:rFonts w:ascii="宋体" w:hAnsi="宋体"/>
                <w:color w:val="auto"/>
                <w:sz w:val="24"/>
                <w:shd w:val="clear" w:color="auto" w:fill="FFFFFF"/>
              </w:rPr>
            </w:pPr>
            <w:r>
              <w:rPr>
                <w:rFonts w:hint="eastAsia" w:ascii="宋体" w:hAnsi="宋体"/>
                <w:color w:val="auto"/>
                <w:sz w:val="24"/>
              </w:rPr>
              <w:t>供应商</w:t>
            </w:r>
          </w:p>
        </w:tc>
        <w:tc>
          <w:tcPr>
            <w:tcW w:w="6226" w:type="dxa"/>
            <w:vAlign w:val="center"/>
          </w:tcPr>
          <w:p>
            <w:pPr>
              <w:spacing w:line="360" w:lineRule="auto"/>
              <w:rPr>
                <w:rFonts w:ascii="宋体" w:hAnsi="宋体"/>
                <w:color w:val="auto"/>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9" w:hRule="atLeast"/>
          <w:jc w:val="center"/>
        </w:trPr>
        <w:tc>
          <w:tcPr>
            <w:tcW w:w="2182" w:type="dxa"/>
            <w:vAlign w:val="center"/>
          </w:tcPr>
          <w:p>
            <w:pPr>
              <w:spacing w:line="360" w:lineRule="auto"/>
              <w:jc w:val="center"/>
              <w:rPr>
                <w:rFonts w:ascii="宋体" w:hAnsi="宋体"/>
                <w:color w:val="auto"/>
                <w:sz w:val="24"/>
                <w:shd w:val="clear" w:color="auto" w:fill="FFFFFF"/>
              </w:rPr>
            </w:pPr>
            <w:r>
              <w:rPr>
                <w:rFonts w:hint="eastAsia" w:ascii="宋体" w:hAnsi="宋体"/>
                <w:color w:val="auto"/>
                <w:sz w:val="24"/>
                <w:shd w:val="clear" w:color="auto" w:fill="FFFFFF"/>
              </w:rPr>
              <w:t>投标报价</w:t>
            </w:r>
          </w:p>
        </w:tc>
        <w:tc>
          <w:tcPr>
            <w:tcW w:w="6226" w:type="dxa"/>
            <w:vAlign w:val="center"/>
          </w:tcPr>
          <w:p>
            <w:pPr>
              <w:spacing w:line="360" w:lineRule="auto"/>
              <w:ind w:firstLine="480" w:firstLineChars="200"/>
              <w:rPr>
                <w:rFonts w:ascii="宋体" w:hAnsi="宋体"/>
                <w:color w:val="auto"/>
                <w:sz w:val="24"/>
                <w:shd w:val="clear" w:color="auto" w:fill="FFFFFF"/>
              </w:rPr>
            </w:pPr>
            <w:r>
              <w:rPr>
                <w:rFonts w:hint="eastAsia" w:ascii="宋体" w:hAnsi="宋体"/>
                <w:color w:val="auto"/>
                <w:sz w:val="24"/>
                <w:shd w:val="clear" w:color="auto" w:fill="FFFFFF"/>
              </w:rPr>
              <w:t>（大写）</w:t>
            </w:r>
          </w:p>
          <w:p>
            <w:pPr>
              <w:spacing w:line="360" w:lineRule="auto"/>
              <w:ind w:firstLine="480" w:firstLineChars="200"/>
              <w:rPr>
                <w:rFonts w:ascii="宋体" w:hAnsi="宋体"/>
                <w:color w:val="auto"/>
                <w:sz w:val="24"/>
                <w:u w:val="single"/>
                <w:shd w:val="clear" w:color="auto" w:fill="FFFFFF"/>
              </w:rPr>
            </w:pPr>
            <w:r>
              <w:rPr>
                <w:rFonts w:hint="eastAsia" w:ascii="宋体" w:hAnsi="宋体"/>
                <w:color w:val="auto"/>
                <w:sz w:val="24"/>
                <w:shd w:val="clear" w:color="auto" w:fill="FFFFFF"/>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2182" w:type="dxa"/>
            <w:vAlign w:val="center"/>
          </w:tcPr>
          <w:p>
            <w:pPr>
              <w:spacing w:line="360" w:lineRule="auto"/>
              <w:jc w:val="center"/>
              <w:rPr>
                <w:rFonts w:ascii="宋体" w:hAnsi="宋体"/>
                <w:color w:val="auto"/>
                <w:sz w:val="24"/>
                <w:shd w:val="clear" w:color="auto" w:fill="FFFFFF"/>
              </w:rPr>
            </w:pPr>
            <w:r>
              <w:rPr>
                <w:rFonts w:hint="eastAsia" w:ascii="宋体" w:hAnsi="宋体"/>
                <w:color w:val="auto"/>
                <w:sz w:val="24"/>
                <w:shd w:val="clear" w:color="auto" w:fill="FFFFFF"/>
              </w:rPr>
              <w:t>供货及安装期</w:t>
            </w:r>
          </w:p>
        </w:tc>
        <w:tc>
          <w:tcPr>
            <w:tcW w:w="6226" w:type="dxa"/>
            <w:vAlign w:val="center"/>
          </w:tcPr>
          <w:p>
            <w:pPr>
              <w:spacing w:line="360" w:lineRule="auto"/>
              <w:jc w:val="center"/>
              <w:rPr>
                <w:rFonts w:ascii="宋体" w:hAnsi="宋体"/>
                <w:color w:val="auto"/>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vAlign w:val="center"/>
          </w:tcPr>
          <w:p>
            <w:pPr>
              <w:spacing w:line="360" w:lineRule="auto"/>
              <w:jc w:val="center"/>
              <w:rPr>
                <w:rFonts w:ascii="宋体" w:hAnsi="宋体"/>
                <w:color w:val="auto"/>
                <w:sz w:val="24"/>
                <w:shd w:val="clear" w:color="auto" w:fill="FFFFFF"/>
              </w:rPr>
            </w:pPr>
            <w:r>
              <w:rPr>
                <w:rFonts w:hint="eastAsia" w:ascii="宋体" w:hAnsi="宋体"/>
                <w:color w:val="auto"/>
                <w:sz w:val="24"/>
                <w:shd w:val="clear" w:color="auto" w:fill="FFFFFF"/>
              </w:rPr>
              <w:t>质量要求</w:t>
            </w:r>
          </w:p>
        </w:tc>
        <w:tc>
          <w:tcPr>
            <w:tcW w:w="6226" w:type="dxa"/>
            <w:vAlign w:val="center"/>
          </w:tcPr>
          <w:p>
            <w:pPr>
              <w:spacing w:line="360" w:lineRule="auto"/>
              <w:jc w:val="center"/>
              <w:rPr>
                <w:rFonts w:ascii="宋体" w:hAnsi="宋体"/>
                <w:color w:val="auto"/>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vAlign w:val="center"/>
          </w:tcPr>
          <w:p>
            <w:pPr>
              <w:spacing w:line="360" w:lineRule="auto"/>
              <w:jc w:val="center"/>
              <w:rPr>
                <w:rFonts w:ascii="宋体" w:hAnsi="宋体"/>
                <w:color w:val="auto"/>
                <w:sz w:val="24"/>
                <w:shd w:val="clear" w:color="auto" w:fill="FFFFFF"/>
              </w:rPr>
            </w:pPr>
            <w:r>
              <w:rPr>
                <w:rFonts w:hint="eastAsia" w:ascii="宋体" w:hAnsi="宋体"/>
                <w:color w:val="auto"/>
                <w:sz w:val="24"/>
                <w:shd w:val="clear" w:color="auto" w:fill="FFFFFF"/>
              </w:rPr>
              <w:t>质保期</w:t>
            </w:r>
          </w:p>
        </w:tc>
        <w:tc>
          <w:tcPr>
            <w:tcW w:w="6226" w:type="dxa"/>
            <w:vAlign w:val="center"/>
          </w:tcPr>
          <w:p>
            <w:pPr>
              <w:spacing w:line="360" w:lineRule="auto"/>
              <w:jc w:val="center"/>
              <w:rPr>
                <w:rFonts w:ascii="宋体" w:hAnsi="宋体"/>
                <w:color w:val="auto"/>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vAlign w:val="center"/>
          </w:tcPr>
          <w:p>
            <w:pPr>
              <w:spacing w:line="360" w:lineRule="auto"/>
              <w:jc w:val="center"/>
              <w:rPr>
                <w:rFonts w:ascii="宋体" w:hAnsi="宋体"/>
                <w:color w:val="auto"/>
                <w:sz w:val="24"/>
                <w:shd w:val="clear" w:color="auto" w:fill="FFFFFF"/>
              </w:rPr>
            </w:pPr>
            <w:r>
              <w:rPr>
                <w:rFonts w:hint="eastAsia" w:ascii="宋体" w:hAnsi="宋体"/>
                <w:color w:val="auto"/>
                <w:sz w:val="24"/>
                <w:shd w:val="clear" w:color="auto" w:fill="FFFFFF"/>
              </w:rPr>
              <w:t>投标有效期</w:t>
            </w:r>
          </w:p>
        </w:tc>
        <w:tc>
          <w:tcPr>
            <w:tcW w:w="6226" w:type="dxa"/>
            <w:vAlign w:val="center"/>
          </w:tcPr>
          <w:p>
            <w:pPr>
              <w:spacing w:line="360" w:lineRule="auto"/>
              <w:jc w:val="center"/>
              <w:rPr>
                <w:rFonts w:ascii="宋体" w:hAnsi="宋体"/>
                <w:color w:val="auto"/>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8408" w:type="dxa"/>
            <w:gridSpan w:val="2"/>
            <w:vAlign w:val="center"/>
          </w:tcPr>
          <w:p>
            <w:pPr>
              <w:spacing w:line="360" w:lineRule="auto"/>
              <w:ind w:firstLine="480" w:firstLineChars="200"/>
              <w:jc w:val="left"/>
              <w:rPr>
                <w:rFonts w:ascii="宋体" w:hAnsi="宋体"/>
                <w:b/>
                <w:color w:val="auto"/>
                <w:sz w:val="24"/>
                <w:shd w:val="clear" w:color="auto" w:fill="FFFFFF"/>
              </w:rPr>
            </w:pPr>
            <w:r>
              <w:rPr>
                <w:rFonts w:hint="eastAsia" w:ascii="宋体" w:hAnsi="宋体"/>
                <w:b/>
                <w:color w:val="auto"/>
                <w:sz w:val="24"/>
                <w:shd w:val="clear" w:color="auto" w:fill="FFFFFF"/>
              </w:rPr>
              <w:t>优惠及服务承诺：</w:t>
            </w:r>
          </w:p>
          <w:p>
            <w:pPr>
              <w:spacing w:line="360" w:lineRule="auto"/>
              <w:ind w:firstLine="480" w:firstLineChars="200"/>
              <w:jc w:val="left"/>
              <w:rPr>
                <w:rFonts w:ascii="宋体" w:hAnsi="宋体"/>
                <w:b/>
                <w:color w:val="auto"/>
                <w:sz w:val="24"/>
                <w:shd w:val="clear" w:color="auto" w:fill="FFFFFF"/>
              </w:rPr>
            </w:pPr>
            <w:r>
              <w:rPr>
                <w:rFonts w:hint="eastAsia" w:ascii="宋体" w:hAnsi="宋体"/>
                <w:b/>
                <w:color w:val="auto"/>
                <w:sz w:val="24"/>
                <w:shd w:val="clear" w:color="auto" w:fill="FFFFFF"/>
              </w:rPr>
              <w:t>（可另附页）</w:t>
            </w:r>
          </w:p>
        </w:tc>
      </w:tr>
    </w:tbl>
    <w:p>
      <w:pPr>
        <w:spacing w:line="360" w:lineRule="auto"/>
        <w:ind w:firstLine="480" w:firstLineChars="200"/>
        <w:rPr>
          <w:rFonts w:ascii="宋体" w:hAnsi="宋体"/>
          <w:color w:val="auto"/>
          <w:sz w:val="24"/>
        </w:rPr>
      </w:pPr>
      <w:r>
        <w:rPr>
          <w:rFonts w:hint="eastAsia" w:ascii="宋体" w:hAnsi="宋体"/>
          <w:color w:val="auto"/>
          <w:sz w:val="24"/>
        </w:rPr>
        <w:t xml:space="preserve">供应商（盖章）：                               </w:t>
      </w:r>
    </w:p>
    <w:p>
      <w:pPr>
        <w:spacing w:line="360" w:lineRule="auto"/>
        <w:ind w:firstLine="480" w:firstLineChars="200"/>
        <w:jc w:val="center"/>
        <w:rPr>
          <w:rFonts w:ascii="宋体" w:hAnsi="宋体"/>
          <w:color w:val="auto"/>
          <w:sz w:val="24"/>
        </w:rPr>
      </w:pPr>
      <w:r>
        <w:rPr>
          <w:rFonts w:hint="eastAsia" w:ascii="宋体" w:hAnsi="宋体"/>
          <w:color w:val="auto"/>
          <w:sz w:val="24"/>
        </w:rPr>
        <w:t xml:space="preserve">法人代表或授权代表（签字或盖章）：                                                </w:t>
      </w:r>
    </w:p>
    <w:p>
      <w:pPr>
        <w:spacing w:line="360" w:lineRule="auto"/>
        <w:ind w:firstLine="480" w:firstLineChars="200"/>
        <w:jc w:val="center"/>
        <w:rPr>
          <w:rFonts w:ascii="宋体" w:hAnsi="宋体"/>
          <w:color w:val="auto"/>
          <w:sz w:val="24"/>
        </w:rPr>
      </w:pPr>
      <w:r>
        <w:rPr>
          <w:rFonts w:hint="eastAsia" w:ascii="宋体" w:hAnsi="宋体"/>
          <w:color w:val="auto"/>
          <w:sz w:val="24"/>
        </w:rPr>
        <w:t xml:space="preserve">年     月     日   </w:t>
      </w:r>
    </w:p>
    <w:p>
      <w:pPr>
        <w:spacing w:line="360" w:lineRule="auto"/>
        <w:ind w:firstLine="640" w:firstLineChars="200"/>
        <w:jc w:val="center"/>
        <w:rPr>
          <w:rFonts w:ascii="宋体" w:hAnsi="宋体" w:cs="宋体"/>
          <w:b/>
          <w:color w:val="auto"/>
          <w:sz w:val="32"/>
          <w:szCs w:val="32"/>
        </w:rPr>
      </w:pPr>
      <w:bookmarkStart w:id="50" w:name="_Toc23799"/>
      <w:bookmarkStart w:id="51" w:name="_Toc12799"/>
    </w:p>
    <w:p>
      <w:pPr>
        <w:spacing w:line="360" w:lineRule="auto"/>
        <w:ind w:firstLine="880" w:firstLineChars="200"/>
        <w:jc w:val="center"/>
        <w:rPr>
          <w:rFonts w:ascii="宋体" w:hAnsi="宋体" w:cs="宋体"/>
          <w:b/>
          <w:color w:val="auto"/>
          <w:sz w:val="44"/>
          <w:szCs w:val="44"/>
        </w:rPr>
      </w:pPr>
    </w:p>
    <w:p>
      <w:pPr>
        <w:spacing w:line="360" w:lineRule="auto"/>
        <w:ind w:firstLine="880" w:firstLineChars="200"/>
        <w:jc w:val="center"/>
        <w:rPr>
          <w:rFonts w:ascii="宋体" w:hAnsi="宋体" w:cs="宋体"/>
          <w:b/>
          <w:color w:val="auto"/>
          <w:sz w:val="44"/>
          <w:szCs w:val="44"/>
        </w:rPr>
      </w:pPr>
      <w:r>
        <w:rPr>
          <w:rFonts w:hint="eastAsia" w:ascii="宋体" w:hAnsi="宋体" w:cs="宋体"/>
          <w:b/>
          <w:color w:val="auto"/>
          <w:sz w:val="44"/>
          <w:szCs w:val="44"/>
        </w:rPr>
        <w:t>投标报价明细表</w:t>
      </w:r>
      <w:bookmarkEnd w:id="50"/>
      <w:bookmarkEnd w:id="51"/>
    </w:p>
    <w:p>
      <w:pPr>
        <w:pStyle w:val="10"/>
        <w:rPr>
          <w:color w:val="auto"/>
        </w:rPr>
      </w:pPr>
    </w:p>
    <w:tbl>
      <w:tblPr>
        <w:tblStyle w:val="26"/>
        <w:tblW w:w="843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67"/>
        <w:gridCol w:w="867"/>
        <w:gridCol w:w="868"/>
        <w:gridCol w:w="846"/>
        <w:gridCol w:w="994"/>
        <w:gridCol w:w="1130"/>
        <w:gridCol w:w="899"/>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80" w:type="dxa"/>
            <w:vMerge w:val="restart"/>
            <w:tcBorders>
              <w:top w:val="single" w:color="auto" w:sz="4" w:space="0"/>
              <w:left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auto"/>
              </w:rPr>
            </w:pPr>
            <w:r>
              <w:rPr>
                <w:rFonts w:hint="eastAsia"/>
                <w:bCs/>
                <w:color w:val="auto"/>
              </w:rPr>
              <w:t>名称</w:t>
            </w:r>
          </w:p>
        </w:tc>
        <w:tc>
          <w:tcPr>
            <w:tcW w:w="2602" w:type="dxa"/>
            <w:gridSpan w:val="3"/>
            <w:tcBorders>
              <w:top w:val="single" w:color="auto" w:sz="4" w:space="0"/>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auto"/>
              </w:rPr>
            </w:pPr>
            <w:r>
              <w:rPr>
                <w:rFonts w:hint="eastAsia"/>
                <w:bCs/>
                <w:color w:val="auto"/>
              </w:rPr>
              <w:t>所投设备</w:t>
            </w:r>
          </w:p>
        </w:tc>
        <w:tc>
          <w:tcPr>
            <w:tcW w:w="846" w:type="dxa"/>
            <w:vMerge w:val="restart"/>
            <w:tcBorders>
              <w:top w:val="single" w:color="auto" w:sz="4" w:space="0"/>
              <w:left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auto"/>
              </w:rPr>
            </w:pPr>
            <w:r>
              <w:rPr>
                <w:rFonts w:hint="eastAsia"/>
                <w:bCs/>
                <w:color w:val="auto"/>
              </w:rPr>
              <w:t>单位</w:t>
            </w:r>
          </w:p>
        </w:tc>
        <w:tc>
          <w:tcPr>
            <w:tcW w:w="994" w:type="dxa"/>
            <w:vMerge w:val="restart"/>
            <w:tcBorders>
              <w:top w:val="single" w:color="auto" w:sz="4" w:space="0"/>
              <w:left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auto"/>
              </w:rPr>
            </w:pPr>
            <w:r>
              <w:rPr>
                <w:rFonts w:hint="eastAsia"/>
                <w:bCs/>
                <w:color w:val="auto"/>
              </w:rPr>
              <w:t>数量</w:t>
            </w:r>
          </w:p>
        </w:tc>
        <w:tc>
          <w:tcPr>
            <w:tcW w:w="1130" w:type="dxa"/>
            <w:vMerge w:val="restart"/>
            <w:tcBorders>
              <w:top w:val="single" w:color="auto" w:sz="4" w:space="0"/>
              <w:left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auto"/>
              </w:rPr>
            </w:pPr>
            <w:r>
              <w:rPr>
                <w:rFonts w:hint="eastAsia"/>
                <w:bCs/>
                <w:color w:val="auto"/>
              </w:rPr>
              <w:t>单价（元）</w:t>
            </w:r>
          </w:p>
        </w:tc>
        <w:tc>
          <w:tcPr>
            <w:tcW w:w="899" w:type="dxa"/>
            <w:vMerge w:val="restart"/>
            <w:tcBorders>
              <w:top w:val="single" w:color="auto" w:sz="4" w:space="0"/>
              <w:left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auto"/>
              </w:rPr>
            </w:pPr>
            <w:r>
              <w:rPr>
                <w:rFonts w:hint="eastAsia"/>
                <w:bCs/>
                <w:color w:val="auto"/>
              </w:rPr>
              <w:t>合价（元）</w:t>
            </w:r>
          </w:p>
        </w:tc>
        <w:tc>
          <w:tcPr>
            <w:tcW w:w="885" w:type="dxa"/>
            <w:vMerge w:val="restart"/>
            <w:tcBorders>
              <w:top w:val="single" w:color="auto" w:sz="4" w:space="0"/>
              <w:left w:val="single" w:color="auto" w:sz="4" w:space="0"/>
              <w:right w:val="single" w:color="auto" w:sz="4" w:space="0"/>
            </w:tcBorders>
          </w:tcPr>
          <w:p>
            <w:pPr>
              <w:pStyle w:val="23"/>
              <w:widowControl w:val="0"/>
              <w:adjustRightInd w:val="0"/>
              <w:spacing w:before="0" w:beforeAutospacing="0" w:after="0" w:afterAutospacing="0" w:line="360" w:lineRule="auto"/>
              <w:ind w:left="105" w:leftChars="50" w:firstLine="115" w:firstLineChars="48"/>
              <w:jc w:val="both"/>
              <w:rPr>
                <w:bCs/>
                <w:color w:val="auto"/>
              </w:rPr>
            </w:pPr>
            <w:r>
              <w:rPr>
                <w:rFonts w:hint="eastAsia"/>
                <w:bCs/>
                <w:color w:val="auto"/>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1080" w:type="dxa"/>
            <w:vMerge w:val="continue"/>
            <w:tcBorders>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auto"/>
              </w:rPr>
            </w:pPr>
          </w:p>
        </w:tc>
        <w:tc>
          <w:tcPr>
            <w:tcW w:w="867" w:type="dxa"/>
            <w:tcBorders>
              <w:top w:val="single" w:color="auto" w:sz="4" w:space="0"/>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auto"/>
              </w:rPr>
            </w:pPr>
            <w:r>
              <w:rPr>
                <w:rFonts w:hint="eastAsia"/>
                <w:bCs/>
                <w:color w:val="auto"/>
              </w:rPr>
              <w:t>品牌</w:t>
            </w:r>
          </w:p>
        </w:tc>
        <w:tc>
          <w:tcPr>
            <w:tcW w:w="867" w:type="dxa"/>
            <w:tcBorders>
              <w:top w:val="single" w:color="auto" w:sz="4" w:space="0"/>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auto"/>
              </w:rPr>
            </w:pPr>
            <w:r>
              <w:rPr>
                <w:rFonts w:hint="eastAsia"/>
                <w:bCs/>
                <w:color w:val="auto"/>
              </w:rPr>
              <w:t>型号</w:t>
            </w:r>
          </w:p>
        </w:tc>
        <w:tc>
          <w:tcPr>
            <w:tcW w:w="868" w:type="dxa"/>
            <w:tcBorders>
              <w:top w:val="single" w:color="auto" w:sz="4" w:space="0"/>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auto"/>
              </w:rPr>
            </w:pPr>
            <w:r>
              <w:rPr>
                <w:rFonts w:hint="eastAsia"/>
                <w:bCs/>
                <w:color w:val="auto"/>
              </w:rPr>
              <w:t>技术参数</w:t>
            </w:r>
          </w:p>
        </w:tc>
        <w:tc>
          <w:tcPr>
            <w:tcW w:w="846" w:type="dxa"/>
            <w:vMerge w:val="continue"/>
            <w:tcBorders>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auto"/>
              </w:rPr>
            </w:pPr>
          </w:p>
        </w:tc>
        <w:tc>
          <w:tcPr>
            <w:tcW w:w="994" w:type="dxa"/>
            <w:vMerge w:val="continue"/>
            <w:tcBorders>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auto"/>
              </w:rPr>
            </w:pPr>
          </w:p>
        </w:tc>
        <w:tc>
          <w:tcPr>
            <w:tcW w:w="1130" w:type="dxa"/>
            <w:vMerge w:val="continue"/>
            <w:tcBorders>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360" w:lineRule="auto"/>
              <w:ind w:firstLine="235" w:firstLineChars="98"/>
              <w:jc w:val="center"/>
              <w:rPr>
                <w:bCs/>
                <w:color w:val="auto"/>
              </w:rPr>
            </w:pPr>
          </w:p>
        </w:tc>
        <w:tc>
          <w:tcPr>
            <w:tcW w:w="899" w:type="dxa"/>
            <w:vMerge w:val="continue"/>
            <w:tcBorders>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auto"/>
              </w:rPr>
            </w:pPr>
          </w:p>
        </w:tc>
        <w:tc>
          <w:tcPr>
            <w:tcW w:w="885" w:type="dxa"/>
            <w:vMerge w:val="continue"/>
            <w:tcBorders>
              <w:left w:val="single" w:color="auto" w:sz="4" w:space="0"/>
              <w:bottom w:val="single" w:color="auto" w:sz="4" w:space="0"/>
              <w:right w:val="single" w:color="auto" w:sz="4" w:space="0"/>
            </w:tcBorders>
          </w:tcPr>
          <w:p>
            <w:pPr>
              <w:pStyle w:val="23"/>
              <w:widowControl w:val="0"/>
              <w:adjustRightInd w:val="0"/>
              <w:spacing w:before="0" w:beforeAutospacing="0" w:after="0" w:afterAutospacing="0" w:line="360" w:lineRule="auto"/>
              <w:ind w:left="105" w:leftChars="50" w:firstLine="115" w:firstLineChars="48"/>
              <w:jc w:val="center"/>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trPr>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r>
              <w:rPr>
                <w:rFonts w:hint="eastAsia" w:ascii="宋体" w:hAnsi="宋体"/>
                <w:color w:val="auto"/>
              </w:rPr>
              <w:t>.........</w:t>
            </w: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9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1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9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8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r>
              <w:rPr>
                <w:rFonts w:hint="eastAsia" w:ascii="宋体" w:hAnsi="宋体" w:cs="宋体"/>
                <w:bCs/>
                <w:color w:val="auto"/>
                <w:sz w:val="24"/>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9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1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9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8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9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1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9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8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9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1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9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8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9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1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9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8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r>
              <w:rPr>
                <w:rFonts w:hint="eastAsia" w:ascii="宋体" w:hAnsi="宋体"/>
                <w:color w:val="auto"/>
              </w:rPr>
              <w:t>.........</w:t>
            </w: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9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1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9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8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rPr>
            </w:pPr>
            <w:r>
              <w:rPr>
                <w:rFonts w:hint="eastAsia" w:ascii="宋体" w:hAnsi="宋体" w:cs="宋体"/>
                <w:bCs/>
                <w:color w:val="auto"/>
                <w:sz w:val="24"/>
              </w:rPr>
              <w:t>合计（元）</w:t>
            </w:r>
          </w:p>
        </w:tc>
        <w:tc>
          <w:tcPr>
            <w:tcW w:w="7356" w:type="dxa"/>
            <w:gridSpan w:val="8"/>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rPr>
            </w:pPr>
            <w:r>
              <w:rPr>
                <w:rFonts w:hint="eastAsia" w:ascii="宋体" w:hAnsi="宋体" w:cs="宋体"/>
                <w:bCs/>
                <w:color w:val="auto"/>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8436" w:type="dxa"/>
            <w:gridSpan w:val="9"/>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rPr>
            </w:pPr>
            <w:r>
              <w:rPr>
                <w:rFonts w:hint="eastAsia" w:ascii="宋体" w:hAnsi="宋体" w:cs="宋体"/>
                <w:b/>
                <w:color w:val="auto"/>
                <w:sz w:val="24"/>
              </w:rPr>
              <w:t>重要提示：1、本表的每一页须加盖企业印章；2、涉及有国家标准的产品，须填写名称、品牌、型号及技术参数、报价等本表内容（若品牌、型号等填写的与实际不符，按照无效标处理）</w:t>
            </w:r>
          </w:p>
        </w:tc>
      </w:tr>
    </w:tbl>
    <w:p>
      <w:pPr>
        <w:pStyle w:val="16"/>
        <w:adjustRightInd w:val="0"/>
        <w:snapToGrid w:val="0"/>
        <w:spacing w:line="360" w:lineRule="auto"/>
        <w:ind w:firstLine="480" w:firstLineChars="200"/>
        <w:jc w:val="right"/>
        <w:rPr>
          <w:rFonts w:hAnsi="Calibri"/>
          <w:color w:val="auto"/>
          <w:sz w:val="24"/>
        </w:rPr>
      </w:pPr>
    </w:p>
    <w:p>
      <w:pPr>
        <w:pStyle w:val="16"/>
        <w:adjustRightInd w:val="0"/>
        <w:snapToGrid w:val="0"/>
        <w:spacing w:line="360" w:lineRule="auto"/>
        <w:ind w:firstLine="480" w:firstLineChars="200"/>
        <w:jc w:val="right"/>
        <w:rPr>
          <w:rFonts w:hAnsi="Calibri"/>
          <w:color w:val="auto"/>
          <w:sz w:val="24"/>
        </w:rPr>
      </w:pPr>
      <w:r>
        <w:rPr>
          <w:rFonts w:hint="eastAsia" w:hAnsi="Calibri"/>
          <w:color w:val="auto"/>
          <w:sz w:val="24"/>
        </w:rPr>
        <w:t>供应商：（盖章）</w:t>
      </w:r>
    </w:p>
    <w:p>
      <w:pPr>
        <w:pStyle w:val="16"/>
        <w:adjustRightInd w:val="0"/>
        <w:snapToGrid w:val="0"/>
        <w:spacing w:line="360" w:lineRule="auto"/>
        <w:ind w:firstLine="480" w:firstLineChars="200"/>
        <w:jc w:val="right"/>
        <w:rPr>
          <w:rFonts w:hAnsi="Calibri"/>
          <w:color w:val="auto"/>
          <w:sz w:val="24"/>
        </w:rPr>
      </w:pPr>
      <w:r>
        <w:rPr>
          <w:rFonts w:hint="eastAsia" w:hAnsi="Calibri"/>
          <w:color w:val="auto"/>
          <w:sz w:val="24"/>
        </w:rPr>
        <w:t>法定代表人或授权委托代理人：（签字或盖章）</w:t>
      </w:r>
    </w:p>
    <w:p>
      <w:pPr>
        <w:pStyle w:val="16"/>
        <w:adjustRightInd w:val="0"/>
        <w:snapToGrid w:val="0"/>
        <w:spacing w:line="360" w:lineRule="auto"/>
        <w:ind w:firstLine="480" w:firstLineChars="200"/>
        <w:jc w:val="right"/>
        <w:rPr>
          <w:rFonts w:hAnsi="Calibri"/>
          <w:color w:val="auto"/>
          <w:sz w:val="24"/>
        </w:rPr>
      </w:pPr>
      <w:r>
        <w:rPr>
          <w:rFonts w:hint="eastAsia" w:hAnsi="Calibri"/>
          <w:color w:val="auto"/>
          <w:sz w:val="24"/>
        </w:rPr>
        <w:t>年    月     日</w:t>
      </w:r>
    </w:p>
    <w:p>
      <w:pPr>
        <w:spacing w:line="360" w:lineRule="auto"/>
        <w:ind w:firstLine="640" w:firstLineChars="200"/>
        <w:jc w:val="center"/>
        <w:rPr>
          <w:rFonts w:ascii="宋体" w:hAnsi="宋体" w:cs="宋体"/>
          <w:b/>
          <w:color w:val="auto"/>
          <w:sz w:val="32"/>
          <w:szCs w:val="32"/>
        </w:rPr>
      </w:pPr>
    </w:p>
    <w:p>
      <w:pPr>
        <w:spacing w:line="360" w:lineRule="auto"/>
        <w:ind w:firstLine="880" w:firstLineChars="200"/>
        <w:jc w:val="center"/>
        <w:rPr>
          <w:color w:val="auto"/>
          <w:sz w:val="15"/>
          <w:szCs w:val="15"/>
        </w:rPr>
      </w:pPr>
      <w:r>
        <w:rPr>
          <w:rFonts w:hint="eastAsia" w:ascii="宋体" w:hAnsi="宋体" w:cs="宋体"/>
          <w:b/>
          <w:color w:val="auto"/>
          <w:sz w:val="44"/>
          <w:szCs w:val="44"/>
        </w:rPr>
        <w:t>第二轮报价表</w:t>
      </w:r>
    </w:p>
    <w:tbl>
      <w:tblPr>
        <w:tblStyle w:val="26"/>
        <w:tblW w:w="849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873"/>
        <w:gridCol w:w="873"/>
        <w:gridCol w:w="875"/>
        <w:gridCol w:w="852"/>
        <w:gridCol w:w="1001"/>
        <w:gridCol w:w="1139"/>
        <w:gridCol w:w="905"/>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87" w:type="dxa"/>
            <w:vMerge w:val="restart"/>
            <w:tcBorders>
              <w:top w:val="single" w:color="auto" w:sz="4" w:space="0"/>
              <w:left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auto"/>
              </w:rPr>
            </w:pPr>
            <w:r>
              <w:rPr>
                <w:rFonts w:hint="eastAsia"/>
                <w:bCs/>
                <w:color w:val="auto"/>
              </w:rPr>
              <w:t>名称</w:t>
            </w:r>
          </w:p>
        </w:tc>
        <w:tc>
          <w:tcPr>
            <w:tcW w:w="2621" w:type="dxa"/>
            <w:gridSpan w:val="3"/>
            <w:tcBorders>
              <w:top w:val="single" w:color="auto" w:sz="4" w:space="0"/>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auto"/>
              </w:rPr>
            </w:pPr>
            <w:r>
              <w:rPr>
                <w:rFonts w:hint="eastAsia"/>
                <w:bCs/>
                <w:color w:val="auto"/>
              </w:rPr>
              <w:t>所投设备</w:t>
            </w:r>
          </w:p>
        </w:tc>
        <w:tc>
          <w:tcPr>
            <w:tcW w:w="852" w:type="dxa"/>
            <w:vMerge w:val="restart"/>
            <w:tcBorders>
              <w:top w:val="single" w:color="auto" w:sz="4" w:space="0"/>
              <w:left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auto"/>
              </w:rPr>
            </w:pPr>
            <w:r>
              <w:rPr>
                <w:rFonts w:hint="eastAsia"/>
                <w:bCs/>
                <w:color w:val="auto"/>
              </w:rPr>
              <w:t>单位</w:t>
            </w:r>
          </w:p>
        </w:tc>
        <w:tc>
          <w:tcPr>
            <w:tcW w:w="1001" w:type="dxa"/>
            <w:vMerge w:val="restart"/>
            <w:tcBorders>
              <w:top w:val="single" w:color="auto" w:sz="4" w:space="0"/>
              <w:left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auto"/>
              </w:rPr>
            </w:pPr>
            <w:r>
              <w:rPr>
                <w:rFonts w:hint="eastAsia"/>
                <w:bCs/>
                <w:color w:val="auto"/>
              </w:rPr>
              <w:t>数量</w:t>
            </w:r>
          </w:p>
        </w:tc>
        <w:tc>
          <w:tcPr>
            <w:tcW w:w="1139" w:type="dxa"/>
            <w:vMerge w:val="restart"/>
            <w:tcBorders>
              <w:top w:val="single" w:color="auto" w:sz="4" w:space="0"/>
              <w:left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auto"/>
              </w:rPr>
            </w:pPr>
            <w:r>
              <w:rPr>
                <w:rFonts w:hint="eastAsia"/>
                <w:bCs/>
                <w:color w:val="auto"/>
              </w:rPr>
              <w:t>单价（元）</w:t>
            </w:r>
          </w:p>
        </w:tc>
        <w:tc>
          <w:tcPr>
            <w:tcW w:w="905" w:type="dxa"/>
            <w:vMerge w:val="restart"/>
            <w:tcBorders>
              <w:top w:val="single" w:color="auto" w:sz="4" w:space="0"/>
              <w:left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auto"/>
              </w:rPr>
            </w:pPr>
            <w:r>
              <w:rPr>
                <w:rFonts w:hint="eastAsia"/>
                <w:bCs/>
                <w:color w:val="auto"/>
              </w:rPr>
              <w:t>合价（元）</w:t>
            </w:r>
          </w:p>
        </w:tc>
        <w:tc>
          <w:tcPr>
            <w:tcW w:w="891" w:type="dxa"/>
            <w:vMerge w:val="restart"/>
            <w:tcBorders>
              <w:top w:val="single" w:color="auto" w:sz="4" w:space="0"/>
              <w:left w:val="single" w:color="auto" w:sz="4" w:space="0"/>
              <w:right w:val="single" w:color="auto" w:sz="4" w:space="0"/>
            </w:tcBorders>
          </w:tcPr>
          <w:p>
            <w:pPr>
              <w:pStyle w:val="23"/>
              <w:widowControl w:val="0"/>
              <w:adjustRightInd w:val="0"/>
              <w:spacing w:before="0" w:beforeAutospacing="0" w:after="0" w:afterAutospacing="0" w:line="360" w:lineRule="auto"/>
              <w:ind w:left="105" w:leftChars="50" w:firstLine="115" w:firstLineChars="48"/>
              <w:jc w:val="both"/>
              <w:rPr>
                <w:bCs/>
                <w:color w:val="auto"/>
              </w:rPr>
            </w:pPr>
            <w:r>
              <w:rPr>
                <w:rFonts w:hint="eastAsia"/>
                <w:bCs/>
                <w:color w:val="auto"/>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1087" w:type="dxa"/>
            <w:vMerge w:val="continue"/>
            <w:tcBorders>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auto"/>
              </w:rPr>
            </w:pPr>
          </w:p>
        </w:tc>
        <w:tc>
          <w:tcPr>
            <w:tcW w:w="873" w:type="dxa"/>
            <w:tcBorders>
              <w:top w:val="single" w:color="auto" w:sz="4" w:space="0"/>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auto"/>
              </w:rPr>
            </w:pPr>
            <w:r>
              <w:rPr>
                <w:rFonts w:hint="eastAsia"/>
                <w:bCs/>
                <w:color w:val="auto"/>
              </w:rPr>
              <w:t>品牌</w:t>
            </w:r>
          </w:p>
        </w:tc>
        <w:tc>
          <w:tcPr>
            <w:tcW w:w="873" w:type="dxa"/>
            <w:tcBorders>
              <w:top w:val="single" w:color="auto" w:sz="4" w:space="0"/>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auto"/>
              </w:rPr>
            </w:pPr>
            <w:r>
              <w:rPr>
                <w:rFonts w:hint="eastAsia"/>
                <w:bCs/>
                <w:color w:val="auto"/>
              </w:rPr>
              <w:t>型号</w:t>
            </w:r>
          </w:p>
        </w:tc>
        <w:tc>
          <w:tcPr>
            <w:tcW w:w="875" w:type="dxa"/>
            <w:tcBorders>
              <w:top w:val="single" w:color="auto" w:sz="4" w:space="0"/>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auto"/>
              </w:rPr>
            </w:pPr>
            <w:r>
              <w:rPr>
                <w:rFonts w:hint="eastAsia"/>
                <w:bCs/>
                <w:color w:val="auto"/>
              </w:rPr>
              <w:t>技术参数</w:t>
            </w:r>
          </w:p>
        </w:tc>
        <w:tc>
          <w:tcPr>
            <w:tcW w:w="852" w:type="dxa"/>
            <w:vMerge w:val="continue"/>
            <w:tcBorders>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auto"/>
              </w:rPr>
            </w:pPr>
          </w:p>
        </w:tc>
        <w:tc>
          <w:tcPr>
            <w:tcW w:w="1001" w:type="dxa"/>
            <w:vMerge w:val="continue"/>
            <w:tcBorders>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auto"/>
              </w:rPr>
            </w:pPr>
          </w:p>
        </w:tc>
        <w:tc>
          <w:tcPr>
            <w:tcW w:w="1139" w:type="dxa"/>
            <w:vMerge w:val="continue"/>
            <w:tcBorders>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360" w:lineRule="auto"/>
              <w:ind w:firstLine="235" w:firstLineChars="98"/>
              <w:jc w:val="center"/>
              <w:rPr>
                <w:bCs/>
                <w:color w:val="auto"/>
              </w:rPr>
            </w:pPr>
          </w:p>
        </w:tc>
        <w:tc>
          <w:tcPr>
            <w:tcW w:w="905" w:type="dxa"/>
            <w:vMerge w:val="continue"/>
            <w:tcBorders>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auto"/>
              </w:rPr>
            </w:pPr>
          </w:p>
        </w:tc>
        <w:tc>
          <w:tcPr>
            <w:tcW w:w="891" w:type="dxa"/>
            <w:vMerge w:val="continue"/>
            <w:tcBorders>
              <w:left w:val="single" w:color="auto" w:sz="4" w:space="0"/>
              <w:bottom w:val="single" w:color="auto" w:sz="4" w:space="0"/>
              <w:right w:val="single" w:color="auto" w:sz="4" w:space="0"/>
            </w:tcBorders>
          </w:tcPr>
          <w:p>
            <w:pPr>
              <w:pStyle w:val="23"/>
              <w:widowControl w:val="0"/>
              <w:adjustRightInd w:val="0"/>
              <w:spacing w:before="0" w:beforeAutospacing="0" w:after="0" w:afterAutospacing="0" w:line="360" w:lineRule="auto"/>
              <w:ind w:left="105" w:leftChars="50" w:firstLine="115" w:firstLineChars="48"/>
              <w:jc w:val="center"/>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rPr>
        <w:tc>
          <w:tcPr>
            <w:tcW w:w="108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r>
              <w:rPr>
                <w:rFonts w:hint="eastAsia" w:ascii="宋体" w:hAnsi="宋体"/>
                <w:color w:val="auto"/>
              </w:rPr>
              <w:t>.........</w:t>
            </w:r>
          </w:p>
        </w:tc>
        <w:tc>
          <w:tcPr>
            <w:tcW w:w="87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7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5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100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90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r>
              <w:rPr>
                <w:rFonts w:hint="eastAsia" w:ascii="宋体" w:hAnsi="宋体" w:cs="宋体"/>
                <w:bCs/>
                <w:color w:val="auto"/>
                <w:sz w:val="24"/>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7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7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5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100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90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7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7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5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100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90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7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7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5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100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90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7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7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5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100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90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08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r>
              <w:rPr>
                <w:rFonts w:hint="eastAsia" w:ascii="宋体" w:hAnsi="宋体"/>
                <w:color w:val="auto"/>
              </w:rPr>
              <w:t>.........</w:t>
            </w:r>
          </w:p>
        </w:tc>
        <w:tc>
          <w:tcPr>
            <w:tcW w:w="87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7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5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100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113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90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c>
          <w:tcPr>
            <w:tcW w:w="8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08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rPr>
            </w:pPr>
            <w:r>
              <w:rPr>
                <w:rFonts w:hint="eastAsia" w:ascii="宋体" w:hAnsi="宋体" w:cs="宋体"/>
                <w:bCs/>
                <w:color w:val="auto"/>
                <w:sz w:val="24"/>
              </w:rPr>
              <w:t>合计（元）</w:t>
            </w:r>
          </w:p>
        </w:tc>
        <w:tc>
          <w:tcPr>
            <w:tcW w:w="7409" w:type="dxa"/>
            <w:gridSpan w:val="8"/>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rPr>
            </w:pPr>
            <w:r>
              <w:rPr>
                <w:rFonts w:hint="eastAsia" w:ascii="宋体" w:hAnsi="宋体" w:cs="宋体"/>
                <w:bCs/>
                <w:color w:val="auto"/>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trPr>
        <w:tc>
          <w:tcPr>
            <w:tcW w:w="8496" w:type="dxa"/>
            <w:gridSpan w:val="9"/>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rPr>
            </w:pPr>
            <w:r>
              <w:rPr>
                <w:rFonts w:hint="eastAsia" w:ascii="宋体" w:hAnsi="宋体" w:cs="宋体"/>
                <w:b/>
                <w:color w:val="auto"/>
                <w:sz w:val="24"/>
              </w:rPr>
              <w:t>重要提示：1、本表的每一页须加盖企业印章；2、涉及有国家标准的产品，须填写名称、品牌、型号及技术参数、报价等本表内容（若品牌、型号等填写的与实际不符，按照无效标处理）</w:t>
            </w:r>
          </w:p>
        </w:tc>
      </w:tr>
    </w:tbl>
    <w:p>
      <w:pPr>
        <w:pStyle w:val="16"/>
        <w:adjustRightInd w:val="0"/>
        <w:snapToGrid w:val="0"/>
        <w:spacing w:line="360" w:lineRule="auto"/>
        <w:ind w:firstLine="480" w:firstLineChars="200"/>
        <w:rPr>
          <w:rFonts w:hAnsi="宋体" w:cs="宋体"/>
          <w:b/>
          <w:color w:val="auto"/>
          <w:sz w:val="24"/>
        </w:rPr>
      </w:pPr>
      <w:r>
        <w:rPr>
          <w:rFonts w:hint="eastAsia" w:hAnsi="宋体"/>
          <w:b/>
          <w:bCs/>
          <w:color w:val="auto"/>
          <w:kern w:val="0"/>
          <w:sz w:val="24"/>
        </w:rPr>
        <w:t>注：投标供应商在系统进行第二轮报价时，需以附件方式上传第二轮报价表电子版(PDF格式)，未提供第二轮报价表电子版（PDF）的视为无效标处理。</w:t>
      </w:r>
    </w:p>
    <w:p>
      <w:pPr>
        <w:pStyle w:val="16"/>
        <w:adjustRightInd w:val="0"/>
        <w:snapToGrid w:val="0"/>
        <w:spacing w:line="360" w:lineRule="auto"/>
        <w:ind w:firstLine="480" w:firstLineChars="200"/>
        <w:jc w:val="right"/>
        <w:rPr>
          <w:rFonts w:hAnsi="Calibri"/>
          <w:color w:val="auto"/>
          <w:sz w:val="24"/>
        </w:rPr>
      </w:pPr>
      <w:r>
        <w:rPr>
          <w:rFonts w:hint="eastAsia" w:hAnsi="Calibri"/>
          <w:color w:val="auto"/>
          <w:sz w:val="24"/>
        </w:rPr>
        <w:t>供应商：（盖章）</w:t>
      </w:r>
    </w:p>
    <w:p>
      <w:pPr>
        <w:pStyle w:val="16"/>
        <w:adjustRightInd w:val="0"/>
        <w:snapToGrid w:val="0"/>
        <w:spacing w:line="360" w:lineRule="auto"/>
        <w:ind w:firstLine="480" w:firstLineChars="200"/>
        <w:jc w:val="right"/>
        <w:rPr>
          <w:rFonts w:hAnsi="Calibri"/>
          <w:color w:val="auto"/>
          <w:sz w:val="24"/>
        </w:rPr>
      </w:pPr>
      <w:r>
        <w:rPr>
          <w:rFonts w:hint="eastAsia" w:hAnsi="Calibri"/>
          <w:color w:val="auto"/>
          <w:sz w:val="24"/>
        </w:rPr>
        <w:t>法定代表人或授权委托代理人：（签字或盖章）</w:t>
      </w:r>
    </w:p>
    <w:p>
      <w:pPr>
        <w:pStyle w:val="16"/>
        <w:adjustRightInd w:val="0"/>
        <w:snapToGrid w:val="0"/>
        <w:spacing w:line="360" w:lineRule="auto"/>
        <w:ind w:firstLine="480" w:firstLineChars="200"/>
        <w:jc w:val="right"/>
        <w:rPr>
          <w:rFonts w:hAnsi="Calibri"/>
          <w:color w:val="auto"/>
          <w:sz w:val="24"/>
        </w:rPr>
      </w:pPr>
      <w:r>
        <w:rPr>
          <w:rFonts w:hint="eastAsia" w:hAnsi="Calibri"/>
          <w:color w:val="auto"/>
          <w:sz w:val="24"/>
        </w:rPr>
        <w:t>年    月     日</w:t>
      </w:r>
    </w:p>
    <w:p>
      <w:pPr>
        <w:pStyle w:val="16"/>
        <w:adjustRightInd w:val="0"/>
        <w:snapToGrid w:val="0"/>
        <w:spacing w:line="360" w:lineRule="auto"/>
        <w:ind w:firstLine="480" w:firstLineChars="200"/>
        <w:jc w:val="right"/>
        <w:rPr>
          <w:rFonts w:hAnsi="Calibri"/>
          <w:color w:val="auto"/>
          <w:sz w:val="24"/>
        </w:rPr>
      </w:pPr>
    </w:p>
    <w:p>
      <w:pPr>
        <w:pStyle w:val="16"/>
        <w:adjustRightInd w:val="0"/>
        <w:snapToGrid w:val="0"/>
        <w:spacing w:line="360" w:lineRule="auto"/>
        <w:ind w:firstLine="480" w:firstLineChars="200"/>
        <w:jc w:val="right"/>
        <w:rPr>
          <w:rFonts w:hAnsi="Calibri"/>
          <w:color w:val="auto"/>
          <w:sz w:val="24"/>
        </w:rPr>
      </w:pPr>
    </w:p>
    <w:p>
      <w:pPr>
        <w:pStyle w:val="16"/>
        <w:adjustRightInd w:val="0"/>
        <w:snapToGrid w:val="0"/>
        <w:spacing w:line="360" w:lineRule="auto"/>
        <w:ind w:firstLine="480" w:firstLineChars="200"/>
        <w:jc w:val="right"/>
        <w:rPr>
          <w:rFonts w:hAnsi="Calibri"/>
          <w:color w:val="auto"/>
          <w:sz w:val="24"/>
        </w:rPr>
      </w:pPr>
    </w:p>
    <w:p>
      <w:pPr>
        <w:pStyle w:val="16"/>
        <w:adjustRightInd w:val="0"/>
        <w:snapToGrid w:val="0"/>
        <w:spacing w:line="360" w:lineRule="auto"/>
        <w:jc w:val="left"/>
        <w:rPr>
          <w:rFonts w:ascii="Calibri Light" w:hAnsi="Calibri Light"/>
          <w:b/>
          <w:bCs/>
          <w:color w:val="auto"/>
          <w:sz w:val="32"/>
          <w:szCs w:val="32"/>
        </w:rPr>
      </w:pPr>
      <w:r>
        <w:rPr>
          <w:rFonts w:hint="eastAsia" w:ascii="Calibri Light" w:hAnsi="Calibri Light"/>
          <w:b/>
          <w:bCs/>
          <w:color w:val="auto"/>
          <w:sz w:val="32"/>
          <w:szCs w:val="32"/>
        </w:rPr>
        <w:t>附件2：</w:t>
      </w:r>
    </w:p>
    <w:p>
      <w:pPr>
        <w:spacing w:line="360" w:lineRule="auto"/>
        <w:ind w:firstLine="600" w:firstLineChars="200"/>
        <w:jc w:val="center"/>
        <w:rPr>
          <w:color w:val="auto"/>
          <w:sz w:val="30"/>
          <w:szCs w:val="30"/>
        </w:rPr>
      </w:pPr>
    </w:p>
    <w:p>
      <w:pPr>
        <w:spacing w:line="360" w:lineRule="auto"/>
        <w:ind w:firstLine="880" w:firstLineChars="200"/>
        <w:jc w:val="center"/>
        <w:rPr>
          <w:b/>
          <w:bCs/>
          <w:color w:val="auto"/>
          <w:sz w:val="44"/>
          <w:szCs w:val="44"/>
        </w:rPr>
      </w:pPr>
      <w:r>
        <w:rPr>
          <w:rFonts w:hint="eastAsia"/>
          <w:b/>
          <w:bCs/>
          <w:color w:val="auto"/>
          <w:sz w:val="44"/>
          <w:szCs w:val="44"/>
        </w:rPr>
        <w:t>法定代表人身份证明</w:t>
      </w:r>
    </w:p>
    <w:p>
      <w:pPr>
        <w:pStyle w:val="10"/>
        <w:rPr>
          <w:color w:val="auto"/>
          <w:sz w:val="10"/>
          <w:szCs w:val="10"/>
        </w:rPr>
      </w:pPr>
    </w:p>
    <w:p>
      <w:pPr>
        <w:spacing w:line="360" w:lineRule="auto"/>
        <w:ind w:firstLine="480" w:firstLineChars="200"/>
        <w:rPr>
          <w:rFonts w:ascii="宋体" w:hAnsi="宋体"/>
          <w:color w:val="auto"/>
          <w:sz w:val="24"/>
        </w:rPr>
      </w:pPr>
      <w:r>
        <w:rPr>
          <w:rFonts w:hint="eastAsia" w:ascii="宋体" w:hAnsi="宋体"/>
          <w:color w:val="auto"/>
          <w:sz w:val="24"/>
          <w:szCs w:val="18"/>
        </w:rPr>
        <w:t>供应商</w:t>
      </w:r>
      <w:r>
        <w:rPr>
          <w:rFonts w:hint="eastAsia" w:ascii="宋体" w:hAnsi="宋体"/>
          <w:color w:val="auto"/>
          <w:sz w:val="24"/>
        </w:rPr>
        <w:t>名称：</w:t>
      </w:r>
    </w:p>
    <w:p>
      <w:pPr>
        <w:spacing w:line="360" w:lineRule="auto"/>
        <w:ind w:firstLine="480" w:firstLineChars="200"/>
        <w:rPr>
          <w:rFonts w:ascii="宋体" w:hAnsi="宋体"/>
          <w:color w:val="auto"/>
          <w:sz w:val="24"/>
        </w:rPr>
      </w:pPr>
      <w:r>
        <w:rPr>
          <w:rFonts w:hint="eastAsia" w:ascii="宋体" w:hAnsi="宋体"/>
          <w:color w:val="auto"/>
          <w:sz w:val="24"/>
        </w:rPr>
        <w:t>单位性质：</w:t>
      </w:r>
    </w:p>
    <w:p>
      <w:pPr>
        <w:spacing w:line="360" w:lineRule="auto"/>
        <w:ind w:firstLine="480" w:firstLineChars="200"/>
        <w:rPr>
          <w:rFonts w:ascii="宋体" w:hAnsi="宋体"/>
          <w:color w:val="auto"/>
          <w:sz w:val="24"/>
        </w:rPr>
      </w:pPr>
      <w:r>
        <w:rPr>
          <w:rFonts w:hint="eastAsia" w:ascii="宋体" w:hAnsi="宋体"/>
          <w:color w:val="auto"/>
          <w:sz w:val="24"/>
        </w:rPr>
        <w:t>地址：</w:t>
      </w:r>
    </w:p>
    <w:p>
      <w:pPr>
        <w:spacing w:line="360" w:lineRule="auto"/>
        <w:ind w:firstLine="480" w:firstLineChars="200"/>
        <w:rPr>
          <w:rFonts w:ascii="宋体" w:hAnsi="宋体"/>
          <w:color w:val="auto"/>
          <w:sz w:val="24"/>
        </w:rPr>
      </w:pPr>
      <w:r>
        <w:rPr>
          <w:rFonts w:hint="eastAsia" w:ascii="宋体" w:hAnsi="宋体"/>
          <w:color w:val="auto"/>
          <w:sz w:val="24"/>
        </w:rPr>
        <w:t>成立时间：年月日</w:t>
      </w:r>
    </w:p>
    <w:p>
      <w:pPr>
        <w:spacing w:line="360" w:lineRule="auto"/>
        <w:ind w:firstLine="480" w:firstLineChars="200"/>
        <w:rPr>
          <w:rFonts w:ascii="宋体" w:hAnsi="宋体"/>
          <w:color w:val="auto"/>
          <w:sz w:val="24"/>
        </w:rPr>
      </w:pPr>
      <w:r>
        <w:rPr>
          <w:rFonts w:hint="eastAsia" w:ascii="宋体" w:hAnsi="宋体"/>
          <w:color w:val="auto"/>
          <w:sz w:val="24"/>
        </w:rPr>
        <w:t>经营期限：</w:t>
      </w:r>
    </w:p>
    <w:p>
      <w:pPr>
        <w:spacing w:line="360" w:lineRule="auto"/>
        <w:ind w:firstLine="480" w:firstLineChars="200"/>
        <w:rPr>
          <w:rFonts w:ascii="宋体" w:hAnsi="宋体"/>
          <w:color w:val="auto"/>
          <w:sz w:val="24"/>
        </w:rPr>
      </w:pPr>
      <w:r>
        <w:rPr>
          <w:rFonts w:hint="eastAsia" w:ascii="宋体" w:hAnsi="宋体"/>
          <w:color w:val="auto"/>
          <w:sz w:val="24"/>
        </w:rPr>
        <w:t>姓名：性别：年龄： 职务：_</w:t>
      </w:r>
    </w:p>
    <w:p>
      <w:pPr>
        <w:spacing w:line="360" w:lineRule="auto"/>
        <w:ind w:firstLine="480" w:firstLineChars="200"/>
        <w:rPr>
          <w:rFonts w:ascii="宋体" w:hAnsi="宋体"/>
          <w:color w:val="auto"/>
          <w:sz w:val="24"/>
        </w:rPr>
      </w:pPr>
      <w:r>
        <w:rPr>
          <w:rFonts w:hint="eastAsia" w:ascii="宋体" w:hAnsi="宋体"/>
          <w:color w:val="auto"/>
          <w:sz w:val="24"/>
        </w:rPr>
        <w:t>系（供应商名称）的法定代表人。</w:t>
      </w:r>
    </w:p>
    <w:p>
      <w:pPr>
        <w:spacing w:line="360" w:lineRule="auto"/>
        <w:ind w:firstLine="480" w:firstLineChars="200"/>
        <w:rPr>
          <w:rFonts w:ascii="宋体" w:hAnsi="宋体"/>
          <w:color w:val="auto"/>
          <w:sz w:val="24"/>
        </w:rPr>
      </w:pPr>
      <w:r>
        <w:rPr>
          <w:rFonts w:hint="eastAsia" w:ascii="宋体" w:hAnsi="宋体"/>
          <w:color w:val="auto"/>
          <w:sz w:val="24"/>
        </w:rPr>
        <w:t>特此证明。</w:t>
      </w:r>
    </w:p>
    <w:p>
      <w:pPr>
        <w:pStyle w:val="10"/>
        <w:rPr>
          <w:rFonts w:ascii="宋体" w:hAnsi="宋体"/>
          <w:color w:val="auto"/>
          <w:sz w:val="24"/>
        </w:rPr>
      </w:pPr>
      <w:r>
        <w:rPr>
          <w:color w:val="auto"/>
          <w:sz w:val="24"/>
        </w:rPr>
        <w:pict>
          <v:shape id="自选图形 5" o:spid="_x0000_s1026" o:spt="176" type="#_x0000_t176" style="position:absolute;left:0pt;margin-left:207.8pt;margin-top:21.65pt;height:176pt;width:246.8pt;z-index:251663360;mso-width-relative:page;mso-height-relative:page;" coordsize="21600,21600" o:gfxdata="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YnFko2AAAAAoBAAAPAAAAAAAAAAEAIAAAACIAAABkcnMvZG93bnJldi54bWxQSwECFAAU&#10;AAAACACHTuJAYmRj9CoCAABoBAAADgAAAAAAAAABACAAAAAnAQAAZHJzL2Uyb0RvYy54bWxQSwUG&#10;AAAAAAYABgBZAQAAwwUAAAAA&#10;">
            <v:path/>
            <v:fill focussize="0,0"/>
            <v:stroke joinstyle="miter"/>
            <v:imagedata o:title=""/>
            <o:lock v:ext="edit"/>
            <v:textbox>
              <w:txbxContent>
                <w:p/>
              </w:txbxContent>
            </v:textbox>
          </v:shape>
        </w:pict>
      </w:r>
      <w:r>
        <w:rPr>
          <w:color w:val="auto"/>
          <w:sz w:val="24"/>
        </w:rPr>
        <w:pict>
          <v:shape id="自选图形 3" o:spid="_x0000_s1062" o:spt="176" type="#_x0000_t176" style="position:absolute;left:0pt;margin-left:-42.5pt;margin-top:21.65pt;height:176pt;width:246.8pt;z-index:251661312;mso-width-relative:page;mso-height-relative:page;"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PULiC2QAAAAoBAAAPAAAAAAAAAAEAIAAAACIAAABkcnMvZG93bnJldi54bWxQSwECFAAU&#10;AAAACACHTuJAQdiGIikCAABoBAAADgAAAAAAAAABACAAAAAoAQAAZHJzL2Uyb0RvYy54bWxQSwUG&#10;AAAAAAYABgBZAQAAwwUAAAAA&#10;">
            <v:path/>
            <v:fill focussize="0,0"/>
            <v:stroke joinstyle="miter"/>
            <v:imagedata o:title=""/>
            <o:lock v:ext="edit"/>
            <v:textbox>
              <w:txbxContent>
                <w:p/>
              </w:txbxContent>
            </v:textbox>
          </v:shape>
        </w:pict>
      </w:r>
    </w:p>
    <w:p>
      <w:pPr>
        <w:rPr>
          <w:rFonts w:ascii="宋体" w:hAnsi="宋体"/>
          <w:color w:val="auto"/>
          <w:sz w:val="24"/>
        </w:rPr>
      </w:pPr>
    </w:p>
    <w:p>
      <w:pPr>
        <w:pStyle w:val="10"/>
        <w:rPr>
          <w:rFonts w:ascii="宋体" w:hAnsi="宋体"/>
          <w:color w:val="auto"/>
          <w:sz w:val="24"/>
        </w:rPr>
      </w:pPr>
      <w:r>
        <w:rPr>
          <w:color w:val="auto"/>
          <w:sz w:val="24"/>
        </w:rPr>
        <w:pict>
          <v:rect id="文本框 6" o:spid="_x0000_s1061" o:spt="1" style="position:absolute;left:0pt;margin-left:219pt;margin-top:28.45pt;height:23.35pt;width:221.3pt;z-index:251664384;mso-width-relative:page;mso-height-relative:page;" coordsize="21600,21600" o:gfxdata="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2XjgtgAAAAKAQAADwAA&#10;AAAAAAABACAAAAAiAAAAZHJzL2Rvd25yZXYueG1sUEsBAhQAFAAAAAgAh07iQIPNe9wWAgAATwQA&#10;AA4AAAAAAAAAAQAgAAAAJwEAAGRycy9lMm9Eb2MueG1sUEsFBgAAAAAGAAYAWQEAAK8FAAAAAA==&#10;">
            <v:path/>
            <v:fill focussize="0,0"/>
            <v:stroke/>
            <v:imagedata o:title=""/>
            <o:lock v:ext="edit"/>
            <v:textbox>
              <w:txbxContent>
                <w:p>
                  <w:r>
                    <w:rPr>
                      <w:rFonts w:hint="eastAsia" w:ascii="宋体" w:hAnsi="宋体"/>
                      <w:sz w:val="24"/>
                    </w:rPr>
                    <w:t>法定代表人身份证复印件粘贴处（背面）</w:t>
                  </w:r>
                </w:p>
              </w:txbxContent>
            </v:textbox>
          </v:rect>
        </w:pict>
      </w:r>
      <w:r>
        <w:rPr>
          <w:color w:val="auto"/>
          <w:sz w:val="24"/>
        </w:rPr>
        <w:pict>
          <v:rect id="文本框 4" o:spid="_x0000_s1060" o:spt="1" style="position:absolute;left:0pt;margin-left:-33.5pt;margin-top:29.35pt;height:23.35pt;width:221.3pt;z-index:251662336;mso-width-relative:page;mso-height-relative:page;" coordsize="21600,21600" o:gfxdata="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fdd3bZAAAACgEAAA8A&#10;AAAAAAAAAQAgAAAAIgAAAGRycy9kb3ducmV2LnhtbFBLAQIUABQAAAAIAIdO4kCAa85cFgIAAE8E&#10;AAAOAAAAAAAAAAEAIAAAACgBAABkcnMvZTJvRG9jLnhtbFBLBQYAAAAABgAGAFkBAACwBQAAAAA=&#10;">
            <v:path/>
            <v:fill focussize="0,0"/>
            <v:stroke/>
            <v:imagedata o:title=""/>
            <o:lock v:ext="edit"/>
            <v:textbox>
              <w:txbxContent>
                <w:p>
                  <w:r>
                    <w:rPr>
                      <w:rFonts w:hint="eastAsia" w:ascii="宋体" w:hAnsi="宋体"/>
                      <w:sz w:val="24"/>
                    </w:rPr>
                    <w:t>法定代表人身份证复印件粘贴处（正面）</w:t>
                  </w:r>
                </w:p>
              </w:txbxContent>
            </v:textbox>
          </v:rect>
        </w:pict>
      </w:r>
    </w:p>
    <w:p>
      <w:pPr>
        <w:rPr>
          <w:rFonts w:ascii="宋体" w:hAnsi="宋体"/>
          <w:color w:val="auto"/>
          <w:sz w:val="24"/>
        </w:rPr>
      </w:pPr>
    </w:p>
    <w:p>
      <w:pPr>
        <w:pStyle w:val="10"/>
        <w:rPr>
          <w:color w:val="auto"/>
        </w:rPr>
      </w:pPr>
    </w:p>
    <w:p>
      <w:pPr>
        <w:spacing w:line="360" w:lineRule="auto"/>
        <w:ind w:firstLine="480" w:firstLineChars="200"/>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供应商： （盖单位章）</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5760" w:firstLineChars="2400"/>
        <w:rPr>
          <w:rFonts w:ascii="宋体" w:hAnsi="宋体"/>
          <w:color w:val="auto"/>
          <w:sz w:val="24"/>
        </w:rPr>
      </w:pPr>
      <w:r>
        <w:rPr>
          <w:rFonts w:hint="eastAsia" w:ascii="宋体" w:hAnsi="宋体"/>
          <w:color w:val="auto"/>
          <w:sz w:val="24"/>
        </w:rPr>
        <w:t>年    月     日</w:t>
      </w:r>
    </w:p>
    <w:p>
      <w:pPr>
        <w:pStyle w:val="10"/>
        <w:spacing w:before="0" w:after="0" w:line="360" w:lineRule="auto"/>
        <w:rPr>
          <w:rFonts w:ascii="宋体" w:hAnsi="宋体" w:cs="宋体"/>
          <w:color w:val="auto"/>
        </w:rPr>
      </w:pPr>
      <w:bookmarkStart w:id="52" w:name="_Toc20736"/>
      <w:r>
        <w:rPr>
          <w:rFonts w:hint="eastAsia" w:ascii="宋体" w:hAnsi="宋体" w:cs="宋体"/>
          <w:color w:val="auto"/>
        </w:rPr>
        <w:t>附件3：</w:t>
      </w:r>
      <w:bookmarkEnd w:id="52"/>
    </w:p>
    <w:p>
      <w:pPr>
        <w:spacing w:line="360" w:lineRule="auto"/>
        <w:ind w:firstLine="880" w:firstLineChars="200"/>
        <w:jc w:val="center"/>
        <w:rPr>
          <w:rFonts w:ascii="宋体" w:hAnsi="宋体"/>
          <w:b/>
          <w:color w:val="auto"/>
          <w:sz w:val="44"/>
          <w:szCs w:val="44"/>
        </w:rPr>
      </w:pPr>
    </w:p>
    <w:p>
      <w:pPr>
        <w:spacing w:line="360" w:lineRule="auto"/>
        <w:ind w:firstLine="880" w:firstLineChars="200"/>
        <w:jc w:val="center"/>
        <w:rPr>
          <w:rFonts w:ascii="宋体" w:hAnsi="宋体"/>
          <w:b/>
          <w:color w:val="auto"/>
          <w:sz w:val="44"/>
          <w:szCs w:val="44"/>
        </w:rPr>
      </w:pPr>
      <w:r>
        <w:rPr>
          <w:rFonts w:hint="eastAsia" w:ascii="宋体" w:hAnsi="宋体"/>
          <w:b/>
          <w:color w:val="auto"/>
          <w:sz w:val="44"/>
          <w:szCs w:val="44"/>
        </w:rPr>
        <w:t>授权委托书</w:t>
      </w:r>
    </w:p>
    <w:p>
      <w:pPr>
        <w:pStyle w:val="10"/>
        <w:rPr>
          <w:color w:val="auto"/>
        </w:rPr>
      </w:pPr>
    </w:p>
    <w:p>
      <w:pPr>
        <w:spacing w:line="360" w:lineRule="auto"/>
        <w:ind w:firstLine="480" w:firstLineChars="200"/>
        <w:rPr>
          <w:rFonts w:ascii="宋体" w:hAnsi="宋体"/>
          <w:color w:val="auto"/>
          <w:sz w:val="24"/>
        </w:rPr>
      </w:pPr>
      <w:r>
        <w:rPr>
          <w:rFonts w:hint="eastAsia" w:ascii="宋体" w:hAnsi="宋体"/>
          <w:color w:val="auto"/>
          <w:sz w:val="24"/>
        </w:rPr>
        <w:t>本人（姓名）系（供应商名称）的法定代表人，现委托（姓名）为我方代理人。代理人根据授权，以我方名义签署、澄清、说明、补正、递交、撤回、修改（项目名称）项目响应文件、签订合同和处理有关事宜，其法律后果由我方承担。</w:t>
      </w:r>
    </w:p>
    <w:p>
      <w:pPr>
        <w:spacing w:line="360" w:lineRule="auto"/>
        <w:ind w:firstLine="480" w:firstLineChars="200"/>
        <w:rPr>
          <w:rFonts w:ascii="宋体" w:hAnsi="宋体"/>
          <w:color w:val="auto"/>
          <w:sz w:val="24"/>
        </w:rPr>
      </w:pPr>
      <w:r>
        <w:rPr>
          <w:rFonts w:hint="eastAsia" w:ascii="宋体" w:hAnsi="宋体"/>
          <w:color w:val="auto"/>
          <w:sz w:val="24"/>
        </w:rPr>
        <w:t>委托期限：</w:t>
      </w:r>
    </w:p>
    <w:p>
      <w:pPr>
        <w:spacing w:line="360" w:lineRule="auto"/>
        <w:ind w:firstLine="480" w:firstLineChars="200"/>
        <w:rPr>
          <w:rFonts w:ascii="宋体" w:hAnsi="宋体"/>
          <w:color w:val="auto"/>
          <w:sz w:val="24"/>
        </w:rPr>
      </w:pPr>
      <w:r>
        <w:rPr>
          <w:rFonts w:hint="eastAsia" w:ascii="宋体" w:hAnsi="宋体"/>
          <w:color w:val="auto"/>
          <w:sz w:val="24"/>
        </w:rPr>
        <w:t>代理人无转委托权。</w:t>
      </w:r>
    </w:p>
    <w:p>
      <w:pPr>
        <w:spacing w:line="360" w:lineRule="auto"/>
        <w:ind w:firstLine="480" w:firstLineChars="200"/>
        <w:rPr>
          <w:rFonts w:ascii="宋体" w:hAnsi="宋体"/>
          <w:color w:val="auto"/>
          <w:sz w:val="24"/>
        </w:rPr>
      </w:pPr>
      <w:r>
        <w:rPr>
          <w:color w:val="auto"/>
          <w:sz w:val="24"/>
        </w:rPr>
        <w:pict>
          <v:shape id="自选图形 7" o:spid="_x0000_s1059" o:spt="176" type="#_x0000_t176" style="position:absolute;left:0pt;margin-left:-35.25pt;margin-top:11.9pt;height:176pt;width:246.8pt;z-index:251665408;mso-width-relative:page;mso-height-relative:page;"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bg61XZAAAACgEAAA8AAAAAAAAAAQAgAAAAIgAAAGRycy9kb3ducmV2LnhtbFBLAQIU&#10;ABQAAAAIAIdO4kA3+RyCKwIAAGgEAAAOAAAAAAAAAAEAIAAAACgBAABkcnMvZTJvRG9jLnhtbFBL&#10;BQYAAAAABgAGAFkBAADFBQAAAAA=&#10;">
            <v:path/>
            <v:fill focussize="0,0"/>
            <v:stroke joinstyle="miter"/>
            <v:imagedata o:title=""/>
            <o:lock v:ext="edit"/>
            <v:textbox>
              <w:txbxContent>
                <w:p/>
              </w:txbxContent>
            </v:textbox>
          </v:shape>
        </w:pict>
      </w:r>
      <w:r>
        <w:rPr>
          <w:color w:val="auto"/>
          <w:sz w:val="24"/>
        </w:rPr>
        <w:pict>
          <v:shape id="自选图形 8" o:spid="_x0000_s1058" o:spt="176" type="#_x0000_t176" style="position:absolute;left:0pt;margin-left:212.25pt;margin-top:14.15pt;height:176pt;width:246.8pt;z-index:251666432;mso-width-relative:page;mso-height-relative:page;"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9&#10;z/e82QAAAAoBAAAPAAAAAAAAAAEAIAAAACIAAABkcnMvZG93bnJldi54bWxQSwECFAAUAAAACACH&#10;TuJAK6TAViMCAABdBAAADgAAAAAAAAABACAAAAAoAQAAZHJzL2Uyb0RvYy54bWxQSwUGAAAAAAYA&#10;BgBZAQAAvQUAAAAA&#10;">
            <v:path/>
            <v:fill focussize="0,0"/>
            <v:stroke joinstyle="miter"/>
            <v:imagedata o:title=""/>
            <o:lock v:ext="edit"/>
          </v:shape>
        </w:pict>
      </w:r>
    </w:p>
    <w:p>
      <w:pPr>
        <w:spacing w:line="360" w:lineRule="auto"/>
        <w:ind w:firstLine="480" w:firstLineChars="200"/>
        <w:rPr>
          <w:rFonts w:ascii="宋体" w:hAnsi="宋体"/>
          <w:color w:val="auto"/>
          <w:sz w:val="24"/>
        </w:rPr>
      </w:pPr>
    </w:p>
    <w:p>
      <w:pPr>
        <w:spacing w:line="360" w:lineRule="auto"/>
        <w:ind w:firstLine="480" w:firstLineChars="200"/>
        <w:jc w:val="left"/>
        <w:rPr>
          <w:rFonts w:ascii="宋体" w:hAnsi="宋体"/>
          <w:color w:val="auto"/>
          <w:sz w:val="24"/>
        </w:rPr>
      </w:pPr>
    </w:p>
    <w:p>
      <w:pPr>
        <w:spacing w:line="360" w:lineRule="auto"/>
        <w:ind w:firstLine="480" w:firstLineChars="200"/>
        <w:jc w:val="left"/>
        <w:rPr>
          <w:rFonts w:ascii="宋体" w:hAnsi="宋体"/>
          <w:color w:val="auto"/>
          <w:sz w:val="24"/>
        </w:rPr>
      </w:pPr>
      <w:r>
        <w:rPr>
          <w:color w:val="auto"/>
          <w:sz w:val="24"/>
        </w:rPr>
        <w:pict>
          <v:rect id="文本框 9" o:spid="_x0000_s1057" o:spt="1" style="position:absolute;left:0pt;margin-left:-20.9pt;margin-top:21.5pt;height:23.35pt;width:221.3pt;z-index:251667456;mso-width-relative:page;mso-height-relative:page;" coordsize="21600,21600" o:gfxdata="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dWWHdgAAAAJAQAADwAA&#10;AAAAAAABACAAAAAiAAAAZHJzL2Rvd25yZXYueG1sUEsBAhQAFAAAAAgAh07iQJ/qIUoWAgAATwQA&#10;AA4AAAAAAAAAAQAgAAAAJwEAAGRycy9lMm9Eb2MueG1sUEsFBgAAAAAGAAYAWQEAAK8FAAAAAA==&#10;">
            <v:path/>
            <v:fill focussize="0,0"/>
            <v:stroke/>
            <v:imagedata o:title=""/>
            <o:lock v:ext="edit"/>
            <v:textbox>
              <w:txbxContent>
                <w:p>
                  <w:r>
                    <w:rPr>
                      <w:rFonts w:hint="eastAsia" w:ascii="宋体" w:hAnsi="宋体"/>
                      <w:sz w:val="24"/>
                    </w:rPr>
                    <w:t>委托代理人身份证复印件粘贴处（正面）</w:t>
                  </w:r>
                </w:p>
              </w:txbxContent>
            </v:textbox>
          </v:rect>
        </w:pict>
      </w:r>
      <w:r>
        <w:rPr>
          <w:color w:val="auto"/>
          <w:sz w:val="24"/>
        </w:rPr>
        <w:pict>
          <v:rect id="文本框 10" o:spid="_x0000_s1056" o:spt="1" style="position:absolute;left:0pt;margin-left:222.45pt;margin-top:18.5pt;height:23.35pt;width:221.3pt;z-index:251668480;mso-width-relative:page;mso-height-relative:page;" coordsize="21600,21600" o:gfxdata="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GS5EPYAAAACQEAAA8AAAAA&#10;AAAAAQAgAAAAIgAAAGRycy9kb3ducmV2LnhtbFBLAQIUABQAAAAIAIdO4kCuVJTKFAIAAFAEAAAO&#10;AAAAAAAAAAEAIAAAACcBAABkcnMvZTJvRG9jLnhtbFBLBQYAAAAABgAGAFkBAACtBQAAAAA=&#10;">
            <v:path/>
            <v:fill focussize="0,0"/>
            <v:stroke/>
            <v:imagedata o:title=""/>
            <o:lock v:ext="edit"/>
            <v:textbox>
              <w:txbxContent>
                <w:p>
                  <w:r>
                    <w:rPr>
                      <w:rFonts w:hint="eastAsia" w:ascii="宋体" w:hAnsi="宋体"/>
                      <w:sz w:val="24"/>
                    </w:rPr>
                    <w:t>委托代理人身份证复印件粘贴处（背面）</w:t>
                  </w:r>
                </w:p>
              </w:txbxContent>
            </v:textbox>
          </v:rect>
        </w:pict>
      </w:r>
    </w:p>
    <w:p>
      <w:pPr>
        <w:spacing w:line="360" w:lineRule="auto"/>
        <w:ind w:firstLine="480" w:firstLineChars="200"/>
        <w:jc w:val="left"/>
        <w:rPr>
          <w:rFonts w:ascii="宋体" w:hAnsi="宋体"/>
          <w:color w:val="auto"/>
          <w:sz w:val="24"/>
        </w:rPr>
      </w:pPr>
    </w:p>
    <w:p>
      <w:pPr>
        <w:spacing w:line="360" w:lineRule="auto"/>
        <w:ind w:firstLine="480" w:firstLineChars="200"/>
        <w:jc w:val="left"/>
        <w:rPr>
          <w:rFonts w:ascii="宋体" w:hAnsi="宋体"/>
          <w:color w:val="auto"/>
          <w:sz w:val="24"/>
        </w:rPr>
      </w:pPr>
    </w:p>
    <w:p>
      <w:pPr>
        <w:spacing w:line="360" w:lineRule="auto"/>
        <w:ind w:firstLine="480" w:firstLineChars="200"/>
        <w:jc w:val="left"/>
        <w:rPr>
          <w:rFonts w:ascii="宋体" w:hAnsi="宋体"/>
          <w:color w:val="auto"/>
          <w:sz w:val="24"/>
        </w:rPr>
      </w:pPr>
    </w:p>
    <w:p>
      <w:pPr>
        <w:spacing w:line="360" w:lineRule="auto"/>
        <w:ind w:firstLine="480" w:firstLineChars="200"/>
        <w:jc w:val="left"/>
        <w:rPr>
          <w:rFonts w:ascii="宋体" w:hAnsi="宋体"/>
          <w:color w:val="auto"/>
          <w:sz w:val="24"/>
        </w:rPr>
      </w:pPr>
    </w:p>
    <w:p>
      <w:pPr>
        <w:spacing w:line="360" w:lineRule="auto"/>
        <w:jc w:val="left"/>
        <w:rPr>
          <w:rFonts w:ascii="宋体" w:hAnsi="宋体"/>
          <w:color w:val="auto"/>
          <w:sz w:val="24"/>
        </w:rPr>
      </w:pPr>
    </w:p>
    <w:p>
      <w:pPr>
        <w:spacing w:line="360" w:lineRule="auto"/>
        <w:jc w:val="left"/>
        <w:rPr>
          <w:rFonts w:ascii="宋体" w:hAnsi="宋体"/>
          <w:color w:val="auto"/>
          <w:sz w:val="24"/>
        </w:rPr>
      </w:pPr>
      <w:r>
        <w:rPr>
          <w:rFonts w:hint="eastAsia" w:ascii="宋体" w:hAnsi="宋体"/>
          <w:color w:val="auto"/>
          <w:sz w:val="24"/>
        </w:rPr>
        <w:t xml:space="preserve">供应商：（盖单位公章） </w:t>
      </w:r>
    </w:p>
    <w:p>
      <w:pPr>
        <w:spacing w:line="360" w:lineRule="auto"/>
        <w:jc w:val="left"/>
        <w:rPr>
          <w:rFonts w:ascii="宋体" w:hAnsi="宋体"/>
          <w:color w:val="auto"/>
          <w:sz w:val="24"/>
        </w:rPr>
      </w:pPr>
      <w:r>
        <w:rPr>
          <w:rFonts w:hint="eastAsia" w:ascii="宋体" w:hAnsi="宋体"/>
          <w:color w:val="auto"/>
          <w:sz w:val="24"/>
        </w:rPr>
        <w:t>法定代表人：（签字或盖章）</w:t>
      </w:r>
    </w:p>
    <w:p>
      <w:pPr>
        <w:spacing w:line="360" w:lineRule="auto"/>
        <w:jc w:val="left"/>
        <w:rPr>
          <w:rFonts w:ascii="宋体" w:hAnsi="宋体"/>
          <w:color w:val="auto"/>
          <w:sz w:val="24"/>
        </w:rPr>
      </w:pPr>
      <w:r>
        <w:rPr>
          <w:rFonts w:hint="eastAsia" w:ascii="宋体" w:hAnsi="宋体"/>
          <w:color w:val="auto"/>
          <w:sz w:val="24"/>
        </w:rPr>
        <w:t>委托代理人：（签字或盖章）</w:t>
      </w:r>
    </w:p>
    <w:p>
      <w:pPr>
        <w:spacing w:line="360" w:lineRule="auto"/>
        <w:ind w:firstLine="5040" w:firstLineChars="2100"/>
        <w:rPr>
          <w:rFonts w:ascii="宋体" w:hAnsi="宋体"/>
          <w:color w:val="auto"/>
          <w:sz w:val="24"/>
        </w:rPr>
      </w:pPr>
    </w:p>
    <w:p>
      <w:pPr>
        <w:spacing w:line="360" w:lineRule="auto"/>
        <w:ind w:firstLine="5040" w:firstLineChars="2100"/>
        <w:rPr>
          <w:rFonts w:ascii="宋体" w:hAnsi="宋体"/>
          <w:color w:val="auto"/>
          <w:sz w:val="24"/>
        </w:rPr>
      </w:pPr>
      <w:r>
        <w:rPr>
          <w:rFonts w:hint="eastAsia" w:ascii="宋体" w:hAnsi="宋体"/>
          <w:color w:val="auto"/>
          <w:sz w:val="24"/>
        </w:rPr>
        <w:t>年月日</w:t>
      </w:r>
    </w:p>
    <w:p>
      <w:pPr>
        <w:widowControl/>
        <w:spacing w:line="360" w:lineRule="auto"/>
        <w:jc w:val="left"/>
        <w:rPr>
          <w:rFonts w:ascii="宋体" w:hAnsi="宋体"/>
          <w:b/>
          <w:color w:val="auto"/>
          <w:sz w:val="28"/>
          <w:szCs w:val="28"/>
        </w:rPr>
      </w:pPr>
    </w:p>
    <w:p>
      <w:pPr>
        <w:widowControl/>
        <w:spacing w:line="360" w:lineRule="auto"/>
        <w:jc w:val="left"/>
        <w:rPr>
          <w:rFonts w:ascii="宋体" w:hAnsi="宋体"/>
          <w:b/>
          <w:color w:val="auto"/>
          <w:sz w:val="28"/>
          <w:szCs w:val="28"/>
        </w:rPr>
      </w:pPr>
    </w:p>
    <w:p>
      <w:pPr>
        <w:widowControl/>
        <w:spacing w:line="360" w:lineRule="auto"/>
        <w:jc w:val="left"/>
        <w:rPr>
          <w:rFonts w:ascii="宋体" w:hAnsi="宋体"/>
          <w:b/>
          <w:color w:val="auto"/>
          <w:sz w:val="28"/>
          <w:szCs w:val="28"/>
        </w:rPr>
      </w:pPr>
      <w:r>
        <w:rPr>
          <w:rFonts w:hint="eastAsia" w:ascii="宋体" w:hAnsi="宋体"/>
          <w:b/>
          <w:color w:val="auto"/>
          <w:sz w:val="28"/>
          <w:szCs w:val="28"/>
        </w:rPr>
        <w:t>附件4：</w:t>
      </w:r>
    </w:p>
    <w:p>
      <w:pPr>
        <w:widowControl/>
        <w:spacing w:line="360" w:lineRule="auto"/>
        <w:jc w:val="center"/>
        <w:rPr>
          <w:rFonts w:ascii="宋体" w:hAnsi="宋体"/>
          <w:b/>
          <w:bCs/>
          <w:color w:val="auto"/>
          <w:sz w:val="44"/>
          <w:szCs w:val="44"/>
        </w:rPr>
      </w:pPr>
      <w:r>
        <w:rPr>
          <w:rFonts w:hint="eastAsia" w:ascii="宋体" w:hAnsi="宋体"/>
          <w:b/>
          <w:bCs/>
          <w:color w:val="auto"/>
          <w:sz w:val="44"/>
          <w:szCs w:val="44"/>
        </w:rPr>
        <w:t>供应商的资格证明承诺函</w:t>
      </w:r>
    </w:p>
    <w:p>
      <w:pPr>
        <w:spacing w:line="360" w:lineRule="auto"/>
        <w:ind w:left="240" w:firstLine="480" w:firstLineChars="200"/>
        <w:jc w:val="center"/>
        <w:rPr>
          <w:rFonts w:ascii="宋体" w:hAnsi="宋体" w:cs="宋体"/>
          <w:color w:val="auto"/>
          <w:sz w:val="24"/>
        </w:rPr>
      </w:pPr>
    </w:p>
    <w:p>
      <w:pPr>
        <w:widowControl/>
        <w:spacing w:line="400" w:lineRule="exact"/>
        <w:jc w:val="left"/>
        <w:rPr>
          <w:rFonts w:ascii="宋体" w:hAnsi="宋体"/>
          <w:color w:val="auto"/>
          <w:sz w:val="24"/>
          <w:szCs w:val="21"/>
        </w:rPr>
      </w:pPr>
      <w:r>
        <w:rPr>
          <w:rFonts w:hint="eastAsia" w:ascii="宋体" w:hAnsi="宋体"/>
          <w:color w:val="auto"/>
          <w:sz w:val="24"/>
          <w:szCs w:val="21"/>
        </w:rPr>
        <w:t xml:space="preserve">致 (采购人)：_________________________________ </w:t>
      </w:r>
    </w:p>
    <w:p>
      <w:pPr>
        <w:widowControl/>
        <w:spacing w:line="400" w:lineRule="exact"/>
        <w:jc w:val="left"/>
        <w:rPr>
          <w:rFonts w:ascii="宋体" w:hAnsi="宋体"/>
          <w:color w:val="auto"/>
          <w:sz w:val="24"/>
          <w:szCs w:val="21"/>
        </w:rPr>
      </w:pPr>
      <w:r>
        <w:rPr>
          <w:rFonts w:hint="eastAsia" w:ascii="宋体" w:hAnsi="宋体"/>
          <w:color w:val="auto"/>
          <w:sz w:val="24"/>
          <w:szCs w:val="21"/>
        </w:rPr>
        <w:t>供应商名称： _________________________________</w:t>
      </w:r>
    </w:p>
    <w:p>
      <w:pPr>
        <w:widowControl/>
        <w:spacing w:line="400" w:lineRule="exact"/>
        <w:jc w:val="left"/>
        <w:rPr>
          <w:rFonts w:ascii="宋体" w:hAnsi="宋体"/>
          <w:color w:val="auto"/>
          <w:sz w:val="24"/>
          <w:szCs w:val="21"/>
        </w:rPr>
      </w:pPr>
      <w:r>
        <w:rPr>
          <w:rFonts w:hint="eastAsia" w:ascii="宋体" w:hAnsi="宋体"/>
          <w:color w:val="auto"/>
          <w:sz w:val="24"/>
          <w:szCs w:val="21"/>
        </w:rPr>
        <w:t xml:space="preserve">统一社会信用代码：_________________________________ </w:t>
      </w:r>
    </w:p>
    <w:p>
      <w:pPr>
        <w:widowControl/>
        <w:spacing w:line="400" w:lineRule="exact"/>
        <w:jc w:val="left"/>
        <w:rPr>
          <w:rFonts w:ascii="宋体" w:hAnsi="宋体"/>
          <w:color w:val="auto"/>
          <w:sz w:val="24"/>
          <w:szCs w:val="21"/>
        </w:rPr>
      </w:pPr>
      <w:r>
        <w:rPr>
          <w:rFonts w:hint="eastAsia" w:ascii="宋体" w:hAnsi="宋体"/>
          <w:color w:val="auto"/>
          <w:sz w:val="24"/>
          <w:szCs w:val="21"/>
        </w:rPr>
        <w:t>供应商地址：_________________________________</w:t>
      </w:r>
    </w:p>
    <w:p>
      <w:pPr>
        <w:widowControl/>
        <w:spacing w:line="400" w:lineRule="exact"/>
        <w:ind w:firstLine="480" w:firstLineChars="200"/>
        <w:jc w:val="left"/>
        <w:rPr>
          <w:rFonts w:ascii="宋体" w:hAnsi="宋体"/>
          <w:color w:val="auto"/>
          <w:sz w:val="24"/>
          <w:szCs w:val="21"/>
        </w:rPr>
      </w:pPr>
      <w:r>
        <w:rPr>
          <w:rFonts w:hint="eastAsia" w:ascii="宋体" w:hAnsi="宋体"/>
          <w:color w:val="auto"/>
          <w:sz w:val="24"/>
          <w:szCs w:val="21"/>
        </w:rPr>
        <w:t>我单位自愿参加本次政府采购活动，严格遵守《中华人民共和国政府采购法》及相关法律法规，依法诚信经营，无条件遵守本次政府采购活动的各项规定。我单位郑重承诺：</w:t>
      </w:r>
    </w:p>
    <w:p>
      <w:pPr>
        <w:widowControl/>
        <w:spacing w:line="400" w:lineRule="exact"/>
        <w:ind w:firstLine="480" w:firstLineChars="200"/>
        <w:jc w:val="left"/>
        <w:rPr>
          <w:rFonts w:ascii="宋体" w:hAnsi="宋体"/>
          <w:color w:val="auto"/>
          <w:sz w:val="24"/>
          <w:szCs w:val="21"/>
        </w:rPr>
      </w:pPr>
      <w:r>
        <w:rPr>
          <w:rFonts w:hint="eastAsia" w:ascii="宋体" w:hAnsi="宋体"/>
          <w:color w:val="auto"/>
          <w:sz w:val="24"/>
          <w:szCs w:val="21"/>
        </w:rPr>
        <w:t>一、我单位具有有效的营业执照（三证合一）</w:t>
      </w:r>
    </w:p>
    <w:p>
      <w:pPr>
        <w:widowControl/>
        <w:spacing w:line="400" w:lineRule="exact"/>
        <w:ind w:firstLine="480" w:firstLineChars="200"/>
        <w:jc w:val="left"/>
        <w:rPr>
          <w:rFonts w:ascii="宋体" w:hAnsi="宋体"/>
          <w:color w:val="auto"/>
          <w:sz w:val="24"/>
          <w:szCs w:val="21"/>
        </w:rPr>
      </w:pPr>
      <w:r>
        <w:rPr>
          <w:rFonts w:hint="eastAsia" w:ascii="宋体" w:hAnsi="宋体"/>
          <w:color w:val="auto"/>
          <w:sz w:val="24"/>
          <w:szCs w:val="21"/>
        </w:rPr>
        <w:t xml:space="preserve">二、我单位符合《中华人民共和国政府采购法》第二十二条规定的条件： </w:t>
      </w:r>
    </w:p>
    <w:p>
      <w:pPr>
        <w:widowControl/>
        <w:spacing w:line="400" w:lineRule="exact"/>
        <w:ind w:firstLine="480" w:firstLineChars="200"/>
        <w:jc w:val="left"/>
        <w:rPr>
          <w:rFonts w:ascii="宋体" w:hAnsi="宋体"/>
          <w:color w:val="auto"/>
          <w:sz w:val="24"/>
          <w:szCs w:val="21"/>
        </w:rPr>
      </w:pPr>
      <w:r>
        <w:rPr>
          <w:rFonts w:hint="eastAsia" w:ascii="宋体" w:hAnsi="宋体"/>
          <w:color w:val="auto"/>
          <w:sz w:val="24"/>
          <w:szCs w:val="21"/>
        </w:rPr>
        <w:t xml:space="preserve">1.我单位具有符合采购文件资格要求独立承担民事责任的能力。 </w:t>
      </w:r>
    </w:p>
    <w:p>
      <w:pPr>
        <w:widowControl/>
        <w:spacing w:line="400" w:lineRule="exact"/>
        <w:ind w:firstLine="480" w:firstLineChars="200"/>
        <w:jc w:val="left"/>
        <w:rPr>
          <w:rFonts w:ascii="宋体" w:hAnsi="宋体"/>
          <w:color w:val="auto"/>
          <w:sz w:val="24"/>
          <w:szCs w:val="21"/>
        </w:rPr>
      </w:pPr>
      <w:r>
        <w:rPr>
          <w:rFonts w:hint="eastAsia" w:ascii="宋体" w:hAnsi="宋体"/>
          <w:color w:val="auto"/>
          <w:sz w:val="24"/>
          <w:szCs w:val="21"/>
        </w:rPr>
        <w:t xml:space="preserve">2.我单位具有符合采购文件资格要求的财务状况报告。 </w:t>
      </w:r>
    </w:p>
    <w:p>
      <w:pPr>
        <w:widowControl/>
        <w:spacing w:line="400" w:lineRule="exact"/>
        <w:ind w:firstLine="480" w:firstLineChars="200"/>
        <w:jc w:val="left"/>
        <w:rPr>
          <w:rFonts w:ascii="宋体" w:hAnsi="宋体"/>
          <w:color w:val="auto"/>
          <w:sz w:val="24"/>
          <w:szCs w:val="21"/>
        </w:rPr>
      </w:pPr>
      <w:r>
        <w:rPr>
          <w:rFonts w:hint="eastAsia" w:ascii="宋体" w:hAnsi="宋体"/>
          <w:color w:val="auto"/>
          <w:sz w:val="24"/>
          <w:szCs w:val="21"/>
        </w:rPr>
        <w:t xml:space="preserve">3.我单位具有符合采购文件资格要求的依法缴纳税收和社会保障记录的良好记录。 </w:t>
      </w:r>
    </w:p>
    <w:p>
      <w:pPr>
        <w:widowControl/>
        <w:spacing w:line="400" w:lineRule="exact"/>
        <w:ind w:firstLine="480" w:firstLineChars="200"/>
        <w:jc w:val="left"/>
        <w:rPr>
          <w:rFonts w:ascii="宋体" w:hAnsi="宋体"/>
          <w:color w:val="auto"/>
          <w:sz w:val="24"/>
          <w:szCs w:val="21"/>
        </w:rPr>
      </w:pPr>
      <w:r>
        <w:rPr>
          <w:rFonts w:hint="eastAsia" w:ascii="宋体" w:hAnsi="宋体"/>
          <w:color w:val="auto"/>
          <w:sz w:val="24"/>
          <w:szCs w:val="21"/>
        </w:rPr>
        <w:t xml:space="preserve">4.我单位具有符合采购文件资格要求履行合同所必需的设备和专业技术能力。 </w:t>
      </w:r>
    </w:p>
    <w:p>
      <w:pPr>
        <w:widowControl/>
        <w:spacing w:line="400" w:lineRule="exact"/>
        <w:ind w:firstLine="480" w:firstLineChars="200"/>
        <w:jc w:val="left"/>
        <w:rPr>
          <w:rFonts w:ascii="宋体" w:hAnsi="宋体"/>
          <w:color w:val="auto"/>
          <w:sz w:val="24"/>
          <w:szCs w:val="21"/>
        </w:rPr>
      </w:pPr>
      <w:r>
        <w:rPr>
          <w:rFonts w:hint="eastAsia" w:ascii="宋体" w:hAnsi="宋体"/>
          <w:color w:val="auto"/>
          <w:sz w:val="24"/>
          <w:szCs w:val="21"/>
        </w:rPr>
        <w:t xml:space="preserve">5.我单位参加政府采购活动前三年内，在经营活动中没有重大违法记录。 </w:t>
      </w:r>
    </w:p>
    <w:p>
      <w:pPr>
        <w:pStyle w:val="10"/>
        <w:spacing w:line="400" w:lineRule="exact"/>
        <w:ind w:firstLine="480" w:firstLineChars="200"/>
        <w:rPr>
          <w:rFonts w:ascii="宋体" w:hAnsi="宋体"/>
          <w:color w:val="auto"/>
          <w:sz w:val="24"/>
          <w:szCs w:val="21"/>
        </w:rPr>
      </w:pPr>
      <w:bookmarkStart w:id="53" w:name="_Toc14832"/>
      <w:r>
        <w:rPr>
          <w:rFonts w:hint="eastAsia" w:ascii="宋体" w:hAnsi="宋体"/>
          <w:color w:val="auto"/>
          <w:sz w:val="24"/>
          <w:szCs w:val="21"/>
        </w:rPr>
        <w:t>若我单位承诺不实，自愿承担提供虚假材料谋取中标、成交的法律责任。</w:t>
      </w:r>
      <w:bookmarkEnd w:id="53"/>
    </w:p>
    <w:p>
      <w:pPr>
        <w:widowControl/>
        <w:spacing w:line="480" w:lineRule="exact"/>
        <w:jc w:val="right"/>
        <w:rPr>
          <w:rFonts w:ascii="宋体" w:hAnsi="宋体"/>
          <w:color w:val="auto"/>
          <w:sz w:val="24"/>
          <w:szCs w:val="21"/>
        </w:rPr>
      </w:pPr>
    </w:p>
    <w:p>
      <w:pPr>
        <w:widowControl/>
        <w:spacing w:line="480" w:lineRule="exact"/>
        <w:jc w:val="right"/>
        <w:rPr>
          <w:rFonts w:ascii="宋体" w:hAnsi="宋体"/>
          <w:color w:val="auto"/>
          <w:sz w:val="24"/>
          <w:szCs w:val="21"/>
        </w:rPr>
      </w:pPr>
      <w:r>
        <w:rPr>
          <w:rFonts w:hint="eastAsia" w:ascii="宋体" w:hAnsi="宋体"/>
          <w:color w:val="auto"/>
          <w:sz w:val="24"/>
          <w:szCs w:val="21"/>
        </w:rPr>
        <w:t xml:space="preserve">承诺供应商（全称并加盖公章）：__________________ </w:t>
      </w:r>
    </w:p>
    <w:p>
      <w:pPr>
        <w:widowControl/>
        <w:spacing w:line="480" w:lineRule="exact"/>
        <w:jc w:val="right"/>
        <w:rPr>
          <w:rFonts w:ascii="宋体" w:hAnsi="宋体"/>
          <w:color w:val="auto"/>
          <w:sz w:val="24"/>
          <w:szCs w:val="21"/>
        </w:rPr>
      </w:pPr>
    </w:p>
    <w:p>
      <w:pPr>
        <w:widowControl/>
        <w:spacing w:line="480" w:lineRule="exact"/>
        <w:jc w:val="right"/>
        <w:rPr>
          <w:rFonts w:ascii="宋体" w:hAnsi="宋体"/>
          <w:color w:val="auto"/>
          <w:sz w:val="24"/>
          <w:szCs w:val="21"/>
        </w:rPr>
      </w:pPr>
      <w:r>
        <w:rPr>
          <w:rFonts w:hint="eastAsia" w:ascii="宋体" w:hAnsi="宋体"/>
          <w:color w:val="auto"/>
          <w:sz w:val="24"/>
          <w:szCs w:val="21"/>
        </w:rPr>
        <w:t xml:space="preserve">法定代表人或授权代表(签字或签章)：__________________ </w:t>
      </w:r>
    </w:p>
    <w:p>
      <w:pPr>
        <w:widowControl/>
        <w:spacing w:line="480" w:lineRule="exact"/>
        <w:jc w:val="right"/>
        <w:rPr>
          <w:rFonts w:ascii="宋体" w:hAnsi="宋体"/>
          <w:color w:val="auto"/>
          <w:sz w:val="24"/>
          <w:szCs w:val="21"/>
        </w:rPr>
      </w:pPr>
    </w:p>
    <w:p>
      <w:pPr>
        <w:widowControl/>
        <w:spacing w:line="480" w:lineRule="exact"/>
        <w:jc w:val="right"/>
        <w:rPr>
          <w:rFonts w:ascii="宋体" w:hAnsi="宋体"/>
          <w:color w:val="auto"/>
          <w:sz w:val="24"/>
          <w:szCs w:val="21"/>
        </w:rPr>
      </w:pPr>
      <w:r>
        <w:rPr>
          <w:rFonts w:hint="eastAsia" w:ascii="宋体" w:hAnsi="宋体"/>
          <w:color w:val="auto"/>
          <w:sz w:val="24"/>
          <w:szCs w:val="21"/>
        </w:rPr>
        <w:t>日期：_____年___ 月____ 日</w:t>
      </w:r>
    </w:p>
    <w:p>
      <w:pPr>
        <w:pStyle w:val="10"/>
        <w:rPr>
          <w:color w:val="auto"/>
        </w:rPr>
      </w:pPr>
    </w:p>
    <w:p>
      <w:pPr>
        <w:spacing w:line="520" w:lineRule="exact"/>
        <w:ind w:firstLine="480" w:firstLineChars="200"/>
        <w:jc w:val="left"/>
        <w:rPr>
          <w:rFonts w:ascii="宋体" w:hAnsi="宋体"/>
          <w:color w:val="auto"/>
          <w:sz w:val="24"/>
        </w:rPr>
      </w:pPr>
    </w:p>
    <w:p>
      <w:pPr>
        <w:spacing w:line="360" w:lineRule="auto"/>
        <w:rPr>
          <w:b/>
          <w:color w:val="auto"/>
          <w:sz w:val="32"/>
          <w:szCs w:val="32"/>
        </w:rPr>
      </w:pPr>
      <w:r>
        <w:rPr>
          <w:rFonts w:hint="eastAsia" w:ascii="宋体" w:hAnsi="宋体"/>
          <w:b/>
          <w:color w:val="auto"/>
          <w:sz w:val="28"/>
          <w:szCs w:val="28"/>
        </w:rPr>
        <w:t>附件5：</w:t>
      </w:r>
    </w:p>
    <w:p>
      <w:pPr>
        <w:spacing w:line="360" w:lineRule="auto"/>
        <w:ind w:firstLine="640" w:firstLineChars="200"/>
        <w:jc w:val="center"/>
        <w:rPr>
          <w:b/>
          <w:color w:val="auto"/>
          <w:sz w:val="32"/>
          <w:szCs w:val="32"/>
        </w:rPr>
      </w:pPr>
    </w:p>
    <w:p>
      <w:pPr>
        <w:spacing w:line="360" w:lineRule="auto"/>
        <w:jc w:val="center"/>
        <w:rPr>
          <w:b/>
          <w:color w:val="auto"/>
          <w:sz w:val="44"/>
          <w:szCs w:val="44"/>
        </w:rPr>
      </w:pPr>
      <w:r>
        <w:rPr>
          <w:rFonts w:hint="eastAsia"/>
          <w:b/>
          <w:color w:val="auto"/>
          <w:sz w:val="44"/>
          <w:szCs w:val="44"/>
        </w:rPr>
        <w:t>供应商的服务承诺及优惠承诺</w:t>
      </w:r>
    </w:p>
    <w:p>
      <w:pPr>
        <w:widowControl/>
        <w:spacing w:line="360" w:lineRule="auto"/>
        <w:jc w:val="left"/>
        <w:rPr>
          <w:color w:val="auto"/>
        </w:rPr>
      </w:pPr>
      <w:r>
        <w:rPr>
          <w:rFonts w:ascii="宋体" w:hAnsi="宋体"/>
          <w:b/>
          <w:color w:val="auto"/>
          <w:sz w:val="28"/>
          <w:szCs w:val="28"/>
        </w:rPr>
        <w:br w:type="page"/>
      </w:r>
      <w:r>
        <w:rPr>
          <w:rFonts w:hint="eastAsia" w:ascii="宋体" w:hAnsi="宋体"/>
          <w:b/>
          <w:color w:val="auto"/>
          <w:sz w:val="28"/>
          <w:szCs w:val="28"/>
        </w:rPr>
        <w:t>附件6：</w:t>
      </w:r>
    </w:p>
    <w:p>
      <w:pPr>
        <w:spacing w:line="360" w:lineRule="auto"/>
        <w:jc w:val="center"/>
        <w:rPr>
          <w:b/>
          <w:color w:val="auto"/>
          <w:sz w:val="36"/>
          <w:szCs w:val="36"/>
        </w:rPr>
      </w:pPr>
      <w:r>
        <w:rPr>
          <w:rFonts w:hint="eastAsia"/>
          <w:b/>
          <w:color w:val="auto"/>
          <w:sz w:val="36"/>
          <w:szCs w:val="36"/>
        </w:rPr>
        <w:t>供应商所投产品属于政府采购清单规定的节能环保产品的证明材料（如有）</w:t>
      </w:r>
    </w:p>
    <w:p>
      <w:pPr>
        <w:widowControl/>
        <w:spacing w:line="360" w:lineRule="auto"/>
        <w:jc w:val="left"/>
        <w:rPr>
          <w:b/>
          <w:color w:val="auto"/>
          <w:sz w:val="44"/>
          <w:szCs w:val="44"/>
        </w:rPr>
      </w:pPr>
      <w:r>
        <w:rPr>
          <w:rFonts w:ascii="宋体" w:hAnsi="宋体"/>
          <w:b/>
          <w:color w:val="auto"/>
          <w:sz w:val="28"/>
          <w:szCs w:val="28"/>
        </w:rPr>
        <w:br w:type="page"/>
      </w:r>
      <w:r>
        <w:rPr>
          <w:rFonts w:hint="eastAsia" w:ascii="宋体" w:hAnsi="宋体"/>
          <w:b/>
          <w:color w:val="auto"/>
          <w:sz w:val="28"/>
          <w:szCs w:val="28"/>
        </w:rPr>
        <w:t>附件7：</w:t>
      </w:r>
    </w:p>
    <w:p>
      <w:pPr>
        <w:widowControl/>
        <w:tabs>
          <w:tab w:val="left" w:pos="735"/>
        </w:tabs>
        <w:spacing w:line="600" w:lineRule="atLeast"/>
        <w:jc w:val="center"/>
        <w:rPr>
          <w:rFonts w:ascii="宋体" w:hAnsi="宋体"/>
          <w:b/>
          <w:color w:val="auto"/>
          <w:kern w:val="0"/>
          <w:sz w:val="44"/>
          <w:szCs w:val="44"/>
        </w:rPr>
      </w:pPr>
      <w:r>
        <w:rPr>
          <w:rFonts w:hint="eastAsia" w:ascii="宋体" w:hAnsi="宋体" w:cs="宋体"/>
          <w:b/>
          <w:color w:val="auto"/>
          <w:kern w:val="0"/>
          <w:sz w:val="36"/>
          <w:szCs w:val="36"/>
        </w:rPr>
        <w:t>投标承诺函</w:t>
      </w:r>
    </w:p>
    <w:p>
      <w:pPr>
        <w:widowControl/>
        <w:tabs>
          <w:tab w:val="left" w:pos="735"/>
        </w:tabs>
        <w:spacing w:line="600" w:lineRule="atLeast"/>
        <w:rPr>
          <w:rFonts w:ascii="宋体" w:hAnsi="宋体"/>
          <w:b/>
          <w:color w:val="auto"/>
          <w:sz w:val="28"/>
          <w:szCs w:val="28"/>
        </w:rPr>
      </w:pPr>
    </w:p>
    <w:p>
      <w:pPr>
        <w:spacing w:line="520" w:lineRule="exact"/>
        <w:ind w:firstLine="480" w:firstLineChars="200"/>
        <w:rPr>
          <w:rFonts w:ascii="宋体" w:hAnsi="宋体"/>
          <w:color w:val="auto"/>
          <w:sz w:val="24"/>
        </w:rPr>
      </w:pPr>
      <w:r>
        <w:rPr>
          <w:rFonts w:hint="eastAsia" w:ascii="宋体" w:hAnsi="宋体"/>
          <w:color w:val="auto"/>
          <w:sz w:val="24"/>
        </w:rPr>
        <w:t>我单位对项目（采购编号：       ）投标行为做出承诺，保证所提交材料的真实性。</w:t>
      </w:r>
    </w:p>
    <w:p>
      <w:pPr>
        <w:spacing w:line="520" w:lineRule="exact"/>
        <w:ind w:firstLine="480" w:firstLineChars="200"/>
        <w:rPr>
          <w:rFonts w:ascii="宋体" w:hAnsi="宋体"/>
          <w:color w:val="auto"/>
          <w:sz w:val="24"/>
        </w:rPr>
      </w:pPr>
      <w:r>
        <w:rPr>
          <w:rFonts w:hint="eastAsia" w:ascii="宋体" w:hAnsi="宋体"/>
          <w:color w:val="auto"/>
          <w:sz w:val="24"/>
        </w:rPr>
        <w:t>我单位承诺：</w:t>
      </w:r>
    </w:p>
    <w:p>
      <w:pPr>
        <w:spacing w:line="520" w:lineRule="exact"/>
        <w:ind w:firstLine="480" w:firstLineChars="200"/>
        <w:rPr>
          <w:rFonts w:ascii="宋体" w:hAnsi="宋体"/>
          <w:color w:val="auto"/>
          <w:sz w:val="24"/>
        </w:rPr>
      </w:pPr>
      <w:r>
        <w:rPr>
          <w:rFonts w:hint="eastAsia" w:ascii="宋体" w:hAnsi="宋体"/>
          <w:color w:val="auto"/>
          <w:sz w:val="24"/>
        </w:rPr>
        <w:t>1、在响应性文件递交截止时间后至确定成交人的</w:t>
      </w:r>
      <w:r>
        <w:rPr>
          <w:color w:val="auto"/>
        </w:rPr>
        <w:fldChar w:fldCharType="begin"/>
      </w:r>
      <w:r>
        <w:rPr>
          <w:color w:val="auto"/>
        </w:rPr>
        <w:instrText xml:space="preserve"> HYPERLINK "https://baike.so.com/doc/5394983-5632135.html" \t "https://baike.so.com/doc/_blank" </w:instrText>
      </w:r>
      <w:r>
        <w:rPr>
          <w:color w:val="auto"/>
        </w:rPr>
        <w:fldChar w:fldCharType="separate"/>
      </w:r>
      <w:r>
        <w:rPr>
          <w:rFonts w:ascii="宋体" w:hAnsi="宋体"/>
          <w:color w:val="auto"/>
          <w:sz w:val="24"/>
        </w:rPr>
        <w:t>投标有效期</w:t>
      </w:r>
      <w:r>
        <w:rPr>
          <w:rFonts w:ascii="宋体" w:hAnsi="宋体"/>
          <w:color w:val="auto"/>
          <w:sz w:val="24"/>
        </w:rPr>
        <w:fldChar w:fldCharType="end"/>
      </w:r>
      <w:r>
        <w:rPr>
          <w:rFonts w:ascii="宋体" w:hAnsi="宋体"/>
          <w:color w:val="auto"/>
          <w:sz w:val="24"/>
        </w:rPr>
        <w:t>内</w:t>
      </w:r>
      <w:r>
        <w:rPr>
          <w:rFonts w:hint="eastAsia" w:ascii="宋体" w:hAnsi="宋体"/>
          <w:color w:val="auto"/>
          <w:sz w:val="24"/>
        </w:rPr>
        <w:t>，我单位不得要求退出竞标或者修改响应性文件且</w:t>
      </w:r>
      <w:r>
        <w:rPr>
          <w:rFonts w:ascii="宋体" w:hAnsi="宋体"/>
          <w:color w:val="auto"/>
          <w:sz w:val="24"/>
        </w:rPr>
        <w:t>对递交的</w:t>
      </w:r>
      <w:r>
        <w:rPr>
          <w:rFonts w:hint="eastAsia" w:ascii="宋体" w:hAnsi="宋体"/>
          <w:color w:val="auto"/>
          <w:sz w:val="24"/>
        </w:rPr>
        <w:t>响应性</w:t>
      </w:r>
      <w:r>
        <w:rPr>
          <w:rFonts w:ascii="宋体" w:hAnsi="宋体"/>
          <w:color w:val="auto"/>
          <w:sz w:val="24"/>
        </w:rPr>
        <w:t>文件负责，受其约束。</w:t>
      </w:r>
    </w:p>
    <w:p>
      <w:pPr>
        <w:spacing w:line="520" w:lineRule="exact"/>
        <w:ind w:firstLine="480" w:firstLineChars="200"/>
        <w:rPr>
          <w:rFonts w:ascii="宋体" w:hAnsi="宋体"/>
          <w:color w:val="auto"/>
          <w:sz w:val="24"/>
        </w:rPr>
      </w:pPr>
      <w:r>
        <w:rPr>
          <w:rFonts w:hint="eastAsia" w:ascii="宋体" w:hAnsi="宋体"/>
          <w:color w:val="auto"/>
          <w:sz w:val="24"/>
        </w:rPr>
        <w:t>2、若我单位成交，在接到成交通知书后，除不可抗力因素外，及时按</w:t>
      </w:r>
      <w:r>
        <w:rPr>
          <w:rFonts w:ascii="宋体" w:hAnsi="宋体"/>
          <w:color w:val="auto"/>
          <w:sz w:val="24"/>
        </w:rPr>
        <w:t>规定</w:t>
      </w:r>
      <w:r>
        <w:rPr>
          <w:rFonts w:hint="eastAsia" w:ascii="宋体" w:hAnsi="宋体"/>
          <w:color w:val="auto"/>
          <w:sz w:val="24"/>
        </w:rPr>
        <w:t>与采购人</w:t>
      </w:r>
      <w:r>
        <w:rPr>
          <w:rFonts w:ascii="宋体" w:hAnsi="宋体"/>
          <w:color w:val="auto"/>
          <w:sz w:val="24"/>
        </w:rPr>
        <w:t>签订合同</w:t>
      </w:r>
      <w:r>
        <w:rPr>
          <w:rFonts w:hint="eastAsia" w:ascii="宋体" w:hAnsi="宋体"/>
          <w:color w:val="auto"/>
          <w:sz w:val="24"/>
        </w:rPr>
        <w:t>并认真履约。</w:t>
      </w:r>
    </w:p>
    <w:p>
      <w:pPr>
        <w:spacing w:line="520" w:lineRule="exact"/>
        <w:ind w:firstLine="480" w:firstLineChars="200"/>
        <w:rPr>
          <w:rFonts w:ascii="宋体" w:hAnsi="宋体"/>
          <w:color w:val="auto"/>
          <w:sz w:val="24"/>
        </w:rPr>
      </w:pPr>
      <w:r>
        <w:rPr>
          <w:rFonts w:hint="eastAsia" w:ascii="宋体" w:hAnsi="宋体"/>
          <w:color w:val="auto"/>
          <w:sz w:val="24"/>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pPr>
        <w:spacing w:line="360" w:lineRule="auto"/>
        <w:ind w:firstLine="480" w:firstLineChars="200"/>
        <w:jc w:val="left"/>
        <w:rPr>
          <w:color w:val="auto"/>
        </w:rPr>
      </w:pPr>
      <w:r>
        <w:rPr>
          <w:rFonts w:hint="eastAsia" w:ascii="宋体" w:hAnsi="宋体"/>
          <w:color w:val="auto"/>
          <w:sz w:val="24"/>
        </w:rPr>
        <w:t>4、</w:t>
      </w:r>
      <w:r>
        <w:rPr>
          <w:rFonts w:hint="eastAsia" w:ascii="宋体" w:hAnsi="宋体" w:cs="宋体"/>
          <w:color w:val="auto"/>
          <w:sz w:val="24"/>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pPr>
        <w:widowControl/>
        <w:spacing w:line="360" w:lineRule="auto"/>
        <w:ind w:firstLine="480" w:firstLineChars="200"/>
        <w:rPr>
          <w:rFonts w:ascii="宋体" w:hAnsi="宋体" w:cs="宋体"/>
          <w:color w:val="auto"/>
          <w:sz w:val="24"/>
        </w:rPr>
      </w:pPr>
      <w:r>
        <w:rPr>
          <w:rFonts w:hint="eastAsia" w:ascii="宋体" w:hAnsi="宋体"/>
          <w:color w:val="auto"/>
          <w:sz w:val="24"/>
        </w:rPr>
        <w:t>5、</w:t>
      </w:r>
      <w:r>
        <w:rPr>
          <w:rFonts w:hint="eastAsia" w:ascii="宋体" w:hAnsi="宋体" w:cs="宋体"/>
          <w:color w:val="auto"/>
          <w:sz w:val="24"/>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pPr>
        <w:spacing w:line="520" w:lineRule="exact"/>
        <w:ind w:firstLine="480" w:firstLineChars="200"/>
        <w:jc w:val="left"/>
        <w:rPr>
          <w:rFonts w:ascii="宋体" w:hAnsi="宋体"/>
          <w:color w:val="auto"/>
          <w:sz w:val="24"/>
        </w:rPr>
      </w:pPr>
      <w:r>
        <w:rPr>
          <w:rFonts w:hint="eastAsia" w:ascii="宋体" w:hAnsi="宋体"/>
          <w:color w:val="auto"/>
          <w:sz w:val="24"/>
        </w:rPr>
        <w:t>6、不存在法律法规规定的其他违法违规行为。</w:t>
      </w:r>
    </w:p>
    <w:p>
      <w:pPr>
        <w:pStyle w:val="5"/>
        <w:rPr>
          <w:color w:val="auto"/>
        </w:rPr>
      </w:pPr>
    </w:p>
    <w:p>
      <w:pPr>
        <w:pStyle w:val="16"/>
        <w:adjustRightInd w:val="0"/>
        <w:snapToGrid w:val="0"/>
        <w:spacing w:line="360" w:lineRule="auto"/>
        <w:ind w:firstLine="480" w:firstLineChars="200"/>
        <w:jc w:val="right"/>
        <w:rPr>
          <w:rFonts w:hAnsi="宋体"/>
          <w:color w:val="auto"/>
          <w:sz w:val="24"/>
        </w:rPr>
      </w:pPr>
      <w:r>
        <w:rPr>
          <w:rFonts w:hint="eastAsia" w:hAnsi="宋体"/>
          <w:color w:val="auto"/>
          <w:sz w:val="24"/>
        </w:rPr>
        <w:t xml:space="preserve">                  供应商（盖章）： </w:t>
      </w:r>
    </w:p>
    <w:p>
      <w:pPr>
        <w:pStyle w:val="16"/>
        <w:adjustRightInd w:val="0"/>
        <w:snapToGrid w:val="0"/>
        <w:spacing w:line="360" w:lineRule="auto"/>
        <w:ind w:firstLine="480" w:firstLineChars="200"/>
        <w:jc w:val="right"/>
        <w:rPr>
          <w:rFonts w:hAnsi="Calibri"/>
          <w:color w:val="auto"/>
          <w:sz w:val="24"/>
        </w:rPr>
      </w:pPr>
      <w:r>
        <w:rPr>
          <w:rFonts w:hint="eastAsia" w:hAnsi="Calibri"/>
          <w:color w:val="auto"/>
          <w:sz w:val="24"/>
        </w:rPr>
        <w:t>年    月     日</w:t>
      </w:r>
    </w:p>
    <w:p>
      <w:pPr>
        <w:pStyle w:val="16"/>
        <w:adjustRightInd w:val="0"/>
        <w:snapToGrid w:val="0"/>
        <w:spacing w:line="360" w:lineRule="auto"/>
        <w:ind w:firstLine="480" w:firstLineChars="200"/>
        <w:jc w:val="right"/>
        <w:rPr>
          <w:rFonts w:hAnsi="Calibri"/>
          <w:color w:val="auto"/>
          <w:sz w:val="24"/>
        </w:rPr>
      </w:pPr>
    </w:p>
    <w:p>
      <w:pPr>
        <w:pStyle w:val="23"/>
        <w:shd w:val="clear" w:color="auto" w:fill="FFFFFF"/>
        <w:spacing w:before="0" w:beforeAutospacing="0" w:after="0" w:afterAutospacing="0" w:line="360" w:lineRule="auto"/>
        <w:jc w:val="both"/>
        <w:rPr>
          <w:b/>
          <w:color w:val="auto"/>
          <w:kern w:val="2"/>
          <w:sz w:val="44"/>
          <w:szCs w:val="44"/>
        </w:rPr>
      </w:pPr>
      <w:r>
        <w:rPr>
          <w:rFonts w:hint="eastAsia"/>
          <w:b/>
          <w:color w:val="auto"/>
          <w:sz w:val="28"/>
          <w:szCs w:val="28"/>
        </w:rPr>
        <w:t>附件8：</w:t>
      </w:r>
    </w:p>
    <w:p>
      <w:pPr>
        <w:pStyle w:val="23"/>
        <w:shd w:val="clear" w:color="auto" w:fill="FFFFFF"/>
        <w:spacing w:before="0" w:beforeAutospacing="0" w:after="0" w:afterAutospacing="0" w:line="360" w:lineRule="auto"/>
        <w:ind w:firstLine="720" w:firstLineChars="200"/>
        <w:jc w:val="center"/>
        <w:rPr>
          <w:b/>
          <w:color w:val="auto"/>
          <w:kern w:val="2"/>
          <w:sz w:val="44"/>
          <w:szCs w:val="44"/>
          <w:highlight w:val="yellow"/>
        </w:rPr>
      </w:pPr>
      <w:r>
        <w:rPr>
          <w:rFonts w:hint="eastAsia"/>
          <w:b/>
          <w:color w:val="auto"/>
          <w:sz w:val="36"/>
          <w:szCs w:val="36"/>
        </w:rPr>
        <w:t>中小企业声明函（如有）</w:t>
      </w:r>
    </w:p>
    <w:p>
      <w:pPr>
        <w:spacing w:line="560" w:lineRule="exact"/>
        <w:ind w:firstLine="480" w:firstLineChars="200"/>
        <w:rPr>
          <w:rFonts w:ascii="宋体" w:hAnsi="宋体" w:cs="宋体"/>
          <w:color w:val="auto"/>
          <w:sz w:val="24"/>
        </w:rPr>
      </w:pPr>
      <w:r>
        <w:rPr>
          <w:rFonts w:ascii="宋体" w:hAnsi="宋体" w:cs="宋体"/>
          <w:color w:val="auto"/>
          <w:sz w:val="24"/>
        </w:rPr>
        <w:t>本公司（联合体）郑重声明，根据《政府采购促进中小 企业发展管理办法》（财库﹝2020﹞46 号）的规定，本公司 （联合体）参加</w:t>
      </w:r>
      <w:r>
        <w:rPr>
          <w:rFonts w:ascii="宋体" w:hAnsi="宋体" w:cs="宋体"/>
          <w:color w:val="auto"/>
          <w:sz w:val="24"/>
          <w:u w:val="single"/>
        </w:rPr>
        <w:t>（单位名称）</w:t>
      </w:r>
      <w:r>
        <w:rPr>
          <w:rFonts w:ascii="宋体" w:hAnsi="宋体" w:cs="宋体"/>
          <w:color w:val="auto"/>
          <w:sz w:val="24"/>
        </w:rPr>
        <w:t>的</w:t>
      </w:r>
      <w:r>
        <w:rPr>
          <w:rFonts w:ascii="宋体" w:hAnsi="宋体" w:cs="宋体"/>
          <w:color w:val="auto"/>
          <w:sz w:val="24"/>
          <w:u w:val="single"/>
        </w:rPr>
        <w:t>（项目名称）</w:t>
      </w:r>
      <w:r>
        <w:rPr>
          <w:rFonts w:ascii="宋体" w:hAnsi="宋体" w:cs="宋体"/>
          <w:color w:val="auto"/>
          <w:sz w:val="24"/>
        </w:rPr>
        <w:t>采购活动，提供的货物全部由符合政策要求的中小企业制造。相关企业 （含联合体中的中小企业、签订分包意向协议的中小企业） 的具体情况如下：</w:t>
      </w:r>
    </w:p>
    <w:p>
      <w:pPr>
        <w:numPr>
          <w:ilvl w:val="0"/>
          <w:numId w:val="11"/>
        </w:numPr>
        <w:spacing w:line="560" w:lineRule="exact"/>
        <w:ind w:left="0" w:firstLine="600" w:firstLineChars="250"/>
        <w:rPr>
          <w:rFonts w:ascii="宋体" w:hAnsi="宋体" w:cs="宋体"/>
          <w:color w:val="auto"/>
          <w:sz w:val="24"/>
        </w:rPr>
      </w:pPr>
      <w:r>
        <w:rPr>
          <w:rFonts w:ascii="宋体" w:hAnsi="宋体" w:cs="宋体"/>
          <w:color w:val="auto"/>
          <w:sz w:val="24"/>
          <w:u w:val="single"/>
        </w:rPr>
        <w:t>（标的名称）</w:t>
      </w:r>
      <w:r>
        <w:rPr>
          <w:rFonts w:ascii="宋体" w:hAnsi="宋体" w:cs="宋体"/>
          <w:color w:val="auto"/>
          <w:sz w:val="24"/>
        </w:rPr>
        <w:t xml:space="preserve"> ，属于</w:t>
      </w:r>
      <w:r>
        <w:rPr>
          <w:rFonts w:ascii="宋体" w:hAnsi="宋体" w:cs="宋体"/>
          <w:color w:val="auto"/>
          <w:sz w:val="24"/>
          <w:u w:val="single"/>
        </w:rPr>
        <w:t>（采购文件中明确的所属行业）</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，从业人员人，营业收入为万元，资产总额为万元 ，属于</w:t>
      </w:r>
      <w:r>
        <w:rPr>
          <w:rFonts w:ascii="宋体" w:hAnsi="宋体" w:cs="宋体"/>
          <w:color w:val="auto"/>
          <w:sz w:val="24"/>
          <w:u w:val="single"/>
        </w:rPr>
        <w:t>（中型企业、小 型企业、微型企业）</w:t>
      </w:r>
      <w:r>
        <w:rPr>
          <w:rFonts w:ascii="宋体" w:hAnsi="宋体" w:cs="宋体"/>
          <w:color w:val="auto"/>
          <w:sz w:val="24"/>
        </w:rPr>
        <w:t>；</w:t>
      </w:r>
    </w:p>
    <w:p>
      <w:pPr>
        <w:numPr>
          <w:ilvl w:val="0"/>
          <w:numId w:val="11"/>
        </w:numPr>
        <w:spacing w:line="560" w:lineRule="exact"/>
        <w:ind w:left="0" w:firstLine="600" w:firstLineChars="250"/>
        <w:rPr>
          <w:rFonts w:ascii="宋体" w:hAnsi="宋体" w:cs="宋体"/>
          <w:color w:val="auto"/>
          <w:sz w:val="24"/>
        </w:rPr>
      </w:pPr>
      <w:r>
        <w:rPr>
          <w:rFonts w:ascii="宋体" w:hAnsi="宋体" w:cs="宋体"/>
          <w:color w:val="auto"/>
          <w:sz w:val="24"/>
          <w:u w:val="single"/>
        </w:rPr>
        <w:t xml:space="preserve">（标的名称） </w:t>
      </w:r>
      <w:r>
        <w:rPr>
          <w:rFonts w:ascii="宋体" w:hAnsi="宋体" w:cs="宋体"/>
          <w:color w:val="auto"/>
          <w:sz w:val="24"/>
        </w:rPr>
        <w:t>，属于</w:t>
      </w:r>
      <w:r>
        <w:rPr>
          <w:rFonts w:ascii="宋体" w:hAnsi="宋体" w:cs="宋体"/>
          <w:color w:val="auto"/>
          <w:sz w:val="24"/>
          <w:u w:val="single"/>
        </w:rPr>
        <w:t>（采购文件中明确的所属行业）</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，从业人员人，营业收入为万元，资产总额为万元，属于</w:t>
      </w:r>
      <w:r>
        <w:rPr>
          <w:rFonts w:ascii="宋体" w:hAnsi="宋体" w:cs="宋体"/>
          <w:color w:val="auto"/>
          <w:sz w:val="24"/>
          <w:u w:val="single"/>
        </w:rPr>
        <w:t>（中型企业、小型 企业、微型企业）</w:t>
      </w:r>
      <w:r>
        <w:rPr>
          <w:rFonts w:ascii="宋体" w:hAnsi="宋体" w:cs="宋体"/>
          <w:color w:val="auto"/>
          <w:sz w:val="24"/>
        </w:rPr>
        <w:t>；</w:t>
      </w:r>
    </w:p>
    <w:p>
      <w:pPr>
        <w:spacing w:line="560" w:lineRule="exact"/>
        <w:ind w:left="525" w:leftChars="250"/>
        <w:rPr>
          <w:rFonts w:ascii="宋体" w:hAnsi="宋体" w:cs="宋体"/>
          <w:color w:val="auto"/>
          <w:sz w:val="24"/>
        </w:rPr>
      </w:pPr>
      <w:r>
        <w:rPr>
          <w:rFonts w:ascii="宋体" w:hAnsi="宋体" w:cs="宋体"/>
          <w:color w:val="auto"/>
          <w:sz w:val="24"/>
        </w:rPr>
        <w:t xml:space="preserve"> …… </w:t>
      </w:r>
    </w:p>
    <w:p>
      <w:pPr>
        <w:spacing w:line="560" w:lineRule="exact"/>
        <w:ind w:left="5" w:firstLine="518" w:firstLineChars="216"/>
        <w:rPr>
          <w:rFonts w:ascii="宋体" w:hAnsi="宋体" w:cs="宋体"/>
          <w:color w:val="auto"/>
          <w:sz w:val="24"/>
        </w:rPr>
      </w:pPr>
      <w:r>
        <w:rPr>
          <w:rFonts w:ascii="宋体" w:hAnsi="宋体" w:cs="宋体"/>
          <w:color w:val="auto"/>
          <w:sz w:val="24"/>
        </w:rPr>
        <w:t xml:space="preserve">以上企业，不属于大企业的分支机构，不存在控股股东 为大企业的情形，也不存在与大企业的负责人为同一人的情形。 </w:t>
      </w:r>
    </w:p>
    <w:p>
      <w:pPr>
        <w:spacing w:line="560" w:lineRule="exact"/>
        <w:ind w:left="5" w:firstLine="518" w:firstLineChars="216"/>
        <w:rPr>
          <w:rFonts w:ascii="宋体" w:hAnsi="宋体" w:cs="宋体"/>
          <w:color w:val="auto"/>
          <w:sz w:val="24"/>
        </w:rPr>
      </w:pPr>
      <w:r>
        <w:rPr>
          <w:rFonts w:ascii="宋体" w:hAnsi="宋体" w:cs="宋体"/>
          <w:color w:val="auto"/>
          <w:sz w:val="24"/>
        </w:rPr>
        <w:t xml:space="preserve">本企业对上述声明内容的真实性负责。如有虚假，将依 法承担相应责任。 </w:t>
      </w:r>
    </w:p>
    <w:p>
      <w:pPr>
        <w:spacing w:line="560" w:lineRule="exact"/>
        <w:ind w:left="5" w:firstLine="518" w:firstLineChars="216"/>
        <w:rPr>
          <w:rFonts w:ascii="宋体" w:hAnsi="宋体" w:cs="宋体"/>
          <w:color w:val="auto"/>
          <w:sz w:val="24"/>
        </w:rPr>
      </w:pPr>
    </w:p>
    <w:p>
      <w:pPr>
        <w:spacing w:line="560" w:lineRule="exact"/>
        <w:ind w:left="5" w:firstLine="518" w:firstLineChars="216"/>
        <w:rPr>
          <w:rFonts w:ascii="宋体" w:hAnsi="宋体" w:cs="宋体"/>
          <w:color w:val="auto"/>
          <w:sz w:val="24"/>
        </w:rPr>
      </w:pPr>
    </w:p>
    <w:p>
      <w:pPr>
        <w:spacing w:line="560" w:lineRule="exact"/>
        <w:ind w:left="5" w:firstLine="518" w:firstLineChars="216"/>
        <w:jc w:val="right"/>
        <w:rPr>
          <w:rFonts w:ascii="宋体" w:hAnsi="宋体" w:cs="宋体"/>
          <w:color w:val="auto"/>
          <w:sz w:val="24"/>
        </w:rPr>
      </w:pPr>
      <w:r>
        <w:rPr>
          <w:rFonts w:ascii="宋体" w:hAnsi="宋体" w:cs="宋体"/>
          <w:color w:val="auto"/>
          <w:sz w:val="24"/>
        </w:rPr>
        <w:t>企业名称（盖章）：</w:t>
      </w:r>
    </w:p>
    <w:p>
      <w:pPr>
        <w:spacing w:line="560" w:lineRule="exact"/>
        <w:ind w:left="5" w:firstLine="518" w:firstLineChars="216"/>
        <w:jc w:val="right"/>
        <w:rPr>
          <w:rFonts w:ascii="宋体" w:hAnsi="宋体" w:cs="宋体"/>
          <w:color w:val="auto"/>
          <w:sz w:val="24"/>
        </w:rPr>
      </w:pPr>
      <w:r>
        <w:rPr>
          <w:rFonts w:ascii="宋体" w:hAnsi="宋体" w:cs="宋体"/>
          <w:color w:val="auto"/>
          <w:sz w:val="24"/>
        </w:rPr>
        <w:t xml:space="preserve"> 日 期： </w:t>
      </w:r>
    </w:p>
    <w:p>
      <w:pPr>
        <w:spacing w:line="560" w:lineRule="exact"/>
        <w:ind w:left="5" w:firstLine="518" w:firstLineChars="216"/>
        <w:rPr>
          <w:rFonts w:ascii="宋体" w:hAnsi="宋体" w:cs="宋体"/>
          <w:color w:val="auto"/>
          <w:sz w:val="24"/>
        </w:rPr>
      </w:pPr>
      <w:r>
        <w:rPr>
          <w:rFonts w:hint="eastAsia" w:ascii="宋体" w:hAnsi="宋体" w:cs="宋体"/>
          <w:color w:val="auto"/>
          <w:sz w:val="24"/>
        </w:rPr>
        <w:t>注：1、</w:t>
      </w:r>
      <w:r>
        <w:rPr>
          <w:rFonts w:ascii="宋体" w:hAnsi="宋体" w:cs="宋体"/>
          <w:color w:val="auto"/>
          <w:sz w:val="24"/>
        </w:rPr>
        <w:t>从业人员、营业收入、资产总额填报上一年度数据，无上一年度数据的新成立企业可不填报。</w:t>
      </w:r>
    </w:p>
    <w:p>
      <w:pPr>
        <w:pStyle w:val="5"/>
        <w:ind w:firstLine="480"/>
        <w:rPr>
          <w:rFonts w:ascii="宋体"/>
          <w:color w:val="auto"/>
        </w:rPr>
      </w:pPr>
      <w:r>
        <w:rPr>
          <w:rFonts w:hint="eastAsia" w:ascii="宋体" w:hAnsi="宋体" w:cs="宋体"/>
          <w:color w:val="auto"/>
          <w:sz w:val="24"/>
        </w:rPr>
        <w:t>2、供应商提供的声明函将在中标后随中标公告一并公示，若声明函内容不实的，将依照《政府采购法》等国家有关规定追究相应责任。</w:t>
      </w:r>
      <w:bookmarkStart w:id="54" w:name="_Toc309736882"/>
      <w:bookmarkStart w:id="55" w:name="_Toc12390"/>
      <w:bookmarkStart w:id="56" w:name="_Toc352061202"/>
    </w:p>
    <w:bookmarkEnd w:id="54"/>
    <w:bookmarkEnd w:id="55"/>
    <w:bookmarkEnd w:id="56"/>
    <w:p>
      <w:pPr>
        <w:widowControl/>
        <w:tabs>
          <w:tab w:val="left" w:pos="735"/>
        </w:tabs>
        <w:spacing w:line="360" w:lineRule="auto"/>
        <w:rPr>
          <w:rFonts w:ascii="宋体" w:hAnsi="宋体"/>
          <w:color w:val="auto"/>
          <w:kern w:val="0"/>
          <w:sz w:val="24"/>
        </w:rPr>
      </w:pPr>
      <w:r>
        <w:rPr>
          <w:rFonts w:hint="eastAsia" w:ascii="宋体" w:hAnsi="宋体"/>
          <w:b/>
          <w:color w:val="auto"/>
          <w:sz w:val="28"/>
          <w:szCs w:val="28"/>
        </w:rPr>
        <w:t>附件9：</w:t>
      </w:r>
    </w:p>
    <w:p>
      <w:pPr>
        <w:spacing w:line="360" w:lineRule="auto"/>
        <w:ind w:firstLine="600" w:firstLineChars="200"/>
        <w:jc w:val="center"/>
        <w:rPr>
          <w:rFonts w:ascii="宋体" w:hAnsi="宋体" w:cs="宋体"/>
          <w:b/>
          <w:color w:val="auto"/>
          <w:sz w:val="30"/>
          <w:szCs w:val="30"/>
        </w:rPr>
      </w:pPr>
      <w:bookmarkStart w:id="57" w:name="_Toc30170"/>
      <w:bookmarkStart w:id="58" w:name="_Toc14292"/>
    </w:p>
    <w:p>
      <w:pPr>
        <w:pStyle w:val="23"/>
        <w:shd w:val="clear" w:color="auto" w:fill="FFFFFF"/>
        <w:spacing w:before="0" w:beforeAutospacing="0" w:after="0" w:afterAutospacing="0" w:line="360" w:lineRule="auto"/>
        <w:ind w:firstLine="720" w:firstLineChars="200"/>
        <w:jc w:val="center"/>
        <w:rPr>
          <w:b/>
          <w:color w:val="auto"/>
          <w:sz w:val="36"/>
          <w:szCs w:val="36"/>
        </w:rPr>
      </w:pPr>
      <w:r>
        <w:rPr>
          <w:rFonts w:hint="eastAsia"/>
          <w:b/>
          <w:color w:val="auto"/>
          <w:sz w:val="36"/>
          <w:szCs w:val="36"/>
        </w:rPr>
        <w:t>残疾人福利性单位声明函（如有）</w:t>
      </w:r>
    </w:p>
    <w:bookmarkEnd w:id="57"/>
    <w:bookmarkEnd w:id="58"/>
    <w:p>
      <w:pPr>
        <w:widowControl/>
        <w:tabs>
          <w:tab w:val="left" w:pos="735"/>
        </w:tabs>
        <w:spacing w:line="360" w:lineRule="auto"/>
        <w:rPr>
          <w:b/>
          <w:color w:val="auto"/>
          <w:sz w:val="32"/>
          <w:szCs w:val="32"/>
        </w:rPr>
      </w:pPr>
      <w:r>
        <w:rPr>
          <w:rFonts w:ascii="宋体" w:hAnsi="宋体"/>
          <w:b/>
          <w:color w:val="auto"/>
          <w:sz w:val="28"/>
          <w:szCs w:val="28"/>
        </w:rPr>
        <w:br w:type="page"/>
      </w:r>
      <w:r>
        <w:rPr>
          <w:rFonts w:hint="eastAsia" w:ascii="宋体" w:hAnsi="宋体"/>
          <w:b/>
          <w:color w:val="auto"/>
          <w:sz w:val="28"/>
          <w:szCs w:val="28"/>
        </w:rPr>
        <w:t>附件10：</w:t>
      </w:r>
    </w:p>
    <w:p>
      <w:pPr>
        <w:spacing w:line="360" w:lineRule="auto"/>
        <w:ind w:firstLine="640" w:firstLineChars="200"/>
        <w:jc w:val="center"/>
        <w:rPr>
          <w:b/>
          <w:color w:val="auto"/>
          <w:sz w:val="32"/>
          <w:szCs w:val="32"/>
        </w:rPr>
      </w:pPr>
    </w:p>
    <w:p>
      <w:pPr>
        <w:pStyle w:val="23"/>
        <w:shd w:val="clear" w:color="auto" w:fill="FFFFFF"/>
        <w:spacing w:before="0" w:beforeAutospacing="0" w:after="0" w:afterAutospacing="0" w:line="360" w:lineRule="auto"/>
        <w:ind w:firstLine="720" w:firstLineChars="200"/>
        <w:jc w:val="center"/>
        <w:rPr>
          <w:b/>
          <w:color w:val="auto"/>
          <w:sz w:val="36"/>
          <w:szCs w:val="36"/>
        </w:rPr>
      </w:pPr>
      <w:r>
        <w:rPr>
          <w:rFonts w:hint="eastAsia"/>
          <w:b/>
          <w:color w:val="auto"/>
          <w:sz w:val="36"/>
          <w:szCs w:val="36"/>
        </w:rPr>
        <w:t>竞争性谈判文件要求的或供应商认为需要加以说明的其他内容</w:t>
      </w:r>
    </w:p>
    <w:p>
      <w:pPr>
        <w:pStyle w:val="23"/>
        <w:spacing w:before="0" w:beforeAutospacing="0" w:after="0" w:afterAutospacing="0" w:line="360" w:lineRule="auto"/>
        <w:ind w:firstLine="640" w:firstLineChars="200"/>
        <w:jc w:val="center"/>
        <w:rPr>
          <w:color w:val="auto"/>
        </w:rPr>
      </w:pPr>
      <w:r>
        <w:rPr>
          <w:rFonts w:ascii="Calibri Light" w:hAnsi="Calibri Light"/>
          <w:b/>
          <w:bCs/>
          <w:color w:val="auto"/>
          <w:sz w:val="32"/>
          <w:szCs w:val="32"/>
        </w:rPr>
        <w:br w:type="page"/>
      </w:r>
    </w:p>
    <w:p>
      <w:pPr>
        <w:spacing w:line="360" w:lineRule="auto"/>
        <w:jc w:val="center"/>
        <w:rPr>
          <w:rFonts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优化和提升政府采购政策</w:t>
      </w:r>
    </w:p>
    <w:p>
      <w:pPr>
        <w:shd w:val="clear" w:color="auto" w:fill="FFFFFF"/>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一、全面取消采购文件费用和投标保证金费用。</w:t>
      </w:r>
    </w:p>
    <w:p>
      <w:pPr>
        <w:shd w:val="clear" w:color="auto" w:fill="FFFFFF"/>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二、免收履约保证金。确因项目需要的，应以保函等非现金形式收取，比例不得超过合同金额的</w:t>
      </w:r>
      <w:r>
        <w:rPr>
          <w:rFonts w:hint="eastAsia" w:asciiTheme="minorEastAsia" w:hAnsiTheme="minorEastAsia" w:eastAsiaTheme="minorEastAsia" w:cstheme="minorEastAsia"/>
          <w:color w:val="auto"/>
          <w:sz w:val="28"/>
          <w:szCs w:val="28"/>
          <w:u w:val="single"/>
        </w:rPr>
        <w:t>6%</w:t>
      </w:r>
      <w:r>
        <w:rPr>
          <w:rFonts w:hint="eastAsia" w:asciiTheme="minorEastAsia" w:hAnsiTheme="minorEastAsia" w:eastAsiaTheme="minorEastAsia" w:cstheme="minorEastAsia"/>
          <w:color w:val="auto"/>
          <w:sz w:val="28"/>
          <w:szCs w:val="28"/>
        </w:rPr>
        <w:t>，并按约定的时间和条件退还。</w:t>
      </w:r>
    </w:p>
    <w:p>
      <w:pPr>
        <w:shd w:val="clear" w:color="auto" w:fill="FFFFFF"/>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三、评标结果确认时限。自评标（评审）结束后应2个工作日内确定中标（成交）供应商，5个工作日内公告结果，同时发送中标（成交）通知书。</w:t>
      </w:r>
    </w:p>
    <w:p>
      <w:pPr>
        <w:shd w:val="clear" w:color="auto" w:fill="FFFFFF"/>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四、合同签订时限。自中标（成交）通知书发出之日起</w:t>
      </w:r>
      <w:r>
        <w:rPr>
          <w:rFonts w:hint="eastAsia" w:asciiTheme="minorEastAsia" w:hAnsiTheme="minorEastAsia" w:eastAsiaTheme="minorEastAsia" w:cstheme="minorEastAsia"/>
          <w:color w:val="auto"/>
          <w:sz w:val="28"/>
          <w:szCs w:val="28"/>
          <w:u w:val="single"/>
        </w:rPr>
        <w:t>15</w:t>
      </w:r>
      <w:r>
        <w:rPr>
          <w:rFonts w:hint="eastAsia" w:asciiTheme="minorEastAsia" w:hAnsiTheme="minorEastAsia" w:eastAsiaTheme="minorEastAsia" w:cstheme="minorEastAsia"/>
          <w:color w:val="auto"/>
          <w:sz w:val="28"/>
          <w:szCs w:val="28"/>
        </w:rPr>
        <w:t xml:space="preserve">日内，按照采购文件和投标（响应性）文件确定的事项签订政府采购合同。 </w:t>
      </w:r>
    </w:p>
    <w:p>
      <w:pPr>
        <w:shd w:val="clear" w:color="auto" w:fill="FFFFFF"/>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五、合同公告和备案时限。自合同签订之日起2个工作日内。</w:t>
      </w:r>
    </w:p>
    <w:p>
      <w:pPr>
        <w:shd w:val="clear" w:color="auto" w:fill="FFFFFF"/>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六、项目验收。自收到供应商项目验收建议之日起5个工作日内组织验收；验收结束后2个工作日内出具《验收报告》，并在焦作市政府采购网公告验收结果。</w:t>
      </w:r>
    </w:p>
    <w:p>
      <w:pPr>
        <w:shd w:val="clear" w:color="auto" w:fill="FFFFFF"/>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七、资金支付。按照合同约定的条件及时支付资金，不得因机构变更、人员更替、政策调整等原因拒绝或延迟资金支付。</w:t>
      </w:r>
    </w:p>
    <w:p>
      <w:pPr>
        <w:shd w:val="clear" w:color="auto" w:fill="FFFFFF"/>
        <w:spacing w:line="360" w:lineRule="auto"/>
        <w:ind w:firstLine="560" w:firstLineChars="200"/>
        <w:rPr>
          <w:rFonts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在政府采购活动中，若发现采购人或采购代理机构未按以上政策执行的，可向监督部门举报反映。</w:t>
      </w:r>
    </w:p>
    <w:p>
      <w:pPr>
        <w:shd w:val="clear" w:color="auto" w:fill="FFFFFF"/>
        <w:spacing w:line="360" w:lineRule="auto"/>
        <w:ind w:firstLine="560" w:firstLineChars="200"/>
        <w:rPr>
          <w:rFonts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监督单位：博爱县财政局政府采购监督管理办公室</w:t>
      </w:r>
    </w:p>
    <w:p>
      <w:pPr>
        <w:shd w:val="clear" w:color="auto" w:fill="FFFFFF"/>
        <w:spacing w:line="360" w:lineRule="auto"/>
        <w:ind w:firstLine="560" w:firstLineChars="200"/>
        <w:rPr>
          <w:rFonts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监督电话：0391-8683273</w:t>
      </w:r>
    </w:p>
    <w:p>
      <w:pPr>
        <w:shd w:val="clear" w:color="auto" w:fill="FFFFFF"/>
        <w:spacing w:line="360" w:lineRule="auto"/>
        <w:ind w:firstLine="560" w:firstLineChars="200"/>
        <w:rPr>
          <w:rFonts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地址：博爱县发展大道188号机关综合办公楼主楼1213室</w:t>
      </w:r>
    </w:p>
    <w:p>
      <w:pPr>
        <w:spacing w:line="360" w:lineRule="auto"/>
        <w:ind w:firstLine="880" w:firstLineChars="200"/>
        <w:jc w:val="center"/>
        <w:rPr>
          <w:rFonts w:ascii="宋体" w:hAnsi="宋体" w:cs="宋体"/>
          <w:b/>
          <w:color w:val="auto"/>
          <w:sz w:val="44"/>
          <w:szCs w:val="44"/>
        </w:rPr>
      </w:pPr>
    </w:p>
    <w:p>
      <w:pPr>
        <w:pStyle w:val="5"/>
        <w:rPr>
          <w:color w:val="auto"/>
        </w:rPr>
      </w:pPr>
    </w:p>
    <w:p>
      <w:pPr>
        <w:spacing w:line="360" w:lineRule="auto"/>
        <w:ind w:firstLine="880" w:firstLineChars="200"/>
        <w:jc w:val="center"/>
        <w:outlineLvl w:val="0"/>
        <w:rPr>
          <w:rFonts w:ascii="宋体" w:hAnsi="宋体" w:cs="宋体"/>
          <w:b/>
          <w:color w:val="auto"/>
          <w:sz w:val="44"/>
          <w:szCs w:val="44"/>
        </w:rPr>
      </w:pPr>
      <w:bookmarkStart w:id="59" w:name="_Toc6063"/>
      <w:r>
        <w:rPr>
          <w:rFonts w:hint="eastAsia" w:ascii="宋体" w:hAnsi="宋体" w:cs="宋体"/>
          <w:b/>
          <w:color w:val="auto"/>
          <w:sz w:val="44"/>
          <w:szCs w:val="44"/>
        </w:rPr>
        <w:t>政府采购合同融资政策</w:t>
      </w:r>
      <w:bookmarkEnd w:id="59"/>
    </w:p>
    <w:p>
      <w:pPr>
        <w:pStyle w:val="10"/>
        <w:rPr>
          <w:rFonts w:asciiTheme="minorEastAsia" w:hAnsiTheme="minorEastAsia" w:eastAsiaTheme="minorEastAsia" w:cstheme="minorEastAsia"/>
          <w:color w:val="auto"/>
        </w:rPr>
      </w:pPr>
    </w:p>
    <w:p>
      <w:pPr>
        <w:spacing w:line="360" w:lineRule="auto"/>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为充分发挥政府采购合同资金支付有保障的优势，进一步优化我市营商环境，针对中小微企业融资难、融资贵问题，焦作市财政局联合有关部门推出了以政府采购合同预期支付能力为信用的融资政策。</w:t>
      </w:r>
    </w:p>
    <w:p>
      <w:pPr>
        <w:spacing w:line="360" w:lineRule="auto"/>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政府采购合同融资，是指参与政府采购并中标（成交）的中小微企业供应商，凭借政府采购合同向开展融资业务的服务机构申请融资贷款，融资服务机构以信贷政策为基础提供无抵押、免担保、低利率的的融资产品。</w:t>
      </w:r>
    </w:p>
    <w:p>
      <w:pPr>
        <w:spacing w:line="360" w:lineRule="auto"/>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政府采购项目中标（成交）的供应商，有融资意向的，可登陆“焦作市政府采购网”（网址：</w:t>
      </w:r>
      <w:r>
        <w:rPr>
          <w:color w:val="auto"/>
        </w:rPr>
        <w:fldChar w:fldCharType="begin"/>
      </w:r>
      <w:r>
        <w:rPr>
          <w:color w:val="auto"/>
        </w:rPr>
        <w:instrText xml:space="preserve"> HYPERLINK "http://jiaozuo.hngp.gov.cn）de/" </w:instrText>
      </w:r>
      <w:r>
        <w:rPr>
          <w:color w:val="auto"/>
        </w:rPr>
        <w:fldChar w:fldCharType="separate"/>
      </w:r>
      <w:r>
        <w:rPr>
          <w:rStyle w:val="35"/>
          <w:rFonts w:hint="eastAsia" w:asciiTheme="minorEastAsia" w:hAnsiTheme="minorEastAsia" w:eastAsiaTheme="minorEastAsia" w:cstheme="minorEastAsia"/>
          <w:color w:val="auto"/>
          <w:sz w:val="32"/>
          <w:szCs w:val="32"/>
        </w:rPr>
        <w:t>http://jiaozuo.hngp.gov.cn）</w:t>
      </w:r>
      <w:r>
        <w:rPr>
          <w:rStyle w:val="35"/>
          <w:rFonts w:hint="eastAsia" w:asciiTheme="minorEastAsia" w:hAnsiTheme="minorEastAsia" w:eastAsiaTheme="minorEastAsia" w:cstheme="minorEastAsia"/>
          <w:color w:val="auto"/>
          <w:sz w:val="32"/>
          <w:szCs w:val="32"/>
        </w:rPr>
        <w:fldChar w:fldCharType="end"/>
      </w:r>
      <w:r>
        <w:rPr>
          <w:rFonts w:hint="eastAsia" w:asciiTheme="minorEastAsia" w:hAnsiTheme="minorEastAsia" w:eastAsiaTheme="minorEastAsia" w:cstheme="minorEastAsia"/>
          <w:color w:val="auto"/>
          <w:sz w:val="32"/>
          <w:szCs w:val="32"/>
        </w:rPr>
        <w:t>的政府采购合同融资平台，查看各融资服务机构的融资产品，同时可在线向融资服务机构申请贷款，融资服务机构按照程序向您提供便捷、高效、优惠的贷款服务。</w:t>
      </w:r>
    </w:p>
    <w:p>
      <w:pPr>
        <w:pStyle w:val="10"/>
        <w:rPr>
          <w:rFonts w:asciiTheme="minorEastAsia" w:hAnsiTheme="minorEastAsia" w:eastAsiaTheme="minorEastAsia" w:cstheme="minorEastAsia"/>
          <w:color w:val="auto"/>
        </w:rPr>
      </w:pPr>
    </w:p>
    <w:p>
      <w:pPr>
        <w:rPr>
          <w:color w:val="auto"/>
        </w:rPr>
      </w:pPr>
    </w:p>
    <w:p>
      <w:pPr>
        <w:rPr>
          <w:rFonts w:ascii="仿宋_GB2312" w:eastAsia="仿宋_GB2312"/>
          <w:color w:val="auto"/>
          <w:sz w:val="32"/>
          <w:szCs w:val="32"/>
        </w:rPr>
      </w:pPr>
    </w:p>
    <w:p>
      <w:pPr>
        <w:widowControl/>
        <w:shd w:val="clear" w:color="auto" w:fill="FFFFFF"/>
        <w:tabs>
          <w:tab w:val="left" w:pos="0"/>
        </w:tabs>
        <w:spacing w:line="360" w:lineRule="auto"/>
        <w:ind w:firstLine="880" w:firstLineChars="200"/>
        <w:jc w:val="center"/>
        <w:rPr>
          <w:rFonts w:ascii="宋体" w:hAnsi="宋体" w:cs="宋体"/>
          <w:b/>
          <w:bCs/>
          <w:color w:val="auto"/>
          <w:sz w:val="44"/>
          <w:szCs w:val="44"/>
        </w:rPr>
      </w:pPr>
    </w:p>
    <w:p>
      <w:pPr>
        <w:widowControl/>
        <w:shd w:val="clear" w:color="auto" w:fill="FFFFFF"/>
        <w:tabs>
          <w:tab w:val="left" w:pos="0"/>
        </w:tabs>
        <w:spacing w:line="360" w:lineRule="auto"/>
        <w:ind w:firstLine="880" w:firstLineChars="200"/>
        <w:jc w:val="center"/>
        <w:outlineLvl w:val="0"/>
        <w:rPr>
          <w:rFonts w:ascii="方正小标宋简体" w:hAnsi="黑体"/>
          <w:color w:val="auto"/>
          <w:sz w:val="44"/>
          <w:szCs w:val="44"/>
        </w:rPr>
      </w:pPr>
      <w:bookmarkStart w:id="60" w:name="_Toc17178"/>
      <w:r>
        <w:rPr>
          <w:rFonts w:hint="eastAsia" w:ascii="宋体" w:hAnsi="宋体" w:cs="宋体"/>
          <w:b/>
          <w:bCs/>
          <w:color w:val="auto"/>
          <w:sz w:val="44"/>
          <w:szCs w:val="44"/>
        </w:rPr>
        <w:t>政府采购合同融资操作流程</w:t>
      </w:r>
      <w:bookmarkEnd w:id="60"/>
    </w:p>
    <w:p>
      <w:pPr>
        <w:widowControl/>
        <w:shd w:val="clear" w:color="auto" w:fill="FFFFFF"/>
        <w:tabs>
          <w:tab w:val="left" w:pos="0"/>
        </w:tabs>
        <w:adjustRightInd w:val="0"/>
        <w:snapToGrid w:val="0"/>
        <w:spacing w:line="360" w:lineRule="auto"/>
        <w:jc w:val="center"/>
        <w:rPr>
          <w:rFonts w:ascii="方正小标宋简体" w:hAnsi="黑体" w:eastAsia="方正小标宋简体"/>
          <w:color w:val="auto"/>
          <w:sz w:val="44"/>
          <w:szCs w:val="44"/>
        </w:rPr>
        <w:sectPr>
          <w:headerReference r:id="rId10" w:type="default"/>
          <w:footerReference r:id="rId11" w:type="default"/>
          <w:pgSz w:w="11906" w:h="16838"/>
          <w:pgMar w:top="1440" w:right="1797" w:bottom="1440" w:left="1797" w:header="851" w:footer="992" w:gutter="0"/>
          <w:pgNumType w:start="1"/>
          <w:cols w:space="720" w:num="1"/>
          <w:docGrid w:type="linesAndChars" w:linePitch="312" w:charSpace="0"/>
        </w:sectPr>
      </w:pPr>
      <w:r>
        <w:rPr>
          <w:rFonts w:ascii="仿宋_GB2312" w:hAnsi="宋体" w:eastAsia="仿宋_GB2312" w:cs="宋体"/>
          <w:color w:val="auto"/>
          <w:sz w:val="32"/>
          <w:szCs w:val="32"/>
        </w:rPr>
        <w:pict>
          <v:group id="组合 1037" o:spid="_x0000_s1027" o:spt="203" style="height:608.55pt;width:440.2pt;" coordsize="0,203203203"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">
            <o:lock v:ext="edit"/>
            <v:rect id="矩形 1038" o:spid="_x0000_s1055" o:spt="1" style="position:absolute;left:0;top:0;height:12171;width:8804;"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path/>
              <v:fill on="f" focussize="0,0"/>
              <v:stroke on="f"/>
              <v:imagedata o:title=""/>
              <o:lock v:ext="edit"/>
            </v:rect>
            <v:rect id="矩形 1039" o:spid="_x0000_s1054" o:spt="1" style="position:absolute;left:587;top:1922;height:640;width:2054;"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path/>
              <v:fill focussize="0,0"/>
              <v:stroke/>
              <v:imagedata o:title=""/>
              <o:lock v:ext="edit"/>
              <v:textbox>
                <w:txbxContent>
                  <w:p>
                    <w:pPr>
                      <w:jc w:val="center"/>
                      <w:rPr>
                        <w:rFonts w:ascii="宋体" w:hAnsi="宋体"/>
                        <w:sz w:val="24"/>
                      </w:rPr>
                    </w:pPr>
                    <w:r>
                      <w:rPr>
                        <w:rFonts w:hint="eastAsia" w:ascii="宋体" w:hAnsi="宋体"/>
                        <w:sz w:val="24"/>
                      </w:rPr>
                      <w:t>中小微企业申请</w:t>
                    </w:r>
                  </w:p>
                  <w:p>
                    <w:pPr>
                      <w:jc w:val="center"/>
                      <w:rPr>
                        <w:rFonts w:ascii="宋体" w:hAnsi="宋体"/>
                      </w:rPr>
                    </w:pPr>
                  </w:p>
                </w:txbxContent>
              </v:textbox>
            </v:rect>
            <v:rect id="矩形 1040" o:spid="_x0000_s1053" o:spt="1" style="position:absolute;left:3228;top:1540;height:1663;width:5576;"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path/>
              <v:fill focussize="0,0"/>
              <v:stroke/>
              <v:imagedata o:title=""/>
              <o:lock v:ext="edit"/>
              <v:textbox>
                <w:txbxContent>
                  <w:p>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v:textbox>
            </v:rect>
            <v:line id="直线 1041" o:spid="_x0000_s1052" o:spt="20" style="position:absolute;left:2641;top:2230;height:2;width:587;"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path arrowok="t"/>
              <v:fill focussize="0,0"/>
              <v:stroke endarrow="block"/>
              <v:imagedata o:title=""/>
              <o:lock v:ext="edit"/>
            </v:line>
            <v:rect id="矩形 1042" o:spid="_x0000_s1051" o:spt="1" style="position:absolute;left:587;top:5125;height:1281;width:2054;"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path/>
              <v:fill focussize="0,0"/>
              <v:stroke/>
              <v:imagedata o:title=""/>
              <o:lock v:ext="edit"/>
              <v:textbox>
                <w:txbxContent>
                  <w:p/>
                  <w:p>
                    <w:pPr>
                      <w:jc w:val="center"/>
                      <w:rPr>
                        <w:sz w:val="24"/>
                      </w:rPr>
                    </w:pPr>
                    <w:r>
                      <w:rPr>
                        <w:rFonts w:hint="eastAsia"/>
                        <w:sz w:val="24"/>
                      </w:rPr>
                      <w:t>开设收款账户</w:t>
                    </w:r>
                  </w:p>
                  <w:p>
                    <w:pPr>
                      <w:jc w:val="center"/>
                      <w:rPr>
                        <w:sz w:val="24"/>
                      </w:rPr>
                    </w:pPr>
                    <w:r>
                      <w:rPr>
                        <w:rFonts w:hint="eastAsia"/>
                        <w:sz w:val="24"/>
                      </w:rPr>
                      <w:t>签订政府采购合同</w:t>
                    </w:r>
                  </w:p>
                </w:txbxContent>
              </v:textbox>
            </v:rect>
            <v:line id="直线 1043" o:spid="_x0000_s1050" o:spt="20" style="position:absolute;left:2641;top:5765;height:1;width:587;"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path arrowok="t"/>
              <v:fill focussize="0,0"/>
              <v:stroke endarrow="block"/>
              <v:imagedata o:title=""/>
              <o:lock v:ext="edit"/>
            </v:line>
            <v:rect id="矩形 1044" o:spid="_x0000_s1049" o:spt="1" style="position:absolute;left:587;top:10890;height:1281;width:2054;"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path/>
              <v:fill focussize="0,0"/>
              <v:stroke/>
              <v:imagedata o:title=""/>
              <o:lock v:ext="edit"/>
              <v:textbox>
                <w:txbxContent>
                  <w:p>
                    <w:pPr>
                      <w:jc w:val="center"/>
                    </w:pPr>
                  </w:p>
                  <w:p>
                    <w:pPr>
                      <w:jc w:val="center"/>
                      <w:rPr>
                        <w:sz w:val="24"/>
                      </w:rPr>
                    </w:pPr>
                    <w:r>
                      <w:rPr>
                        <w:rFonts w:hint="eastAsia"/>
                        <w:sz w:val="24"/>
                      </w:rPr>
                      <w:t>合同资金支付及还贷</w:t>
                    </w:r>
                  </w:p>
                </w:txbxContent>
              </v:textbox>
            </v:rect>
            <v:line id="直线 1045" o:spid="_x0000_s1048" o:spt="20" style="position:absolute;left:2641;top:11530;height:2;width:587;"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path arrowok="t"/>
              <v:fill focussize="0,0"/>
              <v:stroke endarrow="block"/>
              <v:imagedata o:title=""/>
              <o:lock v:ext="edit"/>
            </v:line>
            <v:rect id="矩形 1046" o:spid="_x0000_s1047" o:spt="1" style="position:absolute;left:3228;top:10890;height:1281;width:5576;"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path/>
              <v:fill focussize="0,0"/>
              <v:stroke/>
              <v:imagedata o:title=""/>
              <o:lock v:ext="edit"/>
              <v:textbox>
                <w:txbxContent>
                  <w:p>
                    <w:pPr>
                      <w:rPr>
                        <w:sz w:val="24"/>
                      </w:rPr>
                    </w:pPr>
                    <w:r>
                      <w:rPr>
                        <w:rFonts w:hint="eastAsia"/>
                        <w:sz w:val="24"/>
                      </w:rPr>
                      <w:t>中小微企业按照合同约定履约，采购人及时开展履约验收，融资服务机构加强管理，及时锁定合同回款资金。</w:t>
                    </w:r>
                  </w:p>
                </w:txbxContent>
              </v:textbox>
            </v:rect>
            <v:rect id="矩形 1047" o:spid="_x0000_s1046" o:spt="1" style="position:absolute;left:587;top:0;height:1281;width:2054;"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path/>
              <v:fill focussize="0,0"/>
              <v:stroke/>
              <v:imagedata o:title=""/>
              <o:lock v:ext="edit"/>
              <v:textbox>
                <w:txbxContent>
                  <w:p>
                    <w:pPr>
                      <w:rPr>
                        <w:rFonts w:ascii="宋体" w:hAnsi="宋体"/>
                        <w:sz w:val="24"/>
                      </w:rPr>
                    </w:pPr>
                    <w:r>
                      <w:rPr>
                        <w:rFonts w:hint="eastAsia" w:ascii="宋体" w:hAnsi="宋体"/>
                        <w:sz w:val="24"/>
                      </w:rPr>
                      <w:t>中小微企业领取中标（成交）通知书</w:t>
                    </w:r>
                  </w:p>
                </w:txbxContent>
              </v:textbox>
            </v:rect>
            <v:line id="直线 1048" o:spid="_x0000_s1045" o:spt="20" style="position:absolute;left:2641;top:641;height:1;width:587;"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path arrowok="t"/>
              <v:fill focussize="0,0"/>
              <v:stroke endarrow="block"/>
              <v:imagedata o:title=""/>
              <o:lock v:ext="edit"/>
            </v:line>
            <v:rect id="矩形 1049" o:spid="_x0000_s1044" o:spt="1" style="position:absolute;left:3228;top:0;height:1281;width:5576;"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path/>
              <v:fill focussize="0,0"/>
              <v:stroke/>
              <v:imagedata o:title=""/>
              <o:lock v:ext="edit"/>
              <v:textbox>
                <w:txbxContent>
                  <w:p>
                    <w:pPr>
                      <w:rPr>
                        <w:rFonts w:ascii="宋体" w:hAnsi="宋体"/>
                        <w:sz w:val="24"/>
                      </w:rPr>
                    </w:pPr>
                    <w:r>
                      <w:rPr>
                        <w:rFonts w:hint="eastAsia" w:ascii="宋体" w:hAnsi="宋体"/>
                        <w:sz w:val="24"/>
                      </w:rPr>
                      <w:t>采购人或采购代理机构在焦作市政府采购网发布中标（成交）结果公告，同时发出中标（成交）通知书。</w:t>
                    </w:r>
                  </w:p>
                </w:txbxContent>
              </v:textbox>
            </v:rect>
            <v:line id="直线 1050" o:spid="_x0000_s1043" o:spt="20" style="position:absolute;left:1623;top:1281;height:641;width:1;"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path arrowok="t"/>
              <v:fill focussize="0,0"/>
              <v:stroke endarrow="block"/>
              <v:imagedata o:title=""/>
              <o:lock v:ext="edit"/>
            </v:line>
            <v:rect id="矩形 1051" o:spid="_x0000_s1042" o:spt="1" style="position:absolute;left:587;top:3203;height:1281;width:2054;"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path/>
              <v:fill focussize="0,0"/>
              <v:stroke/>
              <v:imagedata o:title=""/>
              <o:lock v:ext="edit"/>
              <v:textbox>
                <w:txbxContent>
                  <w:p/>
                  <w:p>
                    <w:pPr>
                      <w:jc w:val="center"/>
                      <w:rPr>
                        <w:sz w:val="24"/>
                      </w:rPr>
                    </w:pPr>
                    <w:r>
                      <w:rPr>
                        <w:rFonts w:hint="eastAsia"/>
                        <w:sz w:val="24"/>
                      </w:rPr>
                      <w:t>融资服务机构审查</w:t>
                    </w:r>
                  </w:p>
                </w:txbxContent>
              </v:textbox>
            </v:rect>
            <v:line id="直线 1052" o:spid="_x0000_s1041" o:spt="20" style="position:absolute;left:1623;top:2562;height:641;width:1;"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path arrowok="t"/>
              <v:fill focussize="0,0"/>
              <v:stroke endarrow="block"/>
              <v:imagedata o:title=""/>
              <o:lock v:ext="edit"/>
            </v:line>
            <v:line id="直线 1053" o:spid="_x0000_s1040" o:spt="20" style="position:absolute;left:2641;top:3970;height:1;width:587;"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path arrowok="t"/>
              <v:fill focussize="0,0"/>
              <v:stroke endarrow="block"/>
              <v:imagedata o:title=""/>
              <o:lock v:ext="edit"/>
            </v:line>
            <v:rect id="矩形 1054" o:spid="_x0000_s1039" o:spt="1" style="position:absolute;left:3228;top:3412;height:1072;width:5576;"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path/>
              <v:fill focussize="0,0"/>
              <v:stroke/>
              <v:imagedata o:title=""/>
              <o:lock v:ext="edit"/>
              <v:textbox>
                <w:txbxContent>
                  <w:p>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v:textbox>
            </v:rect>
            <v:line id="直线 1055" o:spid="_x0000_s1038" o:spt="20" style="position:absolute;left:1595;top:4484;height:641;width:1;"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path arrowok="t"/>
              <v:fill focussize="0,0"/>
              <v:stroke endarrow="block"/>
              <v:imagedata o:title=""/>
              <o:lock v:ext="edit"/>
            </v:line>
            <v:rect id="矩形 1056" o:spid="_x0000_s1037" o:spt="1" style="position:absolute;left:3228;top:5025;height:1547;width:5576;"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path/>
              <v:fill focussize="0,0"/>
              <v:stroke/>
              <v:imagedata o:title=""/>
              <o:lock v:ext="edit"/>
              <v:textbox>
                <w:txbxContent>
                  <w:p>
                    <w:pPr>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v:textbox>
            </v:rect>
            <v:rect id="矩形 1057" o:spid="_x0000_s1036" o:spt="1" style="position:absolute;left:587;top:7046;height:1282;width:2054;"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path/>
              <v:fill focussize="0,0"/>
              <v:stroke/>
              <v:imagedata o:title=""/>
              <o:lock v:ext="edit"/>
              <v:textbox>
                <w:txbxContent>
                  <w:p/>
                  <w:p>
                    <w:pPr>
                      <w:jc w:val="center"/>
                      <w:rPr>
                        <w:sz w:val="24"/>
                      </w:rPr>
                    </w:pPr>
                    <w:r>
                      <w:rPr>
                        <w:rFonts w:hint="eastAsia"/>
                        <w:sz w:val="24"/>
                      </w:rPr>
                      <w:t>政府采购合同备案</w:t>
                    </w:r>
                  </w:p>
                </w:txbxContent>
              </v:textbox>
            </v:rect>
            <v:line id="直线 1058" o:spid="_x0000_s1035" o:spt="20" style="position:absolute;left:2641;top:7687;height:1;width:587;"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path arrowok="t"/>
              <v:fill focussize="0,0"/>
              <v:stroke endarrow="block"/>
              <v:imagedata o:title=""/>
              <o:lock v:ext="edit"/>
            </v:line>
            <v:rect id="矩形 1059" o:spid="_x0000_s1034" o:spt="1" style="position:absolute;left:3228;top:8968;height:1281;width:5576;"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path/>
              <v:fill focussize="0,0"/>
              <v:stroke/>
              <v:imagedata o:title=""/>
              <o:lock v:ext="edit"/>
              <v:textbox>
                <w:txbxContent>
                  <w:p/>
                  <w:p>
                    <w:pPr>
                      <w:rPr>
                        <w:sz w:val="24"/>
                      </w:rPr>
                    </w:pPr>
                    <w:r>
                      <w:rPr>
                        <w:rFonts w:hint="eastAsia"/>
                        <w:sz w:val="24"/>
                      </w:rPr>
                      <w:t>融资服务机构确认合同的真实性后，5个工作日内完成放款。</w:t>
                    </w:r>
                  </w:p>
                </w:txbxContent>
              </v:textbox>
            </v:rect>
            <v:rect id="矩形 1060" o:spid="_x0000_s1033" o:spt="1" style="position:absolute;left:587;top:8968;height:1281;width:2054;"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path/>
              <v:fill focussize="0,0"/>
              <v:stroke/>
              <v:imagedata o:title=""/>
              <o:lock v:ext="edit"/>
              <v:textbox>
                <w:txbxContent>
                  <w:p/>
                  <w:p>
                    <w:pPr>
                      <w:jc w:val="center"/>
                      <w:rPr>
                        <w:sz w:val="24"/>
                      </w:rPr>
                    </w:pPr>
                    <w:r>
                      <w:rPr>
                        <w:rFonts w:hint="eastAsia"/>
                        <w:sz w:val="24"/>
                      </w:rPr>
                      <w:t>融资服务机构放贷</w:t>
                    </w:r>
                  </w:p>
                </w:txbxContent>
              </v:textbox>
            </v:rect>
            <v:rect id="矩形 1061" o:spid="_x0000_s1032" o:spt="1" style="position:absolute;left:3228;top:7046;height:1282;width:5576;"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path/>
              <v:fill focussize="0,0"/>
              <v:stroke/>
              <v:imagedata o:title=""/>
              <o:lock v:ext="edit"/>
              <v:textbox>
                <w:txbxContent>
                  <w:p>
                    <w:pPr>
                      <w:rPr>
                        <w:sz w:val="24"/>
                      </w:rPr>
                    </w:pPr>
                    <w:r>
                      <w:rPr>
                        <w:rFonts w:hint="eastAsia"/>
                        <w:sz w:val="24"/>
                      </w:rPr>
                      <w:t>签订合同后2个工作日内完成备案；融资机构登陆焦作市电子化政府采购系统核对合同真实性。</w:t>
                    </w:r>
                  </w:p>
                </w:txbxContent>
              </v:textbox>
            </v:rect>
            <v:line id="直线 1062" o:spid="_x0000_s1031" o:spt="20" style="position:absolute;left:1552;top:6406;height:640;width:1;"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path arrowok="t"/>
              <v:fill focussize="0,0"/>
              <v:stroke endarrow="block"/>
              <v:imagedata o:title=""/>
              <o:lock v:ext="edit"/>
            </v:line>
            <v:line id="直线 1063" o:spid="_x0000_s1030" o:spt="20" style="position:absolute;left:1538;top:8328;height:640;width:1;"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path arrowok="t"/>
              <v:fill focussize="0,0"/>
              <v:stroke endarrow="block"/>
              <v:imagedata o:title=""/>
              <o:lock v:ext="edit"/>
            </v:line>
            <v:line id="直线 1064" o:spid="_x0000_s1029" o:spt="20" style="position:absolute;left:1552;top:10249;height:641;width:1;"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path arrowok="t"/>
              <v:fill focussize="0,0"/>
              <v:stroke endarrow="block"/>
              <v:imagedata o:title=""/>
              <o:lock v:ext="edit"/>
            </v:line>
            <v:line id="直线 1065" o:spid="_x0000_s1028" o:spt="20" style="position:absolute;left:2641;top:9609;height:1;width:587;"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path arrowok="t"/>
              <v:fill focussize="0,0"/>
              <v:stroke endarrow="block"/>
              <v:imagedata o:title=""/>
              <o:lock v:ext="edit"/>
            </v:line>
            <w10:wrap type="none"/>
            <w10:anchorlock/>
          </v:group>
        </w:pict>
      </w:r>
    </w:p>
    <w:p>
      <w:pPr>
        <w:widowControl/>
        <w:shd w:val="clear" w:color="auto" w:fill="FFFFFF"/>
        <w:tabs>
          <w:tab w:val="left" w:pos="0"/>
        </w:tabs>
        <w:spacing w:line="360" w:lineRule="auto"/>
        <w:jc w:val="center"/>
        <w:rPr>
          <w:color w:val="auto"/>
        </w:rPr>
      </w:pPr>
      <w:r>
        <w:rPr>
          <w:rFonts w:hint="eastAsia" w:ascii="宋体" w:hAnsi="宋体" w:cs="宋体"/>
          <w:b/>
          <w:bCs/>
          <w:color w:val="auto"/>
          <w:sz w:val="44"/>
          <w:szCs w:val="44"/>
        </w:rPr>
        <w:t>融资服务机构名单</w:t>
      </w:r>
    </w:p>
    <w:tbl>
      <w:tblPr>
        <w:tblStyle w:val="26"/>
        <w:tblW w:w="9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vAlign w:val="center"/>
          </w:tcPr>
          <w:p>
            <w:pPr>
              <w:widowControl/>
              <w:tabs>
                <w:tab w:val="left" w:pos="0"/>
              </w:tabs>
              <w:spacing w:line="360" w:lineRule="auto"/>
              <w:jc w:val="center"/>
              <w:rPr>
                <w:rFonts w:ascii="黑体" w:hAnsi="黑体" w:eastAsia="黑体"/>
                <w:color w:val="auto"/>
                <w:sz w:val="30"/>
                <w:szCs w:val="30"/>
              </w:rPr>
            </w:pPr>
            <w:r>
              <w:rPr>
                <w:rFonts w:hint="eastAsia" w:ascii="黑体" w:hAnsi="黑体" w:eastAsia="黑体"/>
                <w:color w:val="auto"/>
                <w:sz w:val="30"/>
                <w:szCs w:val="30"/>
              </w:rPr>
              <w:t>名称</w:t>
            </w:r>
          </w:p>
        </w:tc>
        <w:tc>
          <w:tcPr>
            <w:tcW w:w="1230" w:type="dxa"/>
            <w:vAlign w:val="center"/>
          </w:tcPr>
          <w:p>
            <w:pPr>
              <w:widowControl/>
              <w:tabs>
                <w:tab w:val="left" w:pos="0"/>
              </w:tabs>
              <w:spacing w:line="360" w:lineRule="auto"/>
              <w:jc w:val="center"/>
              <w:rPr>
                <w:rFonts w:ascii="黑体" w:hAnsi="黑体" w:eastAsia="黑体"/>
                <w:color w:val="auto"/>
                <w:sz w:val="30"/>
                <w:szCs w:val="30"/>
              </w:rPr>
            </w:pPr>
            <w:r>
              <w:rPr>
                <w:rFonts w:hint="eastAsia" w:ascii="黑体" w:hAnsi="黑体" w:eastAsia="黑体"/>
                <w:color w:val="auto"/>
                <w:sz w:val="30"/>
                <w:szCs w:val="30"/>
              </w:rPr>
              <w:t>联系人</w:t>
            </w:r>
          </w:p>
        </w:tc>
        <w:tc>
          <w:tcPr>
            <w:tcW w:w="1876" w:type="dxa"/>
            <w:vAlign w:val="center"/>
          </w:tcPr>
          <w:p>
            <w:pPr>
              <w:widowControl/>
              <w:tabs>
                <w:tab w:val="left" w:pos="0"/>
              </w:tabs>
              <w:spacing w:line="360" w:lineRule="auto"/>
              <w:jc w:val="center"/>
              <w:rPr>
                <w:rFonts w:ascii="黑体" w:hAnsi="黑体" w:eastAsia="黑体"/>
                <w:color w:val="auto"/>
                <w:sz w:val="30"/>
                <w:szCs w:val="30"/>
              </w:rPr>
            </w:pPr>
            <w:r>
              <w:rPr>
                <w:rFonts w:hint="eastAsia" w:ascii="黑体" w:hAnsi="黑体" w:eastAsia="黑体"/>
                <w:color w:val="auto"/>
                <w:sz w:val="30"/>
                <w:szCs w:val="30"/>
              </w:rPr>
              <w:t>联系电话</w:t>
            </w:r>
          </w:p>
        </w:tc>
        <w:tc>
          <w:tcPr>
            <w:tcW w:w="2325" w:type="dxa"/>
            <w:vAlign w:val="center"/>
          </w:tcPr>
          <w:p>
            <w:pPr>
              <w:widowControl/>
              <w:tabs>
                <w:tab w:val="left" w:pos="0"/>
              </w:tabs>
              <w:spacing w:line="360" w:lineRule="auto"/>
              <w:jc w:val="center"/>
              <w:rPr>
                <w:rFonts w:ascii="黑体" w:hAnsi="黑体" w:eastAsia="黑体"/>
                <w:color w:val="auto"/>
                <w:sz w:val="30"/>
                <w:szCs w:val="30"/>
              </w:rPr>
            </w:pPr>
            <w:r>
              <w:rPr>
                <w:rFonts w:hint="eastAsia" w:ascii="黑体" w:hAnsi="黑体" w:eastAsia="黑体"/>
                <w:color w:val="auto"/>
                <w:sz w:val="30"/>
                <w:szCs w:val="3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中国农业银行股份有限公司</w:t>
            </w:r>
          </w:p>
          <w:p>
            <w:pPr>
              <w:widowControl/>
              <w:tabs>
                <w:tab w:val="left" w:pos="0"/>
              </w:tabs>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焦作分行</w:t>
            </w:r>
          </w:p>
        </w:tc>
        <w:tc>
          <w:tcPr>
            <w:tcW w:w="1230"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hd w:val="clear" w:color="auto" w:fill="FFFFFF"/>
              </w:rPr>
              <w:t>薛国战</w:t>
            </w:r>
          </w:p>
        </w:tc>
        <w:tc>
          <w:tcPr>
            <w:tcW w:w="1876"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sz w:val="24"/>
                <w:shd w:val="clear" w:color="auto" w:fill="FFFFFF"/>
              </w:rPr>
            </w:pPr>
            <w:r>
              <w:rPr>
                <w:rFonts w:hint="eastAsia" w:asciiTheme="minorEastAsia" w:hAnsiTheme="minorEastAsia" w:eastAsiaTheme="minorEastAsia" w:cstheme="minorEastAsia"/>
                <w:color w:val="auto"/>
                <w:sz w:val="24"/>
                <w:shd w:val="clear" w:color="auto" w:fill="FFFFFF"/>
              </w:rPr>
              <w:t>0391-2878039       13839109026</w:t>
            </w:r>
          </w:p>
        </w:tc>
        <w:tc>
          <w:tcPr>
            <w:tcW w:w="2325"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sz w:val="24"/>
                <w:shd w:val="clear" w:color="auto" w:fill="FFFFFF"/>
              </w:rPr>
            </w:pPr>
            <w:r>
              <w:rPr>
                <w:rFonts w:hint="eastAsia" w:asciiTheme="minorEastAsia" w:hAnsiTheme="minorEastAsia" w:eastAsiaTheme="minorEastAsia" w:cstheme="minorEastAsia"/>
                <w:color w:val="auto"/>
                <w:sz w:val="24"/>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中国银行股份有限公司焦作分行</w:t>
            </w:r>
          </w:p>
        </w:tc>
        <w:tc>
          <w:tcPr>
            <w:tcW w:w="1230"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hd w:val="clear" w:color="auto" w:fill="FFFFFF"/>
              </w:rPr>
              <w:t>曹阳</w:t>
            </w:r>
          </w:p>
        </w:tc>
        <w:tc>
          <w:tcPr>
            <w:tcW w:w="1876"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sz w:val="24"/>
                <w:shd w:val="clear" w:color="auto" w:fill="FFFFFF"/>
              </w:rPr>
            </w:pPr>
            <w:r>
              <w:rPr>
                <w:rFonts w:hint="eastAsia" w:asciiTheme="minorEastAsia" w:hAnsiTheme="minorEastAsia" w:eastAsiaTheme="minorEastAsia" w:cstheme="minorEastAsia"/>
                <w:color w:val="auto"/>
                <w:sz w:val="24"/>
                <w:shd w:val="clear" w:color="auto" w:fill="FFFFFF"/>
              </w:rPr>
              <w:t>0391-8825171  13839118160</w:t>
            </w:r>
          </w:p>
        </w:tc>
        <w:tc>
          <w:tcPr>
            <w:tcW w:w="2325"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sz w:val="24"/>
                <w:shd w:val="clear" w:color="auto" w:fill="FFFFFF"/>
              </w:rPr>
            </w:pPr>
            <w:r>
              <w:rPr>
                <w:rFonts w:hint="eastAsia" w:asciiTheme="minorEastAsia" w:hAnsiTheme="minorEastAsia" w:eastAsiaTheme="minorEastAsia" w:cstheme="minorEastAsia"/>
                <w:color w:val="auto"/>
                <w:sz w:val="24"/>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中国建设银行股份有限公司焦作分行</w:t>
            </w:r>
          </w:p>
        </w:tc>
        <w:tc>
          <w:tcPr>
            <w:tcW w:w="1230" w:type="dxa"/>
            <w:shd w:val="clear" w:color="auto" w:fill="auto"/>
            <w:vAlign w:val="center"/>
          </w:tcPr>
          <w:p>
            <w:pPr>
              <w:widowControl/>
              <w:tabs>
                <w:tab w:val="left" w:pos="0"/>
              </w:tabs>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李华莹</w:t>
            </w:r>
          </w:p>
        </w:tc>
        <w:tc>
          <w:tcPr>
            <w:tcW w:w="1876" w:type="dxa"/>
            <w:shd w:val="clear" w:color="auto" w:fill="auto"/>
            <w:vAlign w:val="center"/>
          </w:tcPr>
          <w:p>
            <w:pPr>
              <w:widowControl/>
              <w:tabs>
                <w:tab w:val="left" w:pos="0"/>
              </w:tabs>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0391-3918471</w:t>
            </w:r>
          </w:p>
        </w:tc>
        <w:tc>
          <w:tcPr>
            <w:tcW w:w="2325" w:type="dxa"/>
            <w:shd w:val="solid" w:color="FFFFFF" w:fill="auto"/>
            <w:vAlign w:val="center"/>
          </w:tcPr>
          <w:p>
            <w:pPr>
              <w:widowControl/>
              <w:tabs>
                <w:tab w:val="left" w:pos="0"/>
              </w:tabs>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中国邮政储蓄银行股份有限公司焦作市分行</w:t>
            </w:r>
          </w:p>
        </w:tc>
        <w:tc>
          <w:tcPr>
            <w:tcW w:w="1230"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hd w:val="clear" w:color="auto" w:fill="FFFFFF"/>
              </w:rPr>
              <w:t>李天祥</w:t>
            </w:r>
          </w:p>
        </w:tc>
        <w:tc>
          <w:tcPr>
            <w:tcW w:w="1876"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sz w:val="24"/>
                <w:shd w:val="clear" w:color="auto" w:fill="FFFFFF"/>
              </w:rPr>
            </w:pPr>
            <w:r>
              <w:rPr>
                <w:rFonts w:hint="eastAsia" w:asciiTheme="minorEastAsia" w:hAnsiTheme="minorEastAsia" w:eastAsiaTheme="minorEastAsia" w:cstheme="minorEastAsia"/>
                <w:color w:val="auto"/>
                <w:sz w:val="24"/>
                <w:shd w:val="clear" w:color="auto" w:fill="FFFFFF"/>
              </w:rPr>
              <w:t>0391-2981968 13523359082</w:t>
            </w:r>
          </w:p>
        </w:tc>
        <w:tc>
          <w:tcPr>
            <w:tcW w:w="2325"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sz w:val="24"/>
                <w:shd w:val="clear" w:color="auto" w:fill="FFFFFF"/>
              </w:rPr>
            </w:pPr>
            <w:r>
              <w:rPr>
                <w:rFonts w:hint="eastAsia" w:asciiTheme="minorEastAsia" w:hAnsiTheme="minorEastAsia" w:eastAsiaTheme="minorEastAsia" w:cstheme="minorEastAsia"/>
                <w:color w:val="auto"/>
                <w:sz w:val="24"/>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焦作中旅银行股份有限公司</w:t>
            </w:r>
          </w:p>
        </w:tc>
        <w:tc>
          <w:tcPr>
            <w:tcW w:w="1230"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hd w:val="clear" w:color="auto" w:fill="FFFFFF"/>
              </w:rPr>
              <w:t>周建林</w:t>
            </w:r>
          </w:p>
        </w:tc>
        <w:tc>
          <w:tcPr>
            <w:tcW w:w="1876"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sz w:val="24"/>
                <w:shd w:val="clear" w:color="auto" w:fill="FFFFFF"/>
              </w:rPr>
            </w:pPr>
            <w:r>
              <w:rPr>
                <w:rFonts w:hint="eastAsia" w:asciiTheme="minorEastAsia" w:hAnsiTheme="minorEastAsia" w:eastAsiaTheme="minorEastAsia" w:cstheme="minorEastAsia"/>
                <w:color w:val="auto"/>
                <w:sz w:val="24"/>
                <w:shd w:val="clear" w:color="auto" w:fill="FFFFFF"/>
              </w:rPr>
              <w:t xml:space="preserve">0391-2116963 15893053027 </w:t>
            </w:r>
          </w:p>
        </w:tc>
        <w:tc>
          <w:tcPr>
            <w:tcW w:w="2325"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sz w:val="24"/>
                <w:shd w:val="clear" w:color="auto" w:fill="FFFFFF"/>
              </w:rPr>
            </w:pPr>
            <w:r>
              <w:rPr>
                <w:rFonts w:hint="eastAsia" w:asciiTheme="minorEastAsia" w:hAnsiTheme="minorEastAsia" w:eastAsiaTheme="minorEastAsia" w:cstheme="minorEastAsia"/>
                <w:color w:val="auto"/>
                <w:sz w:val="24"/>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中信银行股份有限公司焦作分行</w:t>
            </w:r>
          </w:p>
        </w:tc>
        <w:tc>
          <w:tcPr>
            <w:tcW w:w="1230" w:type="dxa"/>
            <w:shd w:val="clear" w:color="auto" w:fill="auto"/>
            <w:vAlign w:val="center"/>
          </w:tcPr>
          <w:p>
            <w:pPr>
              <w:widowControl/>
              <w:tabs>
                <w:tab w:val="left" w:pos="0"/>
              </w:tabs>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周江江</w:t>
            </w:r>
          </w:p>
        </w:tc>
        <w:tc>
          <w:tcPr>
            <w:tcW w:w="187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17639185001</w:t>
            </w:r>
          </w:p>
        </w:tc>
        <w:tc>
          <w:tcPr>
            <w:tcW w:w="2325" w:type="dxa"/>
            <w:shd w:val="solid" w:color="FFFFFF" w:fill="auto"/>
            <w:vAlign w:val="center"/>
          </w:tcPr>
          <w:p>
            <w:pPr>
              <w:widowControl/>
              <w:tabs>
                <w:tab w:val="left" w:pos="0"/>
              </w:tabs>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z w:val="24"/>
              </w:rPr>
              <w:t>中国光大银行股份有限公司焦作分行</w:t>
            </w:r>
          </w:p>
        </w:tc>
        <w:tc>
          <w:tcPr>
            <w:tcW w:w="1230"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hd w:val="clear" w:color="auto" w:fill="FFFFFF"/>
              </w:rPr>
              <w:t>王海宾</w:t>
            </w:r>
          </w:p>
        </w:tc>
        <w:tc>
          <w:tcPr>
            <w:tcW w:w="1876"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sz w:val="24"/>
                <w:shd w:val="clear" w:color="auto" w:fill="FFFFFF"/>
              </w:rPr>
            </w:pPr>
            <w:r>
              <w:rPr>
                <w:rFonts w:hint="eastAsia" w:asciiTheme="minorEastAsia" w:hAnsiTheme="minorEastAsia" w:eastAsiaTheme="minorEastAsia" w:cstheme="minorEastAsia"/>
                <w:color w:val="auto"/>
                <w:sz w:val="24"/>
                <w:shd w:val="clear" w:color="auto" w:fill="FFFFFF"/>
              </w:rPr>
              <w:t>0391-8787996 13598534626</w:t>
            </w:r>
          </w:p>
        </w:tc>
        <w:tc>
          <w:tcPr>
            <w:tcW w:w="2325"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sz w:val="24"/>
                <w:shd w:val="clear" w:color="auto" w:fill="FFFFFF"/>
              </w:rPr>
            </w:pPr>
            <w:r>
              <w:rPr>
                <w:rFonts w:hint="eastAsia" w:asciiTheme="minorEastAsia" w:hAnsiTheme="minorEastAsia" w:eastAsiaTheme="minorEastAsia" w:cstheme="minorEastAsia"/>
                <w:color w:val="auto"/>
                <w:sz w:val="24"/>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中原银行股份有限公司焦作分行</w:t>
            </w:r>
          </w:p>
        </w:tc>
        <w:tc>
          <w:tcPr>
            <w:tcW w:w="1230"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hd w:val="clear" w:color="auto" w:fill="FFFFFF"/>
              </w:rPr>
              <w:t>赵伟</w:t>
            </w:r>
          </w:p>
        </w:tc>
        <w:tc>
          <w:tcPr>
            <w:tcW w:w="1876"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sz w:val="24"/>
                <w:shd w:val="clear" w:color="auto" w:fill="FFFFFF"/>
              </w:rPr>
            </w:pPr>
            <w:r>
              <w:rPr>
                <w:rFonts w:hint="eastAsia" w:asciiTheme="minorEastAsia" w:hAnsiTheme="minorEastAsia" w:eastAsiaTheme="minorEastAsia" w:cstheme="minorEastAsia"/>
                <w:color w:val="auto"/>
                <w:sz w:val="24"/>
                <w:shd w:val="clear" w:color="auto" w:fill="FFFFFF"/>
              </w:rPr>
              <w:t>0391-8796520 15738533033</w:t>
            </w:r>
          </w:p>
        </w:tc>
        <w:tc>
          <w:tcPr>
            <w:tcW w:w="2325"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sz w:val="24"/>
                <w:shd w:val="clear" w:color="auto" w:fill="FFFFFF"/>
              </w:rPr>
            </w:pPr>
            <w:r>
              <w:rPr>
                <w:rFonts w:hint="eastAsia" w:asciiTheme="minorEastAsia" w:hAnsiTheme="minorEastAsia" w:eastAsiaTheme="minorEastAsia" w:cstheme="minorEastAsia"/>
                <w:color w:val="auto"/>
                <w:sz w:val="24"/>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广发银行股份有限公司焦作分行</w:t>
            </w:r>
          </w:p>
        </w:tc>
        <w:tc>
          <w:tcPr>
            <w:tcW w:w="1230"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hd w:val="clear" w:color="auto" w:fill="FFFFFF"/>
              </w:rPr>
              <w:t>张嘉强</w:t>
            </w:r>
          </w:p>
        </w:tc>
        <w:tc>
          <w:tcPr>
            <w:tcW w:w="1876"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sz w:val="24"/>
                <w:shd w:val="clear" w:color="auto" w:fill="FFFFFF"/>
              </w:rPr>
            </w:pPr>
            <w:r>
              <w:rPr>
                <w:rFonts w:hint="eastAsia" w:asciiTheme="minorEastAsia" w:hAnsiTheme="minorEastAsia" w:eastAsiaTheme="minorEastAsia" w:cstheme="minorEastAsia"/>
                <w:color w:val="auto"/>
                <w:sz w:val="24"/>
                <w:shd w:val="clear" w:color="auto" w:fill="FFFFFF"/>
              </w:rPr>
              <w:t>0391-653785 13203910032</w:t>
            </w:r>
          </w:p>
        </w:tc>
        <w:tc>
          <w:tcPr>
            <w:tcW w:w="2325"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sz w:val="24"/>
                <w:shd w:val="clear" w:color="auto" w:fill="FFFFFF"/>
              </w:rPr>
            </w:pPr>
            <w:r>
              <w:rPr>
                <w:rFonts w:hint="eastAsia" w:asciiTheme="minorEastAsia" w:hAnsiTheme="minorEastAsia" w:eastAsiaTheme="minorEastAsia" w:cstheme="minorEastAsia"/>
                <w:color w:val="auto"/>
                <w:sz w:val="24"/>
                <w:shd w:val="clear" w:color="auto" w:fill="FFFFFF"/>
              </w:rPr>
              <w:t>焦作市塔南路1736号嘉隆金融中心</w:t>
            </w:r>
          </w:p>
        </w:tc>
      </w:tr>
    </w:tbl>
    <w:p>
      <w:pPr>
        <w:widowControl/>
        <w:tabs>
          <w:tab w:val="left" w:pos="0"/>
        </w:tabs>
        <w:spacing w:line="360" w:lineRule="auto"/>
        <w:ind w:firstLine="480" w:firstLineChars="200"/>
        <w:rPr>
          <w:rFonts w:ascii="仿宋_GB2312" w:eastAsia="仿宋_GB2312"/>
          <w:color w:val="auto"/>
        </w:rPr>
      </w:pPr>
      <w:r>
        <w:rPr>
          <w:rFonts w:hint="eastAsia" w:asciiTheme="minorEastAsia" w:hAnsiTheme="minorEastAsia" w:eastAsiaTheme="minorEastAsia" w:cstheme="minorEastAsia"/>
          <w:color w:val="auto"/>
          <w:sz w:val="24"/>
        </w:rPr>
        <w:t>备注：融资服务机构名单和人员联系方式会随时变化。具体情况可登录“焦作市政府采购网”政府采购合同融资平台查询。</w:t>
      </w:r>
    </w:p>
    <w:p>
      <w:pPr>
        <w:spacing w:line="360" w:lineRule="auto"/>
        <w:rPr>
          <w:rFonts w:ascii="宋体" w:hAnsi="宋体" w:cs="宋体"/>
          <w:color w:val="auto"/>
          <w:sz w:val="24"/>
        </w:rPr>
      </w:pPr>
    </w:p>
    <w:sectPr>
      <w:footerReference r:id="rId12" w:type="default"/>
      <w:endnotePr>
        <w:numFmt w:val="decimal"/>
      </w:endnotePr>
      <w:pgSz w:w="11905" w:h="16837"/>
      <w:pgMar w:top="1440" w:right="1304" w:bottom="1304" w:left="1701" w:header="851" w:footer="737"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panose1 w:val="02040602050305030304"/>
    <w:charset w:val="00"/>
    <w:family w:val="roman"/>
    <w:pitch w:val="default"/>
    <w:sig w:usb0="00000287" w:usb1="00000000" w:usb2="00000000" w:usb3="00000000" w:csb0="2000009F" w:csb1="DFD7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altName w:val="宋体"/>
    <w:panose1 w:val="00000000000000000000"/>
    <w:charset w:val="86"/>
    <w:family w:val="auto"/>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thinThickMediumGap" w:color="auto" w:sz="18" w:space="1"/>
      </w:pBdr>
    </w:pPr>
  </w:p>
  <w:p>
    <w:pPr>
      <w:pStyle w:val="18"/>
      <w:jc w:val="right"/>
    </w:pPr>
    <w:r>
      <w:rPr>
        <w:rFonts w:hint="eastAsia"/>
      </w:rPr>
      <w:t>河南金迪辉全过程工程咨询有限公司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rect id="矩形 1" o:spid="_x0000_s2053"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IQcr58ABAACNAwAADgAAAAAAAAABACAAAAAfAQAAZHJzL2Uyb0RvYy54bWxQSwUG&#10;AAAAAAYABgBZAQAAUQUAAAAA&#10;">
          <v:path/>
          <v:fill on="f" focussize="0,0"/>
          <v:stroke on="f"/>
          <v:imagedata o:title=""/>
          <o:lock v:ext="edit"/>
          <v:textbox inset="0mm,0mm,0mm,0mm" style="mso-fit-shape-to-text:t;">
            <w:txbxContent>
              <w:p>
                <w:pPr>
                  <w:pStyle w:val="18"/>
                </w:pPr>
                <w:r>
                  <w:fldChar w:fldCharType="begin"/>
                </w:r>
                <w:r>
                  <w:instrText xml:space="preserve"> PAGE  \* MERGEFORMAT </w:instrText>
                </w:r>
                <w:r>
                  <w:fldChar w:fldCharType="separate"/>
                </w:r>
                <w:r>
                  <w:t>- 31 -</w:t>
                </w:r>
                <w:r>
                  <w:fldChar w:fldCharType="end"/>
                </w:r>
              </w:p>
            </w:txbxContent>
          </v:textbox>
        </v:rect>
      </w:pict>
    </w:r>
    <w:r>
      <w:pict>
        <v:rect id="文本框 3" o:spid="_x0000_s2052"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BR2x9xQEAAJADAAAOAAAAAAAAAAEAIAAAAB8BAABkcnMvZTJvRG9jLnht&#10;bFBLBQYAAAAABgAGAFkBAABWBQAAAAA=&#10;">
          <v:path/>
          <v:fill on="f" focussize="0,0"/>
          <v:stroke on="f"/>
          <v:imagedata o:title=""/>
          <o:lock v:ext="edit"/>
          <v:textbox inset="0mm,0mm,0mm,0mm" style="mso-fit-shape-to-text:t;">
            <w:txbxContent>
              <w:p>
                <w:pPr>
                  <w:pStyle w:val="18"/>
                </w:pPr>
              </w:p>
              <w:p>
                <w:pPr>
                  <w:pStyle w:val="18"/>
                </w:pP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hAnsi="宋体"/>
        <w:sz w:val="24"/>
        <w:szCs w:val="24"/>
      </w:rPr>
    </w:pP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rect id="文本框 16" o:spid="_x0000_s2051"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B/3bisYBAACRAwAADgAAAAAAAAABACAAAAAfAQAAZHJzL2Uyb0RvYy54&#10;bWxQSwUGAAAAAAYABgBZAQAAVwUAAAAA&#10;">
          <v:path/>
          <v:fill on="f" focussize="0,0"/>
          <v:stroke on="f"/>
          <v:imagedata o:title=""/>
          <o:lock v:ext="edit"/>
          <v:textbox inset="0mm,0mm,0mm,0mm" style="mso-fit-shape-to-text:t;">
            <w:txbxContent>
              <w:p>
                <w:pPr>
                  <w:pStyle w:val="18"/>
                </w:pPr>
              </w:p>
              <w:p>
                <w:pPr>
                  <w:pStyle w:val="18"/>
                </w:pP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sz w:val="16"/>
        <w:szCs w:val="22"/>
      </w:rPr>
    </w:pPr>
    <w:r>
      <w:rPr>
        <w:sz w:val="20"/>
        <w:szCs w:val="22"/>
      </w:rPr>
      <w:pict>
        <v:shape id="_x0000_s2056" o:spid="_x0000_s2056" o:spt="202" type="#_x0000_t202" style="position:absolute;left:0pt;margin-top:0pt;height:10.35pt;width:15pt;mso-position-horizontal:center;mso-position-horizontal-relative:margin;mso-wrap-style:none;z-index:25166950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qRS7NAAAAADAQAADwAAAAAAAAABACAAAAAiAAAAZHJz&#10;L2Rvd25yZXYueG1sUEsBAhQAFAAAAAgAh07iQOg4rLnTAQAApQMAAA4AAAAAAAAAAQAgAAAAHwEA&#10;AGRycy9lMm9Eb2MueG1sUEsFBgAAAAAGAAYAWQEAAGQFA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- 49 -</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rect id="文本框 21" o:spid="_x0000_s2050"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XW5UtAAAAAFAQAADwAAAAAAAAABACAAAAAiAAAAZHJzL2Rvd25yZXYueG1sUEsBAhQAFAAA&#10;AAgAh07iQEn41S2+AQAAhQMAAA4AAAAAAAAAAQAgAAAAHwEAAGRycy9lMm9Eb2MueG1sUEsFBgAA&#10;AAAGAAYAWQEAAE8FAAAAAA==&#10;">
          <v:path/>
          <v:fill on="f" focussize="0,0"/>
          <v:stroke on="f"/>
          <v:imagedata o:title=""/>
          <o:lock v:ext="edit"/>
          <v:textbox inset="0mm,0mm,0mm,0mm" style="mso-fit-shape-to-text:t;">
            <w:txbxContent>
              <w:p>
                <w:pPr>
                  <w:pStyle w:val="18"/>
                </w:pPr>
                <w:r>
                  <w:t xml:space="preserve">— </w:t>
                </w:r>
                <w:r>
                  <w:fldChar w:fldCharType="begin"/>
                </w:r>
                <w:r>
                  <w:instrText xml:space="preserve"> PAGE  \* MERGEFORMAT </w:instrText>
                </w:r>
                <w:r>
                  <w:fldChar w:fldCharType="separate"/>
                </w:r>
                <w:r>
                  <w:t>21</w:t>
                </w:r>
                <w:r>
                  <w:fldChar w:fldCharType="end"/>
                </w:r>
                <w:r>
                  <w:t xml:space="preserve"> —</w:t>
                </w:r>
              </w:p>
            </w:txbxContent>
          </v:textbox>
        </v:rect>
      </w:pict>
    </w:r>
  </w:p>
  <w:p>
    <w:pPr>
      <w:pStyle w:val="18"/>
      <w:jc w:val="center"/>
    </w:pPr>
  </w:p>
  <w:p>
    <w:pPr>
      <w:pStyle w:val="18"/>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620" w:firstLineChars="1650"/>
      <w:rPr>
        <w:sz w:val="28"/>
        <w:szCs w:val="28"/>
      </w:rPr>
    </w:pPr>
    <w:r>
      <w:rPr>
        <w:sz w:val="28"/>
      </w:rPr>
      <w:pict>
        <v:rect id="文本框 17" o:spid="_x0000_s2049"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DirmJ3vwEAAIUDAAAOAAAAAAAAAAEAIAAAAB8BAABkcnMvZTJvRG9jLnhtbFBLBQYA&#10;AAAABgAGAFkBAABQBQAAAAA=&#10;">
          <v:path/>
          <v:fill on="f" focussize="0,0"/>
          <v:stroke on="f"/>
          <v:imagedata o:title=""/>
          <o:lock v:ext="edit"/>
          <v:textbox inset="0mm,0mm,0mm,0mm" style="mso-fit-shape-to-text:t;">
            <w:txbxContent>
              <w:p>
                <w:pPr>
                  <w:pStyle w:val="18"/>
                </w:pPr>
                <w:r>
                  <w:rPr>
                    <w:rFonts w:hint="eastAsia"/>
                  </w:rPr>
                  <w:t xml:space="preserve">— </w:t>
                </w:r>
                <w:r>
                  <w:fldChar w:fldCharType="begin"/>
                </w:r>
                <w:r>
                  <w:instrText xml:space="preserve"> PAGE  \* MERGEFORMAT </w:instrText>
                </w:r>
                <w:r>
                  <w:fldChar w:fldCharType="separate"/>
                </w:r>
                <w:r>
                  <w:rPr>
                    <w:rFonts w:hint="eastAsia"/>
                  </w:rPr>
                  <w:t>- 1 -</w:t>
                </w:r>
                <w:r>
                  <w:rPr>
                    <w:rFonts w:hint="eastAsia"/>
                  </w:rPr>
                  <w:fldChar w:fldCharType="end"/>
                </w:r>
                <w:r>
                  <w:rPr>
                    <w:rFonts w:hint="eastAsia"/>
                  </w:rPr>
                  <w:t xml:space="preserve">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left" w:pos="5115"/>
      </w:tabs>
      <w:jc w:val="left"/>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974FB"/>
    <w:multiLevelType w:val="singleLevel"/>
    <w:tmpl w:val="A58974FB"/>
    <w:lvl w:ilvl="0" w:tentative="0">
      <w:start w:val="1"/>
      <w:numFmt w:val="decimal"/>
      <w:suff w:val="space"/>
      <w:lvlText w:val="%1."/>
      <w:lvlJc w:val="left"/>
    </w:lvl>
  </w:abstractNum>
  <w:abstractNum w:abstractNumId="1">
    <w:nsid w:val="B7CCEAB9"/>
    <w:multiLevelType w:val="singleLevel"/>
    <w:tmpl w:val="B7CCEAB9"/>
    <w:lvl w:ilvl="0" w:tentative="0">
      <w:start w:val="1"/>
      <w:numFmt w:val="decimal"/>
      <w:suff w:val="space"/>
      <w:lvlText w:val="%1."/>
      <w:lvlJc w:val="left"/>
      <w:pPr>
        <w:ind w:left="600" w:firstLine="0"/>
      </w:pPr>
    </w:lvl>
  </w:abstractNum>
  <w:abstractNum w:abstractNumId="2">
    <w:nsid w:val="B940B7CB"/>
    <w:multiLevelType w:val="singleLevel"/>
    <w:tmpl w:val="B940B7CB"/>
    <w:lvl w:ilvl="0" w:tentative="0">
      <w:start w:val="3"/>
      <w:numFmt w:val="decimal"/>
      <w:suff w:val="nothing"/>
      <w:lvlText w:val="%1、"/>
      <w:lvlJc w:val="left"/>
    </w:lvl>
  </w:abstractNum>
  <w:abstractNum w:abstractNumId="3">
    <w:nsid w:val="E0F30A83"/>
    <w:multiLevelType w:val="singleLevel"/>
    <w:tmpl w:val="E0F30A83"/>
    <w:lvl w:ilvl="0" w:tentative="0">
      <w:start w:val="1"/>
      <w:numFmt w:val="decimal"/>
      <w:suff w:val="space"/>
      <w:lvlText w:val="%1."/>
      <w:lvlJc w:val="left"/>
      <w:rPr>
        <w:rFonts w:hint="default"/>
        <w:i w:val="0"/>
        <w:iCs w:val="0"/>
        <w:color w:val="000000"/>
      </w:rPr>
    </w:lvl>
  </w:abstractNum>
  <w:abstractNum w:abstractNumId="4">
    <w:nsid w:val="F9A8F3CA"/>
    <w:multiLevelType w:val="singleLevel"/>
    <w:tmpl w:val="F9A8F3CA"/>
    <w:lvl w:ilvl="0" w:tentative="0">
      <w:start w:val="1"/>
      <w:numFmt w:val="decimal"/>
      <w:suff w:val="space"/>
      <w:lvlText w:val="%1."/>
      <w:lvlJc w:val="left"/>
      <w:pPr>
        <w:ind w:left="-60"/>
      </w:pPr>
    </w:lvl>
  </w:abstractNum>
  <w:abstractNum w:abstractNumId="5">
    <w:nsid w:val="0CD3C423"/>
    <w:multiLevelType w:val="singleLevel"/>
    <w:tmpl w:val="0CD3C423"/>
    <w:lvl w:ilvl="0" w:tentative="0">
      <w:start w:val="1"/>
      <w:numFmt w:val="decimal"/>
      <w:suff w:val="space"/>
      <w:lvlText w:val="%1."/>
      <w:lvlJc w:val="left"/>
    </w:lvl>
  </w:abstractNum>
  <w:abstractNum w:abstractNumId="6">
    <w:nsid w:val="0E2D53C3"/>
    <w:multiLevelType w:val="singleLevel"/>
    <w:tmpl w:val="0E2D53C3"/>
    <w:lvl w:ilvl="0" w:tentative="0">
      <w:start w:val="3"/>
      <w:numFmt w:val="chineseCounting"/>
      <w:suff w:val="space"/>
      <w:lvlText w:val="第%1部分"/>
      <w:lvlJc w:val="left"/>
      <w:rPr>
        <w:rFonts w:hint="eastAsia"/>
      </w:rPr>
    </w:lvl>
  </w:abstractNum>
  <w:abstractNum w:abstractNumId="7">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8">
    <w:nsid w:val="2ACB6D2C"/>
    <w:multiLevelType w:val="singleLevel"/>
    <w:tmpl w:val="2ACB6D2C"/>
    <w:lvl w:ilvl="0" w:tentative="0">
      <w:start w:val="3"/>
      <w:numFmt w:val="chineseCounting"/>
      <w:suff w:val="space"/>
      <w:lvlText w:val="（%1）"/>
      <w:lvlJc w:val="left"/>
      <w:rPr>
        <w:rFonts w:hint="eastAsia"/>
      </w:rPr>
    </w:lvl>
  </w:abstractNum>
  <w:abstractNum w:abstractNumId="9">
    <w:nsid w:val="5D1E5981"/>
    <w:multiLevelType w:val="singleLevel"/>
    <w:tmpl w:val="5D1E5981"/>
    <w:lvl w:ilvl="0" w:tentative="0">
      <w:start w:val="3"/>
      <w:numFmt w:val="decimal"/>
      <w:suff w:val="space"/>
      <w:lvlText w:val="%1."/>
      <w:lvlJc w:val="left"/>
    </w:lvl>
  </w:abstractNum>
  <w:abstractNum w:abstractNumId="10">
    <w:nsid w:val="6261BF8E"/>
    <w:multiLevelType w:val="singleLevel"/>
    <w:tmpl w:val="6261BF8E"/>
    <w:lvl w:ilvl="0" w:tentative="0">
      <w:start w:val="7"/>
      <w:numFmt w:val="decimal"/>
      <w:suff w:val="space"/>
      <w:lvlText w:val="%1."/>
      <w:lvlJc w:val="left"/>
    </w:lvl>
  </w:abstractNum>
  <w:num w:numId="1">
    <w:abstractNumId w:val="2"/>
  </w:num>
  <w:num w:numId="2">
    <w:abstractNumId w:val="9"/>
  </w:num>
  <w:num w:numId="3">
    <w:abstractNumId w:val="5"/>
  </w:num>
  <w:num w:numId="4">
    <w:abstractNumId w:val="4"/>
  </w:num>
  <w:num w:numId="5">
    <w:abstractNumId w:val="3"/>
  </w:num>
  <w:num w:numId="6">
    <w:abstractNumId w:val="10"/>
  </w:num>
  <w:num w:numId="7">
    <w:abstractNumId w:val="8"/>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9"/>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JhZDZkOGRkOGZjOGYxZWU1OGUxNDg0NDQxNTE1N2IifQ=="/>
  </w:docVars>
  <w:rsids>
    <w:rsidRoot w:val="0093084B"/>
    <w:rsid w:val="000218AC"/>
    <w:rsid w:val="00072AC2"/>
    <w:rsid w:val="00097111"/>
    <w:rsid w:val="000A7530"/>
    <w:rsid w:val="00104789"/>
    <w:rsid w:val="0012263D"/>
    <w:rsid w:val="001279D5"/>
    <w:rsid w:val="0014350D"/>
    <w:rsid w:val="00146BCA"/>
    <w:rsid w:val="001979BC"/>
    <w:rsid w:val="001A11DE"/>
    <w:rsid w:val="001C0218"/>
    <w:rsid w:val="001C526B"/>
    <w:rsid w:val="001D09C7"/>
    <w:rsid w:val="001E1745"/>
    <w:rsid w:val="001E1F03"/>
    <w:rsid w:val="001F2148"/>
    <w:rsid w:val="001F5BDA"/>
    <w:rsid w:val="0020344A"/>
    <w:rsid w:val="002035E2"/>
    <w:rsid w:val="00225629"/>
    <w:rsid w:val="002273E5"/>
    <w:rsid w:val="0023484B"/>
    <w:rsid w:val="002B413F"/>
    <w:rsid w:val="002D3F38"/>
    <w:rsid w:val="00306A0C"/>
    <w:rsid w:val="0034490D"/>
    <w:rsid w:val="00366A72"/>
    <w:rsid w:val="0037229B"/>
    <w:rsid w:val="0038262C"/>
    <w:rsid w:val="003A2565"/>
    <w:rsid w:val="003B7BEE"/>
    <w:rsid w:val="003F0CF3"/>
    <w:rsid w:val="003F7E7A"/>
    <w:rsid w:val="0040610C"/>
    <w:rsid w:val="00415FE6"/>
    <w:rsid w:val="00433350"/>
    <w:rsid w:val="004466D9"/>
    <w:rsid w:val="004615AA"/>
    <w:rsid w:val="00463440"/>
    <w:rsid w:val="0046475C"/>
    <w:rsid w:val="004747D3"/>
    <w:rsid w:val="0047582C"/>
    <w:rsid w:val="005055AC"/>
    <w:rsid w:val="00507837"/>
    <w:rsid w:val="00571F49"/>
    <w:rsid w:val="005838C5"/>
    <w:rsid w:val="005D0199"/>
    <w:rsid w:val="006067E0"/>
    <w:rsid w:val="00615AEF"/>
    <w:rsid w:val="006441F4"/>
    <w:rsid w:val="006B2AA9"/>
    <w:rsid w:val="006B324D"/>
    <w:rsid w:val="006C2491"/>
    <w:rsid w:val="007076F2"/>
    <w:rsid w:val="007078FB"/>
    <w:rsid w:val="0074289E"/>
    <w:rsid w:val="0079507C"/>
    <w:rsid w:val="00796635"/>
    <w:rsid w:val="007A44EA"/>
    <w:rsid w:val="007E48E9"/>
    <w:rsid w:val="0088114D"/>
    <w:rsid w:val="00887B71"/>
    <w:rsid w:val="008E250E"/>
    <w:rsid w:val="008F0169"/>
    <w:rsid w:val="008F337A"/>
    <w:rsid w:val="009152E2"/>
    <w:rsid w:val="00923392"/>
    <w:rsid w:val="0093084B"/>
    <w:rsid w:val="009802E5"/>
    <w:rsid w:val="009C68C5"/>
    <w:rsid w:val="00A13FF8"/>
    <w:rsid w:val="00A66DE6"/>
    <w:rsid w:val="00A67BBF"/>
    <w:rsid w:val="00A828BD"/>
    <w:rsid w:val="00AE45EE"/>
    <w:rsid w:val="00B04B80"/>
    <w:rsid w:val="00B15D4A"/>
    <w:rsid w:val="00B22358"/>
    <w:rsid w:val="00B546B8"/>
    <w:rsid w:val="00BE3CA2"/>
    <w:rsid w:val="00C11007"/>
    <w:rsid w:val="00C13106"/>
    <w:rsid w:val="00C6639C"/>
    <w:rsid w:val="00C92A30"/>
    <w:rsid w:val="00CA1A03"/>
    <w:rsid w:val="00CB056D"/>
    <w:rsid w:val="00CE3834"/>
    <w:rsid w:val="00D019DC"/>
    <w:rsid w:val="00D0730F"/>
    <w:rsid w:val="00D127DA"/>
    <w:rsid w:val="00D213E0"/>
    <w:rsid w:val="00D25F69"/>
    <w:rsid w:val="00D46406"/>
    <w:rsid w:val="00D737C6"/>
    <w:rsid w:val="00D808D4"/>
    <w:rsid w:val="00DB56B2"/>
    <w:rsid w:val="00DC03F2"/>
    <w:rsid w:val="00DF35D7"/>
    <w:rsid w:val="00E069B7"/>
    <w:rsid w:val="00E25FA2"/>
    <w:rsid w:val="00E57EFF"/>
    <w:rsid w:val="00E645F8"/>
    <w:rsid w:val="00E83020"/>
    <w:rsid w:val="00E8530E"/>
    <w:rsid w:val="00EA1A26"/>
    <w:rsid w:val="00ED4B72"/>
    <w:rsid w:val="00EE1266"/>
    <w:rsid w:val="00EE2F1F"/>
    <w:rsid w:val="00EE71A4"/>
    <w:rsid w:val="00F37A5D"/>
    <w:rsid w:val="00F8318D"/>
    <w:rsid w:val="00FE2895"/>
    <w:rsid w:val="013D79A5"/>
    <w:rsid w:val="01730582"/>
    <w:rsid w:val="01C73DA5"/>
    <w:rsid w:val="01D152A8"/>
    <w:rsid w:val="01D408F4"/>
    <w:rsid w:val="02250442"/>
    <w:rsid w:val="02804746"/>
    <w:rsid w:val="03606DCB"/>
    <w:rsid w:val="03E2554B"/>
    <w:rsid w:val="04A722F0"/>
    <w:rsid w:val="04B70785"/>
    <w:rsid w:val="05AF4F7D"/>
    <w:rsid w:val="05C9663A"/>
    <w:rsid w:val="06381E43"/>
    <w:rsid w:val="0639166E"/>
    <w:rsid w:val="06E33044"/>
    <w:rsid w:val="079365F7"/>
    <w:rsid w:val="07A1396F"/>
    <w:rsid w:val="07CD6512"/>
    <w:rsid w:val="07D5738F"/>
    <w:rsid w:val="085409E1"/>
    <w:rsid w:val="08B811F1"/>
    <w:rsid w:val="09035C9C"/>
    <w:rsid w:val="09A6701A"/>
    <w:rsid w:val="0A1B5678"/>
    <w:rsid w:val="0A652A31"/>
    <w:rsid w:val="0B095AB3"/>
    <w:rsid w:val="0CC021A1"/>
    <w:rsid w:val="0CC06EB3"/>
    <w:rsid w:val="0D0E73B0"/>
    <w:rsid w:val="0D705975"/>
    <w:rsid w:val="0DA15D73"/>
    <w:rsid w:val="0DCD726B"/>
    <w:rsid w:val="0DE46363"/>
    <w:rsid w:val="0E3015A8"/>
    <w:rsid w:val="0F6A6BB7"/>
    <w:rsid w:val="0F9152D6"/>
    <w:rsid w:val="0FE203F1"/>
    <w:rsid w:val="0FFA3845"/>
    <w:rsid w:val="1021564D"/>
    <w:rsid w:val="10757746"/>
    <w:rsid w:val="10AD0B85"/>
    <w:rsid w:val="1179579B"/>
    <w:rsid w:val="11B34233"/>
    <w:rsid w:val="126B7053"/>
    <w:rsid w:val="12AD1419"/>
    <w:rsid w:val="13B32A60"/>
    <w:rsid w:val="14736182"/>
    <w:rsid w:val="14817219"/>
    <w:rsid w:val="1593213A"/>
    <w:rsid w:val="15B33BCB"/>
    <w:rsid w:val="160A7736"/>
    <w:rsid w:val="164C09B7"/>
    <w:rsid w:val="177249E0"/>
    <w:rsid w:val="178F5592"/>
    <w:rsid w:val="18396A61"/>
    <w:rsid w:val="18AD493F"/>
    <w:rsid w:val="190C510B"/>
    <w:rsid w:val="19830274"/>
    <w:rsid w:val="19A64C4A"/>
    <w:rsid w:val="19EB5F20"/>
    <w:rsid w:val="1A0758B3"/>
    <w:rsid w:val="1A740CA5"/>
    <w:rsid w:val="1B193AF0"/>
    <w:rsid w:val="1B4F12C0"/>
    <w:rsid w:val="1C7F7983"/>
    <w:rsid w:val="1CB22D3B"/>
    <w:rsid w:val="1CC932F4"/>
    <w:rsid w:val="1D033CE9"/>
    <w:rsid w:val="1EB92B97"/>
    <w:rsid w:val="1EEC4EA6"/>
    <w:rsid w:val="1F3B5698"/>
    <w:rsid w:val="1F6D27B3"/>
    <w:rsid w:val="1F817EB6"/>
    <w:rsid w:val="1FAB49B5"/>
    <w:rsid w:val="1FC83960"/>
    <w:rsid w:val="1FFE4A5E"/>
    <w:rsid w:val="20BE2DE5"/>
    <w:rsid w:val="20DD1AD2"/>
    <w:rsid w:val="20FE39E0"/>
    <w:rsid w:val="219C57B1"/>
    <w:rsid w:val="21C916A0"/>
    <w:rsid w:val="22177038"/>
    <w:rsid w:val="22B83BEE"/>
    <w:rsid w:val="23011CEF"/>
    <w:rsid w:val="23EA3AFB"/>
    <w:rsid w:val="249A1700"/>
    <w:rsid w:val="25500356"/>
    <w:rsid w:val="256775E7"/>
    <w:rsid w:val="257007B0"/>
    <w:rsid w:val="26FC6074"/>
    <w:rsid w:val="271C2272"/>
    <w:rsid w:val="273870AC"/>
    <w:rsid w:val="275818CB"/>
    <w:rsid w:val="27897113"/>
    <w:rsid w:val="28096C9A"/>
    <w:rsid w:val="282C0CCE"/>
    <w:rsid w:val="28A64176"/>
    <w:rsid w:val="29D15596"/>
    <w:rsid w:val="29D97F23"/>
    <w:rsid w:val="2A134E63"/>
    <w:rsid w:val="2ACC2303"/>
    <w:rsid w:val="2AF92FF6"/>
    <w:rsid w:val="2B1E4689"/>
    <w:rsid w:val="2BE617CC"/>
    <w:rsid w:val="2C6E29F7"/>
    <w:rsid w:val="2D3915C0"/>
    <w:rsid w:val="2D614E83"/>
    <w:rsid w:val="2D7D6F83"/>
    <w:rsid w:val="2D9625C1"/>
    <w:rsid w:val="2E01475D"/>
    <w:rsid w:val="2EF266DA"/>
    <w:rsid w:val="2F3565C7"/>
    <w:rsid w:val="2FAF25FA"/>
    <w:rsid w:val="2FE75B13"/>
    <w:rsid w:val="30540D68"/>
    <w:rsid w:val="31AC0DC2"/>
    <w:rsid w:val="31CC3212"/>
    <w:rsid w:val="32766A06"/>
    <w:rsid w:val="334055B1"/>
    <w:rsid w:val="33E83C08"/>
    <w:rsid w:val="34381B23"/>
    <w:rsid w:val="34703896"/>
    <w:rsid w:val="35310894"/>
    <w:rsid w:val="355C602E"/>
    <w:rsid w:val="362353CB"/>
    <w:rsid w:val="36CE35E4"/>
    <w:rsid w:val="36EB16CA"/>
    <w:rsid w:val="3710211A"/>
    <w:rsid w:val="37421881"/>
    <w:rsid w:val="376856CD"/>
    <w:rsid w:val="37766EC0"/>
    <w:rsid w:val="37E64902"/>
    <w:rsid w:val="385616DA"/>
    <w:rsid w:val="39AE1450"/>
    <w:rsid w:val="39D23390"/>
    <w:rsid w:val="39E97BF2"/>
    <w:rsid w:val="3A3D6F43"/>
    <w:rsid w:val="3ADA5D22"/>
    <w:rsid w:val="3B027CA5"/>
    <w:rsid w:val="3B5A001C"/>
    <w:rsid w:val="3B9E5419"/>
    <w:rsid w:val="3BCB1798"/>
    <w:rsid w:val="3C0F71D6"/>
    <w:rsid w:val="3D5D5666"/>
    <w:rsid w:val="3D606F05"/>
    <w:rsid w:val="3DF300C2"/>
    <w:rsid w:val="3E0F7D64"/>
    <w:rsid w:val="3E570308"/>
    <w:rsid w:val="3EEC6CA2"/>
    <w:rsid w:val="3F8F7E45"/>
    <w:rsid w:val="3F917849"/>
    <w:rsid w:val="3FE16591"/>
    <w:rsid w:val="402315E4"/>
    <w:rsid w:val="41636F4B"/>
    <w:rsid w:val="41DF48CC"/>
    <w:rsid w:val="42462B6D"/>
    <w:rsid w:val="424A2828"/>
    <w:rsid w:val="42AE0712"/>
    <w:rsid w:val="42E325C0"/>
    <w:rsid w:val="43BC7793"/>
    <w:rsid w:val="43E066A9"/>
    <w:rsid w:val="44237CED"/>
    <w:rsid w:val="44471B4C"/>
    <w:rsid w:val="447A4B1D"/>
    <w:rsid w:val="44BF7672"/>
    <w:rsid w:val="45246A6A"/>
    <w:rsid w:val="457F1961"/>
    <w:rsid w:val="45F0430B"/>
    <w:rsid w:val="4742292E"/>
    <w:rsid w:val="485E3499"/>
    <w:rsid w:val="486A50DB"/>
    <w:rsid w:val="48D348E8"/>
    <w:rsid w:val="4A521E64"/>
    <w:rsid w:val="4AC247A6"/>
    <w:rsid w:val="4ACA7E29"/>
    <w:rsid w:val="4D186EB4"/>
    <w:rsid w:val="4D7A7B0B"/>
    <w:rsid w:val="4D9A3D6D"/>
    <w:rsid w:val="4E676345"/>
    <w:rsid w:val="4E6A373F"/>
    <w:rsid w:val="4E7222B4"/>
    <w:rsid w:val="4EA73856"/>
    <w:rsid w:val="4F546A2F"/>
    <w:rsid w:val="4F5B01D4"/>
    <w:rsid w:val="4F625F52"/>
    <w:rsid w:val="4FCA2A0A"/>
    <w:rsid w:val="502E05DC"/>
    <w:rsid w:val="50447FC0"/>
    <w:rsid w:val="510D5379"/>
    <w:rsid w:val="52E55A8A"/>
    <w:rsid w:val="53942278"/>
    <w:rsid w:val="54C17D23"/>
    <w:rsid w:val="55341ADF"/>
    <w:rsid w:val="559652CB"/>
    <w:rsid w:val="55BF5DE8"/>
    <w:rsid w:val="561E5C39"/>
    <w:rsid w:val="579808EB"/>
    <w:rsid w:val="588B3A79"/>
    <w:rsid w:val="58A261CC"/>
    <w:rsid w:val="58C44394"/>
    <w:rsid w:val="58C467C8"/>
    <w:rsid w:val="59640BD1"/>
    <w:rsid w:val="598A2EE8"/>
    <w:rsid w:val="5A0E368F"/>
    <w:rsid w:val="5A755946"/>
    <w:rsid w:val="5B11475A"/>
    <w:rsid w:val="5B751FE6"/>
    <w:rsid w:val="5BA32155"/>
    <w:rsid w:val="5BCE01F5"/>
    <w:rsid w:val="5C505F19"/>
    <w:rsid w:val="5C82192A"/>
    <w:rsid w:val="5D2A10E2"/>
    <w:rsid w:val="5D9D7082"/>
    <w:rsid w:val="5E086AD1"/>
    <w:rsid w:val="5E4775F9"/>
    <w:rsid w:val="5F685A79"/>
    <w:rsid w:val="605951BA"/>
    <w:rsid w:val="60816974"/>
    <w:rsid w:val="6129748A"/>
    <w:rsid w:val="618C0DC9"/>
    <w:rsid w:val="62314848"/>
    <w:rsid w:val="62A033D6"/>
    <w:rsid w:val="62B80AC5"/>
    <w:rsid w:val="63285FBB"/>
    <w:rsid w:val="64577607"/>
    <w:rsid w:val="64912E41"/>
    <w:rsid w:val="64C536FF"/>
    <w:rsid w:val="64C86A9D"/>
    <w:rsid w:val="661245B1"/>
    <w:rsid w:val="664B2FF0"/>
    <w:rsid w:val="668A411D"/>
    <w:rsid w:val="66C32C99"/>
    <w:rsid w:val="66C37A39"/>
    <w:rsid w:val="67A55390"/>
    <w:rsid w:val="67BF615D"/>
    <w:rsid w:val="680D18B3"/>
    <w:rsid w:val="688D02FE"/>
    <w:rsid w:val="693B6073"/>
    <w:rsid w:val="6974326C"/>
    <w:rsid w:val="6A86594D"/>
    <w:rsid w:val="6AA508A0"/>
    <w:rsid w:val="6B621F16"/>
    <w:rsid w:val="6B636B98"/>
    <w:rsid w:val="6BD9385B"/>
    <w:rsid w:val="6C522980"/>
    <w:rsid w:val="6C850CCB"/>
    <w:rsid w:val="6CB00E95"/>
    <w:rsid w:val="6D2D58FB"/>
    <w:rsid w:val="6DDB5FB0"/>
    <w:rsid w:val="6E0D7C15"/>
    <w:rsid w:val="6E423939"/>
    <w:rsid w:val="6F336187"/>
    <w:rsid w:val="6F7B09CB"/>
    <w:rsid w:val="70646C88"/>
    <w:rsid w:val="70AB1C6A"/>
    <w:rsid w:val="70CB05FF"/>
    <w:rsid w:val="71191E4E"/>
    <w:rsid w:val="716E27D8"/>
    <w:rsid w:val="7246501E"/>
    <w:rsid w:val="73A573B5"/>
    <w:rsid w:val="74696091"/>
    <w:rsid w:val="74B039C6"/>
    <w:rsid w:val="74C414FF"/>
    <w:rsid w:val="758D7B90"/>
    <w:rsid w:val="75FB0E04"/>
    <w:rsid w:val="76DB720A"/>
    <w:rsid w:val="76EC40B4"/>
    <w:rsid w:val="77B73C12"/>
    <w:rsid w:val="793842B6"/>
    <w:rsid w:val="79905640"/>
    <w:rsid w:val="79A25F86"/>
    <w:rsid w:val="7A680BCB"/>
    <w:rsid w:val="7ADB217F"/>
    <w:rsid w:val="7AF77D06"/>
    <w:rsid w:val="7C1F52BA"/>
    <w:rsid w:val="7CC55E61"/>
    <w:rsid w:val="7DB303AF"/>
    <w:rsid w:val="7E232225"/>
    <w:rsid w:val="7E6A137B"/>
    <w:rsid w:val="7E9172E6"/>
    <w:rsid w:val="7E97382D"/>
    <w:rsid w:val="7F2753D8"/>
    <w:rsid w:val="7F547A24"/>
    <w:rsid w:val="7F8D21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99" w:semiHidden="0" w:name="heading 3"/>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ocked="1"/>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qFormat="1"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qFormat="1" w:unhideWhenUsed="0"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0" w:name="Document Map"/>
    <w:lsdException w:qFormat="1" w:unhideWhenUsed="0" w:uiPriority="99" w:semiHidden="0" w:name="Plain Text"/>
    <w:lsdException w:uiPriority="0" w:name="E-mail Signature"/>
    <w:lsdException w:qFormat="1" w:unhideWhenUsed="0" w:uiPriority="0" w:semiHidden="0" w:name="Normal (Web)"/>
    <w:lsdException w:qFormat="1" w:uiPriority="99" w:semiHidden="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9">
    <w:name w:val="heading 1"/>
    <w:basedOn w:val="1"/>
    <w:next w:val="1"/>
    <w:link w:val="61"/>
    <w:qFormat/>
    <w:locked/>
    <w:uiPriority w:val="0"/>
    <w:pPr>
      <w:keepNext/>
      <w:keepLines/>
      <w:spacing w:before="340" w:after="330" w:line="578" w:lineRule="auto"/>
      <w:outlineLvl w:val="0"/>
    </w:pPr>
    <w:rPr>
      <w:b/>
      <w:bCs/>
      <w:kern w:val="44"/>
      <w:sz w:val="44"/>
      <w:szCs w:val="44"/>
    </w:rPr>
  </w:style>
  <w:style w:type="paragraph" w:styleId="10">
    <w:name w:val="heading 2"/>
    <w:basedOn w:val="1"/>
    <w:next w:val="1"/>
    <w:qFormat/>
    <w:locked/>
    <w:uiPriority w:val="99"/>
    <w:pPr>
      <w:keepNext/>
      <w:keepLines/>
      <w:spacing w:before="260" w:after="260" w:line="416" w:lineRule="auto"/>
      <w:outlineLvl w:val="1"/>
    </w:pPr>
    <w:rPr>
      <w:rFonts w:ascii="Calibri Light" w:hAnsi="Calibri Light"/>
      <w:b/>
      <w:bCs/>
      <w:sz w:val="32"/>
      <w:szCs w:val="32"/>
    </w:rPr>
  </w:style>
  <w:style w:type="paragraph" w:styleId="11">
    <w:name w:val="heading 3"/>
    <w:basedOn w:val="1"/>
    <w:next w:val="1"/>
    <w:link w:val="62"/>
    <w:qFormat/>
    <w:uiPriority w:val="99"/>
    <w:pPr>
      <w:keepNext/>
      <w:keepLines/>
      <w:spacing w:line="360" w:lineRule="auto"/>
      <w:outlineLvl w:val="2"/>
    </w:pPr>
    <w:rPr>
      <w:b/>
      <w:bCs/>
      <w:kern w:val="0"/>
      <w:sz w:val="32"/>
      <w:szCs w:val="32"/>
    </w:rPr>
  </w:style>
  <w:style w:type="paragraph" w:styleId="12">
    <w:name w:val="heading 4"/>
    <w:basedOn w:val="1"/>
    <w:next w:val="1"/>
    <w:link w:val="63"/>
    <w:qFormat/>
    <w:locked/>
    <w:uiPriority w:val="99"/>
    <w:pPr>
      <w:keepNext/>
      <w:keepLines/>
      <w:spacing w:before="280" w:after="290" w:line="376" w:lineRule="auto"/>
      <w:outlineLvl w:val="3"/>
    </w:pPr>
    <w:rPr>
      <w:rFonts w:ascii="Cambria" w:hAnsi="Cambria"/>
      <w:b/>
      <w:bCs/>
      <w:sz w:val="28"/>
      <w:szCs w:val="28"/>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style>
  <w:style w:type="paragraph" w:styleId="3">
    <w:name w:val="Body Text"/>
    <w:basedOn w:val="1"/>
    <w:next w:val="4"/>
    <w:qFormat/>
    <w:uiPriority w:val="0"/>
    <w:pPr>
      <w:spacing w:after="120" w:line="440" w:lineRule="atLeast"/>
      <w:ind w:firstLine="200" w:firstLineChars="200"/>
    </w:pPr>
    <w:rPr>
      <w:rFonts w:ascii="Times New Roman" w:hAnsi="Times New Roman"/>
    </w:rPr>
  </w:style>
  <w:style w:type="paragraph" w:styleId="4">
    <w:name w:val="Body Text 2"/>
    <w:basedOn w:val="1"/>
    <w:next w:val="3"/>
    <w:link w:val="69"/>
    <w:qFormat/>
    <w:uiPriority w:val="99"/>
    <w:pPr>
      <w:spacing w:after="120" w:line="480" w:lineRule="auto"/>
    </w:pPr>
    <w:rPr>
      <w:rFonts w:ascii="Times New Roman" w:hAnsi="Times New Roman"/>
      <w:kern w:val="0"/>
      <w:sz w:val="24"/>
    </w:rPr>
  </w:style>
  <w:style w:type="paragraph" w:styleId="5">
    <w:name w:val="Body Text First Indent 2"/>
    <w:basedOn w:val="6"/>
    <w:next w:val="8"/>
    <w:qFormat/>
    <w:uiPriority w:val="0"/>
    <w:pPr>
      <w:ind w:firstLine="420" w:firstLineChars="200"/>
    </w:pPr>
  </w:style>
  <w:style w:type="paragraph" w:styleId="6">
    <w:name w:val="Body Text Indent"/>
    <w:basedOn w:val="1"/>
    <w:next w:val="7"/>
    <w:link w:val="64"/>
    <w:unhideWhenUsed/>
    <w:qFormat/>
    <w:uiPriority w:val="99"/>
    <w:pPr>
      <w:spacing w:after="120"/>
      <w:ind w:left="420" w:leftChars="200"/>
    </w:pPr>
  </w:style>
  <w:style w:type="paragraph" w:styleId="7">
    <w:name w:val="envelope return"/>
    <w:basedOn w:val="1"/>
    <w:qFormat/>
    <w:uiPriority w:val="99"/>
    <w:pPr>
      <w:snapToGrid w:val="0"/>
    </w:pPr>
    <w:rPr>
      <w:rFonts w:ascii="Arial" w:hAnsi="Arial" w:cs="Arial"/>
    </w:rPr>
  </w:style>
  <w:style w:type="paragraph" w:styleId="8">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3">
    <w:name w:val="toc 7"/>
    <w:basedOn w:val="1"/>
    <w:next w:val="1"/>
    <w:qFormat/>
    <w:locked/>
    <w:uiPriority w:val="0"/>
    <w:pPr>
      <w:spacing w:line="440" w:lineRule="atLeast"/>
      <w:ind w:left="2520" w:leftChars="1200" w:firstLine="200" w:firstLineChars="200"/>
    </w:pPr>
    <w:rPr>
      <w:rFonts w:ascii="Times New Roman" w:hAnsi="Times New Roman"/>
    </w:rPr>
  </w:style>
  <w:style w:type="paragraph" w:styleId="14">
    <w:name w:val="annotation text"/>
    <w:basedOn w:val="1"/>
    <w:semiHidden/>
    <w:qFormat/>
    <w:uiPriority w:val="0"/>
    <w:pPr>
      <w:jc w:val="left"/>
    </w:pPr>
  </w:style>
  <w:style w:type="paragraph" w:styleId="15">
    <w:name w:val="toc 3"/>
    <w:basedOn w:val="1"/>
    <w:next w:val="1"/>
    <w:qFormat/>
    <w:locked/>
    <w:uiPriority w:val="39"/>
    <w:pPr>
      <w:ind w:left="840" w:leftChars="400"/>
    </w:pPr>
  </w:style>
  <w:style w:type="paragraph" w:styleId="16">
    <w:name w:val="Plain Text"/>
    <w:basedOn w:val="1"/>
    <w:link w:val="65"/>
    <w:qFormat/>
    <w:uiPriority w:val="99"/>
    <w:rPr>
      <w:rFonts w:ascii="宋体" w:hAnsi="Courier New"/>
    </w:rPr>
  </w:style>
  <w:style w:type="paragraph" w:styleId="17">
    <w:name w:val="Balloon Text"/>
    <w:basedOn w:val="1"/>
    <w:link w:val="66"/>
    <w:unhideWhenUsed/>
    <w:qFormat/>
    <w:uiPriority w:val="99"/>
    <w:rPr>
      <w:sz w:val="18"/>
      <w:szCs w:val="18"/>
    </w:rPr>
  </w:style>
  <w:style w:type="paragraph" w:styleId="18">
    <w:name w:val="footer"/>
    <w:basedOn w:val="1"/>
    <w:link w:val="67"/>
    <w:qFormat/>
    <w:uiPriority w:val="99"/>
    <w:pPr>
      <w:tabs>
        <w:tab w:val="center" w:pos="4153"/>
        <w:tab w:val="right" w:pos="8306"/>
      </w:tabs>
      <w:snapToGrid w:val="0"/>
      <w:jc w:val="left"/>
    </w:pPr>
    <w:rPr>
      <w:rFonts w:ascii="Times New Roman" w:hAnsi="Times New Roman"/>
      <w:kern w:val="0"/>
      <w:sz w:val="18"/>
      <w:szCs w:val="18"/>
    </w:rPr>
  </w:style>
  <w:style w:type="paragraph" w:styleId="19">
    <w:name w:val="header"/>
    <w:basedOn w:val="1"/>
    <w:link w:val="68"/>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0">
    <w:name w:val="toc 1"/>
    <w:basedOn w:val="1"/>
    <w:next w:val="1"/>
    <w:qFormat/>
    <w:uiPriority w:val="39"/>
  </w:style>
  <w:style w:type="paragraph" w:styleId="21">
    <w:name w:val="Body Text Indent 3"/>
    <w:basedOn w:val="1"/>
    <w:qFormat/>
    <w:uiPriority w:val="0"/>
    <w:pPr>
      <w:ind w:firstLine="420" w:firstLineChars="200"/>
    </w:pPr>
    <w:rPr>
      <w:rFonts w:ascii="宋体" w:hAnsi="宋体"/>
    </w:rPr>
  </w:style>
  <w:style w:type="paragraph" w:styleId="22">
    <w:name w:val="toc 2"/>
    <w:basedOn w:val="1"/>
    <w:next w:val="1"/>
    <w:qFormat/>
    <w:locked/>
    <w:uiPriority w:val="39"/>
    <w:pPr>
      <w:ind w:left="420" w:leftChars="200"/>
    </w:p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next w:val="1"/>
    <w:qFormat/>
    <w:locked/>
    <w:uiPriority w:val="0"/>
    <w:pPr>
      <w:spacing w:before="240" w:after="60"/>
      <w:jc w:val="center"/>
      <w:outlineLvl w:val="0"/>
    </w:pPr>
    <w:rPr>
      <w:rFonts w:ascii="Arial" w:hAnsi="Arial" w:cs="Arial"/>
      <w:b/>
      <w:bCs/>
      <w:sz w:val="32"/>
      <w:szCs w:val="32"/>
    </w:rPr>
  </w:style>
  <w:style w:type="paragraph" w:styleId="25">
    <w:name w:val="annotation subject"/>
    <w:basedOn w:val="14"/>
    <w:next w:val="1"/>
    <w:qFormat/>
    <w:uiPriority w:val="0"/>
    <w:rPr>
      <w:b/>
      <w:bCs/>
    </w:rPr>
  </w:style>
  <w:style w:type="character" w:styleId="28">
    <w:name w:val="Strong"/>
    <w:basedOn w:val="27"/>
    <w:qFormat/>
    <w:locked/>
    <w:uiPriority w:val="0"/>
  </w:style>
  <w:style w:type="character" w:styleId="29">
    <w:name w:val="FollowedHyperlink"/>
    <w:unhideWhenUsed/>
    <w:qFormat/>
    <w:uiPriority w:val="99"/>
    <w:rPr>
      <w:color w:val="333333"/>
      <w:u w:val="none"/>
    </w:rPr>
  </w:style>
  <w:style w:type="character" w:styleId="30">
    <w:name w:val="Emphasis"/>
    <w:basedOn w:val="27"/>
    <w:qFormat/>
    <w:locked/>
    <w:uiPriority w:val="0"/>
  </w:style>
  <w:style w:type="character" w:styleId="31">
    <w:name w:val="HTML Definition"/>
    <w:basedOn w:val="27"/>
    <w:unhideWhenUsed/>
    <w:qFormat/>
    <w:uiPriority w:val="99"/>
  </w:style>
  <w:style w:type="character" w:styleId="32">
    <w:name w:val="HTML Typewriter"/>
    <w:unhideWhenUsed/>
    <w:qFormat/>
    <w:uiPriority w:val="99"/>
    <w:rPr>
      <w:rFonts w:hint="default" w:ascii="monospace" w:hAnsi="monospace" w:eastAsia="monospace" w:cs="monospace"/>
      <w:sz w:val="20"/>
    </w:rPr>
  </w:style>
  <w:style w:type="character" w:styleId="33">
    <w:name w:val="HTML Acronym"/>
    <w:basedOn w:val="27"/>
    <w:unhideWhenUsed/>
    <w:qFormat/>
    <w:uiPriority w:val="99"/>
  </w:style>
  <w:style w:type="character" w:styleId="34">
    <w:name w:val="HTML Variable"/>
    <w:basedOn w:val="27"/>
    <w:unhideWhenUsed/>
    <w:qFormat/>
    <w:uiPriority w:val="99"/>
  </w:style>
  <w:style w:type="character" w:styleId="35">
    <w:name w:val="Hyperlink"/>
    <w:qFormat/>
    <w:uiPriority w:val="99"/>
    <w:rPr>
      <w:rFonts w:cs="Times New Roman"/>
      <w:color w:val="0000FF"/>
      <w:u w:val="single"/>
    </w:rPr>
  </w:style>
  <w:style w:type="character" w:styleId="36">
    <w:name w:val="HTML Code"/>
    <w:unhideWhenUsed/>
    <w:qFormat/>
    <w:uiPriority w:val="99"/>
    <w:rPr>
      <w:rFonts w:hint="default" w:ascii="monospace" w:hAnsi="monospace" w:eastAsia="monospace" w:cs="monospace"/>
      <w:sz w:val="20"/>
    </w:rPr>
  </w:style>
  <w:style w:type="character" w:styleId="37">
    <w:name w:val="HTML Cite"/>
    <w:basedOn w:val="27"/>
    <w:unhideWhenUsed/>
    <w:qFormat/>
    <w:uiPriority w:val="99"/>
  </w:style>
  <w:style w:type="character" w:styleId="38">
    <w:name w:val="HTML Keyboard"/>
    <w:unhideWhenUsed/>
    <w:qFormat/>
    <w:uiPriority w:val="99"/>
    <w:rPr>
      <w:rFonts w:ascii="monospace" w:hAnsi="monospace" w:eastAsia="monospace" w:cs="monospace"/>
      <w:sz w:val="20"/>
    </w:rPr>
  </w:style>
  <w:style w:type="character" w:styleId="39">
    <w:name w:val="HTML Sample"/>
    <w:unhideWhenUsed/>
    <w:qFormat/>
    <w:uiPriority w:val="99"/>
    <w:rPr>
      <w:rFonts w:hint="default" w:ascii="monospace" w:hAnsi="monospace" w:eastAsia="monospace" w:cs="monospace"/>
    </w:rPr>
  </w:style>
  <w:style w:type="character" w:customStyle="1" w:styleId="40">
    <w:name w:val="纯文本 Char"/>
    <w:qFormat/>
    <w:uiPriority w:val="0"/>
    <w:rPr>
      <w:rFonts w:ascii="宋体" w:hAnsi="Courier New"/>
      <w:kern w:val="2"/>
      <w:sz w:val="21"/>
    </w:rPr>
  </w:style>
  <w:style w:type="paragraph" w:customStyle="1" w:styleId="41">
    <w:name w:val="style4"/>
    <w:basedOn w:val="42"/>
    <w:next w:val="43"/>
    <w:qFormat/>
    <w:uiPriority w:val="0"/>
    <w:pPr>
      <w:widowControl/>
      <w:spacing w:before="100" w:beforeAutospacing="1" w:after="100" w:afterAutospacing="1"/>
      <w:jc w:val="left"/>
    </w:pPr>
    <w:rPr>
      <w:rFonts w:ascii="宋体" w:hAnsi="宋体" w:cs="宋体"/>
      <w:kern w:val="0"/>
      <w:sz w:val="18"/>
      <w:szCs w:val="18"/>
    </w:rPr>
  </w:style>
  <w:style w:type="paragraph" w:customStyle="1" w:styleId="42">
    <w:name w:val="正文_0"/>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5">
    <w:name w:val="p0"/>
    <w:basedOn w:val="46"/>
    <w:link w:val="70"/>
    <w:qFormat/>
    <w:uiPriority w:val="99"/>
    <w:pPr>
      <w:widowControl/>
    </w:pPr>
    <w:rPr>
      <w:kern w:val="0"/>
      <w:szCs w:val="21"/>
    </w:rPr>
  </w:style>
  <w:style w:type="paragraph" w:customStyle="1" w:styleId="46">
    <w:name w:val="正文1"/>
    <w:next w:val="4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文本1"/>
    <w:basedOn w:val="46"/>
    <w:qFormat/>
    <w:uiPriority w:val="99"/>
    <w:rPr>
      <w:rFonts w:eastAsia="楷体_GB2312"/>
      <w:sz w:val="28"/>
    </w:rPr>
  </w:style>
  <w:style w:type="paragraph" w:customStyle="1" w:styleId="48">
    <w:name w:val="无间隔1"/>
    <w:basedOn w:val="1"/>
    <w:qFormat/>
    <w:uiPriority w:val="0"/>
    <w:pPr>
      <w:spacing w:line="400" w:lineRule="exact"/>
    </w:pPr>
    <w:rPr>
      <w:sz w:val="24"/>
    </w:rPr>
  </w:style>
  <w:style w:type="paragraph" w:customStyle="1" w:styleId="4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_Style 61"/>
    <w:basedOn w:val="9"/>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1">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52">
    <w:name w:val="列出段落1"/>
    <w:basedOn w:val="1"/>
    <w:next w:val="1"/>
    <w:qFormat/>
    <w:uiPriority w:val="99"/>
    <w:pPr>
      <w:ind w:firstLine="420" w:firstLineChars="200"/>
    </w:pPr>
    <w:rPr>
      <w:rFonts w:ascii="Times New Roman" w:hAnsi="Times New Roman"/>
    </w:rPr>
  </w:style>
  <w:style w:type="paragraph" w:customStyle="1" w:styleId="53">
    <w:name w:val="style1"/>
    <w:basedOn w:val="1"/>
    <w:qFormat/>
    <w:uiPriority w:val="99"/>
    <w:pPr>
      <w:widowControl/>
      <w:spacing w:before="100" w:beforeAutospacing="1" w:after="100" w:afterAutospacing="1"/>
      <w:jc w:val="left"/>
    </w:pPr>
    <w:rPr>
      <w:rFonts w:ascii="宋体" w:hAnsi="宋体" w:cs="宋体"/>
      <w:kern w:val="0"/>
      <w:sz w:val="24"/>
    </w:rPr>
  </w:style>
  <w:style w:type="paragraph" w:customStyle="1" w:styleId="5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55">
    <w:name w:val="Body Text First Indent1"/>
    <w:basedOn w:val="3"/>
    <w:qFormat/>
    <w:uiPriority w:val="0"/>
    <w:pPr>
      <w:ind w:firstLine="420" w:firstLineChars="100"/>
    </w:pPr>
    <w:rPr>
      <w:rFonts w:ascii="Calibri" w:hAnsi="Calibri"/>
    </w:rPr>
  </w:style>
  <w:style w:type="paragraph" w:customStyle="1" w:styleId="56">
    <w:name w:val="xl41"/>
    <w:basedOn w:val="1"/>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paragraph" w:customStyle="1" w:styleId="57">
    <w:name w:val="BodyText"/>
    <w:basedOn w:val="1"/>
    <w:next w:val="58"/>
    <w:qFormat/>
    <w:uiPriority w:val="0"/>
    <w:pPr>
      <w:spacing w:after="120" w:line="440" w:lineRule="atLeast"/>
      <w:ind w:firstLine="200" w:firstLineChars="200"/>
      <w:textAlignment w:val="baseline"/>
    </w:pPr>
    <w:rPr>
      <w:rFonts w:ascii="Times New Roman" w:hAnsi="Times New Roman"/>
    </w:rPr>
  </w:style>
  <w:style w:type="paragraph" w:customStyle="1" w:styleId="58">
    <w:name w:val="BodyText2"/>
    <w:basedOn w:val="1"/>
    <w:next w:val="57"/>
    <w:qFormat/>
    <w:uiPriority w:val="0"/>
    <w:pPr>
      <w:spacing w:after="120" w:line="480" w:lineRule="auto"/>
      <w:textAlignment w:val="baseline"/>
    </w:pPr>
    <w:rPr>
      <w:rFonts w:ascii="Times New Roman" w:hAnsi="Times New Roman"/>
      <w:kern w:val="0"/>
      <w:sz w:val="24"/>
    </w:rPr>
  </w:style>
  <w:style w:type="paragraph" w:customStyle="1" w:styleId="59">
    <w:name w:val="样式1"/>
    <w:basedOn w:val="1"/>
    <w:qFormat/>
    <w:uiPriority w:val="0"/>
    <w:pPr>
      <w:tabs>
        <w:tab w:val="left" w:pos="709"/>
      </w:tabs>
      <w:ind w:left="709" w:hanging="709"/>
    </w:pPr>
    <w:rPr>
      <w:rFonts w:ascii="宋体" w:hAnsi="宋体"/>
    </w:rPr>
  </w:style>
  <w:style w:type="paragraph" w:customStyle="1" w:styleId="60">
    <w:name w:val="Char Char1"/>
    <w:basedOn w:val="1"/>
    <w:qFormat/>
    <w:uiPriority w:val="0"/>
    <w:pPr>
      <w:widowControl/>
      <w:spacing w:after="160" w:line="240" w:lineRule="exact"/>
      <w:jc w:val="left"/>
    </w:pPr>
    <w:rPr>
      <w:rFonts w:ascii="Verdana" w:hAnsi="Verdana" w:eastAsia="仿宋_GB2312"/>
      <w:kern w:val="0"/>
      <w:sz w:val="20"/>
      <w:szCs w:val="20"/>
      <w:lang w:eastAsia="en-US"/>
    </w:rPr>
  </w:style>
  <w:style w:type="character" w:customStyle="1" w:styleId="61">
    <w:name w:val="标题 1 Char"/>
    <w:link w:val="9"/>
    <w:qFormat/>
    <w:uiPriority w:val="0"/>
    <w:rPr>
      <w:rFonts w:ascii="Book Antiqua" w:hAnsi="Book Antiqua"/>
      <w:b/>
      <w:bCs/>
      <w:kern w:val="44"/>
      <w:sz w:val="44"/>
      <w:szCs w:val="44"/>
    </w:rPr>
  </w:style>
  <w:style w:type="character" w:customStyle="1" w:styleId="62">
    <w:name w:val="标题 3 Char"/>
    <w:link w:val="11"/>
    <w:qFormat/>
    <w:uiPriority w:val="99"/>
    <w:rPr>
      <w:rFonts w:ascii="Book Antiqua" w:hAnsi="Book Antiqua" w:eastAsia="宋体" w:cs="Times New Roman"/>
      <w:b/>
      <w:bCs/>
      <w:sz w:val="32"/>
      <w:szCs w:val="32"/>
    </w:rPr>
  </w:style>
  <w:style w:type="character" w:customStyle="1" w:styleId="63">
    <w:name w:val="标题 4 Char"/>
    <w:link w:val="12"/>
    <w:qFormat/>
    <w:uiPriority w:val="99"/>
    <w:rPr>
      <w:rFonts w:ascii="Cambria" w:hAnsi="Cambria" w:eastAsia="宋体" w:cs="Times New Roman"/>
      <w:b/>
      <w:bCs/>
      <w:kern w:val="2"/>
      <w:sz w:val="28"/>
      <w:szCs w:val="28"/>
    </w:rPr>
  </w:style>
  <w:style w:type="character" w:customStyle="1" w:styleId="64">
    <w:name w:val="正文文本缩进 Char"/>
    <w:link w:val="6"/>
    <w:qFormat/>
    <w:uiPriority w:val="99"/>
    <w:rPr>
      <w:rFonts w:ascii="Book Antiqua" w:hAnsi="Book Antiqua"/>
      <w:kern w:val="2"/>
      <w:sz w:val="21"/>
      <w:szCs w:val="24"/>
    </w:rPr>
  </w:style>
  <w:style w:type="character" w:customStyle="1" w:styleId="65">
    <w:name w:val="纯文本 Char1"/>
    <w:link w:val="16"/>
    <w:qFormat/>
    <w:uiPriority w:val="99"/>
    <w:rPr>
      <w:rFonts w:ascii="宋体" w:hAnsi="Courier New" w:cs="Courier New"/>
      <w:kern w:val="2"/>
      <w:sz w:val="21"/>
      <w:szCs w:val="21"/>
    </w:rPr>
  </w:style>
  <w:style w:type="character" w:customStyle="1" w:styleId="66">
    <w:name w:val="批注框文本 Char"/>
    <w:link w:val="17"/>
    <w:qFormat/>
    <w:uiPriority w:val="99"/>
    <w:rPr>
      <w:rFonts w:ascii="Book Antiqua" w:hAnsi="Book Antiqua"/>
      <w:kern w:val="2"/>
      <w:sz w:val="18"/>
      <w:szCs w:val="18"/>
    </w:rPr>
  </w:style>
  <w:style w:type="character" w:customStyle="1" w:styleId="67">
    <w:name w:val="页脚 Char"/>
    <w:link w:val="18"/>
    <w:qFormat/>
    <w:uiPriority w:val="99"/>
    <w:rPr>
      <w:rFonts w:cs="Times New Roman"/>
      <w:sz w:val="18"/>
      <w:szCs w:val="18"/>
    </w:rPr>
  </w:style>
  <w:style w:type="character" w:customStyle="1" w:styleId="68">
    <w:name w:val="页眉 Char"/>
    <w:link w:val="19"/>
    <w:qFormat/>
    <w:uiPriority w:val="99"/>
    <w:rPr>
      <w:rFonts w:cs="Times New Roman"/>
      <w:sz w:val="18"/>
      <w:szCs w:val="18"/>
    </w:rPr>
  </w:style>
  <w:style w:type="character" w:customStyle="1" w:styleId="69">
    <w:name w:val="正文文本 2 Char"/>
    <w:link w:val="4"/>
    <w:qFormat/>
    <w:uiPriority w:val="99"/>
    <w:rPr>
      <w:rFonts w:ascii="Times New Roman" w:hAnsi="Times New Roman" w:eastAsia="宋体" w:cs="Times New Roman"/>
      <w:sz w:val="24"/>
      <w:szCs w:val="24"/>
    </w:rPr>
  </w:style>
  <w:style w:type="character" w:customStyle="1" w:styleId="70">
    <w:name w:val="p0 Char Char"/>
    <w:link w:val="45"/>
    <w:qFormat/>
    <w:locked/>
    <w:uiPriority w:val="99"/>
    <w:rPr>
      <w:rFonts w:ascii="Times New Roman" w:hAnsi="Times New Roman" w:cs="Times New Roman"/>
      <w:kern w:val="0"/>
      <w:sz w:val="21"/>
      <w:szCs w:val="21"/>
    </w:rPr>
  </w:style>
  <w:style w:type="character" w:customStyle="1" w:styleId="71">
    <w:name w:val="font81"/>
    <w:qFormat/>
    <w:uiPriority w:val="0"/>
    <w:rPr>
      <w:rFonts w:hint="eastAsia" w:ascii="宋体" w:hAnsi="宋体" w:eastAsia="宋体" w:cs="宋体"/>
      <w:color w:val="000000"/>
      <w:sz w:val="24"/>
      <w:szCs w:val="24"/>
      <w:u w:val="none"/>
    </w:rPr>
  </w:style>
  <w:style w:type="character" w:customStyle="1" w:styleId="72">
    <w:name w:val="font31"/>
    <w:qFormat/>
    <w:uiPriority w:val="0"/>
    <w:rPr>
      <w:rFonts w:hint="eastAsia" w:ascii="宋体" w:hAnsi="宋体" w:eastAsia="宋体" w:cs="宋体"/>
      <w:color w:val="000000"/>
      <w:sz w:val="24"/>
      <w:szCs w:val="24"/>
      <w:u w:val="none"/>
    </w:rPr>
  </w:style>
  <w:style w:type="character" w:customStyle="1" w:styleId="73">
    <w:name w:val="font51"/>
    <w:qFormat/>
    <w:uiPriority w:val="0"/>
    <w:rPr>
      <w:rFonts w:ascii="Calibri" w:hAnsi="Calibri" w:cs="Calibri"/>
      <w:color w:val="000000"/>
      <w:sz w:val="24"/>
      <w:szCs w:val="24"/>
      <w:u w:val="none"/>
    </w:rPr>
  </w:style>
  <w:style w:type="character" w:customStyle="1" w:styleId="74">
    <w:name w:val="font41"/>
    <w:basedOn w:val="27"/>
    <w:qFormat/>
    <w:uiPriority w:val="0"/>
    <w:rPr>
      <w:rFonts w:hint="eastAsia" w:ascii="宋体" w:hAnsi="宋体" w:eastAsia="宋体" w:cs="宋体"/>
      <w:color w:val="000000"/>
      <w:sz w:val="20"/>
      <w:szCs w:val="20"/>
      <w:u w:val="none"/>
    </w:rPr>
  </w:style>
  <w:style w:type="character" w:customStyle="1" w:styleId="75">
    <w:name w:val="font151"/>
    <w:basedOn w:val="27"/>
    <w:qFormat/>
    <w:uiPriority w:val="0"/>
    <w:rPr>
      <w:rFonts w:hint="eastAsia" w:ascii="宋体" w:hAnsi="宋体" w:eastAsia="宋体" w:cs="宋体"/>
      <w:color w:val="000000"/>
      <w:sz w:val="20"/>
      <w:szCs w:val="20"/>
      <w:u w:val="none"/>
      <w:vertAlign w:val="superscript"/>
    </w:rPr>
  </w:style>
  <w:style w:type="character" w:customStyle="1" w:styleId="76">
    <w:name w:val="font161"/>
    <w:basedOn w:val="27"/>
    <w:qFormat/>
    <w:uiPriority w:val="0"/>
    <w:rPr>
      <w:rFonts w:hint="eastAsia" w:ascii="宋体" w:hAnsi="宋体" w:eastAsia="宋体" w:cs="宋体"/>
      <w:color w:val="000000"/>
      <w:sz w:val="28"/>
      <w:szCs w:val="28"/>
      <w:u w:val="none"/>
      <w:vertAlign w:val="superscript"/>
    </w:rPr>
  </w:style>
  <w:style w:type="character" w:customStyle="1" w:styleId="77">
    <w:name w:val="font171"/>
    <w:basedOn w:val="27"/>
    <w:qFormat/>
    <w:uiPriority w:val="0"/>
    <w:rPr>
      <w:rFonts w:hint="eastAsia" w:ascii="宋体" w:hAnsi="宋体" w:eastAsia="宋体" w:cs="宋体"/>
      <w:color w:val="000000"/>
      <w:sz w:val="20"/>
      <w:szCs w:val="20"/>
      <w:u w:val="none"/>
      <w:vertAlign w:val="superscript"/>
    </w:rPr>
  </w:style>
  <w:style w:type="character" w:customStyle="1" w:styleId="78">
    <w:name w:val="hover16"/>
    <w:basedOn w:val="27"/>
    <w:qFormat/>
    <w:uiPriority w:val="0"/>
  </w:style>
  <w:style w:type="character" w:customStyle="1" w:styleId="79">
    <w:name w:val="font21"/>
    <w:qFormat/>
    <w:uiPriority w:val="0"/>
    <w:rPr>
      <w:rFonts w:ascii="Calibri" w:hAnsi="Calibri" w:cs="Calibri"/>
      <w:color w:val="000000"/>
      <w:sz w:val="16"/>
      <w:szCs w:val="16"/>
      <w:u w:val="none"/>
    </w:rPr>
  </w:style>
  <w:style w:type="character" w:customStyle="1" w:styleId="80">
    <w:name w:val="font11"/>
    <w:qFormat/>
    <w:uiPriority w:val="0"/>
    <w:rPr>
      <w:rFonts w:hint="eastAsia" w:ascii="宋体" w:hAnsi="宋体" w:eastAsia="宋体" w:cs="宋体"/>
      <w:color w:val="000000"/>
      <w:sz w:val="16"/>
      <w:szCs w:val="16"/>
      <w:u w:val="none"/>
    </w:rPr>
  </w:style>
  <w:style w:type="character" w:customStyle="1" w:styleId="81">
    <w:name w:val="font131"/>
    <w:basedOn w:val="27"/>
    <w:qFormat/>
    <w:uiPriority w:val="0"/>
    <w:rPr>
      <w:rFonts w:hint="default" w:ascii="方正仿宋_GBK" w:hAnsi="方正仿宋_GBK" w:eastAsia="方正仿宋_GBK" w:cs="方正仿宋_GBK"/>
      <w:color w:val="000000"/>
      <w:sz w:val="22"/>
      <w:szCs w:val="22"/>
      <w:u w:val="none"/>
    </w:rPr>
  </w:style>
  <w:style w:type="paragraph" w:customStyle="1" w:styleId="82">
    <w:name w:val="Char Char11"/>
    <w:basedOn w:val="1"/>
    <w:qFormat/>
    <w:uiPriority w:val="0"/>
    <w:pPr>
      <w:widowControl/>
      <w:spacing w:after="160" w:line="240" w:lineRule="exact"/>
      <w:jc w:val="left"/>
    </w:pPr>
    <w:rPr>
      <w:rFonts w:ascii="Verdana" w:hAnsi="Verdana" w:eastAsia="仿宋_GB2312"/>
      <w:kern w:val="0"/>
      <w:sz w:val="20"/>
      <w:szCs w:val="20"/>
      <w:lang w:eastAsia="en-US"/>
    </w:rPr>
  </w:style>
  <w:style w:type="paragraph" w:customStyle="1" w:styleId="83">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3"/>
    <customShpInfo spid="_x0000_s2052"/>
    <customShpInfo spid="_x0000_s2051"/>
    <customShpInfo spid="_x0000_s2056"/>
    <customShpInfo spid="_x0000_s2050"/>
    <customShpInfo spid="_x0000_s2049"/>
    <customShpInfo spid="_x0000_s1026"/>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6971</Words>
  <Characters>39735</Characters>
  <Lines>331</Lines>
  <Paragraphs>93</Paragraphs>
  <TotalTime>0</TotalTime>
  <ScaleCrop>false</ScaleCrop>
  <LinksUpToDate>false</LinksUpToDate>
  <CharactersWithSpaces>46613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2023-09-14T04:25:00Z</dcterms:created>
  <dc:creator>pc</dc:creator>
  <cp:lastModifiedBy>首先，呢  </cp:lastModifiedBy>
  <cp:lastPrinted>2023-08-29T00:28:00Z</cp:lastPrinted>
  <dcterms:modified xsi:type="dcterms:W3CDTF">2023-09-18T00:31:28Z</dcterms:modified>
  <dc:title>博爱海事管理监控设备和航标设施采购项目</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0857A771E4FE46B297CCDD15869C1440_13</vt:lpwstr>
  </property>
</Properties>
</file>