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heme="minorEastAsia" w:hAnsiTheme="minorEastAsia" w:eastAsiaTheme="minorEastAsia" w:cstheme="minorEastAsia"/>
          <w:color w:val="auto"/>
          <w:highlight w:val="none"/>
        </w:rPr>
      </w:pPr>
      <w:bookmarkStart w:id="0" w:name="_Toc281574833"/>
    </w:p>
    <w:p>
      <w:pPr>
        <w:snapToGrid w:val="0"/>
        <w:spacing w:line="360" w:lineRule="auto"/>
        <w:jc w:val="center"/>
        <w:rPr>
          <w:rFonts w:hint="eastAsia" w:asciiTheme="minorEastAsia" w:hAnsiTheme="minorEastAsia" w:eastAsiaTheme="minorEastAsia" w:cstheme="minorEastAsia"/>
          <w:b/>
          <w:color w:val="auto"/>
          <w:sz w:val="84"/>
          <w:szCs w:val="84"/>
          <w:highlight w:val="none"/>
          <w:lang w:val="en-US" w:eastAsia="zh-CN"/>
        </w:rPr>
      </w:pPr>
      <w:r>
        <w:rPr>
          <w:rFonts w:hint="eastAsia" w:asciiTheme="minorEastAsia" w:hAnsiTheme="minorEastAsia" w:eastAsiaTheme="minorEastAsia" w:cstheme="minorEastAsia"/>
          <w:b/>
          <w:color w:val="auto"/>
          <w:sz w:val="48"/>
          <w:szCs w:val="48"/>
          <w:highlight w:val="none"/>
          <w:lang w:eastAsia="zh-CN"/>
        </w:rPr>
        <w:t>青天河景区游船采购项目</w:t>
      </w:r>
    </w:p>
    <w:p>
      <w:pPr>
        <w:snapToGrid w:val="0"/>
        <w:spacing w:line="360" w:lineRule="auto"/>
        <w:jc w:val="center"/>
        <w:rPr>
          <w:rFonts w:asciiTheme="minorEastAsia" w:hAnsiTheme="minorEastAsia" w:eastAsiaTheme="minorEastAsia" w:cstheme="minorEastAsia"/>
          <w:b/>
          <w:color w:val="auto"/>
          <w:sz w:val="84"/>
          <w:szCs w:val="84"/>
          <w:highlight w:val="none"/>
          <w:lang w:eastAsia="zh-CN"/>
        </w:rPr>
      </w:pPr>
      <w:r>
        <w:rPr>
          <w:rFonts w:hint="eastAsia" w:asciiTheme="minorEastAsia" w:hAnsiTheme="minorEastAsia" w:eastAsiaTheme="minorEastAsia" w:cstheme="minorEastAsia"/>
          <w:b/>
          <w:color w:val="auto"/>
          <w:sz w:val="84"/>
          <w:szCs w:val="84"/>
          <w:highlight w:val="none"/>
          <w:lang w:val="en-US" w:eastAsia="zh-CN"/>
        </w:rPr>
        <w:t>招标</w:t>
      </w:r>
      <w:r>
        <w:rPr>
          <w:rFonts w:hint="eastAsia" w:asciiTheme="minorEastAsia" w:hAnsiTheme="minorEastAsia" w:eastAsiaTheme="minorEastAsia" w:cstheme="minorEastAsia"/>
          <w:b/>
          <w:color w:val="auto"/>
          <w:sz w:val="84"/>
          <w:szCs w:val="84"/>
          <w:highlight w:val="none"/>
          <w:lang w:eastAsia="zh-CN"/>
        </w:rPr>
        <w:t>文件</w:t>
      </w:r>
    </w:p>
    <w:p>
      <w:pPr>
        <w:snapToGrid w:val="0"/>
        <w:spacing w:line="360" w:lineRule="auto"/>
        <w:ind w:firstLine="2313" w:firstLineChars="800"/>
        <w:rPr>
          <w:rFonts w:hint="eastAsia" w:asciiTheme="minorEastAsia" w:hAnsiTheme="minorEastAsia" w:eastAsiaTheme="minorEastAsia" w:cstheme="minorEastAsia"/>
          <w:b/>
          <w:color w:val="auto"/>
          <w:spacing w:val="-6"/>
          <w:sz w:val="30"/>
          <w:szCs w:val="30"/>
          <w:highlight w:val="none"/>
          <w:lang w:eastAsia="zh-CN"/>
        </w:rPr>
      </w:pPr>
    </w:p>
    <w:p>
      <w:pPr>
        <w:snapToGrid w:val="0"/>
        <w:spacing w:line="360" w:lineRule="auto"/>
        <w:ind w:firstLine="2157" w:firstLineChars="746"/>
        <w:jc w:val="both"/>
        <w:rPr>
          <w:rFonts w:asciiTheme="minorEastAsia" w:hAnsiTheme="minorEastAsia" w:eastAsiaTheme="minorEastAsia" w:cstheme="minorEastAsia"/>
          <w:b/>
          <w:color w:val="auto"/>
          <w:spacing w:val="-6"/>
          <w:sz w:val="30"/>
          <w:szCs w:val="30"/>
          <w:highlight w:val="none"/>
          <w:lang w:eastAsia="zh-CN"/>
        </w:rPr>
      </w:pPr>
    </w:p>
    <w:p>
      <w:pPr>
        <w:snapToGrid w:val="0"/>
        <w:spacing w:line="360" w:lineRule="auto"/>
        <w:jc w:val="center"/>
        <w:rPr>
          <w:rFonts w:asciiTheme="minorEastAsia" w:hAnsiTheme="minorEastAsia" w:eastAsiaTheme="minorEastAsia" w:cstheme="minorEastAsia"/>
          <w:b/>
          <w:color w:val="auto"/>
          <w:spacing w:val="-6"/>
          <w:sz w:val="32"/>
          <w:szCs w:val="32"/>
          <w:highlight w:val="none"/>
          <w:lang w:eastAsia="zh-CN"/>
        </w:rPr>
      </w:pPr>
      <w:r>
        <w:rPr>
          <w:color w:val="auto"/>
          <w:highlight w:val="none"/>
        </w:rPr>
        <w:drawing>
          <wp:inline distT="0" distB="0" distL="114300" distR="114300">
            <wp:extent cx="2095500" cy="243840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8"/>
                    <a:stretch>
                      <a:fillRect/>
                    </a:stretch>
                  </pic:blipFill>
                  <pic:spPr>
                    <a:xfrm>
                      <a:off x="0" y="0"/>
                      <a:ext cx="2095500" cy="2438400"/>
                    </a:xfrm>
                    <a:prstGeom prst="rect">
                      <a:avLst/>
                    </a:prstGeom>
                    <a:noFill/>
                    <a:ln>
                      <a:noFill/>
                    </a:ln>
                  </pic:spPr>
                </pic:pic>
              </a:graphicData>
            </a:graphic>
          </wp:inline>
        </w:drawing>
      </w:r>
    </w:p>
    <w:p>
      <w:pPr>
        <w:snapToGrid w:val="0"/>
        <w:spacing w:line="360" w:lineRule="auto"/>
        <w:rPr>
          <w:rFonts w:hint="eastAsia" w:asciiTheme="minorEastAsia" w:hAnsiTheme="minorEastAsia" w:eastAsiaTheme="minorEastAsia" w:cstheme="minorEastAsia"/>
          <w:b/>
          <w:bCs/>
          <w:color w:val="auto"/>
          <w:sz w:val="32"/>
          <w:szCs w:val="32"/>
          <w:highlight w:val="none"/>
          <w:lang w:eastAsia="zh-CN"/>
        </w:rPr>
      </w:pPr>
    </w:p>
    <w:p>
      <w:pPr>
        <w:pStyle w:val="2"/>
        <w:rPr>
          <w:rFonts w:hint="eastAsia" w:asciiTheme="minorEastAsia" w:hAnsiTheme="minorEastAsia" w:eastAsiaTheme="minorEastAsia" w:cstheme="minorEastAsia"/>
          <w:b/>
          <w:bCs/>
          <w:color w:val="auto"/>
          <w:sz w:val="32"/>
          <w:szCs w:val="32"/>
          <w:highlight w:val="none"/>
          <w:lang w:eastAsia="zh-CN"/>
        </w:rPr>
      </w:pPr>
    </w:p>
    <w:p>
      <w:pPr>
        <w:rPr>
          <w:rFonts w:hint="eastAsia"/>
          <w:color w:val="auto"/>
          <w:highlight w:val="none"/>
          <w:lang w:eastAsia="zh-CN"/>
        </w:rPr>
      </w:pPr>
    </w:p>
    <w:p>
      <w:pPr>
        <w:snapToGrid w:val="0"/>
        <w:spacing w:line="360" w:lineRule="auto"/>
        <w:ind w:firstLine="643" w:firstLineChars="200"/>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采 购 人：焦作青天河旅游发展有限公司</w:t>
      </w:r>
    </w:p>
    <w:p>
      <w:pPr>
        <w:snapToGrid w:val="0"/>
        <w:spacing w:line="360" w:lineRule="auto"/>
        <w:ind w:firstLine="643" w:firstLineChars="200"/>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代理机构：河南四方建设管理有限公司</w:t>
      </w:r>
    </w:p>
    <w:p>
      <w:pPr>
        <w:snapToGrid w:val="0"/>
        <w:spacing w:line="360" w:lineRule="auto"/>
        <w:ind w:firstLine="643" w:firstLineChars="200"/>
        <w:rPr>
          <w:rFonts w:asciiTheme="minorEastAsia" w:hAnsiTheme="minorEastAsia" w:eastAsiaTheme="minorEastAsia" w:cstheme="minorEastAsia"/>
          <w:b/>
          <w:bCs/>
          <w:color w:val="auto"/>
          <w:sz w:val="32"/>
          <w:szCs w:val="32"/>
          <w:highlight w:val="none"/>
          <w:lang w:eastAsia="zh-CN"/>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bCs/>
          <w:color w:val="auto"/>
          <w:sz w:val="32"/>
          <w:szCs w:val="32"/>
          <w:highlight w:val="none"/>
          <w:lang w:eastAsia="zh-CN"/>
        </w:rPr>
        <w:t>日    期：二〇二三年</w:t>
      </w:r>
      <w:r>
        <w:rPr>
          <w:rFonts w:hint="eastAsia" w:asciiTheme="minorEastAsia" w:hAnsiTheme="minorEastAsia" w:eastAsiaTheme="minorEastAsia" w:cstheme="minorEastAsia"/>
          <w:b/>
          <w:bCs/>
          <w:color w:val="auto"/>
          <w:sz w:val="32"/>
          <w:szCs w:val="32"/>
          <w:highlight w:val="none"/>
          <w:lang w:val="en-US" w:eastAsia="zh-CN"/>
        </w:rPr>
        <w:t>九</w:t>
      </w:r>
      <w:r>
        <w:rPr>
          <w:rFonts w:hint="eastAsia" w:asciiTheme="minorEastAsia" w:hAnsiTheme="minorEastAsia" w:eastAsiaTheme="minorEastAsia" w:cstheme="minorEastAsia"/>
          <w:b/>
          <w:bCs/>
          <w:color w:val="auto"/>
          <w:sz w:val="32"/>
          <w:szCs w:val="32"/>
          <w:highlight w:val="none"/>
          <w:lang w:eastAsia="zh-CN"/>
        </w:rPr>
        <w:t>月</w:t>
      </w:r>
    </w:p>
    <w:p>
      <w:pPr>
        <w:jc w:val="center"/>
        <w:rPr>
          <w:rFonts w:asciiTheme="minorEastAsia" w:hAnsiTheme="minorEastAsia" w:eastAsiaTheme="minorEastAsia" w:cstheme="minorEastAsia"/>
          <w:b/>
          <w:bCs/>
          <w:color w:val="auto"/>
          <w:sz w:val="32"/>
          <w:szCs w:val="32"/>
          <w:highlight w:val="none"/>
        </w:rPr>
      </w:pPr>
    </w:p>
    <w:p>
      <w:pPr>
        <w:jc w:val="center"/>
        <w:outlineLvl w:val="0"/>
        <w:rPr>
          <w:rFonts w:asciiTheme="minorEastAsia" w:hAnsiTheme="minorEastAsia" w:eastAsiaTheme="minorEastAsia" w:cstheme="minorEastAsia"/>
          <w:b/>
          <w:bCs/>
          <w:color w:val="auto"/>
          <w:sz w:val="44"/>
          <w:szCs w:val="44"/>
          <w:highlight w:val="none"/>
        </w:rPr>
      </w:pPr>
      <w:bookmarkStart w:id="1" w:name="_Toc25319"/>
      <w:r>
        <w:rPr>
          <w:rFonts w:hint="eastAsia" w:asciiTheme="minorEastAsia" w:hAnsiTheme="minorEastAsia" w:eastAsiaTheme="minorEastAsia" w:cstheme="minorEastAsia"/>
          <w:b/>
          <w:bCs/>
          <w:color w:val="auto"/>
          <w:sz w:val="44"/>
          <w:szCs w:val="44"/>
          <w:highlight w:val="none"/>
        </w:rPr>
        <w:t>目     录</w:t>
      </w:r>
      <w:bookmarkEnd w:id="1"/>
    </w:p>
    <w:sdt>
      <w:sdtPr>
        <w:rPr>
          <w:rFonts w:ascii="宋体" w:hAnsi="宋体"/>
          <w:b/>
          <w:color w:val="auto"/>
          <w:highlight w:val="none"/>
        </w:rPr>
        <w:id w:val="147475469"/>
        <w15:color w:val="DBDBDB"/>
        <w:docPartObj>
          <w:docPartGallery w:val="Table of Contents"/>
          <w:docPartUnique/>
        </w:docPartObj>
      </w:sdtPr>
      <w:sdtEndPr>
        <w:rPr>
          <w:rFonts w:asciiTheme="minorEastAsia" w:hAnsiTheme="minorEastAsia" w:eastAsiaTheme="minorEastAsia" w:cstheme="minorEastAsia"/>
          <w:b/>
          <w:bCs/>
          <w:color w:val="auto"/>
          <w:sz w:val="32"/>
          <w:szCs w:val="32"/>
          <w:highlight w:val="none"/>
        </w:rPr>
      </w:sdtEndPr>
      <w:sdtContent>
        <w:p>
          <w:pPr>
            <w:jc w:val="center"/>
            <w:rPr>
              <w:color w:val="auto"/>
              <w:highlight w:val="none"/>
            </w:rPr>
          </w:pPr>
        </w:p>
        <w:p>
          <w:pPr>
            <w:pStyle w:val="64"/>
            <w:tabs>
              <w:tab w:val="right" w:leader="dot" w:pos="9880"/>
            </w:tabs>
            <w:rPr>
              <w:color w:val="auto"/>
              <w:highlight w:val="none"/>
            </w:rPr>
          </w:pPr>
          <w:r>
            <w:rPr>
              <w:rFonts w:asciiTheme="minorEastAsia" w:hAnsiTheme="minorEastAsia" w:eastAsiaTheme="minorEastAsia" w:cstheme="minorEastAsia"/>
              <w:bCs/>
              <w:color w:val="auto"/>
              <w:highlight w:val="none"/>
            </w:rPr>
            <w:fldChar w:fldCharType="begin"/>
          </w:r>
          <w:r>
            <w:rPr>
              <w:rFonts w:asciiTheme="minorEastAsia" w:hAnsiTheme="minorEastAsia" w:eastAsiaTheme="minorEastAsia" w:cstheme="minorEastAsia"/>
              <w:bCs/>
              <w:color w:val="auto"/>
              <w:highlight w:val="none"/>
            </w:rPr>
            <w:instrText xml:space="preserve">TOC \o "1-1" \h \u </w:instrText>
          </w:r>
          <w:r>
            <w:rPr>
              <w:rFonts w:asciiTheme="minorEastAsia" w:hAnsiTheme="minorEastAsia" w:eastAsiaTheme="minorEastAsia" w:cstheme="minorEastAsia"/>
              <w:bCs/>
              <w:color w:val="auto"/>
              <w:highlight w:val="none"/>
            </w:rPr>
            <w:fldChar w:fldCharType="separate"/>
          </w:r>
          <w:r>
            <w:rPr>
              <w:color w:val="auto"/>
              <w:highlight w:val="none"/>
            </w:rPr>
            <w:fldChar w:fldCharType="begin"/>
          </w:r>
          <w:r>
            <w:rPr>
              <w:color w:val="auto"/>
              <w:highlight w:val="none"/>
            </w:rPr>
            <w:instrText xml:space="preserve"> HYPERLINK \l "_Toc25319" </w:instrText>
          </w:r>
          <w:r>
            <w:rPr>
              <w:color w:val="auto"/>
              <w:highlight w:val="none"/>
            </w:rPr>
            <w:fldChar w:fldCharType="separate"/>
          </w:r>
          <w:r>
            <w:rPr>
              <w:rFonts w:hint="eastAsia" w:asciiTheme="minorEastAsia" w:hAnsiTheme="minorEastAsia" w:eastAsiaTheme="minorEastAsia" w:cstheme="minorEastAsia"/>
              <w:bCs/>
              <w:color w:val="auto"/>
              <w:szCs w:val="44"/>
              <w:highlight w:val="none"/>
            </w:rPr>
            <w:t>目     录</w:t>
          </w:r>
          <w:r>
            <w:rPr>
              <w:color w:val="auto"/>
              <w:highlight w:val="none"/>
            </w:rPr>
            <w:tab/>
          </w:r>
          <w:r>
            <w:rPr>
              <w:color w:val="auto"/>
              <w:highlight w:val="none"/>
            </w:rPr>
            <w:fldChar w:fldCharType="begin"/>
          </w:r>
          <w:r>
            <w:rPr>
              <w:color w:val="auto"/>
              <w:highlight w:val="none"/>
            </w:rPr>
            <w:instrText xml:space="preserve"> PAGEREF _Toc25319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"_Toc2173" </w:instrText>
          </w:r>
          <w:r>
            <w:rPr>
              <w:color w:val="auto"/>
              <w:highlight w:val="none"/>
            </w:rPr>
            <w:fldChar w:fldCharType="separate"/>
          </w:r>
          <w:r>
            <w:rPr>
              <w:rFonts w:hint="eastAsia"/>
              <w:color w:val="auto"/>
              <w:highlight w:val="none"/>
            </w:rPr>
            <w:t>重要事项提示</w:t>
          </w:r>
          <w:r>
            <w:rPr>
              <w:color w:val="auto"/>
              <w:highlight w:val="none"/>
            </w:rPr>
            <w:tab/>
          </w:r>
          <w:r>
            <w:rPr>
              <w:color w:val="auto"/>
              <w:highlight w:val="none"/>
            </w:rPr>
            <w:fldChar w:fldCharType="begin"/>
          </w:r>
          <w:r>
            <w:rPr>
              <w:color w:val="auto"/>
              <w:highlight w:val="none"/>
            </w:rPr>
            <w:instrText xml:space="preserve"> PAGEREF _Toc2173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"_Toc24751" </w:instrText>
          </w:r>
          <w:r>
            <w:rPr>
              <w:color w:val="auto"/>
              <w:highlight w:val="none"/>
            </w:rPr>
            <w:fldChar w:fldCharType="separate"/>
          </w:r>
          <w:r>
            <w:rPr>
              <w:rFonts w:hint="eastAsia"/>
              <w:color w:val="auto"/>
              <w:highlight w:val="none"/>
            </w:rPr>
            <w:t xml:space="preserve">第一章 </w:t>
          </w:r>
          <w:r>
            <w:rPr>
              <w:rFonts w:hint="eastAsia" w:asciiTheme="minorEastAsia" w:hAnsiTheme="minorEastAsia" w:eastAsiaTheme="minorEastAsia" w:cstheme="minorEastAsia"/>
              <w:bCs/>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_Toc24751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"_Toc27816" </w:instrText>
          </w:r>
          <w:r>
            <w:rPr>
              <w:color w:val="auto"/>
              <w:highlight w:val="none"/>
            </w:rPr>
            <w:fldChar w:fldCharType="separate"/>
          </w:r>
          <w:r>
            <w:rPr>
              <w:rFonts w:hint="eastAsia" w:asciiTheme="minorEastAsia" w:hAnsiTheme="minorEastAsia" w:eastAsiaTheme="minorEastAsia" w:cstheme="minorEastAsia"/>
              <w:color w:val="auto"/>
              <w:szCs w:val="32"/>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_Toc27816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"_Toc31932" </w:instrText>
          </w:r>
          <w:r>
            <w:rPr>
              <w:color w:val="auto"/>
              <w:highlight w:val="none"/>
            </w:rPr>
            <w:fldChar w:fldCharType="separate"/>
          </w:r>
          <w:r>
            <w:rPr>
              <w:rFonts w:hint="eastAsia" w:asciiTheme="minorEastAsia" w:hAnsiTheme="minorEastAsia" w:eastAsiaTheme="minorEastAsia" w:cstheme="minorEastAsia"/>
              <w:color w:val="auto"/>
              <w:szCs w:val="30"/>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_Toc31932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"_Toc7029"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1. 总则</w:t>
          </w:r>
          <w:r>
            <w:rPr>
              <w:color w:val="auto"/>
              <w:highlight w:val="none"/>
            </w:rPr>
            <w:tab/>
          </w:r>
          <w:r>
            <w:rPr>
              <w:color w:val="auto"/>
              <w:highlight w:val="none"/>
            </w:rPr>
            <w:fldChar w:fldCharType="begin"/>
          </w:r>
          <w:r>
            <w:rPr>
              <w:color w:val="auto"/>
              <w:highlight w:val="none"/>
            </w:rPr>
            <w:instrText xml:space="preserve"> PAGEREF _Toc7029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"_Toc20888"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2. 招标文件</w:t>
          </w:r>
          <w:r>
            <w:rPr>
              <w:color w:val="auto"/>
              <w:highlight w:val="none"/>
            </w:rPr>
            <w:tab/>
          </w:r>
          <w:r>
            <w:rPr>
              <w:color w:val="auto"/>
              <w:highlight w:val="none"/>
            </w:rPr>
            <w:fldChar w:fldCharType="begin"/>
          </w:r>
          <w:r>
            <w:rPr>
              <w:color w:val="auto"/>
              <w:highlight w:val="none"/>
            </w:rPr>
            <w:instrText xml:space="preserve"> PAGEREF _Toc20888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"_Toc15031"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3. 投标文件</w:t>
          </w:r>
          <w:r>
            <w:rPr>
              <w:color w:val="auto"/>
              <w:highlight w:val="none"/>
            </w:rPr>
            <w:tab/>
          </w:r>
          <w:r>
            <w:rPr>
              <w:color w:val="auto"/>
              <w:highlight w:val="none"/>
            </w:rPr>
            <w:fldChar w:fldCharType="begin"/>
          </w:r>
          <w:r>
            <w:rPr>
              <w:color w:val="auto"/>
              <w:highlight w:val="none"/>
            </w:rPr>
            <w:instrText xml:space="preserve"> PAGEREF _Toc15031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"_Toc21879"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4. 投标</w:t>
          </w:r>
          <w:r>
            <w:rPr>
              <w:color w:val="auto"/>
              <w:highlight w:val="none"/>
            </w:rPr>
            <w:tab/>
          </w:r>
          <w:r>
            <w:rPr>
              <w:color w:val="auto"/>
              <w:highlight w:val="none"/>
            </w:rPr>
            <w:fldChar w:fldCharType="begin"/>
          </w:r>
          <w:r>
            <w:rPr>
              <w:color w:val="auto"/>
              <w:highlight w:val="none"/>
            </w:rPr>
            <w:instrText xml:space="preserve"> PAGEREF _Toc21879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"_Toc22737"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5. 开标</w:t>
          </w:r>
          <w:r>
            <w:rPr>
              <w:color w:val="auto"/>
              <w:highlight w:val="none"/>
            </w:rPr>
            <w:tab/>
          </w:r>
          <w:r>
            <w:rPr>
              <w:color w:val="auto"/>
              <w:highlight w:val="none"/>
            </w:rPr>
            <w:fldChar w:fldCharType="begin"/>
          </w:r>
          <w:r>
            <w:rPr>
              <w:color w:val="auto"/>
              <w:highlight w:val="none"/>
            </w:rPr>
            <w:instrText xml:space="preserve"> PAGEREF _Toc22737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"_Toc4643"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6. 评标</w:t>
          </w:r>
          <w:r>
            <w:rPr>
              <w:color w:val="auto"/>
              <w:highlight w:val="none"/>
            </w:rPr>
            <w:tab/>
          </w:r>
          <w:r>
            <w:rPr>
              <w:color w:val="auto"/>
              <w:highlight w:val="none"/>
            </w:rPr>
            <w:fldChar w:fldCharType="begin"/>
          </w:r>
          <w:r>
            <w:rPr>
              <w:color w:val="auto"/>
              <w:highlight w:val="none"/>
            </w:rPr>
            <w:instrText xml:space="preserve"> PAGEREF _Toc4643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"_Toc8566"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7. 合同授予</w:t>
          </w:r>
          <w:r>
            <w:rPr>
              <w:color w:val="auto"/>
              <w:highlight w:val="none"/>
            </w:rPr>
            <w:tab/>
          </w:r>
          <w:r>
            <w:rPr>
              <w:color w:val="auto"/>
              <w:highlight w:val="none"/>
            </w:rPr>
            <w:fldChar w:fldCharType="begin"/>
          </w:r>
          <w:r>
            <w:rPr>
              <w:color w:val="auto"/>
              <w:highlight w:val="none"/>
            </w:rPr>
            <w:instrText xml:space="preserve"> PAGEREF _Toc8566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"_Toc29014"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8. 重新招标</w:t>
          </w:r>
          <w:r>
            <w:rPr>
              <w:color w:val="auto"/>
              <w:highlight w:val="none"/>
            </w:rPr>
            <w:tab/>
          </w:r>
          <w:r>
            <w:rPr>
              <w:color w:val="auto"/>
              <w:highlight w:val="none"/>
            </w:rPr>
            <w:fldChar w:fldCharType="begin"/>
          </w:r>
          <w:r>
            <w:rPr>
              <w:color w:val="auto"/>
              <w:highlight w:val="none"/>
            </w:rPr>
            <w:instrText xml:space="preserve"> PAGEREF _Toc29014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"_Toc14622"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9. 纪律和监督</w:t>
          </w:r>
          <w:r>
            <w:rPr>
              <w:color w:val="auto"/>
              <w:highlight w:val="none"/>
            </w:rPr>
            <w:tab/>
          </w:r>
          <w:r>
            <w:rPr>
              <w:color w:val="auto"/>
              <w:highlight w:val="none"/>
            </w:rPr>
            <w:fldChar w:fldCharType="begin"/>
          </w:r>
          <w:r>
            <w:rPr>
              <w:color w:val="auto"/>
              <w:highlight w:val="none"/>
            </w:rPr>
            <w:instrText xml:space="preserve"> PAGEREF _Toc14622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"_Toc26812"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10. 需要补充的其他内容</w:t>
          </w:r>
          <w:r>
            <w:rPr>
              <w:color w:val="auto"/>
              <w:highlight w:val="none"/>
            </w:rPr>
            <w:tab/>
          </w:r>
          <w:r>
            <w:rPr>
              <w:color w:val="auto"/>
              <w:highlight w:val="none"/>
            </w:rPr>
            <w:fldChar w:fldCharType="begin"/>
          </w:r>
          <w:r>
            <w:rPr>
              <w:color w:val="auto"/>
              <w:highlight w:val="none"/>
            </w:rPr>
            <w:instrText xml:space="preserve"> PAGEREF _Toc26812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"_Toc32119" </w:instrText>
          </w:r>
          <w:r>
            <w:rPr>
              <w:color w:val="auto"/>
              <w:highlight w:val="none"/>
            </w:rPr>
            <w:fldChar w:fldCharType="separate"/>
          </w:r>
          <w:r>
            <w:rPr>
              <w:rFonts w:asciiTheme="minorEastAsia" w:hAnsiTheme="minorEastAsia" w:eastAsiaTheme="minorEastAsia" w:cstheme="minorEastAsia"/>
              <w:color w:val="auto"/>
              <w:szCs w:val="36"/>
              <w:highlight w:val="none"/>
            </w:rPr>
            <w:t xml:space="preserve">第三章 </w:t>
          </w:r>
          <w:r>
            <w:rPr>
              <w:rFonts w:hint="eastAsia" w:asciiTheme="minorEastAsia" w:hAnsiTheme="minorEastAsia" w:eastAsiaTheme="minorEastAsia" w:cstheme="minorEastAsia"/>
              <w:color w:val="auto"/>
              <w:szCs w:val="36"/>
              <w:highlight w:val="none"/>
            </w:rPr>
            <w:t>评标办法（综合评分法）</w:t>
          </w:r>
          <w:r>
            <w:rPr>
              <w:color w:val="auto"/>
              <w:highlight w:val="none"/>
            </w:rPr>
            <w:tab/>
          </w:r>
          <w:r>
            <w:rPr>
              <w:color w:val="auto"/>
              <w:highlight w:val="none"/>
            </w:rPr>
            <w:fldChar w:fldCharType="begin"/>
          </w:r>
          <w:r>
            <w:rPr>
              <w:color w:val="auto"/>
              <w:highlight w:val="none"/>
            </w:rPr>
            <w:instrText xml:space="preserve"> PAGEREF _Toc32119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"_Toc27443" </w:instrText>
          </w:r>
          <w:r>
            <w:rPr>
              <w:color w:val="auto"/>
              <w:highlight w:val="none"/>
            </w:rPr>
            <w:fldChar w:fldCharType="separate"/>
          </w:r>
          <w:r>
            <w:rPr>
              <w:rFonts w:asciiTheme="minorEastAsia" w:hAnsiTheme="minorEastAsia" w:eastAsiaTheme="minorEastAsia" w:cstheme="minorEastAsia"/>
              <w:color w:val="auto"/>
              <w:szCs w:val="36"/>
              <w:highlight w:val="none"/>
            </w:rPr>
            <w:t xml:space="preserve">第四章 </w:t>
          </w:r>
          <w:r>
            <w:rPr>
              <w:rFonts w:hint="eastAsia" w:asciiTheme="minorEastAsia" w:hAnsiTheme="minorEastAsia" w:eastAsiaTheme="minorEastAsia" w:cstheme="minorEastAsia"/>
              <w:color w:val="auto"/>
              <w:szCs w:val="36"/>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_Toc27443 \h </w:instrText>
          </w:r>
          <w:r>
            <w:rPr>
              <w:color w:val="auto"/>
              <w:highlight w:val="none"/>
            </w:rPr>
            <w:fldChar w:fldCharType="separate"/>
          </w:r>
          <w:r>
            <w:rPr>
              <w:color w:val="auto"/>
              <w:highlight w:val="none"/>
            </w:rPr>
            <w:t>- 26 -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"_Toc6692" </w:instrText>
          </w:r>
          <w:r>
            <w:rPr>
              <w:color w:val="auto"/>
              <w:highlight w:val="none"/>
            </w:rPr>
            <w:fldChar w:fldCharType="separate"/>
          </w:r>
          <w:r>
            <w:rPr>
              <w:bCs/>
              <w:color w:val="auto"/>
              <w:szCs w:val="32"/>
              <w:highlight w:val="none"/>
            </w:rPr>
            <w:t xml:space="preserve">第五章 </w:t>
          </w:r>
          <w:r>
            <w:rPr>
              <w:rFonts w:hint="eastAsia"/>
              <w:bCs/>
              <w:color w:val="auto"/>
              <w:szCs w:val="32"/>
              <w:highlight w:val="none"/>
            </w:rPr>
            <w:t>采购内容及技术要求</w:t>
          </w:r>
          <w:r>
            <w:rPr>
              <w:color w:val="auto"/>
              <w:highlight w:val="none"/>
            </w:rPr>
            <w:tab/>
          </w:r>
          <w:r>
            <w:rPr>
              <w:color w:val="auto"/>
              <w:highlight w:val="none"/>
            </w:rPr>
            <w:fldChar w:fldCharType="begin"/>
          </w:r>
          <w:r>
            <w:rPr>
              <w:color w:val="auto"/>
              <w:highlight w:val="none"/>
            </w:rPr>
            <w:instrText xml:space="preserve"> PAGEREF _Toc6692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"_Toc28947" </w:instrText>
          </w:r>
          <w:r>
            <w:rPr>
              <w:color w:val="auto"/>
              <w:highlight w:val="none"/>
            </w:rPr>
            <w:fldChar w:fldCharType="separate"/>
          </w:r>
          <w:r>
            <w:rPr>
              <w:rFonts w:hint="eastAsia"/>
              <w:color w:val="auto"/>
              <w:szCs w:val="32"/>
              <w:highlight w:val="none"/>
            </w:rPr>
            <w:t>第六章 质疑与投诉</w:t>
          </w:r>
          <w:r>
            <w:rPr>
              <w:color w:val="auto"/>
              <w:highlight w:val="none"/>
            </w:rPr>
            <w:tab/>
          </w:r>
          <w:r>
            <w:rPr>
              <w:color w:val="auto"/>
              <w:highlight w:val="none"/>
            </w:rPr>
            <w:fldChar w:fldCharType="begin"/>
          </w:r>
          <w:r>
            <w:rPr>
              <w:color w:val="auto"/>
              <w:highlight w:val="none"/>
            </w:rPr>
            <w:instrText xml:space="preserve"> PAGEREF _Toc28947 \h </w:instrText>
          </w:r>
          <w:r>
            <w:rPr>
              <w:color w:val="auto"/>
              <w:highlight w:val="none"/>
            </w:rPr>
            <w:fldChar w:fldCharType="separate"/>
          </w:r>
          <w:r>
            <w:rPr>
              <w:color w:val="auto"/>
              <w:highlight w:val="none"/>
            </w:rPr>
            <w:t>- 36 -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"_Toc7285" </w:instrText>
          </w:r>
          <w:r>
            <w:rPr>
              <w:color w:val="auto"/>
              <w:highlight w:val="none"/>
            </w:rPr>
            <w:fldChar w:fldCharType="separate"/>
          </w:r>
          <w:r>
            <w:rPr>
              <w:rFonts w:asciiTheme="majorEastAsia" w:hAnsiTheme="majorEastAsia" w:eastAsiaTheme="majorEastAsia" w:cstheme="majorEastAsia"/>
              <w:bCs/>
              <w:color w:val="auto"/>
              <w:szCs w:val="32"/>
              <w:highlight w:val="none"/>
            </w:rPr>
            <w:t>第七章 履约验收</w:t>
          </w:r>
          <w:r>
            <w:rPr>
              <w:color w:val="auto"/>
              <w:highlight w:val="none"/>
            </w:rPr>
            <w:tab/>
          </w:r>
          <w:r>
            <w:rPr>
              <w:color w:val="auto"/>
              <w:highlight w:val="none"/>
            </w:rPr>
            <w:fldChar w:fldCharType="begin"/>
          </w:r>
          <w:r>
            <w:rPr>
              <w:color w:val="auto"/>
              <w:highlight w:val="none"/>
            </w:rPr>
            <w:instrText xml:space="preserve"> PAGEREF _Toc7285 \h </w:instrText>
          </w:r>
          <w:r>
            <w:rPr>
              <w:color w:val="auto"/>
              <w:highlight w:val="none"/>
            </w:rPr>
            <w:fldChar w:fldCharType="separate"/>
          </w:r>
          <w:r>
            <w:rPr>
              <w:color w:val="auto"/>
              <w:highlight w:val="none"/>
            </w:rPr>
            <w:t>- 38 -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"_Toc14191" </w:instrText>
          </w:r>
          <w:r>
            <w:rPr>
              <w:color w:val="auto"/>
              <w:highlight w:val="none"/>
            </w:rPr>
            <w:fldChar w:fldCharType="separate"/>
          </w:r>
          <w:r>
            <w:rPr>
              <w:rFonts w:hint="eastAsia" w:asciiTheme="minorEastAsia" w:hAnsiTheme="minorEastAsia" w:eastAsiaTheme="minorEastAsia" w:cstheme="minorEastAsia"/>
              <w:color w:val="auto"/>
              <w:szCs w:val="36"/>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_Toc14191 \h </w:instrText>
          </w:r>
          <w:r>
            <w:rPr>
              <w:color w:val="auto"/>
              <w:highlight w:val="none"/>
            </w:rPr>
            <w:fldChar w:fldCharType="separate"/>
          </w:r>
          <w:r>
            <w:rPr>
              <w:color w:val="auto"/>
              <w:highlight w:val="none"/>
            </w:rPr>
            <w:t>- 39 -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"_Toc7574" </w:instrText>
          </w:r>
          <w:r>
            <w:rPr>
              <w:color w:val="auto"/>
              <w:highlight w:val="none"/>
            </w:rPr>
            <w:fldChar w:fldCharType="separate"/>
          </w:r>
          <w:r>
            <w:rPr>
              <w:rFonts w:hint="eastAsia" w:ascii="宋体" w:hAnsi="宋体" w:cs="宋体"/>
              <w:color w:val="auto"/>
              <w:szCs w:val="36"/>
              <w:highlight w:val="none"/>
            </w:rPr>
            <w:t>河南省政府采购合同融资政策告知函</w:t>
          </w:r>
          <w:r>
            <w:rPr>
              <w:color w:val="auto"/>
              <w:highlight w:val="none"/>
            </w:rPr>
            <w:tab/>
          </w:r>
          <w:r>
            <w:rPr>
              <w:color w:val="auto"/>
              <w:highlight w:val="none"/>
            </w:rPr>
            <w:fldChar w:fldCharType="begin"/>
          </w:r>
          <w:r>
            <w:rPr>
              <w:color w:val="auto"/>
              <w:highlight w:val="none"/>
            </w:rPr>
            <w:instrText xml:space="preserve"> PAGEREF _Toc7574 \h </w:instrText>
          </w:r>
          <w:r>
            <w:rPr>
              <w:color w:val="auto"/>
              <w:highlight w:val="none"/>
            </w:rPr>
            <w:fldChar w:fldCharType="separate"/>
          </w:r>
          <w:r>
            <w:rPr>
              <w:color w:val="auto"/>
              <w:highlight w:val="none"/>
            </w:rPr>
            <w:t>- 55 -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"_Toc30161" </w:instrText>
          </w:r>
          <w:r>
            <w:rPr>
              <w:color w:val="auto"/>
              <w:highlight w:val="none"/>
            </w:rPr>
            <w:fldChar w:fldCharType="separate"/>
          </w:r>
          <w:r>
            <w:rPr>
              <w:rFonts w:hint="eastAsia" w:ascii="宋体" w:hAnsi="宋体"/>
              <w:color w:val="auto"/>
              <w:szCs w:val="32"/>
              <w:highlight w:val="none"/>
            </w:rPr>
            <w:t>焦作市政府采购合同融资合作企业</w:t>
          </w:r>
          <w:r>
            <w:rPr>
              <w:color w:val="auto"/>
              <w:highlight w:val="none"/>
            </w:rPr>
            <w:tab/>
          </w:r>
          <w:r>
            <w:rPr>
              <w:color w:val="auto"/>
              <w:highlight w:val="none"/>
            </w:rPr>
            <w:fldChar w:fldCharType="begin"/>
          </w:r>
          <w:r>
            <w:rPr>
              <w:color w:val="auto"/>
              <w:highlight w:val="none"/>
            </w:rPr>
            <w:instrText xml:space="preserve"> PAGEREF _Toc30161 \h </w:instrText>
          </w:r>
          <w:r>
            <w:rPr>
              <w:color w:val="auto"/>
              <w:highlight w:val="none"/>
            </w:rPr>
            <w:fldChar w:fldCharType="separate"/>
          </w:r>
          <w:r>
            <w:rPr>
              <w:color w:val="auto"/>
              <w:highlight w:val="none"/>
            </w:rPr>
            <w:t>- 55 -</w:t>
          </w:r>
          <w:r>
            <w:rPr>
              <w:color w:val="auto"/>
              <w:highlight w:val="none"/>
            </w:rPr>
            <w:fldChar w:fldCharType="end"/>
          </w:r>
          <w:r>
            <w:rPr>
              <w:color w:val="auto"/>
              <w:highlight w:val="none"/>
            </w:rPr>
            <w:fldChar w:fldCharType="end"/>
          </w:r>
        </w:p>
        <w:p>
          <w:pPr>
            <w:pStyle w:val="23"/>
            <w:spacing w:line="360" w:lineRule="auto"/>
            <w:ind w:right="-63" w:rightChars="-30"/>
            <w:outlineLvl w:val="9"/>
            <w:rPr>
              <w:rFonts w:asciiTheme="minorEastAsia" w:hAnsiTheme="minorEastAsia" w:eastAsiaTheme="minorEastAsia" w:cstheme="minorEastAsia"/>
              <w:bCs/>
              <w:color w:val="auto"/>
              <w:highlight w:val="none"/>
            </w:rPr>
          </w:pPr>
          <w:r>
            <w:rPr>
              <w:rFonts w:asciiTheme="minorEastAsia" w:hAnsiTheme="minorEastAsia" w:eastAsiaTheme="minorEastAsia" w:cstheme="minorEastAsia"/>
              <w:bCs/>
              <w:color w:val="auto"/>
              <w:highlight w:val="none"/>
            </w:rPr>
            <w:fldChar w:fldCharType="end"/>
          </w:r>
        </w:p>
      </w:sdtContent>
    </w:sdt>
    <w:p>
      <w:pPr>
        <w:pStyle w:val="23"/>
        <w:spacing w:line="360" w:lineRule="auto"/>
        <w:ind w:right="-63" w:rightChars="-30"/>
        <w:outlineLvl w:val="9"/>
        <w:rPr>
          <w:rFonts w:asciiTheme="minorEastAsia" w:hAnsiTheme="minorEastAsia" w:eastAsiaTheme="minorEastAsia" w:cstheme="minorEastAsia"/>
          <w:bCs/>
          <w:color w:val="auto"/>
          <w:highlight w:val="none"/>
        </w:rPr>
      </w:pPr>
    </w:p>
    <w:p>
      <w:pPr>
        <w:pStyle w:val="23"/>
        <w:spacing w:line="360" w:lineRule="auto"/>
        <w:ind w:right="-63" w:rightChars="-30"/>
        <w:outlineLvl w:val="9"/>
        <w:rPr>
          <w:rFonts w:asciiTheme="minorEastAsia" w:hAnsiTheme="minorEastAsia" w:eastAsiaTheme="minorEastAsia" w:cstheme="minorEastAsia"/>
          <w:bCs/>
          <w:color w:val="auto"/>
          <w:highlight w:val="none"/>
        </w:rPr>
      </w:pPr>
    </w:p>
    <w:p>
      <w:pPr>
        <w:pStyle w:val="5"/>
        <w:rPr>
          <w:rFonts w:ascii="宋体" w:hAnsi="宋体" w:cs="宋体"/>
          <w:color w:val="auto"/>
          <w:highlight w:val="none"/>
        </w:rPr>
      </w:pPr>
      <w:bookmarkStart w:id="2" w:name="_Toc2173"/>
      <w:bookmarkStart w:id="3" w:name="_Toc27735"/>
      <w:r>
        <w:rPr>
          <w:rFonts w:hint="eastAsia"/>
          <w:color w:val="auto"/>
          <w:highlight w:val="none"/>
        </w:rPr>
        <w:t>重要事项提示</w:t>
      </w:r>
      <w:bookmarkEnd w:id="2"/>
      <w:bookmarkEnd w:id="3"/>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各潜在供应商：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以下环节是此采购文件中需要重点关注的环节，对以下内容的忽视，可能是影响贵公司中标的重要因素。请在编制相应文件参与政府采购时高度重视。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1、采购文件应通过焦作市公共资源交易中心网站会员系统进行网上下载；未使用</w:t>
      </w:r>
      <w:r>
        <w:rPr>
          <w:rFonts w:hint="eastAsia" w:ascii="宋体" w:hAnsi="宋体"/>
          <w:bCs/>
          <w:color w:val="auto"/>
          <w:kern w:val="0"/>
          <w:sz w:val="24"/>
          <w:highlight w:val="none"/>
        </w:rPr>
        <w:t>企业 CA 密匙</w:t>
      </w:r>
      <w:r>
        <w:rPr>
          <w:rFonts w:hint="eastAsia" w:ascii="宋体" w:hAnsi="宋体" w:cs="宋体"/>
          <w:color w:val="auto"/>
          <w:sz w:val="24"/>
          <w:highlight w:val="none"/>
        </w:rPr>
        <w:t>登录焦作市公共资源交易中心网站会员系统进行网上下载文件的，投标视为无效；</w:t>
      </w:r>
    </w:p>
    <w:p>
      <w:pPr>
        <w:pStyle w:val="22"/>
        <w:spacing w:before="0" w:beforeAutospacing="0" w:after="0" w:afterAutospacing="0" w:line="360" w:lineRule="auto"/>
        <w:ind w:firstLine="480" w:firstLineChars="200"/>
        <w:jc w:val="both"/>
        <w:rPr>
          <w:color w:val="auto"/>
          <w:highlight w:val="none"/>
        </w:rPr>
      </w:pPr>
      <w:r>
        <w:rPr>
          <w:rFonts w:hint="eastAsia"/>
          <w:color w:val="auto"/>
          <w:highlight w:val="none"/>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pPr>
        <w:pStyle w:val="22"/>
        <w:spacing w:before="0" w:beforeAutospacing="0" w:after="0" w:afterAutospacing="0" w:line="360" w:lineRule="auto"/>
        <w:ind w:firstLine="480" w:firstLineChars="200"/>
        <w:jc w:val="both"/>
        <w:rPr>
          <w:color w:val="auto"/>
          <w:highlight w:val="none"/>
        </w:rPr>
      </w:pPr>
      <w:r>
        <w:rPr>
          <w:rFonts w:hint="eastAsia"/>
          <w:color w:val="auto"/>
          <w:highlight w:val="none"/>
        </w:rPr>
        <w:t>供应商无需到现场参加开标会议，无需到达现场提交原件资料。供应商应当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pStyle w:val="22"/>
        <w:numPr>
          <w:ilvl w:val="0"/>
          <w:numId w:val="2"/>
        </w:numPr>
        <w:spacing w:before="0" w:beforeAutospacing="0" w:after="0" w:afterAutospacing="0" w:line="360" w:lineRule="auto"/>
        <w:ind w:firstLine="480" w:firstLineChars="200"/>
        <w:jc w:val="both"/>
        <w:rPr>
          <w:color w:val="auto"/>
          <w:highlight w:val="none"/>
        </w:rPr>
      </w:pPr>
      <w:r>
        <w:rPr>
          <w:rFonts w:hint="eastAsia"/>
          <w:color w:val="auto"/>
          <w:highlight w:val="none"/>
        </w:rPr>
        <w:t>有下列情形之一的，将作为自动放弃、无效投标或废标处理：</w:t>
      </w:r>
    </w:p>
    <w:p>
      <w:pPr>
        <w:pStyle w:val="22"/>
        <w:numPr>
          <w:ilvl w:val="0"/>
          <w:numId w:val="3"/>
        </w:numPr>
        <w:spacing w:before="0" w:beforeAutospacing="0" w:after="0" w:afterAutospacing="0" w:line="360" w:lineRule="auto"/>
        <w:ind w:left="-60" w:leftChars="0" w:firstLine="480" w:firstLineChars="0"/>
        <w:jc w:val="both"/>
        <w:rPr>
          <w:rFonts w:cs="Times New Roman"/>
          <w:color w:val="auto"/>
          <w:highlight w:val="none"/>
        </w:rPr>
      </w:pPr>
      <w:r>
        <w:rPr>
          <w:rFonts w:hint="eastAsia" w:cs="Times New Roman"/>
          <w:color w:val="auto"/>
          <w:highlight w:val="none"/>
        </w:rPr>
        <w:t>在投标文件中对同一采购项目有两个或多个报价，且未声明哪一个有效的；</w:t>
      </w:r>
    </w:p>
    <w:p>
      <w:pPr>
        <w:pStyle w:val="22"/>
        <w:numPr>
          <w:ilvl w:val="0"/>
          <w:numId w:val="3"/>
        </w:numPr>
        <w:spacing w:before="0" w:beforeAutospacing="0" w:after="0" w:afterAutospacing="0" w:line="360" w:lineRule="auto"/>
        <w:ind w:left="-60" w:leftChars="0" w:firstLine="480" w:firstLineChars="0"/>
        <w:jc w:val="both"/>
        <w:rPr>
          <w:rFonts w:cs="Times New Roman"/>
          <w:color w:val="auto"/>
          <w:highlight w:val="none"/>
        </w:rPr>
      </w:pPr>
      <w:r>
        <w:rPr>
          <w:rFonts w:hint="eastAsia" w:cs="Times New Roman"/>
          <w:color w:val="auto"/>
          <w:highlight w:val="none"/>
          <w:lang w:eastAsia="zh-CN"/>
        </w:rPr>
        <w:t>投标文件</w:t>
      </w:r>
      <w:r>
        <w:rPr>
          <w:rFonts w:hint="eastAsia" w:cs="Times New Roman"/>
          <w:color w:val="auto"/>
          <w:highlight w:val="none"/>
        </w:rPr>
        <w:t>的关键内容（采购报价、</w:t>
      </w:r>
      <w:r>
        <w:rPr>
          <w:rFonts w:hint="eastAsia"/>
          <w:color w:val="auto"/>
          <w:highlight w:val="none"/>
          <w:lang w:eastAsia="zh-CN"/>
        </w:rPr>
        <w:t>供货及安装期</w:t>
      </w:r>
      <w:r>
        <w:rPr>
          <w:rFonts w:hint="eastAsia" w:cs="Times New Roman"/>
          <w:color w:val="auto"/>
          <w:highlight w:val="none"/>
        </w:rPr>
        <w:t>、质量标准、品牌、型号等）未填写或填写字迹模糊无法辨认的；</w:t>
      </w:r>
    </w:p>
    <w:p>
      <w:pPr>
        <w:pStyle w:val="22"/>
        <w:numPr>
          <w:ilvl w:val="0"/>
          <w:numId w:val="3"/>
        </w:numPr>
        <w:spacing w:before="0" w:beforeAutospacing="0" w:after="0" w:afterAutospacing="0" w:line="360" w:lineRule="auto"/>
        <w:ind w:left="-60" w:leftChars="0" w:firstLine="480" w:firstLineChars="0"/>
        <w:jc w:val="both"/>
        <w:rPr>
          <w:rFonts w:cs="Times New Roman"/>
          <w:color w:val="auto"/>
          <w:highlight w:val="none"/>
        </w:rPr>
      </w:pPr>
      <w:r>
        <w:rPr>
          <w:rFonts w:hint="eastAsia" w:cs="Times New Roman"/>
          <w:color w:val="auto"/>
          <w:highlight w:val="none"/>
        </w:rPr>
        <w:t>采购报价超出控制价的；</w:t>
      </w:r>
    </w:p>
    <w:p>
      <w:pPr>
        <w:pStyle w:val="22"/>
        <w:numPr>
          <w:ilvl w:val="0"/>
          <w:numId w:val="3"/>
        </w:numPr>
        <w:spacing w:before="0" w:beforeAutospacing="0" w:after="0" w:afterAutospacing="0" w:line="360" w:lineRule="auto"/>
        <w:ind w:left="-60" w:leftChars="0" w:firstLine="480" w:firstLineChars="0"/>
        <w:jc w:val="both"/>
        <w:rPr>
          <w:rFonts w:cs="Times New Roman"/>
          <w:color w:val="auto"/>
          <w:highlight w:val="none"/>
        </w:rPr>
      </w:pPr>
      <w:r>
        <w:rPr>
          <w:rFonts w:hint="eastAsia" w:cs="Times New Roman"/>
          <w:color w:val="auto"/>
          <w:highlight w:val="none"/>
        </w:rPr>
        <w:t>投标文件中附有采购人不能接受的条件的；</w:t>
      </w:r>
    </w:p>
    <w:p>
      <w:pPr>
        <w:pStyle w:val="22"/>
        <w:numPr>
          <w:ilvl w:val="0"/>
          <w:numId w:val="3"/>
        </w:numPr>
        <w:spacing w:before="0" w:beforeAutospacing="0" w:after="0" w:afterAutospacing="0" w:line="360" w:lineRule="auto"/>
        <w:ind w:left="-60" w:leftChars="0" w:firstLine="480" w:firstLineChars="0"/>
        <w:jc w:val="both"/>
        <w:rPr>
          <w:color w:val="auto"/>
          <w:highlight w:val="none"/>
        </w:rPr>
      </w:pPr>
      <w:r>
        <w:rPr>
          <w:rFonts w:hint="eastAsia" w:cs="Times New Roman"/>
          <w:color w:val="auto"/>
          <w:highlight w:val="none"/>
        </w:rPr>
        <w:t>投标文件有明显不符合采购文件其它要求和有关法律法规的；</w:t>
      </w:r>
    </w:p>
    <w:p>
      <w:pPr>
        <w:pStyle w:val="22"/>
        <w:numPr>
          <w:ilvl w:val="0"/>
          <w:numId w:val="3"/>
        </w:numPr>
        <w:spacing w:before="0" w:beforeAutospacing="0" w:after="0" w:afterAutospacing="0" w:line="360" w:lineRule="auto"/>
        <w:ind w:left="-60" w:leftChars="0" w:firstLine="480" w:firstLineChars="0"/>
        <w:jc w:val="both"/>
        <w:rPr>
          <w:color w:val="auto"/>
          <w:highlight w:val="none"/>
        </w:rPr>
      </w:pPr>
      <w:r>
        <w:rPr>
          <w:rFonts w:hint="eastAsia" w:cs="Times New Roman"/>
          <w:color w:val="auto"/>
          <w:highlight w:val="none"/>
        </w:rPr>
        <w:t>如因两个或两个以上供应商使用同一台计算或同一个IP上传</w:t>
      </w:r>
      <w:r>
        <w:rPr>
          <w:rFonts w:hint="eastAsia" w:cs="Times New Roman"/>
          <w:color w:val="auto"/>
          <w:highlight w:val="none"/>
          <w:lang w:eastAsia="zh-CN"/>
        </w:rPr>
        <w:t>投标文件</w:t>
      </w:r>
      <w:r>
        <w:rPr>
          <w:rFonts w:hint="eastAsia" w:cs="Times New Roman"/>
          <w:color w:val="auto"/>
          <w:highlight w:val="none"/>
        </w:rPr>
        <w:t>，被不见面开标系统提示为“投标文件制作机器码一致”的，则视其投标无效。若经查实有《政府采购法实施条例》第七十四条情形，监管部门将依法做出处理；</w:t>
      </w:r>
    </w:p>
    <w:p>
      <w:pPr>
        <w:pStyle w:val="22"/>
        <w:numPr>
          <w:ilvl w:val="0"/>
          <w:numId w:val="3"/>
        </w:numPr>
        <w:spacing w:before="0" w:beforeAutospacing="0" w:after="0" w:afterAutospacing="0" w:line="360" w:lineRule="auto"/>
        <w:ind w:left="-60" w:leftChars="0" w:firstLine="480" w:firstLineChars="0"/>
        <w:jc w:val="both"/>
        <w:rPr>
          <w:color w:val="auto"/>
          <w:highlight w:val="none"/>
        </w:rPr>
      </w:pPr>
      <w:r>
        <w:rPr>
          <w:rFonts w:hint="eastAsia"/>
          <w:color w:val="auto"/>
          <w:highlight w:val="none"/>
        </w:rPr>
        <w:t>在评标过程中，评标委员会发现投标单位的报价明显低于其它采购报价，使得其采购报价可能低于其个别成本的，应当要求该供应商作出书面说明并提供相关证明材料。供应商不能合理说明或者不能提供相关证明材料的，由评标委员会认定该供应商以低于成本报价竞标的。</w:t>
      </w: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b/>
          <w:bCs/>
          <w:color w:val="auto"/>
          <w:sz w:val="32"/>
          <w:szCs w:val="32"/>
          <w:highlight w:val="none"/>
        </w:rPr>
      </w:pPr>
    </w:p>
    <w:p>
      <w:pPr>
        <w:jc w:val="center"/>
        <w:rPr>
          <w:rFonts w:asciiTheme="minorEastAsia" w:hAnsiTheme="minorEastAsia" w:eastAsiaTheme="minorEastAsia" w:cstheme="minorEastAsia"/>
          <w:b/>
          <w:bCs/>
          <w:color w:val="auto"/>
          <w:sz w:val="32"/>
          <w:szCs w:val="32"/>
          <w:highlight w:val="none"/>
        </w:rPr>
      </w:pPr>
    </w:p>
    <w:p>
      <w:pPr>
        <w:pStyle w:val="23"/>
        <w:spacing w:line="360" w:lineRule="auto"/>
        <w:ind w:right="-63" w:rightChars="-30"/>
        <w:jc w:val="both"/>
        <w:outlineLvl w:val="9"/>
        <w:rPr>
          <w:rFonts w:asciiTheme="minorEastAsia" w:hAnsiTheme="minorEastAsia" w:eastAsiaTheme="minorEastAsia" w:cstheme="minorEastAsia"/>
          <w:bCs/>
          <w:color w:val="auto"/>
          <w:highlight w:val="none"/>
        </w:rPr>
      </w:pPr>
    </w:p>
    <w:p>
      <w:pPr>
        <w:rPr>
          <w:rFonts w:asciiTheme="minorEastAsia" w:hAnsiTheme="minorEastAsia" w:eastAsiaTheme="minorEastAsia" w:cstheme="minorEastAsia"/>
          <w:bCs/>
          <w:color w:val="auto"/>
          <w:highlight w:val="none"/>
        </w:rPr>
      </w:pPr>
    </w:p>
    <w:p>
      <w:pPr>
        <w:pStyle w:val="13"/>
        <w:rPr>
          <w:rFonts w:asciiTheme="minorEastAsia" w:hAnsiTheme="minorEastAsia" w:eastAsiaTheme="minorEastAsia" w:cstheme="minorEastAsia"/>
          <w:bCs/>
          <w:color w:val="auto"/>
          <w:highlight w:val="none"/>
        </w:rPr>
      </w:pPr>
    </w:p>
    <w:p>
      <w:pPr>
        <w:pStyle w:val="14"/>
        <w:rPr>
          <w:rFonts w:asciiTheme="minorEastAsia" w:hAnsiTheme="minorEastAsia" w:eastAsiaTheme="minorEastAsia" w:cstheme="minorEastAsia"/>
          <w:bCs/>
          <w:color w:val="auto"/>
          <w:highlight w:val="none"/>
        </w:rPr>
      </w:pPr>
    </w:p>
    <w:p>
      <w:pPr>
        <w:pStyle w:val="13"/>
        <w:rPr>
          <w:rFonts w:asciiTheme="minorEastAsia" w:hAnsiTheme="minorEastAsia" w:eastAsiaTheme="minorEastAsia" w:cstheme="minorEastAsia"/>
          <w:bCs/>
          <w:color w:val="auto"/>
          <w:highlight w:val="none"/>
        </w:rPr>
      </w:pPr>
    </w:p>
    <w:p>
      <w:pPr>
        <w:pStyle w:val="13"/>
        <w:rPr>
          <w:color w:val="auto"/>
          <w:highlight w:val="none"/>
        </w:rPr>
      </w:pPr>
    </w:p>
    <w:p>
      <w:pPr>
        <w:pStyle w:val="14"/>
        <w:rPr>
          <w:color w:val="auto"/>
          <w:highlight w:val="none"/>
        </w:rPr>
      </w:pPr>
    </w:p>
    <w:p>
      <w:pPr>
        <w:pStyle w:val="14"/>
        <w:rPr>
          <w:color w:val="auto"/>
          <w:highlight w:val="none"/>
        </w:rPr>
      </w:pPr>
    </w:p>
    <w:p>
      <w:pPr>
        <w:pStyle w:val="13"/>
        <w:rPr>
          <w:color w:val="auto"/>
          <w:highlight w:val="none"/>
        </w:rPr>
      </w:pPr>
    </w:p>
    <w:p>
      <w:pPr>
        <w:pStyle w:val="31"/>
        <w:rPr>
          <w:color w:val="auto"/>
        </w:rPr>
      </w:pPr>
    </w:p>
    <w:p>
      <w:pPr>
        <w:pStyle w:val="23"/>
        <w:numPr>
          <w:ilvl w:val="0"/>
          <w:numId w:val="4"/>
        </w:numPr>
        <w:spacing w:line="360" w:lineRule="auto"/>
        <w:ind w:right="-63" w:rightChars="-30"/>
        <w:rPr>
          <w:color w:val="auto"/>
          <w:highlight w:val="none"/>
        </w:rPr>
      </w:pPr>
      <w:r>
        <w:rPr>
          <w:rFonts w:hint="eastAsia" w:asciiTheme="minorEastAsia" w:hAnsiTheme="minorEastAsia" w:eastAsiaTheme="minorEastAsia" w:cstheme="minorEastAsia"/>
          <w:bCs/>
          <w:color w:val="auto"/>
          <w:highlight w:val="none"/>
        </w:rPr>
        <w:t xml:space="preserve">  </w:t>
      </w:r>
      <w:bookmarkStart w:id="4" w:name="_Toc23622"/>
      <w:bookmarkStart w:id="5" w:name="_Toc24751"/>
      <w:r>
        <w:rPr>
          <w:rFonts w:hint="eastAsia" w:asciiTheme="minorEastAsia" w:hAnsiTheme="minorEastAsia" w:eastAsiaTheme="minorEastAsia" w:cstheme="minorEastAsia"/>
          <w:bCs/>
          <w:color w:val="auto"/>
          <w:highlight w:val="none"/>
        </w:rPr>
        <w:t>招标公告</w:t>
      </w:r>
      <w:bookmarkEnd w:id="4"/>
      <w:bookmarkEnd w:id="5"/>
    </w:p>
    <w:p>
      <w:pPr>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eastAsia="zh-CN"/>
        </w:rPr>
        <w:t>青天河景区游船采购项目</w:t>
      </w:r>
      <w:r>
        <w:rPr>
          <w:rFonts w:hint="eastAsia" w:asciiTheme="minorEastAsia" w:hAnsiTheme="minorEastAsia" w:eastAsiaTheme="minorEastAsia" w:cstheme="minorEastAsia"/>
          <w:b/>
          <w:bCs/>
          <w:color w:val="auto"/>
          <w:sz w:val="32"/>
          <w:szCs w:val="32"/>
          <w:highlight w:val="none"/>
        </w:rPr>
        <w:t>招标公告（不见面开标）</w:t>
      </w:r>
    </w:p>
    <w:tbl>
      <w:tblPr>
        <w:tblStyle w:val="26"/>
        <w:tblW w:w="9620"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9620" w:type="dxa"/>
          </w:tcPr>
          <w:p>
            <w:pPr>
              <w:pStyle w:val="2"/>
              <w:spacing w:line="440" w:lineRule="exact"/>
              <w:ind w:firstLine="480"/>
              <w:rPr>
                <w:rFonts w:ascii="宋体" w:hAnsi="宋体" w:cs="宋体"/>
                <w:color w:val="auto"/>
                <w:sz w:val="24"/>
                <w:highlight w:val="none"/>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青天河景区游船采购项目</w:t>
            </w:r>
            <w:r>
              <w:rPr>
                <w:rFonts w:hint="eastAsia" w:ascii="宋体" w:hAnsi="宋体" w:cs="宋体"/>
                <w:color w:val="auto"/>
                <w:sz w:val="24"/>
                <w:highlight w:val="none"/>
              </w:rPr>
              <w:t>的潜在供应商应在焦作市公共资源交易中心网站获取采购文件，并于</w:t>
            </w:r>
            <w:r>
              <w:rPr>
                <w:rFonts w:hint="eastAsia" w:ascii="宋体" w:hAnsi="宋体" w:cs="宋体"/>
                <w:color w:val="auto"/>
                <w:kern w:val="0"/>
                <w:sz w:val="24"/>
                <w:highlight w:val="none"/>
                <w:u w:val="single"/>
              </w:rPr>
              <w:t>2023年</w:t>
            </w:r>
            <w:r>
              <w:rPr>
                <w:rFonts w:hint="eastAsia" w:ascii="宋体" w:hAnsi="宋体" w:cs="宋体"/>
                <w:color w:val="auto"/>
                <w:kern w:val="0"/>
                <w:sz w:val="24"/>
                <w:highlight w:val="none"/>
                <w:u w:val="single"/>
                <w:lang w:val="en-US" w:eastAsia="zh-CN"/>
              </w:rPr>
              <w:t>10</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18</w:t>
            </w:r>
            <w:r>
              <w:rPr>
                <w:rFonts w:hint="eastAsia" w:ascii="宋体" w:hAnsi="宋体" w:cs="宋体"/>
                <w:color w:val="auto"/>
                <w:kern w:val="0"/>
                <w:sz w:val="24"/>
                <w:highlight w:val="none"/>
                <w:u w:val="single"/>
              </w:rPr>
              <w:t>日上午9点00分</w:t>
            </w:r>
            <w:r>
              <w:rPr>
                <w:rFonts w:hint="eastAsia" w:ascii="宋体" w:hAnsi="宋体" w:cs="宋体"/>
                <w:color w:val="auto"/>
                <w:sz w:val="24"/>
                <w:highlight w:val="none"/>
                <w:u w:val="single"/>
              </w:rPr>
              <w:t>（北京时间）</w:t>
            </w:r>
            <w:r>
              <w:rPr>
                <w:rFonts w:hint="eastAsia" w:ascii="宋体" w:hAnsi="宋体" w:cs="宋体"/>
                <w:color w:val="auto"/>
                <w:sz w:val="24"/>
                <w:highlight w:val="none"/>
              </w:rPr>
              <w:t>前提交</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w:t>
            </w:r>
          </w:p>
        </w:tc>
      </w:tr>
    </w:tbl>
    <w:p>
      <w:pPr>
        <w:pStyle w:val="43"/>
        <w:spacing w:line="440" w:lineRule="exact"/>
        <w:ind w:left="0" w:firstLine="0"/>
        <w:rPr>
          <w:b/>
          <w:bCs/>
          <w:color w:val="auto"/>
          <w:sz w:val="24"/>
          <w:highlight w:val="none"/>
          <w:lang w:eastAsia="zh-CN"/>
        </w:rPr>
      </w:pPr>
      <w:r>
        <w:rPr>
          <w:rFonts w:hint="eastAsia"/>
          <w:b/>
          <w:bCs/>
          <w:color w:val="auto"/>
          <w:sz w:val="24"/>
          <w:highlight w:val="none"/>
          <w:lang w:eastAsia="zh-CN"/>
        </w:rPr>
        <w:t>一、项目基本情况</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项目名称：</w:t>
      </w:r>
      <w:r>
        <w:rPr>
          <w:rFonts w:hint="eastAsia" w:ascii="宋体" w:hAnsi="宋体" w:cs="宋体"/>
          <w:color w:val="auto"/>
          <w:sz w:val="24"/>
          <w:highlight w:val="none"/>
          <w:shd w:val="clear" w:color="auto" w:fill="FFFFFF"/>
          <w:lang w:eastAsia="zh-CN"/>
        </w:rPr>
        <w:t>青天河景区游船采购项目</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采购方式：公开招标</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资金来源：</w:t>
      </w:r>
      <w:r>
        <w:rPr>
          <w:rFonts w:hint="eastAsia" w:ascii="宋体" w:hAnsi="宋体" w:eastAsia="宋体" w:cs="宋体"/>
          <w:color w:val="auto"/>
          <w:sz w:val="24"/>
          <w:highlight w:val="none"/>
          <w:shd w:val="clear" w:color="auto" w:fill="FFFFFF"/>
          <w:lang w:val="en-US" w:eastAsia="zh-CN"/>
        </w:rPr>
        <w:t>自筹</w:t>
      </w:r>
      <w:r>
        <w:rPr>
          <w:rFonts w:hint="eastAsia" w:ascii="宋体" w:hAnsi="宋体" w:eastAsia="宋体" w:cs="宋体"/>
          <w:color w:val="auto"/>
          <w:sz w:val="24"/>
          <w:highlight w:val="none"/>
          <w:shd w:val="clear" w:color="auto" w:fill="FFFFFF"/>
          <w:lang w:eastAsia="zh-CN"/>
        </w:rPr>
        <w:t>资金</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eastAsia="zh-CN"/>
        </w:rPr>
        <w:t>预算金额</w:t>
      </w:r>
      <w:r>
        <w:rPr>
          <w:rFonts w:hint="eastAsia" w:ascii="宋体" w:hAnsi="宋体" w:eastAsia="宋体" w:cs="宋体"/>
          <w:color w:val="auto"/>
          <w:sz w:val="24"/>
          <w:highlight w:val="none"/>
          <w:shd w:val="clear" w:color="auto" w:fill="FFFFFF"/>
          <w:lang w:val="en-US" w:eastAsia="zh-CN"/>
        </w:rPr>
        <w:t>：</w:t>
      </w:r>
      <w:r>
        <w:rPr>
          <w:rFonts w:hint="eastAsia" w:ascii="宋体" w:hAnsi="宋体" w:cs="宋体"/>
          <w:color w:val="auto"/>
          <w:sz w:val="24"/>
          <w:highlight w:val="none"/>
          <w:shd w:val="clear" w:color="auto" w:fill="FFFFFF"/>
          <w:lang w:val="en-US" w:eastAsia="zh-CN"/>
        </w:rPr>
        <w:t>2100万</w:t>
      </w:r>
      <w:r>
        <w:rPr>
          <w:rFonts w:hint="eastAsia" w:ascii="宋体" w:hAnsi="宋体" w:eastAsia="宋体" w:cs="宋体"/>
          <w:color w:val="auto"/>
          <w:sz w:val="24"/>
          <w:highlight w:val="none"/>
          <w:shd w:val="clear" w:color="auto" w:fill="FFFFFF"/>
          <w:lang w:val="en-US" w:eastAsia="zh-CN"/>
        </w:rPr>
        <w:t>元。</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采购内容</w:t>
      </w:r>
      <w:r>
        <w:rPr>
          <w:rFonts w:hint="eastAsia" w:ascii="宋体" w:hAnsi="宋体" w:eastAsia="宋体" w:cs="宋体"/>
          <w:color w:val="auto"/>
          <w:sz w:val="24"/>
          <w:highlight w:val="none"/>
          <w:shd w:val="clear" w:color="auto" w:fill="FFFFFF"/>
          <w:lang w:val="en-US" w:eastAsia="zh-CN"/>
        </w:rPr>
        <w:t>：购置4艘游船，长约29m，宽约7m</w:t>
      </w:r>
      <w:r>
        <w:rPr>
          <w:rFonts w:hint="eastAsia" w:ascii="宋体" w:hAnsi="宋体" w:cs="宋体"/>
          <w:color w:val="auto"/>
          <w:sz w:val="24"/>
          <w:highlight w:val="none"/>
          <w:shd w:val="clear" w:color="auto" w:fill="FFFFFF"/>
          <w:lang w:val="en-US" w:eastAsia="zh-CN"/>
        </w:rPr>
        <w:t>，</w:t>
      </w:r>
      <w:r>
        <w:rPr>
          <w:rFonts w:hint="eastAsia" w:ascii="宋体" w:hAnsi="宋体" w:eastAsia="宋体" w:cs="宋体"/>
          <w:color w:val="auto"/>
          <w:sz w:val="24"/>
          <w:highlight w:val="none"/>
          <w:shd w:val="clear" w:color="auto" w:fill="FFFFFF"/>
          <w:lang w:val="en-US" w:eastAsia="zh-CN"/>
        </w:rPr>
        <w:t>每艘可容纳200名游客（详见招标文件）。</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供货及安装期</w:t>
      </w:r>
      <w:r>
        <w:rPr>
          <w:rFonts w:hint="eastAsia" w:ascii="宋体" w:hAnsi="宋体" w:eastAsia="宋体" w:cs="宋体"/>
          <w:color w:val="auto"/>
          <w:sz w:val="24"/>
          <w:highlight w:val="none"/>
          <w:shd w:val="clear" w:color="auto" w:fill="FFFFFF"/>
          <w:lang w:eastAsia="zh-CN"/>
        </w:rPr>
        <w:t>：合同签订后30</w:t>
      </w:r>
      <w:r>
        <w:rPr>
          <w:rFonts w:hint="eastAsia" w:ascii="宋体" w:hAnsi="宋体" w:cs="宋体"/>
          <w:color w:val="auto"/>
          <w:sz w:val="24"/>
          <w:highlight w:val="none"/>
          <w:shd w:val="clear" w:color="auto" w:fill="FFFFFF"/>
          <w:lang w:val="en-US" w:eastAsia="zh-CN"/>
        </w:rPr>
        <w:t>0</w:t>
      </w:r>
      <w:r>
        <w:rPr>
          <w:rFonts w:hint="eastAsia" w:ascii="宋体" w:hAnsi="宋体" w:eastAsia="宋体" w:cs="宋体"/>
          <w:color w:val="auto"/>
          <w:sz w:val="24"/>
          <w:highlight w:val="none"/>
          <w:shd w:val="clear" w:color="auto" w:fill="FFFFFF"/>
          <w:lang w:eastAsia="zh-CN"/>
        </w:rPr>
        <w:t>日历天</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质量标准：合格，符合国家及行业规范标准。</w:t>
      </w:r>
    </w:p>
    <w:p>
      <w:pPr>
        <w:adjustRightInd w:val="0"/>
        <w:snapToGrid w:val="0"/>
        <w:spacing w:line="440" w:lineRule="exact"/>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1、符合《中华人民共和国政府采购法》第二十二条之规定；</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3、本项目的特定资格要求：</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3.1</w:t>
      </w:r>
      <w:r>
        <w:rPr>
          <w:rFonts w:hint="eastAsia" w:ascii="宋体" w:hAnsi="宋体" w:cs="宋体"/>
          <w:color w:val="auto"/>
          <w:sz w:val="24"/>
          <w:highlight w:val="none"/>
          <w:shd w:val="clear" w:color="auto" w:fill="FFFFFF"/>
          <w:lang w:val="en-US" w:eastAsia="zh-CN"/>
        </w:rPr>
        <w:t>.</w:t>
      </w:r>
      <w:r>
        <w:rPr>
          <w:rFonts w:hint="eastAsia" w:ascii="宋体" w:hAnsi="宋体" w:eastAsia="宋体" w:cs="宋体"/>
          <w:color w:val="auto"/>
          <w:sz w:val="24"/>
          <w:highlight w:val="none"/>
          <w:shd w:val="clear" w:color="auto" w:fill="FFFFFF"/>
        </w:rPr>
        <w:t>投标人须具有有效的营业执照，须提供制造商钢质船舶建造能力评估报告或相关等效资格证明，并具有实施完成本项目的经营实力和完善的售后服务体系；</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3.2</w:t>
      </w:r>
      <w:r>
        <w:rPr>
          <w:rFonts w:hint="eastAsia" w:ascii="宋体" w:hAnsi="宋体" w:cs="宋体"/>
          <w:color w:val="auto"/>
          <w:sz w:val="24"/>
          <w:highlight w:val="none"/>
          <w:shd w:val="clear" w:color="auto" w:fill="FFFFFF"/>
          <w:lang w:val="en-US" w:eastAsia="zh-CN"/>
        </w:rPr>
        <w:t>.</w:t>
      </w:r>
      <w:r>
        <w:rPr>
          <w:rFonts w:hint="eastAsia" w:ascii="宋体" w:hAnsi="宋体" w:eastAsia="宋体" w:cs="宋体"/>
          <w:color w:val="auto"/>
          <w:sz w:val="24"/>
          <w:highlight w:val="none"/>
          <w:shd w:val="clear" w:color="auto" w:fill="FFFFFF"/>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 </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3.3</w:t>
      </w:r>
      <w:r>
        <w:rPr>
          <w:rFonts w:hint="eastAsia" w:ascii="宋体" w:hAnsi="宋体" w:cs="宋体"/>
          <w:color w:val="auto"/>
          <w:sz w:val="24"/>
          <w:highlight w:val="none"/>
          <w:shd w:val="clear" w:color="auto" w:fill="FFFFFF"/>
          <w:lang w:val="en-US" w:eastAsia="zh-CN"/>
        </w:rPr>
        <w:t>.</w:t>
      </w:r>
      <w:r>
        <w:rPr>
          <w:rFonts w:hint="eastAsia" w:ascii="宋体" w:hAnsi="宋体" w:eastAsia="宋体" w:cs="宋体"/>
          <w:color w:val="auto"/>
          <w:sz w:val="24"/>
          <w:highlight w:val="none"/>
          <w:shd w:val="clear" w:color="auto" w:fill="FFFFFF"/>
        </w:rPr>
        <w:t>本项目不接受联合体投标；</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3.4</w:t>
      </w:r>
      <w:r>
        <w:rPr>
          <w:rFonts w:hint="eastAsia" w:ascii="宋体" w:hAnsi="宋体" w:cs="宋体"/>
          <w:color w:val="auto"/>
          <w:sz w:val="24"/>
          <w:highlight w:val="none"/>
          <w:shd w:val="clear" w:color="auto" w:fill="FFFFFF"/>
          <w:lang w:val="en-US" w:eastAsia="zh-CN"/>
        </w:rPr>
        <w:t>.</w:t>
      </w:r>
      <w:r>
        <w:rPr>
          <w:rFonts w:hint="eastAsia" w:ascii="宋体" w:hAnsi="宋体" w:eastAsia="宋体" w:cs="宋体"/>
          <w:color w:val="auto"/>
          <w:sz w:val="24"/>
          <w:highlight w:val="none"/>
          <w:shd w:val="clear" w:color="auto" w:fill="FFFFFF"/>
        </w:rPr>
        <w:t>资格审查方式：资格后审。</w:t>
      </w:r>
    </w:p>
    <w:p>
      <w:pPr>
        <w:widowControl/>
        <w:spacing w:line="44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三、获取采购文件</w:t>
      </w:r>
    </w:p>
    <w:p>
      <w:pPr>
        <w:pStyle w:val="22"/>
        <w:shd w:val="clear" w:color="auto" w:fill="FFFFFF"/>
        <w:autoSpaceDE w:val="0"/>
        <w:spacing w:before="0" w:beforeAutospacing="0" w:after="0" w:afterAutospacing="0" w:line="440" w:lineRule="atLeast"/>
        <w:ind w:firstLine="480" w:firstLineChars="200"/>
        <w:rPr>
          <w:color w:val="auto"/>
          <w:highlight w:val="none"/>
        </w:rPr>
      </w:pPr>
      <w:r>
        <w:rPr>
          <w:rFonts w:hint="eastAsia"/>
          <w:color w:val="auto"/>
          <w:highlight w:val="none"/>
        </w:rPr>
        <w:t>1.时间：</w:t>
      </w:r>
      <w:r>
        <w:rPr>
          <w:rFonts w:hint="eastAsia"/>
          <w:color w:val="auto"/>
          <w:highlight w:val="none"/>
          <w:u w:val="single"/>
        </w:rPr>
        <w:t>2023年</w:t>
      </w:r>
      <w:r>
        <w:rPr>
          <w:rFonts w:hint="eastAsia"/>
          <w:color w:val="auto"/>
          <w:highlight w:val="none"/>
          <w:u w:val="single"/>
          <w:lang w:val="en-US" w:eastAsia="zh-CN"/>
        </w:rPr>
        <w:t>9</w:t>
      </w:r>
      <w:r>
        <w:rPr>
          <w:rFonts w:hint="eastAsia"/>
          <w:color w:val="auto"/>
          <w:highlight w:val="none"/>
          <w:u w:val="single"/>
        </w:rPr>
        <w:t>月</w:t>
      </w:r>
      <w:r>
        <w:rPr>
          <w:rFonts w:hint="eastAsia"/>
          <w:color w:val="auto"/>
          <w:highlight w:val="none"/>
          <w:u w:val="single"/>
          <w:lang w:val="en-US" w:eastAsia="zh-CN"/>
        </w:rPr>
        <w:t>28</w:t>
      </w:r>
      <w:r>
        <w:rPr>
          <w:rFonts w:hint="eastAsia"/>
          <w:color w:val="auto"/>
          <w:highlight w:val="none"/>
          <w:u w:val="single"/>
        </w:rPr>
        <w:t>日至2023年</w:t>
      </w:r>
      <w:r>
        <w:rPr>
          <w:rFonts w:hint="eastAsia"/>
          <w:color w:val="auto"/>
          <w:highlight w:val="none"/>
          <w:u w:val="single"/>
          <w:lang w:val="en-US" w:eastAsia="zh-CN"/>
        </w:rPr>
        <w:t>10</w:t>
      </w:r>
      <w:r>
        <w:rPr>
          <w:rFonts w:hint="eastAsia"/>
          <w:color w:val="auto"/>
          <w:highlight w:val="none"/>
          <w:u w:val="single"/>
        </w:rPr>
        <w:t>月</w:t>
      </w:r>
      <w:r>
        <w:rPr>
          <w:rFonts w:hint="eastAsia"/>
          <w:color w:val="auto"/>
          <w:highlight w:val="none"/>
          <w:u w:val="single"/>
          <w:lang w:val="en-US" w:eastAsia="zh-CN"/>
        </w:rPr>
        <w:t>10</w:t>
      </w:r>
      <w:r>
        <w:rPr>
          <w:rFonts w:hint="eastAsia"/>
          <w:color w:val="auto"/>
          <w:highlight w:val="none"/>
          <w:u w:val="single"/>
        </w:rPr>
        <w:t>日（北京时间）</w:t>
      </w:r>
      <w:r>
        <w:rPr>
          <w:rFonts w:hint="eastAsia"/>
          <w:color w:val="auto"/>
          <w:highlight w:val="none"/>
        </w:rPr>
        <w:t>；</w:t>
      </w:r>
    </w:p>
    <w:p>
      <w:pPr>
        <w:pStyle w:val="22"/>
        <w:shd w:val="clear" w:color="auto" w:fill="FFFFFF"/>
        <w:autoSpaceDE w:val="0"/>
        <w:spacing w:before="0" w:beforeAutospacing="0" w:after="0" w:afterAutospacing="0" w:line="440" w:lineRule="atLeast"/>
        <w:ind w:firstLine="480" w:firstLineChars="200"/>
        <w:rPr>
          <w:rFonts w:hint="eastAsia" w:ascii="宋体" w:hAnsi="宋体" w:eastAsia="宋体" w:cs="宋体"/>
          <w:color w:val="auto"/>
          <w:highlight w:val="none"/>
          <w:shd w:val="clear" w:color="auto" w:fill="FFFFFF"/>
        </w:rPr>
      </w:pPr>
      <w:r>
        <w:rPr>
          <w:rFonts w:hint="eastAsia"/>
          <w:color w:val="auto"/>
          <w:highlight w:val="none"/>
        </w:rPr>
        <w:t>2.</w:t>
      </w:r>
      <w:r>
        <w:rPr>
          <w:rFonts w:hint="eastAsia" w:ascii="宋体" w:hAnsi="宋体" w:eastAsia="宋体" w:cs="宋体"/>
          <w:color w:val="auto"/>
          <w:highlight w:val="none"/>
          <w:shd w:val="clear" w:color="auto" w:fill="FFFFFF"/>
        </w:rPr>
        <w:t>地点：凡有意参加投标者，请登录焦作市公共资源交易中心网站会员系统进行网上下载。（联系电话：0391-3568920，QQ：232850725、361532918（群）；</w:t>
      </w:r>
    </w:p>
    <w:p>
      <w:pPr>
        <w:pStyle w:val="22"/>
        <w:shd w:val="clear" w:color="auto" w:fill="FFFFFF"/>
        <w:autoSpaceDE w:val="0"/>
        <w:spacing w:before="0" w:beforeAutospacing="0" w:after="0" w:afterAutospacing="0" w:line="440" w:lineRule="atLeas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3.方式：网上下载；</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四、</w:t>
      </w:r>
      <w:r>
        <w:rPr>
          <w:rFonts w:hint="eastAsia" w:ascii="宋体" w:hAnsi="宋体" w:cs="宋体"/>
          <w:b/>
          <w:color w:val="auto"/>
          <w:kern w:val="0"/>
          <w:sz w:val="24"/>
          <w:highlight w:val="none"/>
          <w:lang w:eastAsia="zh-CN"/>
        </w:rPr>
        <w:t>投标文件</w:t>
      </w:r>
      <w:r>
        <w:rPr>
          <w:rFonts w:hint="eastAsia" w:ascii="宋体" w:hAnsi="宋体" w:cs="宋体"/>
          <w:b/>
          <w:color w:val="auto"/>
          <w:kern w:val="0"/>
          <w:sz w:val="24"/>
          <w:highlight w:val="none"/>
        </w:rPr>
        <w:t>提交</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1.截止时间：</w:t>
      </w:r>
      <w:r>
        <w:rPr>
          <w:rFonts w:hint="eastAsia" w:ascii="宋体" w:hAnsi="宋体" w:cs="宋体"/>
          <w:color w:val="auto"/>
          <w:kern w:val="0"/>
          <w:sz w:val="24"/>
          <w:highlight w:val="none"/>
          <w:u w:val="single"/>
        </w:rPr>
        <w:t>2023年</w:t>
      </w:r>
      <w:r>
        <w:rPr>
          <w:rFonts w:hint="eastAsia" w:ascii="宋体" w:hAnsi="宋体" w:cs="宋体"/>
          <w:color w:val="auto"/>
          <w:kern w:val="0"/>
          <w:sz w:val="24"/>
          <w:highlight w:val="none"/>
          <w:u w:val="single"/>
          <w:lang w:val="en-US" w:eastAsia="zh-CN"/>
        </w:rPr>
        <w:t>10</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18</w:t>
      </w:r>
      <w:r>
        <w:rPr>
          <w:rFonts w:hint="eastAsia" w:ascii="宋体" w:hAnsi="宋体" w:cs="宋体"/>
          <w:color w:val="auto"/>
          <w:kern w:val="0"/>
          <w:sz w:val="24"/>
          <w:highlight w:val="none"/>
          <w:u w:val="single"/>
        </w:rPr>
        <w:t>日上午9点00分（北京时间）</w:t>
      </w:r>
      <w:r>
        <w:rPr>
          <w:rFonts w:hint="eastAsia" w:ascii="宋体" w:hAnsi="宋体" w:cs="宋体"/>
          <w:color w:val="auto"/>
          <w:kern w:val="0"/>
          <w:sz w:val="24"/>
          <w:highlight w:val="none"/>
        </w:rPr>
        <w:t>；</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五、开启</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1.时间：</w:t>
      </w:r>
      <w:r>
        <w:rPr>
          <w:rFonts w:hint="eastAsia" w:ascii="宋体" w:hAnsi="宋体" w:cs="宋体"/>
          <w:color w:val="auto"/>
          <w:kern w:val="0"/>
          <w:sz w:val="24"/>
          <w:highlight w:val="none"/>
          <w:u w:val="single"/>
        </w:rPr>
        <w:t>2023年</w:t>
      </w:r>
      <w:r>
        <w:rPr>
          <w:rFonts w:hint="eastAsia" w:ascii="宋体" w:hAnsi="宋体" w:cs="宋体"/>
          <w:color w:val="auto"/>
          <w:kern w:val="0"/>
          <w:sz w:val="24"/>
          <w:highlight w:val="none"/>
          <w:u w:val="single"/>
          <w:lang w:val="en-US" w:eastAsia="zh-CN"/>
        </w:rPr>
        <w:t>10</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18</w:t>
      </w:r>
      <w:r>
        <w:rPr>
          <w:rFonts w:hint="eastAsia" w:ascii="宋体" w:hAnsi="宋体" w:cs="宋体"/>
          <w:color w:val="auto"/>
          <w:kern w:val="0"/>
          <w:sz w:val="24"/>
          <w:highlight w:val="none"/>
          <w:u w:val="single"/>
        </w:rPr>
        <w:t>日上午9点00分（北京时间）</w:t>
      </w:r>
      <w:r>
        <w:rPr>
          <w:rFonts w:hint="eastAsia" w:ascii="宋体" w:hAnsi="宋体" w:cs="宋体"/>
          <w:color w:val="auto"/>
          <w:kern w:val="0"/>
          <w:sz w:val="24"/>
          <w:highlight w:val="none"/>
        </w:rPr>
        <w:t>；</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六、公告期限</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自本公告发布之</w:t>
      </w:r>
      <w:r>
        <w:rPr>
          <w:rFonts w:hint="eastAsia" w:ascii="宋体" w:hAnsi="宋体" w:cs="宋体"/>
          <w:color w:val="auto"/>
          <w:kern w:val="0"/>
          <w:sz w:val="24"/>
          <w:highlight w:val="none"/>
        </w:rPr>
        <w:t>日起5个工作日。</w:t>
      </w:r>
    </w:p>
    <w:p>
      <w:pPr>
        <w:adjustRightInd w:val="0"/>
        <w:snapToGrid w:val="0"/>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其他补充事宜</w:t>
      </w:r>
    </w:p>
    <w:p>
      <w:pPr>
        <w:pStyle w:val="22"/>
        <w:shd w:val="clear" w:color="auto" w:fill="FFFFFF"/>
        <w:autoSpaceDE w:val="0"/>
        <w:spacing w:before="0" w:beforeAutospacing="0" w:after="0" w:afterAutospacing="0" w:line="440" w:lineRule="exact"/>
        <w:ind w:firstLine="480" w:firstLineChars="200"/>
        <w:rPr>
          <w:rFonts w:hint="eastAsia" w:ascii="宋体" w:hAnsi="宋体" w:eastAsia="宋体" w:cs="宋体"/>
          <w:bCs/>
          <w:color w:val="auto"/>
          <w:highlight w:val="none"/>
        </w:rPr>
      </w:pPr>
      <w:r>
        <w:rPr>
          <w:rFonts w:hint="eastAsia"/>
          <w:color w:val="auto"/>
          <w:highlight w:val="none"/>
          <w:shd w:val="clear" w:color="auto" w:fill="FFFFFF"/>
        </w:rPr>
        <w:t>1.本次本公告在</w:t>
      </w:r>
      <w:r>
        <w:rPr>
          <w:rFonts w:hint="eastAsia"/>
          <w:bCs/>
          <w:color w:val="auto"/>
          <w:highlight w:val="none"/>
        </w:rPr>
        <w:t>中国招标投标公共服务平</w:t>
      </w:r>
      <w:r>
        <w:rPr>
          <w:rFonts w:hint="eastAsia" w:ascii="宋体" w:hAnsi="宋体" w:eastAsia="宋体" w:cs="宋体"/>
          <w:bCs/>
          <w:color w:val="auto"/>
          <w:highlight w:val="none"/>
        </w:rPr>
        <w:t>台、焦作市公共资源交易中心网、博爱县人民政府网、博爱县公共资源交易中心网http://www.baxggzyjyzx.cn/上发布。</w:t>
      </w:r>
    </w:p>
    <w:p>
      <w:pPr>
        <w:pStyle w:val="22"/>
        <w:spacing w:beforeAutospacing="0" w:afterAutospacing="0" w:line="440" w:lineRule="exact"/>
        <w:ind w:firstLine="468" w:firstLineChars="195"/>
        <w:jc w:val="both"/>
        <w:rPr>
          <w:color w:val="auto"/>
          <w:highlight w:val="none"/>
        </w:rPr>
      </w:pPr>
      <w:r>
        <w:rPr>
          <w:rFonts w:hint="eastAsia"/>
          <w:color w:val="auto"/>
          <w:highlight w:val="none"/>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pPr>
        <w:pStyle w:val="22"/>
        <w:spacing w:beforeAutospacing="0" w:afterAutospacing="0" w:line="440" w:lineRule="exact"/>
        <w:ind w:firstLine="468" w:firstLineChars="195"/>
        <w:jc w:val="both"/>
        <w:rPr>
          <w:color w:val="auto"/>
          <w:highlight w:val="none"/>
        </w:rPr>
      </w:pPr>
      <w:r>
        <w:rPr>
          <w:rFonts w:hint="eastAsia"/>
          <w:color w:val="auto"/>
          <w:highlight w:val="none"/>
        </w:rPr>
        <w:t>3.供应商无需到现场参加开标会议，无需到达现场提交原件资料。供应商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adjustRightInd w:val="0"/>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采购人：焦作青天河旅游发展有限公司</w:t>
      </w:r>
    </w:p>
    <w:p>
      <w:pPr>
        <w:adjustRightInd w:val="0"/>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地址：河南省焦作市博爱县寨豁乡青天河景区办公楼1楼 </w:t>
      </w:r>
    </w:p>
    <w:p>
      <w:pPr>
        <w:adjustRightInd w:val="0"/>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联系人：王先生</w:t>
      </w:r>
    </w:p>
    <w:p>
      <w:pPr>
        <w:adjustRightInd w:val="0"/>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电话：15139113212</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河南四方建设管理有限公司</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Theme="minorEastAsia" w:hAnsiTheme="minorEastAsia" w:eastAsiaTheme="minorEastAsia" w:cstheme="minorEastAsia"/>
          <w:color w:val="auto"/>
          <w:sz w:val="24"/>
          <w:szCs w:val="24"/>
          <w:highlight w:val="none"/>
          <w:lang w:val="en-US" w:eastAsia="zh-CN" w:bidi="ar-SA"/>
        </w:rPr>
        <w:t>郑州市航海东路1394号富田财富广场1号楼1515</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张</w:t>
      </w:r>
      <w:r>
        <w:rPr>
          <w:rFonts w:hint="eastAsia" w:ascii="宋体" w:hAnsi="宋体" w:cs="宋体"/>
          <w:color w:val="auto"/>
          <w:sz w:val="24"/>
          <w:highlight w:val="none"/>
        </w:rPr>
        <w:t>先生</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w:t>
      </w:r>
      <w:r>
        <w:rPr>
          <w:rFonts w:hint="eastAsia" w:asciiTheme="minorEastAsia" w:hAnsiTheme="minorEastAsia" w:eastAsiaTheme="minorEastAsia" w:cstheme="minorEastAsia"/>
          <w:color w:val="auto"/>
          <w:sz w:val="24"/>
          <w:szCs w:val="24"/>
          <w:highlight w:val="none"/>
          <w:lang w:val="en-US" w:eastAsia="zh-CN" w:bidi="ar-SA"/>
        </w:rPr>
        <w:t>18695863052</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r>
        <w:rPr>
          <w:rFonts w:hint="eastAsia" w:ascii="宋体" w:hAnsi="宋体" w:cs="宋体"/>
          <w:color w:val="auto"/>
          <w:sz w:val="24"/>
          <w:highlight w:val="none"/>
        </w:rPr>
        <w:tab/>
      </w:r>
    </w:p>
    <w:p>
      <w:pPr>
        <w:adjustRightInd w:val="0"/>
        <w:snapToGrid w:val="0"/>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kern w:val="0"/>
          <w:sz w:val="24"/>
          <w:highlight w:val="none"/>
        </w:rPr>
        <w:t>王先生</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电话：</w:t>
      </w:r>
      <w:r>
        <w:rPr>
          <w:rFonts w:hint="eastAsia" w:ascii="宋体" w:hAnsi="宋体" w:cs="宋体"/>
          <w:color w:val="auto"/>
          <w:kern w:val="0"/>
          <w:sz w:val="24"/>
          <w:highlight w:val="none"/>
        </w:rPr>
        <w:t>15139113212</w:t>
      </w: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shd w:val="clear" w:color="auto" w:fill="FFFFFF"/>
          <w:lang w:eastAsia="zh-CN"/>
        </w:rPr>
        <w:t>焦作青天河旅游发展有限公司</w:t>
      </w:r>
    </w:p>
    <w:p>
      <w:pPr>
        <w:widowControl/>
        <w:spacing w:line="440" w:lineRule="exact"/>
        <w:ind w:left="2940" w:firstLine="42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rPr>
        <w:t>采购代理机构：</w:t>
      </w:r>
      <w:r>
        <w:rPr>
          <w:rFonts w:hint="eastAsia" w:ascii="宋体" w:hAnsi="宋体" w:cs="宋体"/>
          <w:color w:val="auto"/>
          <w:sz w:val="24"/>
          <w:highlight w:val="none"/>
          <w:shd w:val="clear" w:color="auto" w:fill="FFFFFF"/>
          <w:lang w:eastAsia="zh-CN"/>
        </w:rPr>
        <w:t>河南四方建设管理有限公司</w:t>
      </w:r>
    </w:p>
    <w:p>
      <w:pPr>
        <w:widowControl/>
        <w:spacing w:line="440" w:lineRule="exact"/>
        <w:ind w:left="2940" w:firstLine="420"/>
        <w:rPr>
          <w:color w:val="auto"/>
          <w:highlight w:val="none"/>
        </w:rPr>
      </w:pPr>
      <w:r>
        <w:rPr>
          <w:rFonts w:hint="eastAsia" w:ascii="宋体" w:hAnsi="宋体" w:cs="宋体"/>
          <w:color w:val="auto"/>
          <w:sz w:val="24"/>
          <w:highlight w:val="none"/>
        </w:rPr>
        <w:t>发布时间：2023年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w:t>
      </w:r>
    </w:p>
    <w:p>
      <w:pPr>
        <w:rPr>
          <w:color w:val="auto"/>
          <w:highlight w:val="none"/>
        </w:rPr>
      </w:pPr>
    </w:p>
    <w:p>
      <w:pPr>
        <w:widowControl/>
        <w:spacing w:line="440" w:lineRule="exact"/>
        <w:ind w:left="2940" w:firstLine="420"/>
        <w:rPr>
          <w:color w:val="auto"/>
          <w:highlight w:val="none"/>
        </w:rPr>
      </w:pPr>
    </w:p>
    <w:p>
      <w:pPr>
        <w:rPr>
          <w:color w:val="auto"/>
          <w:highlight w:val="none"/>
        </w:rPr>
      </w:pPr>
    </w:p>
    <w:p>
      <w:pPr>
        <w:rPr>
          <w:color w:val="auto"/>
          <w:highlight w:val="none"/>
        </w:rPr>
      </w:pPr>
    </w:p>
    <w:p>
      <w:pPr>
        <w:pStyle w:val="13"/>
        <w:rPr>
          <w:rFonts w:asciiTheme="minorEastAsia" w:hAnsiTheme="minorEastAsia" w:eastAsiaTheme="minorEastAsia" w:cstheme="minorEastAsia"/>
          <w:b/>
          <w:color w:val="auto"/>
          <w:sz w:val="32"/>
          <w:szCs w:val="32"/>
          <w:highlight w:val="none"/>
        </w:rPr>
      </w:pPr>
    </w:p>
    <w:p>
      <w:pPr>
        <w:pStyle w:val="14"/>
        <w:rPr>
          <w:rFonts w:asciiTheme="minorEastAsia" w:hAnsiTheme="minorEastAsia" w:eastAsiaTheme="minorEastAsia" w:cstheme="minorEastAsia"/>
          <w:b/>
          <w:color w:val="auto"/>
          <w:sz w:val="32"/>
          <w:szCs w:val="32"/>
          <w:highlight w:val="none"/>
        </w:rPr>
      </w:pPr>
    </w:p>
    <w:p>
      <w:pPr>
        <w:pStyle w:val="13"/>
        <w:rPr>
          <w:rFonts w:asciiTheme="minorEastAsia" w:hAnsiTheme="minorEastAsia" w:eastAsiaTheme="minorEastAsia" w:cstheme="minorEastAsia"/>
          <w:b/>
          <w:color w:val="auto"/>
          <w:sz w:val="32"/>
          <w:szCs w:val="32"/>
          <w:highlight w:val="none"/>
        </w:rPr>
      </w:pPr>
    </w:p>
    <w:p>
      <w:pPr>
        <w:pStyle w:val="39"/>
        <w:rPr>
          <w:color w:val="auto"/>
          <w:highlight w:val="none"/>
        </w:rPr>
      </w:pPr>
    </w:p>
    <w:p>
      <w:pPr>
        <w:pStyle w:val="13"/>
        <w:rPr>
          <w:color w:val="auto"/>
          <w:highlight w:val="none"/>
        </w:rPr>
      </w:pPr>
    </w:p>
    <w:p>
      <w:pPr>
        <w:pStyle w:val="14"/>
        <w:rPr>
          <w:color w:val="auto"/>
          <w:highlight w:val="none"/>
        </w:rPr>
      </w:pPr>
    </w:p>
    <w:p>
      <w:pPr>
        <w:pStyle w:val="13"/>
        <w:rPr>
          <w:color w:val="auto"/>
          <w:highlight w:val="none"/>
        </w:rPr>
      </w:pP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bookmarkStart w:id="6" w:name="_Toc21974"/>
      <w:bookmarkStart w:id="7" w:name="_Toc27816"/>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第二章  供应商须知</w:t>
      </w:r>
      <w:bookmarkEnd w:id="6"/>
      <w:bookmarkEnd w:id="7"/>
    </w:p>
    <w:bookmarkEnd w:id="0"/>
    <w:p>
      <w:pPr>
        <w:pStyle w:val="23"/>
        <w:spacing w:before="0" w:after="0" w:line="360" w:lineRule="auto"/>
        <w:ind w:right="-23" w:rightChars="-11"/>
        <w:outlineLvl w:val="1"/>
        <w:rPr>
          <w:rFonts w:asciiTheme="minorEastAsia" w:hAnsiTheme="minorEastAsia" w:eastAsiaTheme="minorEastAsia" w:cstheme="minorEastAsia"/>
          <w:color w:val="auto"/>
          <w:sz w:val="30"/>
          <w:szCs w:val="30"/>
          <w:highlight w:val="none"/>
        </w:rPr>
      </w:pPr>
      <w:bookmarkStart w:id="8" w:name="_Toc32497"/>
      <w:bookmarkStart w:id="9" w:name="_Toc403122490"/>
      <w:bookmarkStart w:id="10" w:name="_Toc31932"/>
      <w:bookmarkStart w:id="11" w:name="_Toc14655"/>
      <w:bookmarkStart w:id="12" w:name="_Toc9161"/>
      <w:bookmarkStart w:id="13" w:name="_Toc426369478"/>
      <w:r>
        <w:rPr>
          <w:rFonts w:hint="eastAsia" w:asciiTheme="minorEastAsia" w:hAnsiTheme="minorEastAsia" w:eastAsiaTheme="minorEastAsia" w:cstheme="minorEastAsia"/>
          <w:color w:val="auto"/>
          <w:sz w:val="30"/>
          <w:szCs w:val="30"/>
          <w:highlight w:val="none"/>
        </w:rPr>
        <w:t>供应商须知前附表</w:t>
      </w:r>
      <w:bookmarkEnd w:id="8"/>
      <w:bookmarkEnd w:id="9"/>
      <w:bookmarkEnd w:id="10"/>
      <w:bookmarkEnd w:id="11"/>
      <w:bookmarkEnd w:id="12"/>
      <w:bookmarkEnd w:id="13"/>
    </w:p>
    <w:tbl>
      <w:tblPr>
        <w:tblStyle w:val="26"/>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条款号</w:t>
            </w:r>
          </w:p>
        </w:tc>
        <w:tc>
          <w:tcPr>
            <w:tcW w:w="2318" w:type="dxa"/>
            <w:vAlign w:val="center"/>
          </w:tcPr>
          <w:p>
            <w:pPr>
              <w:pStyle w:val="16"/>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条款名称</w:t>
            </w:r>
          </w:p>
        </w:tc>
        <w:tc>
          <w:tcPr>
            <w:tcW w:w="6112" w:type="dxa"/>
            <w:vAlign w:val="center"/>
          </w:tcPr>
          <w:p>
            <w:pPr>
              <w:pStyle w:val="16"/>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w:t>
            </w:r>
          </w:p>
        </w:tc>
        <w:tc>
          <w:tcPr>
            <w:tcW w:w="6112" w:type="dxa"/>
            <w:vAlign w:val="center"/>
          </w:tcPr>
          <w:p>
            <w:pPr>
              <w:pStyle w:val="16"/>
              <w:spacing w:line="360" w:lineRule="exact"/>
              <w:rPr>
                <w:rFonts w:hint="eastAsia"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rPr>
              <w:t>名称：</w:t>
            </w:r>
            <w:r>
              <w:rPr>
                <w:rFonts w:hint="eastAsia" w:asciiTheme="minorEastAsia" w:hAnsiTheme="minorEastAsia" w:eastAsiaTheme="minorEastAsia" w:cstheme="minorEastAsia"/>
                <w:color w:val="auto"/>
                <w:highlight w:val="none"/>
                <w:lang w:eastAsia="zh-CN"/>
              </w:rPr>
              <w:t>焦作青天河旅游发展有限公司</w:t>
            </w:r>
          </w:p>
          <w:p>
            <w:pPr>
              <w:pStyle w:val="16"/>
              <w:spacing w:line="36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联系</w:t>
            </w:r>
            <w:r>
              <w:rPr>
                <w:rFonts w:hint="eastAsia" w:asciiTheme="minorEastAsia" w:hAnsiTheme="minorEastAsia" w:eastAsiaTheme="minorEastAsia" w:cstheme="minorEastAsia"/>
                <w:color w:val="auto"/>
                <w:highlight w:val="none"/>
                <w:lang w:eastAsia="zh-CN"/>
              </w:rPr>
              <w:t>人：王先生</w:t>
            </w:r>
          </w:p>
          <w:p>
            <w:pPr>
              <w:pStyle w:val="16"/>
              <w:spacing w:line="3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电话：15139113212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1.1.3</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采购代理机构</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rPr>
              <w:t>采购代理机</w:t>
            </w:r>
            <w:r>
              <w:rPr>
                <w:rFonts w:hint="eastAsia" w:asciiTheme="minorEastAsia" w:hAnsiTheme="minorEastAsia" w:eastAsiaTheme="minorEastAsia" w:cstheme="minorEastAsia"/>
                <w:color w:val="auto"/>
                <w:highlight w:val="none"/>
                <w:lang w:eastAsia="zh-CN"/>
              </w:rPr>
              <w:t xml:space="preserve">构：河南四方建设管理有限公司 </w:t>
            </w:r>
          </w:p>
          <w:p>
            <w:pPr>
              <w:pStyle w:val="16"/>
              <w:spacing w:line="3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联系人：</w:t>
            </w:r>
            <w:r>
              <w:rPr>
                <w:rFonts w:hint="eastAsia" w:asciiTheme="minorEastAsia" w:hAnsiTheme="minorEastAsia" w:eastAsiaTheme="minorEastAsia" w:cstheme="minorEastAsia"/>
                <w:color w:val="auto"/>
                <w:highlight w:val="none"/>
                <w:lang w:val="en-US" w:eastAsia="zh-CN"/>
              </w:rPr>
              <w:t>张</w:t>
            </w:r>
            <w:r>
              <w:rPr>
                <w:rFonts w:hint="eastAsia" w:asciiTheme="minorEastAsia" w:hAnsiTheme="minorEastAsia" w:eastAsiaTheme="minorEastAsia" w:cstheme="minorEastAsia"/>
                <w:color w:val="auto"/>
                <w:highlight w:val="none"/>
                <w:lang w:eastAsia="zh-CN"/>
              </w:rPr>
              <w:t>先生</w:t>
            </w:r>
          </w:p>
          <w:p>
            <w:pPr>
              <w:pStyle w:val="16"/>
              <w:spacing w:line="360" w:lineRule="exact"/>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电话：</w:t>
            </w:r>
            <w:r>
              <w:rPr>
                <w:rFonts w:hint="eastAsia" w:asciiTheme="minorEastAsia" w:hAnsiTheme="minorEastAsia" w:eastAsiaTheme="minorEastAsia" w:cstheme="minorEastAsia"/>
                <w:color w:val="auto"/>
                <w:highlight w:val="none"/>
                <w:lang w:val="en-US" w:eastAsia="zh-CN"/>
              </w:rPr>
              <w:t>18695863052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1.1.4</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Cs/>
                <w:iCs/>
                <w:color w:val="auto"/>
                <w:szCs w:val="21"/>
                <w:highlight w:val="none"/>
                <w:lang w:eastAsia="zh-CN"/>
              </w:rPr>
              <w:t>青天河景区游船采购项目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iCs/>
                <w:color w:val="auto"/>
                <w:szCs w:val="21"/>
                <w:highlight w:val="none"/>
              </w:rPr>
              <w:t>项目地点</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1.2.1</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资金来源</w:t>
            </w:r>
          </w:p>
        </w:tc>
        <w:tc>
          <w:tcPr>
            <w:tcW w:w="6112" w:type="dxa"/>
            <w:vAlign w:val="center"/>
          </w:tcPr>
          <w:p>
            <w:pPr>
              <w:pStyle w:val="16"/>
              <w:spacing w:line="360" w:lineRule="exact"/>
              <w:rPr>
                <w:rFonts w:hint="default" w:asciiTheme="minorEastAsia" w:hAnsiTheme="minorEastAsia" w:eastAsiaTheme="minorEastAsia" w:cstheme="minorEastAsia"/>
                <w:i/>
                <w:iCs/>
                <w:color w:val="auto"/>
                <w:highlight w:val="none"/>
              </w:rPr>
            </w:pPr>
            <w:r>
              <w:rPr>
                <w:rFonts w:hint="eastAsia" w:asciiTheme="minorEastAsia" w:hAnsiTheme="minorEastAsia" w:eastAsiaTheme="minorEastAsia" w:cstheme="minorEastAsia"/>
                <w:color w:val="auto"/>
                <w:highlight w:val="none"/>
                <w:lang w:val="en-US" w:eastAsia="zh-CN"/>
              </w:rPr>
              <w:t>自筹</w:t>
            </w:r>
            <w:r>
              <w:rPr>
                <w:rFonts w:asciiTheme="minorEastAsia" w:hAnsiTheme="minorEastAsia" w:eastAsiaTheme="minorEastAsia" w:cstheme="minorEastAsia"/>
                <w:color w:val="auto"/>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1.2.2</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bCs/>
                <w:iCs/>
                <w:color w:val="auto"/>
                <w:highlight w:val="none"/>
              </w:rPr>
              <w:t>资金落实情况</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1.3.1</w:t>
            </w:r>
          </w:p>
        </w:tc>
        <w:tc>
          <w:tcPr>
            <w:tcW w:w="2318" w:type="dxa"/>
            <w:vAlign w:val="center"/>
          </w:tcPr>
          <w:p>
            <w:pPr>
              <w:pStyle w:val="16"/>
              <w:spacing w:line="360" w:lineRule="exact"/>
              <w:ind w:firstLine="420" w:firstLineChars="200"/>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bCs/>
                <w:iCs/>
                <w:color w:val="auto"/>
                <w:highlight w:val="none"/>
              </w:rPr>
              <w:t>采购内容</w:t>
            </w:r>
          </w:p>
        </w:tc>
        <w:tc>
          <w:tcPr>
            <w:tcW w:w="6112" w:type="dxa"/>
          </w:tcPr>
          <w:p>
            <w:pPr>
              <w:pStyle w:val="16"/>
              <w:spacing w:line="36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购置4艘游船，长约29m，宽约7m，每艘可容纳200名游客（详见第五章“采购内容及技术要求”）</w:t>
            </w:r>
            <w:r>
              <w:rPr>
                <w:rFonts w:hint="default" w:asciiTheme="minorEastAsia" w:hAnsiTheme="minorEastAsia" w:eastAsiaTheme="minorEastAsia" w:cstheme="minor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1.3.2</w:t>
            </w:r>
          </w:p>
        </w:tc>
        <w:tc>
          <w:tcPr>
            <w:tcW w:w="2318" w:type="dxa"/>
            <w:vAlign w:val="center"/>
          </w:tcPr>
          <w:p>
            <w:pPr>
              <w:pStyle w:val="16"/>
              <w:spacing w:line="360" w:lineRule="exact"/>
              <w:jc w:val="center"/>
              <w:rPr>
                <w:rFonts w:hint="eastAsia" w:asciiTheme="minorEastAsia" w:hAnsiTheme="minorEastAsia" w:eastAsiaTheme="minorEastAsia" w:cstheme="minorEastAsia"/>
                <w:bCs/>
                <w:iCs/>
                <w:color w:val="auto"/>
                <w:highlight w:val="none"/>
                <w:lang w:eastAsia="zh-CN"/>
              </w:rPr>
            </w:pPr>
            <w:r>
              <w:rPr>
                <w:rFonts w:hint="eastAsia" w:asciiTheme="minorEastAsia" w:hAnsiTheme="minorEastAsia" w:eastAsiaTheme="minorEastAsia" w:cstheme="minorEastAsia"/>
                <w:bCs/>
                <w:iCs/>
                <w:color w:val="auto"/>
                <w:highlight w:val="none"/>
                <w:lang w:eastAsia="zh-CN"/>
              </w:rPr>
              <w:t>供货及安装期</w:t>
            </w:r>
          </w:p>
        </w:tc>
        <w:tc>
          <w:tcPr>
            <w:tcW w:w="6112" w:type="dxa"/>
            <w:vAlign w:val="center"/>
          </w:tcPr>
          <w:p>
            <w:pPr>
              <w:pStyle w:val="16"/>
              <w:spacing w:line="360" w:lineRule="exact"/>
              <w:jc w:val="left"/>
              <w:rPr>
                <w:rFonts w:hint="eastAsia" w:asciiTheme="minorEastAsia" w:hAnsiTheme="minorEastAsia" w:eastAsiaTheme="minorEastAsia" w:cstheme="minorEastAsia"/>
                <w:bCs/>
                <w:iCs/>
                <w:color w:val="auto"/>
                <w:highlight w:val="none"/>
                <w:lang w:eastAsia="zh-CN"/>
              </w:rPr>
            </w:pPr>
            <w:r>
              <w:rPr>
                <w:rFonts w:hint="eastAsia" w:asciiTheme="minorEastAsia" w:hAnsiTheme="minorEastAsia" w:eastAsiaTheme="minorEastAsia" w:cstheme="minorEastAsia"/>
                <w:bCs/>
                <w:iCs/>
                <w:color w:val="auto"/>
                <w:highlight w:val="none"/>
                <w:lang w:eastAsia="zh-CN"/>
              </w:rPr>
              <w:t>合同签订后30</w:t>
            </w:r>
            <w:r>
              <w:rPr>
                <w:rFonts w:hint="eastAsia" w:asciiTheme="minorEastAsia" w:hAnsiTheme="minorEastAsia" w:eastAsiaTheme="minorEastAsia" w:cstheme="minorEastAsia"/>
                <w:bCs/>
                <w:iCs/>
                <w:color w:val="auto"/>
                <w:highlight w:val="none"/>
                <w:lang w:val="en-US" w:eastAsia="zh-CN"/>
              </w:rPr>
              <w:t>0</w:t>
            </w:r>
            <w:r>
              <w:rPr>
                <w:rFonts w:hint="eastAsia" w:asciiTheme="minorEastAsia" w:hAnsiTheme="minorEastAsia" w:eastAsiaTheme="minorEastAsia" w:cstheme="minorEastAsia"/>
                <w:bCs/>
                <w:iCs/>
                <w:color w:val="auto"/>
                <w:highlight w:val="none"/>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1.3.3</w:t>
            </w:r>
          </w:p>
        </w:tc>
        <w:tc>
          <w:tcPr>
            <w:tcW w:w="2318" w:type="dxa"/>
            <w:vAlign w:val="center"/>
          </w:tcPr>
          <w:p>
            <w:pPr>
              <w:pStyle w:val="16"/>
              <w:spacing w:line="360" w:lineRule="exact"/>
              <w:jc w:val="center"/>
              <w:rPr>
                <w:rFonts w:hint="default" w:hAnsi="宋体" w:cs="宋体"/>
                <w:color w:val="auto"/>
                <w:kern w:val="0"/>
                <w:highlight w:val="none"/>
              </w:rPr>
            </w:pPr>
            <w:r>
              <w:rPr>
                <w:rFonts w:hint="default" w:hAnsi="宋体" w:cs="宋体"/>
                <w:color w:val="auto"/>
                <w:kern w:val="0"/>
                <w:highlight w:val="none"/>
              </w:rPr>
              <w:t>质量标准</w:t>
            </w:r>
          </w:p>
        </w:tc>
        <w:tc>
          <w:tcPr>
            <w:tcW w:w="6112" w:type="dxa"/>
            <w:vAlign w:val="center"/>
          </w:tcPr>
          <w:p>
            <w:pPr>
              <w:spacing w:line="400" w:lineRule="exact"/>
              <w:rPr>
                <w:rFonts w:ascii="宋体" w:hAnsi="宋体" w:cs="宋体"/>
                <w:color w:val="auto"/>
                <w:kern w:val="0"/>
                <w:szCs w:val="21"/>
                <w:highlight w:val="none"/>
              </w:rPr>
            </w:pPr>
            <w:r>
              <w:rPr>
                <w:rFonts w:ascii="宋体" w:hAnsi="宋体" w:cs="宋体"/>
                <w:color w:val="auto"/>
                <w:kern w:val="0"/>
                <w:szCs w:val="21"/>
                <w:highlight w:val="none"/>
              </w:rPr>
              <w:t>合格，符合国家</w:t>
            </w:r>
            <w:r>
              <w:rPr>
                <w:rFonts w:hint="eastAsia" w:ascii="宋体" w:hAnsi="宋体" w:cs="宋体"/>
                <w:color w:val="auto"/>
                <w:kern w:val="0"/>
                <w:szCs w:val="21"/>
                <w:highlight w:val="none"/>
              </w:rPr>
              <w:t>及</w:t>
            </w:r>
            <w:r>
              <w:rPr>
                <w:rFonts w:ascii="宋体" w:hAnsi="宋体" w:cs="宋体"/>
                <w:color w:val="auto"/>
                <w:kern w:val="0"/>
                <w:szCs w:val="21"/>
                <w:highlight w:val="none"/>
              </w:rPr>
              <w:t>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1.3.4</w:t>
            </w:r>
          </w:p>
        </w:tc>
        <w:tc>
          <w:tcPr>
            <w:tcW w:w="2318" w:type="dxa"/>
            <w:vAlign w:val="center"/>
          </w:tcPr>
          <w:p>
            <w:pPr>
              <w:pStyle w:val="16"/>
              <w:spacing w:line="360" w:lineRule="exact"/>
              <w:jc w:val="center"/>
              <w:rPr>
                <w:rFonts w:hint="default" w:hAnsi="宋体" w:cs="宋体"/>
                <w:color w:val="auto"/>
                <w:kern w:val="0"/>
                <w:highlight w:val="none"/>
              </w:rPr>
            </w:pPr>
            <w:r>
              <w:rPr>
                <w:rFonts w:hAnsi="宋体" w:cs="宋体"/>
                <w:color w:val="auto"/>
                <w:kern w:val="0"/>
                <w:highlight w:val="none"/>
              </w:rPr>
              <w:t>质保期</w:t>
            </w:r>
          </w:p>
        </w:tc>
        <w:tc>
          <w:tcPr>
            <w:tcW w:w="6112" w:type="dxa"/>
            <w:vAlign w:val="center"/>
          </w:tcPr>
          <w:p>
            <w:pPr>
              <w:spacing w:line="400" w:lineRule="exact"/>
              <w:rPr>
                <w:rFonts w:ascii="宋体" w:hAnsi="宋体" w:cs="宋体"/>
                <w:color w:val="auto"/>
                <w:kern w:val="0"/>
                <w:szCs w:val="21"/>
                <w:highlight w:val="none"/>
              </w:rPr>
            </w:pP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1.4.1</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供应商资质条件</w:t>
            </w:r>
          </w:p>
        </w:tc>
        <w:tc>
          <w:tcPr>
            <w:tcW w:w="6112" w:type="dxa"/>
            <w:vAlign w:val="center"/>
          </w:tcPr>
          <w:p>
            <w:pPr>
              <w:pStyle w:val="16"/>
              <w:spacing w:line="3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1、符合《中华人民共和国政府采购法》第二十二条之规定；</w:t>
            </w:r>
          </w:p>
          <w:p>
            <w:pPr>
              <w:pStyle w:val="16"/>
              <w:spacing w:line="3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2、落实政府采购政策需满足的资格要求：促进中小企业和监狱企业发展扶持政策、政府强制采购节能产品、节能产品及环境标志产品优先采购。</w:t>
            </w:r>
          </w:p>
          <w:p>
            <w:pPr>
              <w:pStyle w:val="16"/>
              <w:spacing w:line="3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3、本项目的特定资格要求：</w:t>
            </w:r>
          </w:p>
          <w:p>
            <w:pPr>
              <w:pStyle w:val="16"/>
              <w:spacing w:line="3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3.1投标人须具有有效的营业执照，须提供制造商钢质船舶建造能力评估报告或相关等效资格证明，并具有实施完成本项目的经营实力和完善的售后服务体系；</w:t>
            </w:r>
          </w:p>
          <w:p>
            <w:pPr>
              <w:pStyle w:val="16"/>
              <w:spacing w:line="3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 </w:t>
            </w:r>
          </w:p>
          <w:p>
            <w:pPr>
              <w:pStyle w:val="16"/>
              <w:spacing w:line="3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3.3本项目不接受联合体投标；</w:t>
            </w:r>
          </w:p>
          <w:p>
            <w:pPr>
              <w:pStyle w:val="16"/>
              <w:spacing w:line="360" w:lineRule="exact"/>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1.4.2</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是否接受联合体</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1.10.1</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投标预备会</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1.10.2</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供应商提出问题的</w:t>
            </w:r>
          </w:p>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截止时间</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1.10.3</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采购人说明澄清的时间</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1.11</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分包</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2.2.1</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供应商要求澄清招标文件的截止时间</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2.2.2</w:t>
            </w:r>
          </w:p>
        </w:tc>
        <w:tc>
          <w:tcPr>
            <w:tcW w:w="2318" w:type="dxa"/>
            <w:vAlign w:val="center"/>
          </w:tcPr>
          <w:p>
            <w:pPr>
              <w:pStyle w:val="16"/>
              <w:spacing w:line="360" w:lineRule="exact"/>
              <w:jc w:val="center"/>
              <w:rPr>
                <w:rFonts w:hint="default" w:asciiTheme="minorEastAsia" w:hAnsiTheme="minorEastAsia" w:eastAsiaTheme="minorEastAsia" w:cstheme="minorEastAsia"/>
                <w:b/>
                <w:bCs/>
                <w:color w:val="auto"/>
                <w:highlight w:val="none"/>
              </w:rPr>
            </w:pPr>
            <w:r>
              <w:rPr>
                <w:rFonts w:asciiTheme="minorEastAsia" w:hAnsiTheme="minorEastAsia" w:eastAsiaTheme="minorEastAsia" w:cstheme="minorEastAsia"/>
                <w:color w:val="auto"/>
                <w:highlight w:val="none"/>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highlight w:val="none"/>
              </w:rPr>
            </w:pPr>
            <w:r>
              <w:rPr>
                <w:rFonts w:hint="eastAsia" w:ascii="宋体" w:hAnsi="宋体" w:cs="宋体"/>
                <w:b/>
                <w:bCs/>
                <w:color w:val="auto"/>
                <w:kern w:val="0"/>
                <w:szCs w:val="21"/>
                <w:highlight w:val="none"/>
              </w:rPr>
              <w:t>2023年</w:t>
            </w:r>
            <w:r>
              <w:rPr>
                <w:rFonts w:hint="eastAsia" w:ascii="宋体" w:hAnsi="宋体" w:cs="宋体"/>
                <w:b/>
                <w:bCs/>
                <w:color w:val="auto"/>
                <w:kern w:val="0"/>
                <w:szCs w:val="21"/>
                <w:highlight w:val="none"/>
                <w:lang w:val="en-US" w:eastAsia="zh-CN"/>
              </w:rPr>
              <w:t>10</w:t>
            </w:r>
            <w:r>
              <w:rPr>
                <w:rFonts w:hint="eastAsia" w:ascii="宋体" w:hAnsi="宋体" w:cs="宋体"/>
                <w:b/>
                <w:bCs/>
                <w:color w:val="auto"/>
                <w:kern w:val="0"/>
                <w:szCs w:val="21"/>
                <w:highlight w:val="none"/>
              </w:rPr>
              <w:t>月</w:t>
            </w:r>
            <w:r>
              <w:rPr>
                <w:rFonts w:hint="eastAsia" w:ascii="宋体" w:hAnsi="宋体" w:cs="宋体"/>
                <w:b/>
                <w:bCs/>
                <w:color w:val="auto"/>
                <w:kern w:val="0"/>
                <w:szCs w:val="21"/>
                <w:highlight w:val="none"/>
                <w:lang w:val="en-US" w:eastAsia="zh-CN"/>
              </w:rPr>
              <w:t>18</w:t>
            </w:r>
            <w:r>
              <w:rPr>
                <w:rFonts w:hint="eastAsia" w:ascii="宋体" w:hAnsi="宋体" w:cs="宋体"/>
                <w:b/>
                <w:bCs/>
                <w:color w:val="auto"/>
                <w:kern w:val="0"/>
                <w:szCs w:val="21"/>
                <w:highlight w:val="none"/>
              </w:rPr>
              <w:t>日上午9点00分（北京时间）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构成投标文件的</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其他材料</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投标有效期</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3.6</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是否允许递交备选</w:t>
            </w:r>
          </w:p>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投标方案</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签字盖章要求</w:t>
            </w:r>
          </w:p>
        </w:tc>
        <w:tc>
          <w:tcPr>
            <w:tcW w:w="6112" w:type="dxa"/>
            <w:shd w:val="clear" w:color="auto" w:fill="auto"/>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 所有要求供应商加盖公章的地方都须加盖供应商单位的 CA 印章。</w:t>
            </w:r>
          </w:p>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2要求法定代表人签字或盖章的，法定代表人在签字或盖章的地方上传手写签名的扫描件或加盖法定代表人CA印章。</w:t>
            </w:r>
          </w:p>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3.7.4</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投标文件份数</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4.2.2</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递交投标文件方式和</w:t>
            </w:r>
          </w:p>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地点</w:t>
            </w:r>
          </w:p>
        </w:tc>
        <w:tc>
          <w:tcPr>
            <w:tcW w:w="6112" w:type="dxa"/>
            <w:vAlign w:val="center"/>
          </w:tcPr>
          <w:p>
            <w:pPr>
              <w:pStyle w:val="16"/>
              <w:spacing w:line="400" w:lineRule="exact"/>
              <w:rPr>
                <w:rFonts w:hint="default" w:hAnsi="宋体"/>
                <w:color w:val="auto"/>
                <w:highlight w:val="none"/>
              </w:rPr>
            </w:pPr>
            <w:r>
              <w:rPr>
                <w:rFonts w:hAnsi="宋体"/>
                <w:color w:val="auto"/>
                <w:highlight w:val="none"/>
              </w:rPr>
              <w:t xml:space="preserve">本项目采用“远程不见面”开标方式，远程开标大厅网址为http://122.112.246.33/BidOpening/bidopeninghallaction/hall/login。供应商不需到开标现场参加开标会议，不需提交原件资料等。 </w:t>
            </w:r>
          </w:p>
          <w:p>
            <w:pPr>
              <w:pStyle w:val="16"/>
              <w:spacing w:line="400" w:lineRule="exact"/>
              <w:rPr>
                <w:rFonts w:hint="default" w:hAnsi="宋体"/>
                <w:color w:val="auto"/>
                <w:highlight w:val="none"/>
              </w:rPr>
            </w:pPr>
            <w:r>
              <w:rPr>
                <w:rFonts w:hAnsi="宋体"/>
                <w:color w:val="auto"/>
                <w:highlight w:val="none"/>
              </w:rPr>
              <w:t>（1）电子投标文件的递交</w:t>
            </w:r>
          </w:p>
          <w:p>
            <w:pPr>
              <w:pStyle w:val="16"/>
              <w:spacing w:line="400" w:lineRule="exact"/>
              <w:rPr>
                <w:rFonts w:hint="default" w:hAnsi="宋体"/>
                <w:color w:val="auto"/>
                <w:highlight w:val="none"/>
              </w:rPr>
            </w:pPr>
            <w:r>
              <w:rPr>
                <w:rFonts w:hAnsi="宋体"/>
                <w:color w:val="auto"/>
                <w:highlight w:val="none"/>
              </w:rPr>
              <w:t>a、各供应商应在投标截止时间前上传加密的电子投标文件</w:t>
            </w:r>
          </w:p>
          <w:p>
            <w:pPr>
              <w:pStyle w:val="16"/>
              <w:spacing w:line="400" w:lineRule="exact"/>
              <w:rPr>
                <w:rFonts w:hint="default" w:hAnsi="宋体"/>
                <w:color w:val="auto"/>
                <w:highlight w:val="none"/>
              </w:rPr>
            </w:pPr>
            <w:r>
              <w:rPr>
                <w:rFonts w:hAnsi="宋体"/>
                <w:color w:val="auto"/>
                <w:highlight w:val="none"/>
              </w:rPr>
              <w:t>（.jztf 格式）到会员系统的指定位置。上传时必须得到电脑“上传成功”的确认回复。请供应商在上传时认真检查上传投标文件是否完整、正确。</w:t>
            </w:r>
          </w:p>
          <w:p>
            <w:pPr>
              <w:pStyle w:val="16"/>
              <w:spacing w:line="400" w:lineRule="exact"/>
              <w:rPr>
                <w:rFonts w:hint="default"/>
                <w:color w:val="auto"/>
                <w:highlight w:val="none"/>
              </w:rPr>
            </w:pPr>
            <w:r>
              <w:rPr>
                <w:rFonts w:hAnsi="宋体"/>
                <w:color w:val="auto"/>
                <w:highlight w:val="none"/>
              </w:rPr>
              <w:t>b、如系统故故障需上传非加密文件时，供应商应按照采购人指示将非加密文件递交给采购人。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4.2.3</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是否退还投标文件</w:t>
            </w:r>
          </w:p>
        </w:tc>
        <w:tc>
          <w:tcPr>
            <w:tcW w:w="6112" w:type="dxa"/>
            <w:vAlign w:val="center"/>
          </w:tcPr>
          <w:p>
            <w:pPr>
              <w:pStyle w:val="16"/>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5.1</w:t>
            </w:r>
          </w:p>
        </w:tc>
        <w:tc>
          <w:tcPr>
            <w:tcW w:w="2318"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开标时间和地点</w:t>
            </w:r>
          </w:p>
        </w:tc>
        <w:tc>
          <w:tcPr>
            <w:tcW w:w="6112" w:type="dxa"/>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开标时间：同投标截止时间。登录远程开标大厅，凭制作投标文件所用的企业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highlight w:val="none"/>
              </w:rPr>
            </w:pPr>
            <w:r>
              <w:rPr>
                <w:rFonts w:hint="eastAsia" w:ascii="宋体" w:hAnsi="宋体"/>
                <w:color w:val="auto"/>
                <w:szCs w:val="21"/>
                <w:highlight w:val="none"/>
              </w:rPr>
              <w:t>现场开标地点：博爱县公共资源交易中心二楼第二开标室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评标委员会的组建</w:t>
            </w:r>
          </w:p>
        </w:tc>
        <w:tc>
          <w:tcPr>
            <w:tcW w:w="6112" w:type="dxa"/>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评标委员会构成：由采购人代表</w:t>
            </w:r>
            <w:r>
              <w:rPr>
                <w:rFonts w:hint="eastAsia" w:ascii="宋体" w:hAnsi="宋体"/>
                <w:color w:val="auto"/>
                <w:szCs w:val="21"/>
                <w:highlight w:val="none"/>
                <w:lang w:val="en-US" w:eastAsia="zh-CN"/>
              </w:rPr>
              <w:t>2人</w:t>
            </w:r>
            <w:r>
              <w:rPr>
                <w:rFonts w:hint="eastAsia" w:ascii="宋体" w:hAnsi="宋体"/>
                <w:color w:val="auto"/>
                <w:szCs w:val="21"/>
                <w:highlight w:val="none"/>
              </w:rPr>
              <w:t>和政府采购专家库中随机抽</w:t>
            </w:r>
          </w:p>
          <w:p>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取的评审专家</w:t>
            </w:r>
            <w:r>
              <w:rPr>
                <w:rFonts w:hint="eastAsia" w:ascii="宋体" w:hAnsi="宋体"/>
                <w:color w:val="auto"/>
                <w:szCs w:val="21"/>
                <w:highlight w:val="none"/>
                <w:lang w:val="en-US" w:eastAsia="zh-CN"/>
              </w:rPr>
              <w:t>5人</w:t>
            </w:r>
            <w:r>
              <w:rPr>
                <w:rFonts w:hint="eastAsia" w:ascii="宋体" w:hAnsi="宋体"/>
                <w:color w:val="auto"/>
                <w:szCs w:val="21"/>
                <w:highlight w:val="none"/>
                <w:lang w:eastAsia="zh-CN"/>
              </w:rPr>
              <w:t>，</w:t>
            </w:r>
            <w:r>
              <w:rPr>
                <w:rFonts w:hint="eastAsia" w:ascii="宋体" w:hAnsi="宋体"/>
                <w:color w:val="auto"/>
                <w:szCs w:val="21"/>
                <w:highlight w:val="none"/>
              </w:rPr>
              <w:t>共</w:t>
            </w:r>
            <w:r>
              <w:rPr>
                <w:rFonts w:hint="eastAsia" w:ascii="宋体" w:hAnsi="宋体"/>
                <w:color w:val="auto"/>
                <w:szCs w:val="21"/>
                <w:highlight w:val="none"/>
                <w:lang w:val="en-US" w:eastAsia="zh-CN"/>
              </w:rPr>
              <w:t>7人</w:t>
            </w:r>
            <w:r>
              <w:rPr>
                <w:rFonts w:hint="eastAsia" w:ascii="宋体" w:hAnsi="宋体"/>
                <w:color w:val="auto"/>
                <w:szCs w:val="21"/>
                <w:highlight w:val="none"/>
              </w:rPr>
              <w:t>组成。</w:t>
            </w:r>
            <w:r>
              <w:rPr>
                <w:rFonts w:hint="eastAsia" w:ascii="宋体" w:hAnsi="宋体"/>
                <w:b/>
                <w:bCs/>
                <w:color w:val="auto"/>
                <w:szCs w:val="21"/>
                <w:highlight w:val="none"/>
              </w:rPr>
              <w:t>注</w:t>
            </w:r>
            <w:r>
              <w:rPr>
                <w:rFonts w:hint="eastAsia" w:ascii="宋体" w:hAnsi="宋体"/>
                <w:color w:val="auto"/>
                <w:szCs w:val="21"/>
                <w:highlight w:val="none"/>
              </w:rPr>
              <w:t>：</w:t>
            </w:r>
            <w:r>
              <w:rPr>
                <w:rFonts w:hint="eastAsia" w:ascii="宋体" w:hAnsi="宋体"/>
                <w:b/>
                <w:bCs/>
                <w:color w:val="auto"/>
                <w:szCs w:val="21"/>
                <w:highlight w:val="none"/>
                <w:u w:val="single"/>
              </w:rPr>
              <w:t>根据《财政部令第87号》第四十五条规定，采购人代表不得担任评标委员会组长。</w:t>
            </w:r>
          </w:p>
          <w:p>
            <w:pPr>
              <w:spacing w:line="360" w:lineRule="exact"/>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112" w:type="dxa"/>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6"/>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w:t>
            </w:r>
          </w:p>
        </w:tc>
        <w:tc>
          <w:tcPr>
            <w:tcW w:w="6112" w:type="dxa"/>
            <w:vAlign w:val="bottom"/>
          </w:tcPr>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1、本项目预算金额</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控制价</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为：</w:t>
            </w:r>
            <w:r>
              <w:rPr>
                <w:rFonts w:hint="eastAsia" w:asciiTheme="minorEastAsia" w:hAnsiTheme="minorEastAsia" w:eastAsiaTheme="minorEastAsia" w:cstheme="minorEastAsia"/>
                <w:color w:val="auto"/>
                <w:szCs w:val="21"/>
                <w:highlight w:val="none"/>
                <w:lang w:val="en-US" w:eastAsia="zh-CN"/>
              </w:rPr>
              <w:t>2100万</w:t>
            </w:r>
            <w:r>
              <w:rPr>
                <w:rFonts w:hint="eastAsia" w:asciiTheme="minorEastAsia" w:hAnsiTheme="minorEastAsia" w:eastAsiaTheme="minorEastAsia" w:cstheme="minorEastAsia"/>
                <w:color w:val="auto"/>
                <w:szCs w:val="21"/>
                <w:highlight w:val="none"/>
              </w:rPr>
              <w:t>元</w:t>
            </w:r>
            <w:r>
              <w:rPr>
                <w:rFonts w:hint="default" w:asciiTheme="minorEastAsia" w:hAnsiTheme="minorEastAsia" w:eastAsiaTheme="minorEastAsia" w:cstheme="minorEastAsia"/>
                <w:color w:val="auto"/>
                <w:szCs w:val="21"/>
                <w:highlight w:val="none"/>
                <w:lang w:val="en-US" w:eastAsia="zh-CN"/>
              </w:rPr>
              <w:t>（含设计、建造、</w:t>
            </w:r>
            <w:r>
              <w:rPr>
                <w:rFonts w:hint="eastAsia" w:asciiTheme="minorEastAsia" w:hAnsiTheme="minorEastAsia" w:eastAsiaTheme="minorEastAsia" w:cstheme="minorEastAsia"/>
                <w:color w:val="auto"/>
                <w:szCs w:val="21"/>
                <w:highlight w:val="none"/>
                <w:lang w:val="en-US" w:eastAsia="zh-CN"/>
              </w:rPr>
              <w:t>运输、</w:t>
            </w:r>
            <w:r>
              <w:rPr>
                <w:rFonts w:hint="default" w:asciiTheme="minorEastAsia" w:hAnsiTheme="minorEastAsia" w:eastAsiaTheme="minorEastAsia" w:cstheme="minorEastAsia"/>
                <w:color w:val="auto"/>
                <w:szCs w:val="21"/>
                <w:highlight w:val="none"/>
                <w:lang w:val="en-US" w:eastAsia="zh-CN"/>
              </w:rPr>
              <w:t>下水、检验、办证</w:t>
            </w:r>
            <w:r>
              <w:rPr>
                <w:rFonts w:hint="eastAsia" w:asciiTheme="minorEastAsia" w:hAnsiTheme="minorEastAsia" w:eastAsiaTheme="minorEastAsia" w:cstheme="minorEastAsia"/>
                <w:color w:val="auto"/>
                <w:szCs w:val="21"/>
                <w:highlight w:val="none"/>
                <w:lang w:val="en-US" w:eastAsia="zh-CN"/>
              </w:rPr>
              <w:t>、税金</w:t>
            </w:r>
            <w:r>
              <w:rPr>
                <w:rFonts w:hint="default" w:asciiTheme="minorEastAsia" w:hAnsiTheme="minorEastAsia" w:eastAsiaTheme="minorEastAsia" w:cstheme="minorEastAsia"/>
                <w:color w:val="auto"/>
                <w:szCs w:val="21"/>
                <w:highlight w:val="none"/>
                <w:lang w:val="en-US" w:eastAsia="zh-CN"/>
              </w:rPr>
              <w:t>等费用）</w:t>
            </w:r>
            <w:r>
              <w:rPr>
                <w:rFonts w:hint="eastAsia" w:asciiTheme="minorEastAsia" w:hAnsiTheme="minorEastAsia" w:eastAsiaTheme="minorEastAsia" w:cstheme="minorEastAsia"/>
                <w:color w:val="auto"/>
                <w:szCs w:val="21"/>
                <w:highlight w:val="none"/>
                <w:lang w:val="en-US" w:eastAsia="zh-CN"/>
              </w:rPr>
              <w:t>。</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auto"/>
                <w:kern w:val="0"/>
                <w:szCs w:val="21"/>
                <w:highlight w:val="none"/>
              </w:rPr>
            </w:pPr>
            <w:r>
              <w:rPr>
                <w:rFonts w:hint="eastAsia" w:asciiTheme="minorEastAsia" w:hAnsiTheme="minorEastAsia" w:eastAsiaTheme="minorEastAsia" w:cstheme="minorEastAsia"/>
                <w:color w:val="auto"/>
                <w:highlight w:val="none"/>
                <w:lang w:val="en-US" w:eastAsia="zh-CN"/>
              </w:rPr>
              <w:t>1、</w:t>
            </w:r>
            <w:r>
              <w:rPr>
                <w:rFonts w:hint="eastAsia" w:ascii="宋体" w:hAnsi="宋体" w:cs="宋体"/>
                <w:color w:val="auto"/>
                <w:kern w:val="0"/>
                <w:szCs w:val="21"/>
                <w:highlight w:val="none"/>
              </w:rPr>
              <w:t>对小型或微型企业投标的扶持：(如有）</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1.1投标供应商为小型或微型企业时，报价给予C1的价格扣除（C1的取值为20%），即：评标价＝投标报价（最后报价）×(1－C1）；</w:t>
            </w:r>
          </w:p>
          <w:p>
            <w:pPr>
              <w:autoSpaceDE w:val="0"/>
              <w:autoSpaceDN w:val="0"/>
              <w:adjustRightInd w:val="0"/>
              <w:spacing w:line="500" w:lineRule="exact"/>
              <w:jc w:val="left"/>
              <w:rPr>
                <w:rFonts w:hint="eastAsia" w:asciiTheme="minorEastAsia" w:hAnsiTheme="minorEastAsia" w:eastAsiaTheme="minorEastAsia" w:cstheme="minorEastAsia"/>
                <w:color w:val="auto"/>
                <w:highlight w:val="none"/>
                <w:lang w:val="en-US" w:eastAsia="zh-CN"/>
              </w:rPr>
            </w:pPr>
            <w:r>
              <w:rPr>
                <w:rFonts w:hint="eastAsia" w:ascii="宋体" w:hAnsi="宋体" w:cs="宋体"/>
                <w:color w:val="auto"/>
                <w:kern w:val="0"/>
                <w:szCs w:val="21"/>
                <w:highlight w:val="none"/>
              </w:rPr>
              <w:t>小微企业应当提供《中小企业声明函》（见格式）。</w:t>
            </w:r>
          </w:p>
          <w:p>
            <w:pPr>
              <w:spacing w:line="44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 按照《政府采购促进中小企业发展管理办法》有关规定，中小企业的标准为：</w:t>
            </w:r>
          </w:p>
          <w:p>
            <w:pPr>
              <w:spacing w:line="44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2.1提供本企业制造的货物、承担的工程或者服务，或者提供其他中小企业制造的货物，不包括提供或使用大型企业注册商标的货物；</w:t>
            </w:r>
          </w:p>
          <w:p>
            <w:pPr>
              <w:spacing w:line="44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2.2本规定所称中小企业划分标准，是指国务院有关部门根据企业从业人员、营业收入、资产总额等指标制定的中小企业划型标准（工信部联企业﹝2011﹞300号）；</w:t>
            </w:r>
          </w:p>
          <w:p>
            <w:pPr>
              <w:spacing w:line="44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2.3小型、微型企业提供有中型企业制造的货物的，视同为中型企业；小型、微型、中型企业提供有大型企业制造的货物的，视同为大型企业。</w:t>
            </w:r>
          </w:p>
          <w:p>
            <w:pPr>
              <w:spacing w:line="44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备注：小微企业（监狱企业、残疾人福利性单位视同小微企业）价格扣除按照20%。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w:t>
            </w:r>
          </w:p>
        </w:tc>
        <w:tc>
          <w:tcPr>
            <w:tcW w:w="2318" w:type="dxa"/>
            <w:vAlign w:val="center"/>
          </w:tcPr>
          <w:p>
            <w:pPr>
              <w:spacing w:line="440" w:lineRule="exact"/>
              <w:jc w:val="center"/>
              <w:rPr>
                <w:rFonts w:ascii="宋体" w:hAnsi="宋体" w:cs="宋体"/>
                <w:bCs/>
                <w:color w:val="auto"/>
                <w:highlight w:val="none"/>
              </w:rPr>
            </w:pPr>
            <w:r>
              <w:rPr>
                <w:rFonts w:hint="eastAsia" w:ascii="宋体" w:hAnsi="宋体" w:cs="宋体"/>
                <w:bCs/>
                <w:color w:val="auto"/>
                <w:highlight w:val="none"/>
              </w:rPr>
              <w:t>付款方式</w:t>
            </w:r>
          </w:p>
        </w:tc>
        <w:tc>
          <w:tcPr>
            <w:tcW w:w="6112" w:type="dxa"/>
            <w:vAlign w:val="center"/>
          </w:tcPr>
          <w:p>
            <w:pPr>
              <w:spacing w:line="440" w:lineRule="exact"/>
              <w:rPr>
                <w:rFonts w:hint="eastAsia" w:ascii="宋体" w:hAnsi="宋体" w:cs="宋体" w:eastAsiaTheme="minorEastAsia"/>
                <w:bCs/>
                <w:color w:val="auto"/>
                <w:highlight w:val="none"/>
                <w:lang w:val="en-US" w:eastAsia="zh-CN"/>
              </w:rPr>
            </w:pPr>
            <w:r>
              <w:rPr>
                <w:rFonts w:hint="eastAsia" w:asciiTheme="minorEastAsia" w:hAnsiTheme="minorEastAsia" w:eastAsiaTheme="minorEastAsia" w:cstheme="minorEastAsia"/>
                <w:color w:val="auto"/>
                <w:highlight w:val="none"/>
              </w:rPr>
              <w:t>合同签订后设备、人员到场后，支付合同价的30%，游船制作完成经调试验收合格后，支付合同总价的40%，海事监督部门颁发准用证后，支付合同总价的25%，验收合格满两年后15日内支付剩余尾款。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10.4</w:t>
            </w:r>
          </w:p>
        </w:tc>
        <w:tc>
          <w:tcPr>
            <w:tcW w:w="2318" w:type="dxa"/>
            <w:vAlign w:val="center"/>
          </w:tcPr>
          <w:p>
            <w:pPr>
              <w:spacing w:line="440" w:lineRule="exact"/>
              <w:jc w:val="center"/>
              <w:rPr>
                <w:rFonts w:ascii="宋体" w:hAnsi="宋体" w:cs="宋体"/>
                <w:bCs/>
                <w:color w:val="auto"/>
                <w:highlight w:val="none"/>
              </w:rPr>
            </w:pPr>
            <w:r>
              <w:rPr>
                <w:rFonts w:hint="eastAsia" w:ascii="宋体" w:hAnsi="宋体" w:cs="宋体"/>
                <w:bCs/>
                <w:color w:val="auto"/>
                <w:highlight w:val="none"/>
              </w:rPr>
              <w:t>供货要求</w:t>
            </w:r>
          </w:p>
        </w:tc>
        <w:tc>
          <w:tcPr>
            <w:tcW w:w="6112" w:type="dxa"/>
            <w:vAlign w:val="center"/>
          </w:tcPr>
          <w:p>
            <w:pPr>
              <w:pStyle w:val="2"/>
              <w:ind w:left="0" w:leftChars="0" w:firstLine="0" w:firstLineChars="0"/>
              <w:rPr>
                <w:rFonts w:hint="default" w:eastAsia="宋体"/>
                <w:color w:val="auto"/>
                <w:highlight w:val="none"/>
                <w:lang w:val="en-US" w:eastAsia="zh-CN"/>
              </w:rPr>
            </w:pPr>
            <w:r>
              <w:rPr>
                <w:rFonts w:hint="eastAsia"/>
                <w:color w:val="auto"/>
                <w:highlight w:val="none"/>
                <w:lang w:val="en-US" w:eastAsia="zh-CN"/>
              </w:rPr>
              <w:t>若因承包人原因不能按期按质供货，将扣除承包人20万元的违约金，同时每超过一天另扣除合同金额的千分之一。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招标代理服务费</w:t>
            </w:r>
          </w:p>
        </w:tc>
        <w:tc>
          <w:tcPr>
            <w:tcW w:w="6112" w:type="dxa"/>
            <w:vAlign w:val="center"/>
          </w:tcPr>
          <w:p>
            <w:pPr>
              <w:spacing w:line="440" w:lineRule="exact"/>
              <w:rPr>
                <w:color w:val="auto"/>
                <w:highlight w:val="none"/>
              </w:rPr>
            </w:pPr>
            <w:r>
              <w:rPr>
                <w:rFonts w:hint="eastAsia" w:ascii="宋体" w:hAnsi="宋体" w:cs="宋体"/>
                <w:bCs/>
                <w:color w:val="auto"/>
                <w:highlight w:val="none"/>
              </w:rPr>
              <w:t>参照豫招协[2023]002号《河南省招标代理服务收费指导意见》中的标准收取，由</w:t>
            </w:r>
            <w:r>
              <w:rPr>
                <w:rFonts w:hint="eastAsia" w:ascii="宋体" w:hAnsi="宋体" w:cs="宋体"/>
                <w:bCs/>
                <w:color w:val="auto"/>
                <w:highlight w:val="none"/>
                <w:lang w:val="en-US" w:eastAsia="zh-CN"/>
              </w:rPr>
              <w:t>中标</w:t>
            </w:r>
            <w:r>
              <w:rPr>
                <w:rFonts w:hint="eastAsia" w:ascii="宋体" w:hAnsi="宋体" w:cs="宋体"/>
                <w:bCs/>
                <w:color w:val="auto"/>
                <w:highlight w:val="none"/>
              </w:rPr>
              <w:t>人支付。招标代理费由招标代理机构通知中标企业结清后，领取中标通知书。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10.8</w:t>
            </w:r>
          </w:p>
        </w:tc>
        <w:tc>
          <w:tcPr>
            <w:tcW w:w="2318" w:type="dxa"/>
            <w:vAlign w:val="center"/>
          </w:tcPr>
          <w:p>
            <w:pPr>
              <w:adjustRightInd w:val="0"/>
              <w:snapToGrid w:val="0"/>
              <w:jc w:val="center"/>
              <w:rPr>
                <w:rFonts w:ascii="宋体" w:hAnsi="宋体" w:cs="宋体"/>
                <w:bCs/>
                <w:color w:val="auto"/>
                <w:highlight w:val="none"/>
              </w:rPr>
            </w:pPr>
            <w:r>
              <w:rPr>
                <w:rFonts w:hint="eastAsia" w:ascii="宋体" w:hAnsi="宋体" w:cs="宋体"/>
                <w:bCs/>
                <w:color w:val="auto"/>
                <w:highlight w:val="none"/>
              </w:rPr>
              <w:t>认定为不响应招标文件的其它条件</w:t>
            </w:r>
          </w:p>
        </w:tc>
        <w:tc>
          <w:tcPr>
            <w:tcW w:w="6112" w:type="dxa"/>
            <w:vAlign w:val="center"/>
          </w:tcPr>
          <w:p>
            <w:pPr>
              <w:pStyle w:val="2"/>
              <w:ind w:firstLine="0" w:firstLineChars="0"/>
              <w:rPr>
                <w:rFonts w:ascii="宋体" w:hAnsi="宋体" w:cs="宋体"/>
                <w:bCs/>
                <w:color w:val="auto"/>
                <w:highlight w:val="none"/>
              </w:rPr>
            </w:pPr>
            <w:r>
              <w:rPr>
                <w:rFonts w:hint="eastAsia" w:ascii="宋体" w:hAnsi="宋体" w:cs="宋体"/>
                <w:bCs/>
                <w:color w:val="auto"/>
                <w:highlight w:val="none"/>
              </w:rPr>
              <w:t>1、未按招标文件明示的规定签字盖章的；</w:t>
            </w:r>
          </w:p>
          <w:p>
            <w:pPr>
              <w:pStyle w:val="2"/>
              <w:ind w:firstLine="0" w:firstLineChars="0"/>
              <w:rPr>
                <w:rFonts w:ascii="宋体" w:hAnsi="宋体" w:cs="宋体"/>
                <w:bCs/>
                <w:color w:val="auto"/>
                <w:highlight w:val="none"/>
              </w:rPr>
            </w:pPr>
            <w:r>
              <w:rPr>
                <w:rFonts w:hint="eastAsia" w:ascii="宋体" w:hAnsi="宋体" w:cs="宋体"/>
                <w:bCs/>
                <w:color w:val="auto"/>
                <w:highlight w:val="none"/>
              </w:rPr>
              <w:t>2、投标文件的关键内容（</w:t>
            </w:r>
            <w:r>
              <w:rPr>
                <w:rFonts w:hint="eastAsia" w:ascii="宋体" w:hAnsi="宋体" w:cs="宋体"/>
                <w:bCs/>
                <w:color w:val="auto"/>
                <w:highlight w:val="none"/>
                <w:lang w:eastAsia="zh-CN"/>
              </w:rPr>
              <w:t>供货及安装期</w:t>
            </w:r>
            <w:r>
              <w:rPr>
                <w:rFonts w:hint="eastAsia" w:ascii="宋体" w:hAnsi="宋体" w:cs="宋体"/>
                <w:bCs/>
                <w:color w:val="auto"/>
                <w:highlight w:val="none"/>
              </w:rPr>
              <w:t>、质量标准、品牌、型号等）未填写或填写字迹模糊、达不到采购要求的；</w:t>
            </w:r>
          </w:p>
          <w:p>
            <w:pPr>
              <w:pStyle w:val="2"/>
              <w:ind w:firstLine="0" w:firstLineChars="0"/>
              <w:rPr>
                <w:rFonts w:ascii="宋体" w:hAnsi="宋体" w:cs="宋体"/>
                <w:bCs/>
                <w:color w:val="auto"/>
                <w:highlight w:val="none"/>
              </w:rPr>
            </w:pPr>
            <w:r>
              <w:rPr>
                <w:rFonts w:hint="eastAsia" w:ascii="宋体" w:hAnsi="宋体" w:cs="宋体"/>
                <w:bCs/>
                <w:color w:val="auto"/>
                <w:highlight w:val="none"/>
              </w:rPr>
              <w:t>3、投标报价超出招标控制价的；</w:t>
            </w:r>
          </w:p>
          <w:p>
            <w:pPr>
              <w:pStyle w:val="2"/>
              <w:ind w:firstLine="0" w:firstLineChars="0"/>
              <w:rPr>
                <w:rFonts w:ascii="宋体" w:hAnsi="宋体" w:cs="宋体"/>
                <w:bCs/>
                <w:color w:val="auto"/>
                <w:highlight w:val="none"/>
              </w:rPr>
            </w:pPr>
            <w:r>
              <w:rPr>
                <w:rFonts w:hint="eastAsia" w:ascii="宋体" w:hAnsi="宋体" w:cs="宋体"/>
                <w:bCs/>
                <w:color w:val="auto"/>
                <w:highlight w:val="none"/>
              </w:rPr>
              <w:t>4、供应商递交两份或多份内容不同的投标文件，或在一份投标文件中对同一招标项目有两个或多个报价，且未声明哪一个有效的；</w:t>
            </w:r>
          </w:p>
          <w:p>
            <w:pPr>
              <w:pStyle w:val="2"/>
              <w:ind w:firstLine="0" w:firstLineChars="0"/>
              <w:rPr>
                <w:rFonts w:ascii="宋体" w:hAnsi="宋体" w:cs="宋体"/>
                <w:bCs/>
                <w:color w:val="auto"/>
                <w:highlight w:val="none"/>
              </w:rPr>
            </w:pPr>
            <w:r>
              <w:rPr>
                <w:rFonts w:hint="eastAsia" w:ascii="宋体" w:hAnsi="宋体" w:cs="宋体"/>
                <w:bCs/>
                <w:color w:val="auto"/>
                <w:highlight w:val="none"/>
                <w:lang w:val="en-US" w:eastAsia="zh-CN"/>
              </w:rPr>
              <w:t>5</w:t>
            </w:r>
            <w:r>
              <w:rPr>
                <w:rFonts w:hint="eastAsia" w:ascii="宋体" w:hAnsi="宋体" w:cs="宋体"/>
                <w:bCs/>
                <w:color w:val="auto"/>
                <w:highlight w:val="none"/>
              </w:rPr>
              <w:t>、未按要求在报价明细表中标明品牌、型号及技术参数的。</w:t>
            </w:r>
          </w:p>
          <w:p>
            <w:pPr>
              <w:pStyle w:val="2"/>
              <w:ind w:firstLine="0" w:firstLineChars="0"/>
              <w:rPr>
                <w:rFonts w:ascii="宋体" w:hAnsi="宋体" w:cs="宋体"/>
                <w:bCs/>
                <w:color w:val="auto"/>
                <w:highlight w:val="none"/>
              </w:rPr>
            </w:pPr>
            <w:r>
              <w:rPr>
                <w:rFonts w:hint="eastAsia" w:ascii="宋体" w:hAnsi="宋体" w:cs="宋体"/>
                <w:bCs/>
                <w:color w:val="auto"/>
                <w:highlight w:val="none"/>
                <w:lang w:val="en-US" w:eastAsia="zh-CN"/>
              </w:rPr>
              <w:t>6</w:t>
            </w:r>
            <w:r>
              <w:rPr>
                <w:rFonts w:hint="eastAsia" w:ascii="宋体" w:hAnsi="宋体" w:cs="宋体"/>
                <w:bCs/>
                <w:color w:val="auto"/>
                <w:highlight w:val="none"/>
              </w:rPr>
              <w:t>、附有采购人不能接受的条件的；</w:t>
            </w:r>
          </w:p>
          <w:p>
            <w:pPr>
              <w:pStyle w:val="2"/>
              <w:ind w:firstLine="0" w:firstLineChars="0"/>
              <w:rPr>
                <w:rFonts w:ascii="宋体" w:hAnsi="宋体" w:cs="宋体"/>
                <w:bCs/>
                <w:color w:val="auto"/>
                <w:highlight w:val="none"/>
              </w:rPr>
            </w:pPr>
            <w:r>
              <w:rPr>
                <w:rFonts w:hint="eastAsia" w:ascii="宋体" w:hAnsi="宋体" w:cs="宋体"/>
                <w:bCs/>
                <w:color w:val="auto"/>
                <w:highlight w:val="none"/>
                <w:lang w:val="en-US" w:eastAsia="zh-CN"/>
              </w:rPr>
              <w:t>7</w:t>
            </w:r>
            <w:r>
              <w:rPr>
                <w:rFonts w:hint="eastAsia" w:ascii="宋体" w:hAnsi="宋体" w:cs="宋体"/>
                <w:bCs/>
                <w:color w:val="auto"/>
                <w:highlight w:val="none"/>
              </w:rPr>
              <w:t>、评标过程中，如因两个或两个以上供应商在同一台计算或同一个IP上传</w:t>
            </w:r>
            <w:r>
              <w:rPr>
                <w:rFonts w:hint="eastAsia" w:ascii="宋体" w:hAnsi="宋体" w:cs="宋体"/>
                <w:bCs/>
                <w:color w:val="auto"/>
                <w:highlight w:val="none"/>
                <w:lang w:eastAsia="zh-CN"/>
              </w:rPr>
              <w:t>投标文件</w:t>
            </w:r>
            <w:r>
              <w:rPr>
                <w:rFonts w:hint="eastAsia" w:ascii="宋体" w:hAnsi="宋体" w:cs="宋体"/>
                <w:bCs/>
                <w:color w:val="auto"/>
                <w:highlight w:val="none"/>
              </w:rPr>
              <w:t>，而被不见面开标系统提示为“投标文件制作机器码一致”的，则视其投标无效。</w:t>
            </w:r>
          </w:p>
          <w:p>
            <w:pPr>
              <w:pStyle w:val="2"/>
              <w:ind w:firstLine="0" w:firstLineChars="0"/>
              <w:rPr>
                <w:rFonts w:ascii="宋体" w:hAnsi="宋体" w:cs="宋体"/>
                <w:bCs/>
                <w:color w:val="auto"/>
                <w:highlight w:val="none"/>
              </w:rPr>
            </w:pPr>
            <w:r>
              <w:rPr>
                <w:rFonts w:hint="eastAsia" w:ascii="宋体" w:hAnsi="宋体" w:cs="宋体"/>
                <w:bCs/>
                <w:color w:val="auto"/>
                <w:highlight w:val="none"/>
                <w:lang w:val="en-US" w:eastAsia="zh-CN"/>
              </w:rPr>
              <w:t>8</w:t>
            </w:r>
            <w:r>
              <w:rPr>
                <w:rFonts w:hint="eastAsia" w:ascii="宋体" w:hAnsi="宋体" w:cs="宋体"/>
                <w:bCs/>
                <w:color w:val="auto"/>
                <w:highlight w:val="none"/>
              </w:rPr>
              <w:t>、投标文件有明显不符合招标文件其它要求和有关法律法规的。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10.9</w:t>
            </w:r>
          </w:p>
        </w:tc>
        <w:tc>
          <w:tcPr>
            <w:tcW w:w="8430" w:type="dxa"/>
            <w:gridSpan w:val="2"/>
            <w:vAlign w:val="center"/>
          </w:tcPr>
          <w:p>
            <w:pPr>
              <w:pStyle w:val="2"/>
              <w:tabs>
                <w:tab w:val="left" w:pos="1268"/>
              </w:tabs>
              <w:ind w:firstLine="0" w:firstLineChars="0"/>
              <w:rPr>
                <w:rFonts w:ascii="宋体" w:hAnsi="宋体" w:cs="宋体"/>
                <w:bCs/>
                <w:color w:val="auto"/>
                <w:highlight w:val="none"/>
              </w:rPr>
            </w:pPr>
            <w:r>
              <w:rPr>
                <w:rFonts w:hint="eastAsia" w:asciiTheme="minorEastAsia" w:hAnsiTheme="minorEastAsia" w:eastAsiaTheme="minorEastAsia" w:cstheme="minorEastAsia"/>
                <w:color w:val="auto"/>
                <w:szCs w:val="21"/>
                <w:highlight w:val="none"/>
              </w:rPr>
              <w:t>本招标文件解释权归采购人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pPr>
              <w:pStyle w:val="2"/>
              <w:rPr>
                <w:rFonts w:ascii="宋体" w:hAnsi="宋体" w:cs="宋体"/>
                <w:bCs/>
                <w:color w:val="auto"/>
                <w:highlight w:val="none"/>
              </w:rPr>
            </w:pPr>
            <w:r>
              <w:rPr>
                <w:rFonts w:hint="eastAsia" w:asciiTheme="minorEastAsia" w:hAnsiTheme="minorEastAsia" w:eastAsiaTheme="minorEastAsia" w:cstheme="minorEastAsia"/>
                <w:color w:val="auto"/>
                <w:szCs w:val="21"/>
                <w:highlight w:val="none"/>
              </w:rPr>
              <w:t>本项目采购货物在质保期内属于货物质量问题的，成交供应商应免费维修，不能维修的应及时更换新货物，供应商须针对质保期内的质量问题提供承诺函。</w:t>
            </w:r>
          </w:p>
        </w:tc>
      </w:tr>
    </w:tbl>
    <w:p>
      <w:pPr>
        <w:pStyle w:val="23"/>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4" w:name="_Toc426369479"/>
      <w:bookmarkStart w:id="15" w:name="_Toc9048"/>
      <w:bookmarkStart w:id="16" w:name="_Toc23576"/>
      <w:bookmarkStart w:id="17" w:name="_Toc23082"/>
      <w:bookmarkStart w:id="18" w:name="_Toc403122491"/>
      <w:bookmarkStart w:id="19" w:name="_Toc7029"/>
      <w:bookmarkStart w:id="20" w:name="_Toc426369491"/>
      <w:bookmarkStart w:id="21" w:name="_Toc403122503"/>
      <w:bookmarkStart w:id="22" w:name="_Toc26894"/>
      <w:r>
        <w:rPr>
          <w:rFonts w:hint="eastAsia" w:asciiTheme="minorEastAsia" w:hAnsiTheme="minorEastAsia" w:eastAsiaTheme="minorEastAsia" w:cstheme="minorEastAsia"/>
          <w:color w:val="auto"/>
          <w:sz w:val="24"/>
          <w:szCs w:val="24"/>
          <w:highlight w:val="none"/>
        </w:rPr>
        <w:t>1. 总则</w:t>
      </w:r>
      <w:bookmarkEnd w:id="14"/>
      <w:bookmarkEnd w:id="15"/>
      <w:bookmarkEnd w:id="16"/>
      <w:bookmarkEnd w:id="17"/>
      <w:bookmarkEnd w:id="18"/>
      <w:bookmarkEnd w:id="19"/>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3" w:name="_Toc279599771"/>
      <w:bookmarkStart w:id="24" w:name="_Toc274249575"/>
      <w:bookmarkStart w:id="25" w:name="_Toc426369480"/>
      <w:bookmarkStart w:id="26" w:name="_Toc403122492"/>
      <w:r>
        <w:rPr>
          <w:rFonts w:hint="eastAsia" w:asciiTheme="minorEastAsia" w:hAnsiTheme="minorEastAsia" w:eastAsiaTheme="minorEastAsia" w:cstheme="minorEastAsia"/>
          <w:b/>
          <w:bCs/>
          <w:color w:val="auto"/>
          <w:sz w:val="24"/>
          <w:highlight w:val="none"/>
        </w:rPr>
        <w:t>1.1 项目概况</w:t>
      </w:r>
      <w:bookmarkEnd w:id="23"/>
      <w:bookmarkEnd w:id="24"/>
      <w:bookmarkEnd w:id="25"/>
      <w:bookmarkEnd w:id="2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根据</w:t>
      </w:r>
      <w:r>
        <w:rPr>
          <w:rFonts w:hint="eastAsia"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color w:val="auto"/>
          <w:szCs w:val="21"/>
          <w:highlight w:val="none"/>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7" w:name="_Toc274249576"/>
      <w:bookmarkStart w:id="28" w:name="_Toc426369481"/>
      <w:bookmarkStart w:id="29" w:name="_Toc403122493"/>
      <w:bookmarkStart w:id="30" w:name="_Toc279599772"/>
      <w:r>
        <w:rPr>
          <w:rFonts w:hint="eastAsia" w:asciiTheme="minorEastAsia" w:hAnsiTheme="minorEastAsia" w:eastAsiaTheme="minorEastAsia" w:cstheme="minorEastAsia"/>
          <w:b/>
          <w:bCs/>
          <w:color w:val="auto"/>
          <w:sz w:val="24"/>
          <w:highlight w:val="none"/>
        </w:rPr>
        <w:t>1.2 资金来源和落实情况</w:t>
      </w:r>
      <w:bookmarkEnd w:id="27"/>
      <w:bookmarkEnd w:id="28"/>
      <w:bookmarkEnd w:id="29"/>
      <w:bookmarkEnd w:id="3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1" w:name="_Toc279599773"/>
      <w:bookmarkStart w:id="32" w:name="_Toc426369482"/>
      <w:bookmarkStart w:id="33" w:name="_Toc274249577"/>
      <w:bookmarkStart w:id="34" w:name="_Toc403122494"/>
      <w:r>
        <w:rPr>
          <w:rFonts w:hint="eastAsia" w:asciiTheme="minorEastAsia" w:hAnsiTheme="minorEastAsia" w:eastAsiaTheme="minorEastAsia" w:cstheme="minorEastAsia"/>
          <w:b/>
          <w:bCs/>
          <w:color w:val="auto"/>
          <w:sz w:val="24"/>
          <w:highlight w:val="none"/>
        </w:rPr>
        <w:t>1.3 采购内容、</w:t>
      </w:r>
      <w:r>
        <w:rPr>
          <w:rFonts w:hint="eastAsia" w:asciiTheme="minorEastAsia" w:hAnsiTheme="minorEastAsia" w:eastAsiaTheme="minorEastAsia" w:cstheme="minorEastAsia"/>
          <w:b/>
          <w:bCs/>
          <w:color w:val="auto"/>
          <w:sz w:val="24"/>
          <w:highlight w:val="none"/>
          <w:lang w:eastAsia="zh-CN"/>
        </w:rPr>
        <w:t>供货及安装期</w:t>
      </w:r>
      <w:r>
        <w:rPr>
          <w:rFonts w:hint="eastAsia" w:asciiTheme="minorEastAsia" w:hAnsiTheme="minorEastAsia" w:eastAsiaTheme="minorEastAsia" w:cstheme="minorEastAsia"/>
          <w:b/>
          <w:bCs/>
          <w:color w:val="auto"/>
          <w:sz w:val="24"/>
          <w:highlight w:val="none"/>
        </w:rPr>
        <w:t>和质量</w:t>
      </w:r>
      <w:bookmarkEnd w:id="31"/>
      <w:bookmarkEnd w:id="32"/>
      <w:bookmarkEnd w:id="33"/>
      <w:bookmarkEnd w:id="34"/>
      <w:r>
        <w:rPr>
          <w:rFonts w:hint="eastAsia" w:asciiTheme="minorEastAsia" w:hAnsiTheme="minorEastAsia" w:eastAsiaTheme="minorEastAsia" w:cstheme="minorEastAsia"/>
          <w:b/>
          <w:bCs/>
          <w:color w:val="auto"/>
          <w:sz w:val="24"/>
          <w:highlight w:val="none"/>
        </w:rPr>
        <w:t>标准</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1.3.4  本次招标的质保期要求：见供应商须知前附表。 </w:t>
      </w:r>
      <w:r>
        <w:rPr>
          <w:rFonts w:hint="eastAsia" w:asciiTheme="minorEastAsia" w:hAnsiTheme="minorEastAsia" w:eastAsiaTheme="minorEastAsia" w:cstheme="minorEastAsia"/>
          <w:color w:val="auto"/>
          <w:szCs w:val="21"/>
          <w:highlight w:val="none"/>
        </w:rPr>
        <w:tab/>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5" w:name="_Toc403122495"/>
      <w:bookmarkStart w:id="36" w:name="_Toc426369483"/>
      <w:bookmarkStart w:id="37" w:name="_Toc274249578"/>
      <w:bookmarkStart w:id="38" w:name="_Toc279599774"/>
      <w:r>
        <w:rPr>
          <w:rFonts w:hint="eastAsia" w:asciiTheme="minorEastAsia" w:hAnsiTheme="minorEastAsia" w:eastAsiaTheme="minorEastAsia" w:cstheme="minorEastAsia"/>
          <w:b/>
          <w:bCs/>
          <w:color w:val="auto"/>
          <w:sz w:val="24"/>
          <w:highlight w:val="none"/>
        </w:rPr>
        <w:t>1.4 供应商资格要求</w:t>
      </w:r>
      <w:bookmarkEnd w:id="35"/>
      <w:bookmarkEnd w:id="36"/>
      <w:bookmarkEnd w:id="37"/>
      <w:bookmarkEnd w:id="3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（1）供应商资质条件：见供应商须知前附表；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bookmarkStart w:id="39" w:name="_Toc279599775"/>
      <w:bookmarkStart w:id="40" w:name="_Toc274249579"/>
      <w:bookmarkStart w:id="41" w:name="_Toc403122496"/>
      <w:r>
        <w:rPr>
          <w:rFonts w:hint="eastAsia" w:asciiTheme="minorEastAsia" w:hAnsiTheme="minorEastAsia" w:eastAsiaTheme="minorEastAsia" w:cstheme="minorEastAsia"/>
          <w:color w:val="auto"/>
          <w:szCs w:val="21"/>
          <w:highlight w:val="none"/>
        </w:rPr>
        <w:t>1.4.2 本次招标不接受联合体投标。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2" w:name="_Toc426369484"/>
      <w:r>
        <w:rPr>
          <w:rFonts w:hint="eastAsia" w:asciiTheme="minorEastAsia" w:hAnsiTheme="minorEastAsia" w:eastAsiaTheme="minorEastAsia" w:cstheme="minorEastAsia"/>
          <w:b/>
          <w:bCs/>
          <w:color w:val="auto"/>
          <w:sz w:val="24"/>
          <w:highlight w:val="none"/>
        </w:rPr>
        <w:t>1.5 费用承担</w:t>
      </w:r>
      <w:bookmarkEnd w:id="39"/>
      <w:bookmarkEnd w:id="40"/>
      <w:bookmarkEnd w:id="41"/>
      <w:bookmarkEnd w:id="4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3" w:name="_Toc403122497"/>
      <w:bookmarkStart w:id="44" w:name="_Toc426369485"/>
      <w:r>
        <w:rPr>
          <w:rFonts w:hint="eastAsia" w:asciiTheme="minorEastAsia" w:hAnsiTheme="minorEastAsia" w:eastAsiaTheme="minorEastAsia" w:cstheme="minorEastAsia"/>
          <w:b/>
          <w:bCs/>
          <w:color w:val="auto"/>
          <w:sz w:val="24"/>
          <w:highlight w:val="none"/>
        </w:rPr>
        <w:t>1.6 保密</w:t>
      </w:r>
      <w:bookmarkEnd w:id="43"/>
      <w:bookmarkEnd w:id="4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5" w:name="_Toc426369486"/>
      <w:bookmarkStart w:id="46" w:name="_Toc403122498"/>
      <w:bookmarkStart w:id="47" w:name="_Toc279599777"/>
      <w:bookmarkStart w:id="48" w:name="_Toc274249581"/>
      <w:r>
        <w:rPr>
          <w:rFonts w:hint="eastAsia" w:asciiTheme="minorEastAsia" w:hAnsiTheme="minorEastAsia" w:eastAsiaTheme="minorEastAsia" w:cstheme="minorEastAsia"/>
          <w:b/>
          <w:bCs/>
          <w:color w:val="auto"/>
          <w:sz w:val="24"/>
          <w:highlight w:val="none"/>
        </w:rPr>
        <w:t>1.7 语言文字</w:t>
      </w:r>
      <w:bookmarkEnd w:id="45"/>
      <w:bookmarkEnd w:id="46"/>
      <w:bookmarkEnd w:id="47"/>
      <w:bookmarkEnd w:id="48"/>
      <w:r>
        <w:rPr>
          <w:rFonts w:hint="eastAsia" w:asciiTheme="minorEastAsia" w:hAnsiTheme="minorEastAsia" w:eastAsiaTheme="minorEastAsia" w:cstheme="minorEastAsia"/>
          <w:b/>
          <w:bCs/>
          <w:color w:val="auto"/>
          <w:sz w:val="24"/>
          <w:highlight w:val="none"/>
        </w:rPr>
        <w:t xml:space="preserve">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 采购文件以及供应商与采购人、采购代理机构就有关投标事宜的所有来往函电均应使用简体中文书写。</w:t>
      </w:r>
    </w:p>
    <w:p>
      <w:pPr>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1.7.2原版为外文的证书类文件，以及由外国人做出的本人签名、外国公司的名称或外国印章等可以是外文，但应当提供中文翻译文件并加盖供应商公章。必要时评标委员会可以要求供应商提供附有公证书的中文翻译文件或者与原版文件签章相一致的中文翻译文件</w:t>
      </w:r>
      <w:bookmarkStart w:id="49" w:name="_Toc426369487"/>
      <w:bookmarkStart w:id="50" w:name="_Toc403122499"/>
    </w:p>
    <w:p>
      <w:pPr>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1.8 计量单位</w:t>
      </w:r>
      <w:bookmarkEnd w:id="49"/>
      <w:bookmarkEnd w:id="5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1.8.2本响应性文件所表述的时间均为北京时间。</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1" w:name="_Toc274249583"/>
      <w:bookmarkStart w:id="52" w:name="_Toc279599779"/>
      <w:bookmarkStart w:id="53" w:name="_Toc426369488"/>
      <w:bookmarkStart w:id="54" w:name="_Toc403122500"/>
      <w:r>
        <w:rPr>
          <w:rFonts w:hint="eastAsia" w:asciiTheme="minorEastAsia" w:hAnsiTheme="minorEastAsia" w:eastAsiaTheme="minorEastAsia" w:cstheme="minorEastAsia"/>
          <w:b/>
          <w:bCs/>
          <w:color w:val="auto"/>
          <w:sz w:val="24"/>
          <w:highlight w:val="none"/>
        </w:rPr>
        <w:t>1.9 踏勘现场</w:t>
      </w:r>
      <w:bookmarkEnd w:id="51"/>
      <w:bookmarkEnd w:id="52"/>
      <w:bookmarkEnd w:id="53"/>
      <w:bookmarkEnd w:id="5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5" w:name="_Toc279599780"/>
      <w:bookmarkStart w:id="56" w:name="_Toc426369489"/>
      <w:bookmarkStart w:id="57" w:name="_Toc274249584"/>
      <w:bookmarkStart w:id="58" w:name="_Toc403122501"/>
      <w:r>
        <w:rPr>
          <w:rFonts w:hint="eastAsia" w:asciiTheme="minorEastAsia" w:hAnsiTheme="minorEastAsia" w:eastAsiaTheme="minorEastAsia" w:cstheme="minorEastAsia"/>
          <w:b/>
          <w:bCs/>
          <w:color w:val="auto"/>
          <w:sz w:val="24"/>
          <w:highlight w:val="none"/>
        </w:rPr>
        <w:t>1.10 投标预备会</w:t>
      </w:r>
      <w:bookmarkEnd w:id="55"/>
      <w:bookmarkEnd w:id="56"/>
      <w:bookmarkEnd w:id="57"/>
      <w:bookmarkEnd w:id="5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1.10.1 本次招标不召开投标预备会。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9" w:name="_Toc403122502"/>
      <w:bookmarkStart w:id="60" w:name="_Toc279599781"/>
      <w:bookmarkStart w:id="61" w:name="_Toc274249585"/>
      <w:bookmarkStart w:id="62" w:name="_Toc426369490"/>
      <w:r>
        <w:rPr>
          <w:rFonts w:hint="eastAsia" w:asciiTheme="minorEastAsia" w:hAnsiTheme="minorEastAsia" w:eastAsiaTheme="minorEastAsia" w:cstheme="minorEastAsia"/>
          <w:b/>
          <w:bCs/>
          <w:color w:val="auto"/>
          <w:sz w:val="24"/>
          <w:highlight w:val="none"/>
        </w:rPr>
        <w:t>1.11 分包</w:t>
      </w:r>
      <w:bookmarkEnd w:id="59"/>
      <w:bookmarkEnd w:id="60"/>
      <w:bookmarkEnd w:id="61"/>
      <w:bookmarkEnd w:id="6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本次招标项目不允许分包。 </w:t>
      </w:r>
    </w:p>
    <w:p>
      <w:pPr>
        <w:pStyle w:val="23"/>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63" w:name="_Toc28663"/>
      <w:bookmarkStart w:id="64" w:name="_Toc9121"/>
      <w:bookmarkStart w:id="65" w:name="_Toc20888"/>
      <w:r>
        <w:rPr>
          <w:rFonts w:hint="eastAsia" w:asciiTheme="minorEastAsia" w:hAnsiTheme="minorEastAsia" w:eastAsiaTheme="minorEastAsia" w:cstheme="minorEastAsia"/>
          <w:color w:val="auto"/>
          <w:sz w:val="24"/>
          <w:szCs w:val="24"/>
          <w:highlight w:val="none"/>
        </w:rPr>
        <w:t>2. 招标文件</w:t>
      </w:r>
      <w:bookmarkEnd w:id="20"/>
      <w:bookmarkEnd w:id="21"/>
      <w:bookmarkEnd w:id="22"/>
      <w:bookmarkEnd w:id="63"/>
      <w:bookmarkEnd w:id="64"/>
      <w:bookmarkEnd w:id="6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6" w:name="_Toc274249587"/>
      <w:bookmarkStart w:id="67" w:name="_Toc426369492"/>
      <w:bookmarkStart w:id="68" w:name="_Toc279599783"/>
      <w:bookmarkStart w:id="69" w:name="_Toc403122504"/>
      <w:r>
        <w:rPr>
          <w:rFonts w:hint="eastAsia" w:asciiTheme="minorEastAsia" w:hAnsiTheme="minorEastAsia" w:eastAsiaTheme="minorEastAsia" w:cstheme="minorEastAsia"/>
          <w:b/>
          <w:bCs/>
          <w:color w:val="auto"/>
          <w:sz w:val="24"/>
          <w:highlight w:val="none"/>
        </w:rPr>
        <w:t>2.1 招标文件的组成</w:t>
      </w:r>
      <w:bookmarkEnd w:id="66"/>
      <w:bookmarkEnd w:id="67"/>
      <w:bookmarkEnd w:id="68"/>
      <w:bookmarkEnd w:id="6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本招标文件包括：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招标公告；</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供应商须知；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评标办法（综合评分法）；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合同条款及格式；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采购需求及参数；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投标文件格式；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0" w:name="_Toc279599784"/>
      <w:bookmarkStart w:id="71" w:name="_Toc426369493"/>
      <w:bookmarkStart w:id="72" w:name="_Toc403122505"/>
      <w:bookmarkStart w:id="73" w:name="_Toc274249588"/>
      <w:r>
        <w:rPr>
          <w:rFonts w:hint="eastAsia" w:asciiTheme="minorEastAsia" w:hAnsiTheme="minorEastAsia" w:eastAsiaTheme="minorEastAsia" w:cstheme="minorEastAsia"/>
          <w:b/>
          <w:bCs/>
          <w:color w:val="auto"/>
          <w:sz w:val="24"/>
          <w:highlight w:val="none"/>
        </w:rPr>
        <w:t>2.2 招标文件的澄清</w:t>
      </w:r>
      <w:bookmarkEnd w:id="70"/>
      <w:bookmarkEnd w:id="71"/>
      <w:bookmarkEnd w:id="72"/>
      <w:bookmarkEnd w:id="73"/>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4" w:name="_Toc403122506"/>
      <w:bookmarkStart w:id="75" w:name="_Toc274249589"/>
      <w:bookmarkStart w:id="76" w:name="_Toc426369494"/>
      <w:bookmarkStart w:id="77" w:name="_Toc279599785"/>
      <w:r>
        <w:rPr>
          <w:rFonts w:hint="eastAsia" w:asciiTheme="minorEastAsia" w:hAnsiTheme="minorEastAsia" w:eastAsiaTheme="minorEastAsia" w:cstheme="minorEastAsia"/>
          <w:b/>
          <w:bCs/>
          <w:color w:val="auto"/>
          <w:sz w:val="24"/>
          <w:highlight w:val="none"/>
        </w:rPr>
        <w:t>2.3 招标文件的修改</w:t>
      </w:r>
      <w:bookmarkEnd w:id="74"/>
      <w:bookmarkEnd w:id="75"/>
      <w:bookmarkEnd w:id="76"/>
      <w:bookmarkEnd w:id="7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2.3.2  供应商收到修改内容后，应在供应商须知前附表规定的时间内以书面形式通知采购人，确认已收到该修改。 </w:t>
      </w:r>
      <w:bookmarkStart w:id="78" w:name="_Toc426369495"/>
      <w:bookmarkStart w:id="79" w:name="_Toc403122507"/>
      <w:bookmarkStart w:id="80" w:name="_Toc23265"/>
    </w:p>
    <w:p>
      <w:pPr>
        <w:pStyle w:val="23"/>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81" w:name="_Toc13865"/>
      <w:bookmarkStart w:id="82" w:name="_Toc22914"/>
      <w:bookmarkStart w:id="83" w:name="_Toc15031"/>
      <w:r>
        <w:rPr>
          <w:rFonts w:hint="eastAsia" w:asciiTheme="minorEastAsia" w:hAnsiTheme="minorEastAsia" w:eastAsiaTheme="minorEastAsia" w:cstheme="minorEastAsia"/>
          <w:color w:val="auto"/>
          <w:sz w:val="24"/>
          <w:szCs w:val="24"/>
          <w:highlight w:val="none"/>
        </w:rPr>
        <w:t>3. 投标文件</w:t>
      </w:r>
      <w:bookmarkEnd w:id="78"/>
      <w:bookmarkEnd w:id="79"/>
      <w:bookmarkEnd w:id="80"/>
      <w:bookmarkEnd w:id="81"/>
      <w:bookmarkEnd w:id="82"/>
      <w:bookmarkEnd w:id="8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4" w:name="_Toc274249591"/>
      <w:bookmarkStart w:id="85" w:name="_Toc426369496"/>
      <w:bookmarkStart w:id="86" w:name="_Toc279599787"/>
      <w:bookmarkStart w:id="87" w:name="_Toc403122508"/>
      <w:r>
        <w:rPr>
          <w:rFonts w:hint="eastAsia" w:asciiTheme="minorEastAsia" w:hAnsiTheme="minorEastAsia" w:eastAsiaTheme="minorEastAsia" w:cstheme="minorEastAsia"/>
          <w:b/>
          <w:bCs/>
          <w:color w:val="auto"/>
          <w:sz w:val="24"/>
          <w:highlight w:val="none"/>
        </w:rPr>
        <w:t>3.1 投标文件的组成</w:t>
      </w:r>
      <w:bookmarkEnd w:id="84"/>
      <w:bookmarkEnd w:id="85"/>
      <w:bookmarkEnd w:id="86"/>
      <w:bookmarkEnd w:id="8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3.1.1 投标文件应包括下列内容： </w:t>
      </w:r>
    </w:p>
    <w:p>
      <w:pPr>
        <w:spacing w:line="440" w:lineRule="exact"/>
        <w:ind w:firstLine="420" w:firstLineChars="200"/>
        <w:rPr>
          <w:rFonts w:ascii="宋体" w:hAnsi="宋体" w:cs="宋体"/>
          <w:color w:val="auto"/>
          <w:szCs w:val="21"/>
          <w:highlight w:val="none"/>
        </w:rPr>
      </w:pPr>
      <w:bookmarkStart w:id="88" w:name="_Toc279599788"/>
      <w:bookmarkStart w:id="89" w:name="_Toc403122509"/>
      <w:bookmarkStart w:id="90" w:name="_Toc426369497"/>
      <w:bookmarkStart w:id="91" w:name="_Toc274249592"/>
      <w:r>
        <w:rPr>
          <w:rFonts w:hint="eastAsia" w:ascii="宋体" w:hAnsi="宋体" w:cs="宋体"/>
          <w:color w:val="auto"/>
          <w:szCs w:val="21"/>
          <w:highlight w:val="none"/>
        </w:rPr>
        <w:t>一、投标函及开标一览表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（一）投标函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（三）报价明细表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三、授权委托书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四、项目实施方案等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val="en-US" w:eastAsia="zh-CN"/>
        </w:rPr>
        <w:t>政府采购</w:t>
      </w:r>
      <w:r>
        <w:rPr>
          <w:rFonts w:hint="eastAsia" w:ascii="宋体" w:hAnsi="宋体" w:cs="宋体"/>
          <w:color w:val="auto"/>
          <w:szCs w:val="21"/>
          <w:highlight w:val="none"/>
        </w:rPr>
        <w:t>供应商的资格证明</w:t>
      </w:r>
      <w:r>
        <w:rPr>
          <w:rFonts w:hint="eastAsia" w:ascii="宋体" w:hAnsi="宋体" w:cs="宋体"/>
          <w:color w:val="auto"/>
          <w:szCs w:val="21"/>
          <w:highlight w:val="none"/>
          <w:lang w:eastAsia="zh-CN"/>
        </w:rPr>
        <w:t>承诺函</w:t>
      </w:r>
      <w:r>
        <w:rPr>
          <w:rFonts w:hint="eastAsia" w:ascii="宋体" w:hAnsi="宋体" w:cs="宋体"/>
          <w:color w:val="auto"/>
          <w:szCs w:val="21"/>
          <w:highlight w:val="none"/>
        </w:rPr>
        <w:t>；</w:t>
      </w:r>
    </w:p>
    <w:p>
      <w:pPr>
        <w:pStyle w:val="25"/>
        <w:spacing w:line="440" w:lineRule="exact"/>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六、供应商服务承诺和优惠承诺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七、供应商所投产品属于当期政府采购清单规定的节能环保产品的证明材料；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八、中小企业声明函（如为中小企业）；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九、残疾人福利性单位声明函（如有）；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十、招标文件要求的或供应商认为需要加以说明的其他内容。</w:t>
      </w:r>
    </w:p>
    <w:p>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注：1、符合《政府采购法》第二十二条规定的资格条件，按照采购文件约定提供资格承诺，不再提供资质资料，主要包括供应商</w:t>
      </w:r>
      <w:r>
        <w:rPr>
          <w:rFonts w:hint="eastAsia" w:ascii="宋体" w:hAnsi="宋体" w:eastAsia="宋体" w:cs="宋体"/>
          <w:b/>
          <w:bCs/>
          <w:color w:val="auto"/>
          <w:sz w:val="24"/>
          <w:highlight w:val="none"/>
          <w:lang w:eastAsia="zh-CN"/>
        </w:rPr>
        <w:t>在</w:t>
      </w:r>
      <w:r>
        <w:rPr>
          <w:rFonts w:hint="eastAsia" w:ascii="宋体" w:hAnsi="宋体" w:cs="宋体"/>
          <w:b/>
          <w:bCs/>
          <w:color w:val="auto"/>
          <w:sz w:val="24"/>
          <w:highlight w:val="none"/>
          <w:lang w:eastAsia="zh-CN"/>
        </w:rPr>
        <w:t>投标文件</w:t>
      </w:r>
      <w:r>
        <w:rPr>
          <w:rFonts w:hint="eastAsia" w:ascii="宋体" w:hAnsi="宋体" w:eastAsia="宋体" w:cs="宋体"/>
          <w:b/>
          <w:bCs/>
          <w:color w:val="auto"/>
          <w:sz w:val="24"/>
          <w:highlight w:val="none"/>
        </w:rPr>
        <w:t>中无需再提供营业执照、制造商钢质船舶建造能力评估报告或相关等效资格证明</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财务状况报告、依法缴纳税收和社会保障资金、具有履行合同所必须的设备和专业技术能力、参加政府采购活动前三年内</w:t>
      </w:r>
      <w:r>
        <w:rPr>
          <w:rFonts w:hint="eastAsia" w:ascii="宋体" w:hAnsi="宋体" w:cs="宋体"/>
          <w:b/>
          <w:bCs/>
          <w:color w:val="auto"/>
          <w:sz w:val="24"/>
          <w:highlight w:val="none"/>
          <w:lang w:val="en-US" w:eastAsia="zh-CN"/>
        </w:rPr>
        <w:t>在</w:t>
      </w:r>
      <w:r>
        <w:rPr>
          <w:rFonts w:hint="eastAsia" w:ascii="宋体" w:hAnsi="宋体" w:eastAsia="宋体" w:cs="宋体"/>
          <w:b/>
          <w:bCs/>
          <w:color w:val="auto"/>
          <w:sz w:val="24"/>
          <w:highlight w:val="none"/>
        </w:rPr>
        <w:t>经营活动中没有重大违法</w:t>
      </w:r>
      <w:r>
        <w:rPr>
          <w:rFonts w:hint="eastAsia" w:ascii="宋体" w:hAnsi="宋体" w:cs="宋体"/>
          <w:b/>
          <w:bCs/>
          <w:color w:val="auto"/>
          <w:sz w:val="24"/>
          <w:highlight w:val="none"/>
          <w:lang w:val="en-US" w:eastAsia="zh-CN"/>
        </w:rPr>
        <w:t>记录</w:t>
      </w:r>
      <w:r>
        <w:rPr>
          <w:rFonts w:hint="eastAsia" w:ascii="宋体" w:hAnsi="宋体" w:eastAsia="宋体" w:cs="宋体"/>
          <w:b/>
          <w:bCs/>
          <w:color w:val="auto"/>
          <w:sz w:val="24"/>
          <w:highlight w:val="none"/>
        </w:rPr>
        <w:t>相关证明材料。</w:t>
      </w:r>
    </w:p>
    <w:p>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bookmarkEnd w:id="88"/>
      <w:bookmarkEnd w:id="89"/>
      <w:bookmarkEnd w:id="90"/>
      <w:bookmarkEnd w:id="91"/>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w:t>
      </w:r>
      <w:r>
        <w:rPr>
          <w:rFonts w:hint="eastAsia" w:asciiTheme="minorEastAsia" w:hAnsiTheme="minorEastAsia" w:eastAsiaTheme="minorEastAsia" w:cstheme="minorEastAsia"/>
          <w:color w:val="auto"/>
          <w:szCs w:val="21"/>
          <w:highlight w:val="none"/>
          <w:lang w:eastAsia="zh-CN"/>
        </w:rPr>
        <w:t>投标文件</w:t>
      </w:r>
      <w:r>
        <w:rPr>
          <w:rFonts w:hint="eastAsia" w:asciiTheme="minorEastAsia" w:hAnsiTheme="minorEastAsia" w:eastAsiaTheme="minorEastAsia" w:cstheme="minorEastAsia"/>
          <w:color w:val="auto"/>
          <w:szCs w:val="21"/>
          <w:highlight w:val="none"/>
        </w:rPr>
        <w:t>将被作为非响应性投标而予以拒绝。</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2" w:name="_Toc403122510"/>
      <w:bookmarkStart w:id="93" w:name="_Toc279599789"/>
      <w:bookmarkStart w:id="94" w:name="_Toc426369498"/>
      <w:bookmarkStart w:id="95" w:name="_Toc274249593"/>
      <w:r>
        <w:rPr>
          <w:rFonts w:hint="eastAsia" w:asciiTheme="minorEastAsia" w:hAnsiTheme="minorEastAsia" w:eastAsiaTheme="minorEastAsia" w:cstheme="minorEastAsia"/>
          <w:b/>
          <w:bCs/>
          <w:color w:val="auto"/>
          <w:sz w:val="24"/>
          <w:highlight w:val="none"/>
        </w:rPr>
        <w:t>3.3 投标有效期</w:t>
      </w:r>
      <w:bookmarkEnd w:id="92"/>
      <w:bookmarkEnd w:id="93"/>
      <w:bookmarkEnd w:id="94"/>
      <w:bookmarkEnd w:id="95"/>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6" w:name="_Toc274249595"/>
      <w:bookmarkStart w:id="97" w:name="_Toc279599791"/>
      <w:bookmarkStart w:id="98" w:name="_Toc403122512"/>
      <w:bookmarkStart w:id="99" w:name="_Toc426369501"/>
      <w:r>
        <w:rPr>
          <w:rFonts w:hint="eastAsia" w:asciiTheme="minorEastAsia" w:hAnsiTheme="minorEastAsia" w:eastAsiaTheme="minorEastAsia" w:cstheme="minorEastAsia"/>
          <w:b/>
          <w:bCs/>
          <w:color w:val="auto"/>
          <w:sz w:val="24"/>
          <w:highlight w:val="none"/>
        </w:rPr>
        <w:t>3.5 资格审查资料</w:t>
      </w:r>
      <w:bookmarkEnd w:id="96"/>
      <w:bookmarkEnd w:id="97"/>
      <w:bookmarkEnd w:id="98"/>
      <w:bookmarkEnd w:id="99"/>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w:t>
      </w:r>
      <w:r>
        <w:rPr>
          <w:rFonts w:hint="eastAsia" w:ascii="宋体" w:hAnsi="宋体" w:cs="宋体"/>
          <w:color w:val="auto"/>
          <w:kern w:val="0"/>
          <w:szCs w:val="21"/>
          <w:highlight w:val="none"/>
        </w:rPr>
        <w:t>依据“供应商须知前附表”中的要求提交相应的资格证明文件，作为投标文件的一部分，以证明其有资格进行投标和有能力履行合同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color w:val="auto"/>
          <w:szCs w:val="21"/>
          <w:highlight w:val="none"/>
        </w:rPr>
        <w:t xml:space="preserve">。 </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3.5.2招标文件规定的供应商资格条件。</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0" w:name="_Toc426369502"/>
      <w:bookmarkStart w:id="101" w:name="_Toc403122513"/>
      <w:bookmarkStart w:id="102" w:name="_Toc279599792"/>
      <w:bookmarkStart w:id="103" w:name="_Toc274249596"/>
      <w:r>
        <w:rPr>
          <w:rFonts w:hint="eastAsia" w:asciiTheme="minorEastAsia" w:hAnsiTheme="minorEastAsia" w:eastAsiaTheme="minorEastAsia" w:cstheme="minorEastAsia"/>
          <w:b/>
          <w:bCs/>
          <w:color w:val="auto"/>
          <w:sz w:val="24"/>
          <w:highlight w:val="none"/>
        </w:rPr>
        <w:t>3.6 备选投标方案</w:t>
      </w:r>
      <w:bookmarkEnd w:id="100"/>
      <w:bookmarkEnd w:id="101"/>
      <w:bookmarkEnd w:id="102"/>
      <w:bookmarkEnd w:id="103"/>
    </w:p>
    <w:p>
      <w:pPr>
        <w:tabs>
          <w:tab w:val="left" w:pos="3570"/>
        </w:tabs>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供应商不得递交备选投标方案。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4" w:name="_Toc403122514"/>
      <w:bookmarkStart w:id="105" w:name="_Toc279599793"/>
      <w:bookmarkStart w:id="106" w:name="_Toc426369503"/>
      <w:bookmarkStart w:id="107" w:name="_Toc274249597"/>
      <w:r>
        <w:rPr>
          <w:rFonts w:hint="eastAsia" w:asciiTheme="minorEastAsia" w:hAnsiTheme="minorEastAsia" w:eastAsiaTheme="minorEastAsia" w:cstheme="minorEastAsia"/>
          <w:b/>
          <w:bCs/>
          <w:color w:val="auto"/>
          <w:sz w:val="24"/>
          <w:highlight w:val="none"/>
        </w:rPr>
        <w:t>3.7 投标文件的编制</w:t>
      </w:r>
      <w:bookmarkEnd w:id="104"/>
      <w:bookmarkEnd w:id="105"/>
      <w:bookmarkEnd w:id="106"/>
      <w:bookmarkEnd w:id="107"/>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投标文件应按招标文件中要求</w:t>
      </w:r>
      <w:r>
        <w:rPr>
          <w:rFonts w:hint="eastAsia" w:ascii="宋体" w:hAnsi="宋体" w:cs="宋体"/>
          <w:color w:val="auto"/>
          <w:kern w:val="0"/>
          <w:szCs w:val="21"/>
          <w:highlight w:val="none"/>
        </w:rPr>
        <w:t>使用焦作市公共资源交易系统投标文件制作专用工具软件编制</w:t>
      </w:r>
      <w:r>
        <w:rPr>
          <w:rFonts w:hint="eastAsia" w:asciiTheme="minorEastAsia" w:hAnsiTheme="minorEastAsia" w:eastAsiaTheme="minorEastAsia" w:cstheme="minorEastAsia"/>
          <w:color w:val="auto"/>
          <w:szCs w:val="21"/>
          <w:highlight w:val="none"/>
        </w:rPr>
        <w:t xml:space="preserve">。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  投标文件应当对招标文件有关</w:t>
      </w:r>
      <w:r>
        <w:rPr>
          <w:rFonts w:hint="eastAsia" w:asciiTheme="minorEastAsia" w:hAnsiTheme="minorEastAsia" w:eastAsiaTheme="minorEastAsia" w:cstheme="minorEastAsia"/>
          <w:color w:val="auto"/>
          <w:szCs w:val="21"/>
          <w:highlight w:val="none"/>
          <w:lang w:eastAsia="zh-CN"/>
        </w:rPr>
        <w:t>供货及安装期</w:t>
      </w:r>
      <w:r>
        <w:rPr>
          <w:rFonts w:hint="eastAsia" w:asciiTheme="minorEastAsia" w:hAnsiTheme="minorEastAsia" w:eastAsiaTheme="minorEastAsia" w:cstheme="minorEastAsia"/>
          <w:color w:val="auto"/>
          <w:szCs w:val="21"/>
          <w:highlight w:val="none"/>
        </w:rPr>
        <w:t>、投标有效期、质量标准、采购要求及服务内容、等实质性内容作出响应。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3.7.3 </w:t>
      </w:r>
      <w:r>
        <w:rPr>
          <w:rFonts w:hint="eastAsia" w:ascii="宋体" w:hAnsi="宋体" w:cs="宋体"/>
          <w:color w:val="auto"/>
          <w:kern w:val="0"/>
          <w:szCs w:val="21"/>
          <w:highlight w:val="none"/>
        </w:rPr>
        <w:t>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w:t>
      </w:r>
    </w:p>
    <w:p>
      <w:pPr>
        <w:pStyle w:val="23"/>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08" w:name="_Toc26998"/>
      <w:bookmarkStart w:id="109" w:name="_Toc30100"/>
      <w:bookmarkStart w:id="110" w:name="_Toc31809"/>
      <w:bookmarkStart w:id="111" w:name="_Toc426369504"/>
      <w:bookmarkStart w:id="112" w:name="_Toc21879"/>
      <w:bookmarkStart w:id="113" w:name="_Toc403122515"/>
      <w:r>
        <w:rPr>
          <w:rFonts w:hint="eastAsia" w:asciiTheme="minorEastAsia" w:hAnsiTheme="minorEastAsia" w:eastAsiaTheme="minorEastAsia" w:cstheme="minorEastAsia"/>
          <w:color w:val="auto"/>
          <w:sz w:val="24"/>
          <w:szCs w:val="24"/>
          <w:highlight w:val="none"/>
        </w:rPr>
        <w:t>4. 投标</w:t>
      </w:r>
      <w:bookmarkEnd w:id="108"/>
      <w:bookmarkEnd w:id="109"/>
      <w:bookmarkEnd w:id="110"/>
      <w:bookmarkEnd w:id="111"/>
      <w:bookmarkEnd w:id="112"/>
      <w:bookmarkEnd w:id="11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4" w:name="_Toc426369505"/>
      <w:bookmarkStart w:id="115" w:name="_Toc279599795"/>
      <w:bookmarkStart w:id="116" w:name="_Toc274249599"/>
      <w:bookmarkStart w:id="117" w:name="_Toc403122516"/>
      <w:r>
        <w:rPr>
          <w:rFonts w:hint="eastAsia" w:asciiTheme="minorEastAsia" w:hAnsiTheme="minorEastAsia" w:eastAsiaTheme="minorEastAsia" w:cstheme="minorEastAsia"/>
          <w:b/>
          <w:bCs/>
          <w:color w:val="auto"/>
          <w:sz w:val="24"/>
          <w:highlight w:val="none"/>
        </w:rPr>
        <w:t>4.1 投标文件的密封和标记</w:t>
      </w:r>
      <w:bookmarkEnd w:id="114"/>
      <w:bookmarkEnd w:id="115"/>
      <w:bookmarkEnd w:id="116"/>
      <w:bookmarkEnd w:id="117"/>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4.1.1.本项目采用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8" w:name="_Toc403122517"/>
      <w:bookmarkStart w:id="119" w:name="_Toc426369506"/>
      <w:bookmarkStart w:id="120" w:name="_Toc279599796"/>
      <w:bookmarkStart w:id="121" w:name="_Toc274249600"/>
      <w:r>
        <w:rPr>
          <w:rFonts w:hint="eastAsia" w:asciiTheme="minorEastAsia" w:hAnsiTheme="minorEastAsia" w:eastAsiaTheme="minorEastAsia" w:cstheme="minorEastAsia"/>
          <w:b/>
          <w:bCs/>
          <w:color w:val="auto"/>
          <w:sz w:val="24"/>
          <w:highlight w:val="none"/>
        </w:rPr>
        <w:t>4.2 投标文件的递交</w:t>
      </w:r>
      <w:bookmarkEnd w:id="118"/>
      <w:bookmarkEnd w:id="119"/>
      <w:bookmarkEnd w:id="120"/>
      <w:bookmarkEnd w:id="121"/>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提前上传，按要求</w:t>
      </w:r>
      <w:r>
        <w:rPr>
          <w:rFonts w:hint="eastAsia" w:ascii="宋体" w:hAnsi="宋体"/>
          <w:color w:val="auto"/>
          <w:szCs w:val="21"/>
          <w:highlight w:val="none"/>
        </w:rPr>
        <w:t>在线签到、解密文件等，解密时间为投标截止时后30分钟内，</w:t>
      </w:r>
      <w:r>
        <w:rPr>
          <w:rFonts w:hint="eastAsia" w:ascii="宋体" w:hAnsi="宋体" w:cs="宋体"/>
          <w:color w:val="auto"/>
          <w:kern w:val="0"/>
          <w:szCs w:val="21"/>
          <w:highlight w:val="none"/>
        </w:rPr>
        <w:t>不能按时上传、解密者视为自动放弃投标。</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22" w:name="_Hlt26954862"/>
      <w:bookmarkEnd w:id="122"/>
      <w:bookmarkStart w:id="123" w:name="_Hlt26954754"/>
      <w:bookmarkEnd w:id="12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4" w:name="_Toc403122518"/>
      <w:bookmarkStart w:id="125" w:name="_Toc279599797"/>
      <w:bookmarkStart w:id="126" w:name="_Toc274249601"/>
      <w:bookmarkStart w:id="127" w:name="_Toc426369507"/>
      <w:r>
        <w:rPr>
          <w:rFonts w:hint="eastAsia" w:asciiTheme="minorEastAsia" w:hAnsiTheme="minorEastAsia" w:eastAsiaTheme="minorEastAsia" w:cstheme="minorEastAsia"/>
          <w:b/>
          <w:bCs/>
          <w:color w:val="auto"/>
          <w:sz w:val="24"/>
          <w:highlight w:val="none"/>
        </w:rPr>
        <w:t>4.3 投标文件的修改与撤回</w:t>
      </w:r>
      <w:bookmarkEnd w:id="124"/>
      <w:bookmarkEnd w:id="125"/>
      <w:bookmarkEnd w:id="126"/>
      <w:bookmarkEnd w:id="127"/>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4.3.3  修改的内容为投标文件的组成部分。修改的投标文件应按照本章第 3 条、第 4 条规定进行编制、密封、标记和递交，并标明“修改”字样。 </w:t>
      </w:r>
    </w:p>
    <w:p>
      <w:pPr>
        <w:pStyle w:val="23"/>
        <w:spacing w:before="120" w:after="120" w:line="500" w:lineRule="exact"/>
        <w:ind w:right="-1029" w:rightChars="-490" w:firstLine="482" w:firstLineChars="200"/>
        <w:jc w:val="left"/>
        <w:outlineLvl w:val="1"/>
        <w:rPr>
          <w:rFonts w:asciiTheme="minorEastAsia" w:hAnsiTheme="minorEastAsia" w:eastAsiaTheme="minorEastAsia" w:cstheme="minorEastAsia"/>
          <w:color w:val="auto"/>
          <w:sz w:val="24"/>
          <w:szCs w:val="24"/>
          <w:highlight w:val="none"/>
        </w:rPr>
      </w:pPr>
      <w:bookmarkStart w:id="128" w:name="_Toc18170"/>
      <w:bookmarkStart w:id="129" w:name="_Toc426369508"/>
      <w:bookmarkStart w:id="130" w:name="_Toc5457"/>
      <w:bookmarkStart w:id="131" w:name="_Toc32449"/>
      <w:bookmarkStart w:id="132" w:name="_Toc22737"/>
      <w:bookmarkStart w:id="133" w:name="_Toc403122519"/>
      <w:r>
        <w:rPr>
          <w:rFonts w:hint="eastAsia" w:asciiTheme="minorEastAsia" w:hAnsiTheme="minorEastAsia" w:eastAsiaTheme="minorEastAsia" w:cstheme="minorEastAsia"/>
          <w:color w:val="auto"/>
          <w:sz w:val="24"/>
          <w:szCs w:val="24"/>
          <w:highlight w:val="none"/>
        </w:rPr>
        <w:t>5. 开标</w:t>
      </w:r>
      <w:bookmarkEnd w:id="128"/>
      <w:bookmarkEnd w:id="129"/>
      <w:bookmarkEnd w:id="130"/>
      <w:bookmarkEnd w:id="131"/>
      <w:bookmarkEnd w:id="132"/>
      <w:bookmarkEnd w:id="13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.1采购人在规定的投标截止时间（开标时间）和供应商须知前附表规定的地点公开开标。本项目采用“远程不见面”的开标方式,载明远程开标大厅网址（http://122.112.246.33/BidOpening/bidopeninghallaction/hall/login ）。供应商无需到现场参加开标会议，无需到达现场提交原件资料。供应商应当在线准时参加开标活动并进行文件解密、答疑澄清等。在规定时间内投标文件未解密的供应商，视为放弃投标。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所有投标文件必须在本招标文件中规定的投标截止时间之前提前上传投标文件，按要求解密投标文件，不能按时上传、解密者视为自动放弃投标。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5.1.2供应商不足3家的，不得开标。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34" w:name="_Toc279599799"/>
      <w:bookmarkStart w:id="135" w:name="_Toc274249603"/>
      <w:bookmarkStart w:id="136" w:name="_Toc403122520"/>
      <w:bookmarkStart w:id="137" w:name="_Toc426369509"/>
      <w:r>
        <w:rPr>
          <w:rFonts w:hint="eastAsia" w:asciiTheme="minorEastAsia" w:hAnsiTheme="minorEastAsia" w:eastAsiaTheme="minorEastAsia" w:cstheme="minorEastAsia"/>
          <w:b/>
          <w:bCs/>
          <w:color w:val="auto"/>
          <w:sz w:val="24"/>
          <w:highlight w:val="none"/>
        </w:rPr>
        <w:t>5.2 开标时间和地点</w:t>
      </w:r>
      <w:bookmarkEnd w:id="134"/>
      <w:bookmarkEnd w:id="135"/>
      <w:bookmarkEnd w:id="136"/>
      <w:bookmarkEnd w:id="13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38" w:name="_Toc426369510"/>
      <w:bookmarkStart w:id="139" w:name="_Toc403122521"/>
      <w:bookmarkStart w:id="140" w:name="_Toc274249604"/>
      <w:bookmarkStart w:id="141" w:name="_Toc279599800"/>
      <w:r>
        <w:rPr>
          <w:rFonts w:hint="eastAsia" w:asciiTheme="minorEastAsia" w:hAnsiTheme="minorEastAsia" w:eastAsiaTheme="minorEastAsia" w:cstheme="minorEastAsia"/>
          <w:b/>
          <w:bCs/>
          <w:color w:val="auto"/>
          <w:sz w:val="24"/>
          <w:highlight w:val="none"/>
        </w:rPr>
        <w:t>5.3开标程序</w:t>
      </w:r>
      <w:bookmarkEnd w:id="138"/>
      <w:bookmarkEnd w:id="139"/>
      <w:bookmarkEnd w:id="140"/>
      <w:bookmarkEnd w:id="141"/>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42" w:name="_Toc426369511"/>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.1本</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zh-CN"/>
        </w:rPr>
        <w:t>采用电子开标。投标截止时间到达后，各供应商对电子投标文件进行解密。解密完成后各供应商的电子投标文件的实质性内容将自动显示在网页中。供应商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主持人按下列程序进行开标：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）电子投标文件解密；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）供应商代表、采购人、监标人等有关人员在开标记录上签字确认；</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）开标结束。</w:t>
      </w:r>
    </w:p>
    <w:p>
      <w:pPr>
        <w:spacing w:line="400" w:lineRule="exact"/>
        <w:ind w:firstLine="630" w:firstLineChars="3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5.3.</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（1）经检查数字证书无效的投标文件；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（2）供应商未按供应商须知前附表规定的时间内解密投标文件的；</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5.4开标异议</w:t>
      </w:r>
      <w:bookmarkEnd w:id="142"/>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43" w:name="_Toc403122522"/>
      <w:bookmarkStart w:id="144" w:name="_Toc426369512"/>
      <w:bookmarkStart w:id="145" w:name="_Toc12881"/>
      <w:bookmarkStart w:id="146" w:name="_Toc21662"/>
      <w:r>
        <w:rPr>
          <w:rFonts w:hint="eastAsia" w:asciiTheme="minorEastAsia" w:hAnsiTheme="minorEastAsia" w:eastAsiaTheme="minorEastAsia" w:cstheme="minorEastAsia"/>
          <w:color w:val="auto"/>
          <w:szCs w:val="21"/>
          <w:highlight w:val="none"/>
        </w:rPr>
        <w:t>5.4.1</w:t>
      </w:r>
      <w:r>
        <w:rPr>
          <w:rFonts w:hint="eastAsia" w:asciiTheme="minorEastAsia" w:hAnsiTheme="minorEastAsia" w:eastAsiaTheme="minorEastAsia" w:cstheme="minorEastAsia"/>
          <w:color w:val="auto"/>
          <w:szCs w:val="21"/>
          <w:highlight w:val="none"/>
          <w:lang w:val="zh-CN"/>
        </w:rPr>
        <w:t>供应商对开标有异议的，应当在开标现场提出（</w:t>
      </w:r>
      <w:bookmarkStart w:id="147" w:name="_Toc12998"/>
      <w:r>
        <w:rPr>
          <w:rFonts w:hint="eastAsia" w:asciiTheme="minorEastAsia" w:hAnsiTheme="minorEastAsia" w:eastAsiaTheme="minorEastAsia" w:cstheme="minorEastAsia"/>
          <w:color w:val="auto"/>
          <w:szCs w:val="21"/>
          <w:highlight w:val="none"/>
          <w:lang w:val="zh-CN"/>
        </w:rPr>
        <w:t>语音异议</w:t>
      </w:r>
      <w:bookmarkEnd w:id="147"/>
      <w:r>
        <w:rPr>
          <w:rFonts w:hint="eastAsia" w:asciiTheme="minorEastAsia" w:hAnsiTheme="minorEastAsia" w:eastAsiaTheme="minorEastAsia" w:cstheme="minorEastAsia"/>
          <w:color w:val="auto"/>
          <w:szCs w:val="21"/>
          <w:highlight w:val="none"/>
          <w:lang w:val="zh-CN"/>
        </w:rPr>
        <w:t>、</w:t>
      </w:r>
      <w:bookmarkStart w:id="148" w:name="_Toc20745"/>
      <w:r>
        <w:rPr>
          <w:rFonts w:hint="eastAsia" w:asciiTheme="minorEastAsia" w:hAnsiTheme="minorEastAsia" w:eastAsiaTheme="minorEastAsia" w:cstheme="minorEastAsia"/>
          <w:color w:val="auto"/>
          <w:szCs w:val="21"/>
          <w:highlight w:val="none"/>
          <w:lang w:val="zh-CN"/>
        </w:rPr>
        <w:t>文字异议</w:t>
      </w:r>
      <w:bookmarkEnd w:id="148"/>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采购</w:t>
      </w:r>
      <w:r>
        <w:rPr>
          <w:rFonts w:hint="eastAsia" w:asciiTheme="minorEastAsia" w:hAnsiTheme="minorEastAsia" w:eastAsiaTheme="minorEastAsia" w:cstheme="minorEastAsia"/>
          <w:color w:val="auto"/>
          <w:szCs w:val="21"/>
          <w:highlight w:val="none"/>
          <w:lang w:val="zh-CN"/>
        </w:rPr>
        <w:t>人当场作出答复，并制作记录。</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5.4.2</w:t>
      </w:r>
      <w:r>
        <w:rPr>
          <w:rFonts w:hint="eastAsia" w:asciiTheme="minorEastAsia" w:hAnsiTheme="minorEastAsia" w:eastAsiaTheme="minorEastAsia" w:cstheme="minorEastAsia"/>
          <w:color w:val="auto"/>
          <w:szCs w:val="21"/>
          <w:highlight w:val="none"/>
          <w:lang w:val="zh-CN"/>
        </w:rPr>
        <w:t>开标异常处理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(l）系统服务器发生故障，无法访问或无法使用系统；</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 xml:space="preserve">(2） </w:t>
      </w:r>
      <w:r>
        <w:rPr>
          <w:rFonts w:hint="eastAsia" w:asciiTheme="minorEastAsia" w:hAnsiTheme="minorEastAsia" w:eastAsiaTheme="minorEastAsia" w:cstheme="minorEastAsia"/>
          <w:color w:val="auto"/>
          <w:szCs w:val="21"/>
          <w:highlight w:val="none"/>
          <w:lang w:val="zh-CN"/>
        </w:rPr>
        <w:t>系统的软件或数据库出现错误，不能进行正常操作；</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）系统发现有安全漏洞，有潜在的泄密危险；</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zh-CN"/>
        </w:rPr>
        <w:t>）出现断电事故且短时间内无法恢复供电；</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 xml:space="preserve">（5） </w:t>
      </w:r>
      <w:r>
        <w:rPr>
          <w:rFonts w:hint="eastAsia" w:asciiTheme="minorEastAsia" w:hAnsiTheme="minorEastAsia" w:eastAsiaTheme="minorEastAsia" w:cstheme="minorEastAsia"/>
          <w:color w:val="auto"/>
          <w:szCs w:val="21"/>
          <w:highlight w:val="none"/>
          <w:lang w:val="zh-CN"/>
        </w:rPr>
        <w:t>其他无法保证招投标过程正常进行的情形；</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w:t>
      </w:r>
      <w:bookmarkStart w:id="149" w:name="_Toc9927"/>
      <w:bookmarkStart w:id="150" w:name="_Toc13445"/>
      <w:r>
        <w:rPr>
          <w:rFonts w:hint="eastAsia" w:asciiTheme="minorEastAsia" w:hAnsiTheme="minorEastAsia" w:eastAsiaTheme="minorEastAsia" w:cstheme="minorEastAsia"/>
          <w:b/>
          <w:bCs/>
          <w:color w:val="auto"/>
          <w:szCs w:val="21"/>
          <w:highlight w:val="none"/>
        </w:rPr>
        <w:t>5.资格审查工作</w:t>
      </w:r>
      <w:bookmarkEnd w:id="149"/>
      <w:bookmarkEnd w:id="150"/>
    </w:p>
    <w:p>
      <w:pPr>
        <w:spacing w:line="400" w:lineRule="exact"/>
        <w:ind w:firstLine="420" w:firstLineChars="200"/>
        <w:rPr>
          <w:rFonts w:asciiTheme="minorEastAsia" w:hAnsiTheme="minorEastAsia" w:eastAsiaTheme="minorEastAsia" w:cstheme="minorEastAsia"/>
          <w:color w:val="auto"/>
          <w:szCs w:val="21"/>
          <w:highlight w:val="none"/>
        </w:rPr>
      </w:pPr>
      <w:bookmarkStart w:id="151" w:name="_Toc18803"/>
      <w:bookmarkStart w:id="152" w:name="_Toc22488"/>
      <w:bookmarkStart w:id="153" w:name="_Toc15919"/>
      <w:bookmarkStart w:id="154" w:name="_Toc25275"/>
      <w:bookmarkStart w:id="155" w:name="_Toc18888"/>
      <w:bookmarkStart w:id="156" w:name="_Toc25448"/>
      <w:bookmarkStart w:id="157" w:name="_Toc18806"/>
      <w:r>
        <w:rPr>
          <w:rFonts w:hint="eastAsia" w:asciiTheme="minorEastAsia" w:hAnsiTheme="minorEastAsia" w:eastAsiaTheme="minorEastAsia" w:cstheme="minorEastAsia"/>
          <w:color w:val="auto"/>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1"/>
      <w:bookmarkEnd w:id="152"/>
      <w:bookmarkEnd w:id="153"/>
      <w:bookmarkEnd w:id="154"/>
      <w:bookmarkEnd w:id="155"/>
      <w:bookmarkEnd w:id="156"/>
      <w:bookmarkEnd w:id="157"/>
    </w:p>
    <w:p>
      <w:pPr>
        <w:pStyle w:val="23"/>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58" w:name="_Toc4643"/>
      <w:bookmarkStart w:id="159" w:name="_Toc6889"/>
      <w:r>
        <w:rPr>
          <w:rFonts w:hint="eastAsia" w:asciiTheme="minorEastAsia" w:hAnsiTheme="minorEastAsia" w:eastAsiaTheme="minorEastAsia" w:cstheme="minorEastAsia"/>
          <w:color w:val="auto"/>
          <w:sz w:val="24"/>
          <w:szCs w:val="24"/>
          <w:highlight w:val="none"/>
        </w:rPr>
        <w:t>6. 评标</w:t>
      </w:r>
      <w:bookmarkEnd w:id="143"/>
      <w:bookmarkEnd w:id="144"/>
      <w:bookmarkEnd w:id="145"/>
      <w:bookmarkEnd w:id="146"/>
      <w:bookmarkEnd w:id="158"/>
      <w:bookmarkEnd w:id="159"/>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0" w:name="_Toc426369513"/>
      <w:bookmarkStart w:id="161" w:name="_Toc274249606"/>
      <w:bookmarkStart w:id="162" w:name="_Toc279599802"/>
      <w:bookmarkStart w:id="163" w:name="_Toc403122523"/>
      <w:r>
        <w:rPr>
          <w:rFonts w:hint="eastAsia" w:asciiTheme="minorEastAsia" w:hAnsiTheme="minorEastAsia" w:eastAsiaTheme="minorEastAsia" w:cstheme="minorEastAsia"/>
          <w:b/>
          <w:bCs/>
          <w:color w:val="auto"/>
          <w:sz w:val="24"/>
          <w:highlight w:val="none"/>
        </w:rPr>
        <w:t>6.1 评标委员会</w:t>
      </w:r>
      <w:bookmarkEnd w:id="160"/>
      <w:bookmarkEnd w:id="161"/>
      <w:bookmarkEnd w:id="162"/>
      <w:bookmarkEnd w:id="16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4" w:name="_Toc279599803"/>
      <w:bookmarkStart w:id="165" w:name="_Toc403122524"/>
      <w:bookmarkStart w:id="166" w:name="_Toc426369514"/>
      <w:bookmarkStart w:id="167" w:name="_Toc274249607"/>
      <w:r>
        <w:rPr>
          <w:rFonts w:hint="eastAsia" w:asciiTheme="minorEastAsia" w:hAnsiTheme="minorEastAsia" w:eastAsiaTheme="minorEastAsia" w:cstheme="minorEastAsia"/>
          <w:b/>
          <w:bCs/>
          <w:color w:val="auto"/>
          <w:sz w:val="24"/>
          <w:highlight w:val="none"/>
        </w:rPr>
        <w:t>6.2 评标原则</w:t>
      </w:r>
      <w:bookmarkEnd w:id="164"/>
      <w:bookmarkEnd w:id="165"/>
      <w:bookmarkEnd w:id="166"/>
      <w:bookmarkEnd w:id="167"/>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评标活动遵循公平、公正、科学和择优的原则。 </w:t>
      </w:r>
    </w:p>
    <w:p>
      <w:pPr>
        <w:spacing w:line="400" w:lineRule="exact"/>
        <w:ind w:firstLine="482" w:firstLineChars="200"/>
        <w:rPr>
          <w:rFonts w:asciiTheme="minorEastAsia" w:hAnsiTheme="minorEastAsia" w:eastAsiaTheme="minorEastAsia" w:cstheme="minorEastAsia"/>
          <w:color w:val="auto"/>
          <w:szCs w:val="21"/>
          <w:highlight w:val="none"/>
        </w:rPr>
      </w:pPr>
      <w:bookmarkStart w:id="168" w:name="_Toc274249608"/>
      <w:bookmarkStart w:id="169" w:name="_Toc426369515"/>
      <w:bookmarkStart w:id="170" w:name="_Toc403122525"/>
      <w:bookmarkStart w:id="171" w:name="_Toc279599804"/>
      <w:r>
        <w:rPr>
          <w:rFonts w:hint="eastAsia" w:asciiTheme="minorEastAsia" w:hAnsiTheme="minorEastAsia" w:eastAsiaTheme="minorEastAsia" w:cstheme="minorEastAsia"/>
          <w:b/>
          <w:bCs/>
          <w:color w:val="auto"/>
          <w:sz w:val="24"/>
          <w:highlight w:val="none"/>
        </w:rPr>
        <w:t>6.3 评标</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6.3.1在评审过程中，评标委员会发现供应商有下列情形之一的，视为供应商相互串通投标，按照无效投标处理并依据法律、法规追究其相关责任。具体表现形式如下：</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同供应商的投标文件由同一单位或者个人编制；</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（2）不同供应商委托同一单位或者个人办理投标事宜；</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（3）不同供应商的投标文件载明的项目管理成员或者联系人员为同一人；</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（4）不同供应商的投标文件异常一致或者投标报价呈规律性差异；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）有证据证明供应商与采购人、采购代理机构或者其他供应商串通的其他情形；</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6.3.3评标时，评标委员会各成员应当独立对每个供应商的投标文件进行评价，并汇总每个供应商的得分。</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评标完成后，评标委员会应当向采购人提交书面评标报告和中标候选人名单。评标委员会推荐中标候选人的人数见供应商须知前附表。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（1）审查、评价投标文件是否符合招标文件的实质性要求；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（2）要求供应商对投标文件有关事项作出澄清或者说明；</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color w:val="auto"/>
          <w:spacing w:val="1"/>
          <w:kern w:val="0"/>
          <w:szCs w:val="21"/>
          <w:highlight w:val="none"/>
        </w:rPr>
      </w:pPr>
      <w:r>
        <w:rPr>
          <w:rFonts w:hint="eastAsia" w:ascii="宋体" w:hAnsi="宋体" w:cs="宋体"/>
          <w:b/>
          <w:bCs/>
          <w:color w:val="auto"/>
          <w:spacing w:val="1"/>
          <w:kern w:val="0"/>
          <w:szCs w:val="21"/>
          <w:highlight w:val="none"/>
        </w:rPr>
        <w:t>6.4  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招标采购中，出现下列情形之一的，应予废标：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（1）符合专业条件的供应商或者对招标文件作实质响应的供应商不足三家的；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（3）供应商的报价均超过了采购预算，采购人不能支付的；</w:t>
      </w:r>
    </w:p>
    <w:p>
      <w:pPr>
        <w:spacing w:line="40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（4）因重大变故，采购任务取消的。废标后，采购人应当将废标理由通知所有供应商。</w:t>
      </w:r>
    </w:p>
    <w:p>
      <w:pPr>
        <w:pStyle w:val="23"/>
        <w:spacing w:before="120" w:after="120" w:line="500" w:lineRule="exact"/>
        <w:ind w:right="-1029" w:rightChars="-490" w:firstLine="482" w:firstLineChars="200"/>
        <w:jc w:val="both"/>
        <w:outlineLvl w:val="1"/>
        <w:rPr>
          <w:color w:val="auto"/>
          <w:highlight w:val="none"/>
        </w:rPr>
      </w:pPr>
      <w:bookmarkStart w:id="172" w:name="_Toc403122526"/>
      <w:bookmarkStart w:id="173" w:name="_Toc26569"/>
      <w:bookmarkStart w:id="174" w:name="_Toc426369516"/>
      <w:bookmarkStart w:id="175" w:name="_Toc17811"/>
      <w:bookmarkStart w:id="176" w:name="_Toc22968"/>
      <w:bookmarkStart w:id="177" w:name="_Toc8566"/>
      <w:r>
        <w:rPr>
          <w:rFonts w:hint="eastAsia" w:asciiTheme="minorEastAsia" w:hAnsiTheme="minorEastAsia" w:eastAsiaTheme="minorEastAsia" w:cstheme="minorEastAsia"/>
          <w:color w:val="auto"/>
          <w:sz w:val="24"/>
          <w:szCs w:val="24"/>
          <w:highlight w:val="none"/>
        </w:rPr>
        <w:t>7. 合同授予</w:t>
      </w:r>
      <w:bookmarkEnd w:id="172"/>
      <w:bookmarkEnd w:id="173"/>
      <w:bookmarkEnd w:id="174"/>
      <w:bookmarkEnd w:id="175"/>
      <w:bookmarkEnd w:id="176"/>
      <w:bookmarkEnd w:id="177"/>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8" w:name="_Toc279599806"/>
      <w:bookmarkStart w:id="179" w:name="_Toc426369517"/>
      <w:bookmarkStart w:id="180" w:name="_Toc403122527"/>
      <w:bookmarkStart w:id="181" w:name="_Toc274249610"/>
      <w:r>
        <w:rPr>
          <w:rFonts w:hint="eastAsia" w:asciiTheme="minorEastAsia" w:hAnsiTheme="minorEastAsia" w:eastAsiaTheme="minorEastAsia" w:cstheme="minorEastAsia"/>
          <w:b/>
          <w:bCs/>
          <w:color w:val="auto"/>
          <w:sz w:val="24"/>
          <w:highlight w:val="none"/>
        </w:rPr>
        <w:t>7.1 定标方式</w:t>
      </w:r>
      <w:bookmarkEnd w:id="178"/>
      <w:bookmarkEnd w:id="179"/>
      <w:bookmarkEnd w:id="180"/>
      <w:bookmarkEnd w:id="18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中标或者成交供应商拒绝与采购人签订合同的，采购人可以按照评审报告推荐的中标或者成交候选人名单排序，确定下一候选人为中标或者成交供应商，也可以重新开展政府采购活动。</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2" w:name="_Toc426369518"/>
      <w:bookmarkStart w:id="183" w:name="_Toc274249611"/>
      <w:bookmarkStart w:id="184" w:name="_Toc279599807"/>
      <w:bookmarkStart w:id="185" w:name="_Toc403122528"/>
      <w:r>
        <w:rPr>
          <w:rFonts w:hint="eastAsia" w:asciiTheme="minorEastAsia" w:hAnsiTheme="minorEastAsia" w:eastAsiaTheme="minorEastAsia" w:cstheme="minorEastAsia"/>
          <w:b/>
          <w:bCs/>
          <w:color w:val="auto"/>
          <w:sz w:val="24"/>
          <w:highlight w:val="none"/>
        </w:rPr>
        <w:t>7.2 中标通知</w:t>
      </w:r>
      <w:bookmarkEnd w:id="182"/>
      <w:bookmarkEnd w:id="183"/>
      <w:bookmarkEnd w:id="184"/>
      <w:bookmarkEnd w:id="185"/>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7.2.1 在本章第3.3款规定的投标有效期内，采购人以书面形式向中标人发出中标通知书，同时将中标结果通知未中标的供应商。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6" w:name="_Toc311550376"/>
      <w:bookmarkStart w:id="187" w:name="_Toc279599808"/>
      <w:bookmarkStart w:id="188" w:name="_Toc274249612"/>
      <w:bookmarkStart w:id="189" w:name="_Toc426369519"/>
      <w:bookmarkStart w:id="190" w:name="_Toc403122529"/>
      <w:r>
        <w:rPr>
          <w:rFonts w:hint="eastAsia" w:asciiTheme="minorEastAsia" w:hAnsiTheme="minorEastAsia" w:eastAsiaTheme="minorEastAsia" w:cstheme="minorEastAsia"/>
          <w:b/>
          <w:bCs/>
          <w:color w:val="auto"/>
          <w:sz w:val="24"/>
          <w:highlight w:val="none"/>
        </w:rPr>
        <w:t>7.3履约</w:t>
      </w:r>
      <w:bookmarkEnd w:id="186"/>
      <w:bookmarkEnd w:id="187"/>
      <w:bookmarkEnd w:id="188"/>
      <w:r>
        <w:rPr>
          <w:rFonts w:hint="eastAsia" w:asciiTheme="minorEastAsia" w:hAnsiTheme="minorEastAsia" w:eastAsiaTheme="minorEastAsia" w:cstheme="minorEastAsia"/>
          <w:b/>
          <w:bCs/>
          <w:color w:val="auto"/>
          <w:sz w:val="24"/>
          <w:highlight w:val="none"/>
        </w:rPr>
        <w:t>保证金</w:t>
      </w:r>
      <w:bookmarkEnd w:id="189"/>
      <w:bookmarkEnd w:id="19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7.3.1履约保证金：无</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7.3.2投标保证金：无</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1" w:name="_Toc403122530"/>
      <w:bookmarkStart w:id="192" w:name="_Toc426369520"/>
      <w:bookmarkStart w:id="193" w:name="_Toc274249613"/>
      <w:bookmarkStart w:id="194" w:name="_Toc279599809"/>
      <w:r>
        <w:rPr>
          <w:rFonts w:hint="eastAsia" w:asciiTheme="minorEastAsia" w:hAnsiTheme="minorEastAsia" w:eastAsiaTheme="minorEastAsia" w:cstheme="minorEastAsia"/>
          <w:b/>
          <w:bCs/>
          <w:color w:val="auto"/>
          <w:sz w:val="24"/>
          <w:highlight w:val="none"/>
        </w:rPr>
        <w:t>7.4 签订合同</w:t>
      </w:r>
      <w:bookmarkEnd w:id="191"/>
      <w:bookmarkEnd w:id="192"/>
      <w:bookmarkEnd w:id="193"/>
      <w:bookmarkEnd w:id="19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7.4.2  发出中标通知书后，采购人无正当理由拒签合同的，给中标人造成损失的，还应当赔偿损失。</w:t>
      </w:r>
    </w:p>
    <w:p>
      <w:pPr>
        <w:pStyle w:val="23"/>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95" w:name="_Toc29014"/>
      <w:bookmarkStart w:id="196" w:name="_Toc10541"/>
      <w:bookmarkStart w:id="197" w:name="_Toc403122531"/>
      <w:bookmarkStart w:id="198" w:name="_Toc10417"/>
      <w:bookmarkStart w:id="199" w:name="_Toc30009"/>
      <w:bookmarkStart w:id="200" w:name="_Toc426369521"/>
      <w:r>
        <w:rPr>
          <w:rFonts w:hint="eastAsia" w:asciiTheme="minorEastAsia" w:hAnsiTheme="minorEastAsia" w:eastAsiaTheme="minorEastAsia" w:cstheme="minorEastAsia"/>
          <w:color w:val="auto"/>
          <w:sz w:val="24"/>
          <w:szCs w:val="24"/>
          <w:highlight w:val="none"/>
        </w:rPr>
        <w:t>8. 重新招标</w:t>
      </w:r>
      <w:bookmarkEnd w:id="195"/>
      <w:bookmarkEnd w:id="196"/>
      <w:bookmarkEnd w:id="197"/>
      <w:bookmarkEnd w:id="198"/>
      <w:bookmarkEnd w:id="199"/>
      <w:bookmarkEnd w:id="200"/>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1" w:name="_Toc279599811"/>
      <w:bookmarkStart w:id="202" w:name="_Toc426369522"/>
      <w:bookmarkStart w:id="203" w:name="_Toc403122532"/>
      <w:bookmarkStart w:id="204" w:name="_Toc274249615"/>
      <w:r>
        <w:rPr>
          <w:rFonts w:hint="eastAsia" w:asciiTheme="minorEastAsia" w:hAnsiTheme="minorEastAsia" w:eastAsiaTheme="minorEastAsia" w:cstheme="minorEastAsia"/>
          <w:b/>
          <w:bCs/>
          <w:color w:val="auto"/>
          <w:sz w:val="24"/>
          <w:highlight w:val="none"/>
        </w:rPr>
        <w:t>8.1 重新招标</w:t>
      </w:r>
      <w:bookmarkEnd w:id="201"/>
      <w:bookmarkEnd w:id="202"/>
      <w:bookmarkEnd w:id="203"/>
      <w:bookmarkEnd w:id="20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有下列情形之一的，采购人将重新招标：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（1）投标截止时间止，供应商少于3个的；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（2）经评标委员会评审后否决所有投标的。 </w:t>
      </w:r>
    </w:p>
    <w:p>
      <w:pPr>
        <w:pStyle w:val="23"/>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205" w:name="_Toc14622"/>
      <w:bookmarkStart w:id="206" w:name="_Toc403122533"/>
      <w:bookmarkStart w:id="207" w:name="_Toc3760"/>
      <w:bookmarkStart w:id="208" w:name="_Toc426369523"/>
      <w:bookmarkStart w:id="209" w:name="_Toc27398"/>
      <w:bookmarkStart w:id="210" w:name="_Toc10372"/>
      <w:r>
        <w:rPr>
          <w:rFonts w:hint="eastAsia" w:asciiTheme="minorEastAsia" w:hAnsiTheme="minorEastAsia" w:eastAsiaTheme="minorEastAsia" w:cstheme="minorEastAsia"/>
          <w:color w:val="auto"/>
          <w:sz w:val="24"/>
          <w:szCs w:val="24"/>
          <w:highlight w:val="none"/>
        </w:rPr>
        <w:t>9. 纪律和监督</w:t>
      </w:r>
      <w:bookmarkEnd w:id="205"/>
      <w:bookmarkEnd w:id="206"/>
      <w:bookmarkEnd w:id="207"/>
      <w:bookmarkEnd w:id="208"/>
      <w:bookmarkEnd w:id="209"/>
      <w:bookmarkEnd w:id="210"/>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1" w:name="_Toc426369524"/>
      <w:bookmarkStart w:id="212" w:name="_Toc279599814"/>
      <w:bookmarkStart w:id="213" w:name="_Toc274249618"/>
      <w:bookmarkStart w:id="214" w:name="_Toc403122534"/>
      <w:r>
        <w:rPr>
          <w:rFonts w:hint="eastAsia" w:asciiTheme="minorEastAsia" w:hAnsiTheme="minorEastAsia" w:eastAsiaTheme="minorEastAsia" w:cstheme="minorEastAsia"/>
          <w:b/>
          <w:bCs/>
          <w:color w:val="auto"/>
          <w:sz w:val="24"/>
          <w:highlight w:val="none"/>
        </w:rPr>
        <w:t>9.1 对采购人的纪律要求</w:t>
      </w:r>
      <w:bookmarkEnd w:id="211"/>
      <w:bookmarkEnd w:id="212"/>
      <w:bookmarkEnd w:id="213"/>
      <w:bookmarkEnd w:id="21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5" w:name="_Toc403122535"/>
      <w:bookmarkStart w:id="216" w:name="_Toc426369525"/>
      <w:bookmarkStart w:id="217" w:name="_Toc279599815"/>
      <w:bookmarkStart w:id="218" w:name="_Toc274249619"/>
      <w:r>
        <w:rPr>
          <w:rFonts w:hint="eastAsia" w:asciiTheme="minorEastAsia" w:hAnsiTheme="minorEastAsia" w:eastAsiaTheme="minorEastAsia" w:cstheme="minorEastAsia"/>
          <w:b/>
          <w:bCs/>
          <w:color w:val="auto"/>
          <w:sz w:val="24"/>
          <w:highlight w:val="none"/>
        </w:rPr>
        <w:t>9.2 对供应商的纪律要求</w:t>
      </w:r>
      <w:bookmarkEnd w:id="215"/>
      <w:bookmarkEnd w:id="216"/>
      <w:bookmarkEnd w:id="217"/>
      <w:bookmarkEnd w:id="21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9" w:name="_Toc426369526"/>
      <w:bookmarkStart w:id="220" w:name="_Toc274249620"/>
      <w:bookmarkStart w:id="221" w:name="_Toc279599816"/>
      <w:bookmarkStart w:id="222" w:name="_Toc403122536"/>
      <w:r>
        <w:rPr>
          <w:rFonts w:hint="eastAsia" w:asciiTheme="minorEastAsia" w:hAnsiTheme="minorEastAsia" w:eastAsiaTheme="minorEastAsia" w:cstheme="minorEastAsia"/>
          <w:b/>
          <w:bCs/>
          <w:color w:val="auto"/>
          <w:sz w:val="24"/>
          <w:highlight w:val="none"/>
        </w:rPr>
        <w:t>9.3 对评标委员会成员的纪律要求</w:t>
      </w:r>
      <w:bookmarkEnd w:id="219"/>
      <w:bookmarkEnd w:id="220"/>
      <w:bookmarkEnd w:id="221"/>
      <w:bookmarkEnd w:id="22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23" w:name="_Toc426369527"/>
      <w:bookmarkStart w:id="224" w:name="_Toc279599817"/>
      <w:bookmarkStart w:id="225" w:name="_Toc403122537"/>
      <w:bookmarkStart w:id="226" w:name="_Toc274249621"/>
      <w:r>
        <w:rPr>
          <w:rFonts w:hint="eastAsia" w:asciiTheme="minorEastAsia" w:hAnsiTheme="minorEastAsia" w:eastAsiaTheme="minorEastAsia" w:cstheme="minorEastAsia"/>
          <w:b/>
          <w:bCs/>
          <w:color w:val="auto"/>
          <w:sz w:val="24"/>
          <w:highlight w:val="none"/>
        </w:rPr>
        <w:t>9.4 对与评标活动有关的工作人员的纪律要求</w:t>
      </w:r>
      <w:bookmarkEnd w:id="223"/>
      <w:bookmarkEnd w:id="224"/>
      <w:bookmarkEnd w:id="225"/>
      <w:bookmarkEnd w:id="22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27" w:name="_Toc279599818"/>
      <w:bookmarkStart w:id="228" w:name="_Toc426369528"/>
      <w:bookmarkStart w:id="229" w:name="_Toc274249622"/>
      <w:bookmarkStart w:id="230" w:name="_Toc403122538"/>
      <w:r>
        <w:rPr>
          <w:rFonts w:hint="eastAsia" w:asciiTheme="minorEastAsia" w:hAnsiTheme="minorEastAsia" w:eastAsiaTheme="minorEastAsia" w:cstheme="minorEastAsia"/>
          <w:b/>
          <w:bCs/>
          <w:color w:val="auto"/>
          <w:sz w:val="24"/>
          <w:highlight w:val="none"/>
        </w:rPr>
        <w:t>9.5 投诉</w:t>
      </w:r>
      <w:bookmarkEnd w:id="227"/>
      <w:bookmarkEnd w:id="228"/>
      <w:bookmarkEnd w:id="229"/>
      <w:bookmarkEnd w:id="23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供应商和其他利害关系人认为本次招标活动违反法律、法规和规章规定的，有权向有关行政监督部门投诉。 </w:t>
      </w:r>
    </w:p>
    <w:p>
      <w:pPr>
        <w:pStyle w:val="23"/>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231" w:name="_Toc403122539"/>
      <w:bookmarkStart w:id="232" w:name="_Toc26812"/>
      <w:bookmarkStart w:id="233" w:name="_Toc10880"/>
      <w:bookmarkStart w:id="234" w:name="_Toc25080"/>
      <w:bookmarkStart w:id="235" w:name="_Toc426369529"/>
      <w:bookmarkStart w:id="236" w:name="_Toc13281"/>
      <w:r>
        <w:rPr>
          <w:rFonts w:hint="eastAsia" w:asciiTheme="minorEastAsia" w:hAnsiTheme="minorEastAsia" w:eastAsiaTheme="minorEastAsia" w:cstheme="minorEastAsia"/>
          <w:color w:val="auto"/>
          <w:sz w:val="24"/>
          <w:szCs w:val="24"/>
          <w:highlight w:val="none"/>
        </w:rPr>
        <w:t>10. 需要补充的其他内容</w:t>
      </w:r>
      <w:bookmarkEnd w:id="231"/>
      <w:bookmarkEnd w:id="232"/>
      <w:bookmarkEnd w:id="233"/>
      <w:bookmarkEnd w:id="234"/>
      <w:bookmarkEnd w:id="235"/>
      <w:bookmarkEnd w:id="236"/>
    </w:p>
    <w:p>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10.1 费用承担</w:t>
      </w:r>
    </w:p>
    <w:p>
      <w:pPr>
        <w:autoSpaceDE w:val="0"/>
        <w:autoSpaceDN w:val="0"/>
        <w:adjustRightInd w:val="0"/>
        <w:spacing w:line="440" w:lineRule="exact"/>
        <w:ind w:left="17" w:leftChars="8"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（1）无论投标结果如何，供应商应自行承担所有参与投标的全部费用，采购人和采购代理机构在任何情况下均无义务和责任承担上述费用。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（2）招标代理服务费由中标人支付。</w:t>
      </w:r>
    </w:p>
    <w:p>
      <w:pPr>
        <w:autoSpaceDE w:val="0"/>
        <w:autoSpaceDN w:val="0"/>
        <w:adjustRightInd w:val="0"/>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（3）供应商与采购人签订合同后，将合同报采购代理机构备案。</w:t>
      </w:r>
    </w:p>
    <w:p>
      <w:pPr>
        <w:pStyle w:val="36"/>
        <w:ind w:firstLine="482" w:firstLineChars="200"/>
        <w:rPr>
          <w:rFonts w:asciiTheme="minorEastAsia" w:hAnsiTheme="minorEastAsia" w:eastAsiaTheme="minorEastAsia" w:cstheme="minorEastAsia"/>
          <w:b/>
          <w:bCs/>
          <w:color w:val="auto"/>
          <w:kern w:val="2"/>
          <w:sz w:val="24"/>
          <w:highlight w:val="none"/>
        </w:rPr>
      </w:pPr>
      <w:r>
        <w:rPr>
          <w:rFonts w:hint="eastAsia" w:asciiTheme="minorEastAsia" w:hAnsiTheme="minorEastAsia" w:eastAsiaTheme="minorEastAsia" w:cstheme="minorEastAsia"/>
          <w:b/>
          <w:bCs/>
          <w:color w:val="auto"/>
          <w:kern w:val="2"/>
          <w:sz w:val="24"/>
          <w:highlight w:val="none"/>
        </w:rPr>
        <w:t>10.2本招标文件未尽事宜，按《中华人民共和国政府采购法》等法律法规的有关规定执行。</w:t>
      </w:r>
    </w:p>
    <w:p>
      <w:pPr>
        <w:pStyle w:val="1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23"/>
        <w:numPr>
          <w:ilvl w:val="0"/>
          <w:numId w:val="6"/>
        </w:numPr>
        <w:spacing w:line="600" w:lineRule="exact"/>
        <w:ind w:right="-63" w:rightChars="-30"/>
        <w:rPr>
          <w:rFonts w:asciiTheme="minorEastAsia" w:hAnsiTheme="minorEastAsia" w:eastAsiaTheme="minorEastAsia" w:cstheme="minorEastAsia"/>
          <w:color w:val="auto"/>
          <w:sz w:val="36"/>
          <w:szCs w:val="36"/>
          <w:highlight w:val="none"/>
        </w:rPr>
      </w:pPr>
      <w:bookmarkStart w:id="237" w:name="_Toc403122540"/>
      <w:bookmarkStart w:id="238" w:name="_Toc28433"/>
      <w:bookmarkStart w:id="239" w:name="_Toc426369530"/>
      <w:bookmarkStart w:id="240" w:name="_Toc32119"/>
      <w:bookmarkStart w:id="241" w:name="_Toc8251"/>
      <w:r>
        <w:rPr>
          <w:rFonts w:hint="eastAsia" w:asciiTheme="minorEastAsia" w:hAnsiTheme="minorEastAsia" w:eastAsiaTheme="minorEastAsia" w:cstheme="minorEastAsia"/>
          <w:color w:val="auto"/>
          <w:sz w:val="36"/>
          <w:szCs w:val="36"/>
          <w:highlight w:val="none"/>
        </w:rPr>
        <w:t>评标办法</w:t>
      </w:r>
      <w:bookmarkEnd w:id="237"/>
      <w:bookmarkEnd w:id="238"/>
      <w:bookmarkEnd w:id="239"/>
      <w:r>
        <w:rPr>
          <w:rFonts w:hint="eastAsia" w:asciiTheme="minorEastAsia" w:hAnsiTheme="minorEastAsia" w:eastAsiaTheme="minorEastAsia" w:cstheme="minorEastAsia"/>
          <w:color w:val="auto"/>
          <w:sz w:val="36"/>
          <w:szCs w:val="36"/>
          <w:highlight w:val="none"/>
        </w:rPr>
        <w:t>（综合评分法）</w:t>
      </w:r>
      <w:bookmarkEnd w:id="240"/>
      <w:bookmarkEnd w:id="241"/>
    </w:p>
    <w:p>
      <w:pPr>
        <w:pStyle w:val="44"/>
        <w:spacing w:line="540" w:lineRule="exact"/>
        <w:jc w:val="center"/>
        <w:outlineLvl w:val="1"/>
        <w:rPr>
          <w:rFonts w:asciiTheme="minorEastAsia" w:hAnsiTheme="minorEastAsia" w:eastAsiaTheme="minorEastAsia" w:cstheme="minorEastAsia"/>
          <w:b/>
          <w:bCs/>
          <w:color w:val="auto"/>
          <w:sz w:val="28"/>
          <w:szCs w:val="28"/>
          <w:highlight w:val="none"/>
        </w:rPr>
      </w:pPr>
      <w:bookmarkStart w:id="242" w:name="_Toc30933"/>
      <w:bookmarkStart w:id="243" w:name="_Toc21885"/>
      <w:bookmarkStart w:id="244" w:name="_Toc9561"/>
      <w:bookmarkStart w:id="245" w:name="_Toc17859"/>
      <w:bookmarkStart w:id="246" w:name="_Toc29947"/>
      <w:bookmarkStart w:id="247" w:name="_Toc16529"/>
      <w:bookmarkStart w:id="248" w:name="_Toc2761070"/>
      <w:r>
        <w:rPr>
          <w:rFonts w:hint="eastAsia" w:asciiTheme="minorEastAsia" w:hAnsiTheme="minorEastAsia" w:eastAsiaTheme="minorEastAsia" w:cstheme="minorEastAsia"/>
          <w:b/>
          <w:bCs/>
          <w:color w:val="auto"/>
          <w:sz w:val="28"/>
          <w:szCs w:val="28"/>
          <w:highlight w:val="none"/>
        </w:rPr>
        <w:t>评分办法前附表</w:t>
      </w:r>
      <w:bookmarkEnd w:id="242"/>
      <w:bookmarkEnd w:id="243"/>
      <w:bookmarkEnd w:id="244"/>
      <w:bookmarkEnd w:id="245"/>
      <w:bookmarkEnd w:id="246"/>
    </w:p>
    <w:bookmarkEnd w:id="247"/>
    <w:tbl>
      <w:tblPr>
        <w:tblStyle w:val="26"/>
        <w:tblpPr w:leftFromText="180" w:rightFromText="180" w:vertAnchor="text" w:horzAnchor="page" w:tblpX="1155" w:tblpY="363"/>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noWrap w:val="0"/>
            <w:vAlign w:val="center"/>
          </w:tcPr>
          <w:p>
            <w:pPr>
              <w:spacing w:line="440" w:lineRule="exact"/>
              <w:jc w:val="center"/>
              <w:rPr>
                <w:rFonts w:hint="eastAsia" w:ascii="宋体" w:hAnsi="宋体" w:cs="宋体"/>
                <w:b/>
                <w:color w:val="auto"/>
                <w:szCs w:val="21"/>
                <w:highlight w:val="none"/>
              </w:rPr>
            </w:pPr>
            <w:bookmarkStart w:id="249" w:name="_Toc403122541"/>
            <w:bookmarkStart w:id="250" w:name="_Toc426369531"/>
            <w:bookmarkStart w:id="251" w:name="_Toc31084"/>
            <w:r>
              <w:rPr>
                <w:rFonts w:hint="eastAsia" w:ascii="宋体" w:hAnsi="宋体" w:cs="宋体"/>
                <w:b/>
                <w:bCs/>
                <w:color w:val="auto"/>
                <w:kern w:val="0"/>
                <w:szCs w:val="21"/>
                <w:highlight w:val="none"/>
              </w:rPr>
              <w:t>审查主体</w:t>
            </w:r>
          </w:p>
        </w:tc>
        <w:tc>
          <w:tcPr>
            <w:tcW w:w="3179" w:type="dxa"/>
            <w:gridSpan w:val="2"/>
            <w:noWrap w:val="0"/>
            <w:vAlign w:val="center"/>
          </w:tcPr>
          <w:p>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评审因素</w:t>
            </w:r>
          </w:p>
        </w:tc>
        <w:tc>
          <w:tcPr>
            <w:tcW w:w="5602" w:type="dxa"/>
            <w:noWrap w:val="0"/>
            <w:vAlign w:val="center"/>
          </w:tcPr>
          <w:p>
            <w:pPr>
              <w:tabs>
                <w:tab w:val="left" w:pos="417"/>
                <w:tab w:val="center" w:pos="2999"/>
              </w:tabs>
              <w:spacing w:line="44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ab/>
            </w:r>
            <w:r>
              <w:rPr>
                <w:rFonts w:hint="eastAsia" w:ascii="宋体" w:hAnsi="宋体" w:cs="宋体"/>
                <w:b/>
                <w:color w:val="auto"/>
                <w:szCs w:val="21"/>
                <w:highlight w:val="none"/>
              </w:rPr>
              <w:tab/>
            </w: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1095" w:type="dxa"/>
            <w:vMerge w:val="restart"/>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资格审查小组</w:t>
            </w:r>
          </w:p>
        </w:tc>
        <w:tc>
          <w:tcPr>
            <w:tcW w:w="1095" w:type="dxa"/>
            <w:vMerge w:val="restart"/>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一、资格评审标准</w:t>
            </w:r>
          </w:p>
        </w:tc>
        <w:tc>
          <w:tcPr>
            <w:tcW w:w="2084" w:type="dxa"/>
            <w:noWrap w:val="0"/>
            <w:vAlign w:val="center"/>
          </w:tcPr>
          <w:p>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营业执照、税务登记证、组织机构代码证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或三证合一的营业执照</w:t>
            </w:r>
            <w:r>
              <w:rPr>
                <w:rFonts w:hint="eastAsia" w:ascii="宋体" w:hAnsi="宋体" w:cs="宋体"/>
                <w:color w:val="auto"/>
                <w:szCs w:val="21"/>
                <w:highlight w:val="none"/>
                <w:lang w:eastAsia="zh-CN"/>
              </w:rPr>
              <w:t>）</w:t>
            </w:r>
          </w:p>
        </w:tc>
        <w:tc>
          <w:tcPr>
            <w:tcW w:w="5602" w:type="dxa"/>
            <w:noWrap w:val="0"/>
            <w:vAlign w:val="center"/>
          </w:tcPr>
          <w:p>
            <w:pPr>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提供资格承诺函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trPr>
        <w:tc>
          <w:tcPr>
            <w:tcW w:w="1095" w:type="dxa"/>
            <w:vMerge w:val="continue"/>
            <w:noWrap w:val="0"/>
            <w:vAlign w:val="center"/>
          </w:tcPr>
          <w:p>
            <w:pPr>
              <w:spacing w:line="440" w:lineRule="exact"/>
              <w:jc w:val="center"/>
              <w:rPr>
                <w:rFonts w:hint="eastAsia" w:ascii="宋体" w:hAnsi="宋体" w:cs="宋体"/>
                <w:color w:val="auto"/>
                <w:szCs w:val="21"/>
                <w:highlight w:val="none"/>
              </w:rPr>
            </w:pPr>
          </w:p>
        </w:tc>
        <w:tc>
          <w:tcPr>
            <w:tcW w:w="1095" w:type="dxa"/>
            <w:vMerge w:val="continue"/>
            <w:noWrap w:val="0"/>
            <w:vAlign w:val="center"/>
          </w:tcPr>
          <w:p>
            <w:pPr>
              <w:spacing w:line="440" w:lineRule="exact"/>
              <w:jc w:val="center"/>
              <w:rPr>
                <w:rFonts w:hint="eastAsia" w:ascii="宋体" w:hAnsi="宋体" w:cs="宋体"/>
                <w:color w:val="auto"/>
                <w:szCs w:val="21"/>
                <w:highlight w:val="none"/>
              </w:rPr>
            </w:pPr>
          </w:p>
        </w:tc>
        <w:tc>
          <w:tcPr>
            <w:tcW w:w="2084" w:type="dxa"/>
            <w:noWrap w:val="0"/>
            <w:vAlign w:val="center"/>
          </w:tcPr>
          <w:p>
            <w:pPr>
              <w:spacing w:line="360" w:lineRule="exact"/>
              <w:jc w:val="center"/>
              <w:rPr>
                <w:rFonts w:hint="eastAsia" w:ascii="宋体" w:hAnsi="宋体" w:eastAsia="宋体" w:cs="宋体"/>
                <w:color w:val="auto"/>
                <w:szCs w:val="21"/>
                <w:highlight w:val="none"/>
                <w:lang w:val="en-US" w:eastAsia="zh-CN" w:bidi="hi-IN"/>
              </w:rPr>
            </w:pPr>
            <w:r>
              <w:rPr>
                <w:rFonts w:hint="eastAsia" w:ascii="宋体" w:hAnsi="宋体" w:eastAsia="宋体" w:cs="宋体"/>
                <w:color w:val="auto"/>
                <w:szCs w:val="21"/>
                <w:highlight w:val="none"/>
              </w:rPr>
              <w:t>符合《中华人民共和国政府采购法》第二十二条之规定</w:t>
            </w:r>
          </w:p>
        </w:tc>
        <w:tc>
          <w:tcPr>
            <w:tcW w:w="5602" w:type="dxa"/>
            <w:noWrap w:val="0"/>
            <w:vAlign w:val="center"/>
          </w:tcPr>
          <w:p>
            <w:pPr>
              <w:spacing w:line="360" w:lineRule="exact"/>
              <w:rPr>
                <w:rFonts w:hint="eastAsia" w:ascii="宋体" w:hAnsi="宋体" w:eastAsia="宋体" w:cs="宋体"/>
                <w:color w:val="auto"/>
                <w:szCs w:val="21"/>
                <w:highlight w:val="none"/>
                <w:lang w:val="en-US" w:eastAsia="zh-CN" w:bidi="hi-IN"/>
              </w:rPr>
            </w:pPr>
            <w:r>
              <w:rPr>
                <w:rFonts w:hint="eastAsia" w:ascii="宋体" w:hAnsi="宋体" w:cs="宋体"/>
                <w:color w:val="auto"/>
                <w:szCs w:val="21"/>
                <w:highlight w:val="none"/>
                <w:lang w:val="en-US" w:eastAsia="zh-CN"/>
              </w:rPr>
              <w:t>提供资格承诺函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trPr>
        <w:tc>
          <w:tcPr>
            <w:tcW w:w="1095" w:type="dxa"/>
            <w:vMerge w:val="continue"/>
            <w:noWrap w:val="0"/>
            <w:vAlign w:val="center"/>
          </w:tcPr>
          <w:p>
            <w:pPr>
              <w:spacing w:line="440" w:lineRule="exact"/>
              <w:jc w:val="center"/>
              <w:rPr>
                <w:rFonts w:hint="eastAsia" w:ascii="宋体" w:hAnsi="宋体" w:cs="宋体"/>
                <w:color w:val="auto"/>
                <w:szCs w:val="21"/>
                <w:highlight w:val="none"/>
              </w:rPr>
            </w:pPr>
          </w:p>
        </w:tc>
        <w:tc>
          <w:tcPr>
            <w:tcW w:w="1095" w:type="dxa"/>
            <w:vMerge w:val="continue"/>
            <w:noWrap w:val="0"/>
            <w:vAlign w:val="center"/>
          </w:tcPr>
          <w:p>
            <w:pPr>
              <w:spacing w:line="440" w:lineRule="exact"/>
              <w:jc w:val="center"/>
              <w:rPr>
                <w:rFonts w:hint="eastAsia" w:ascii="宋体" w:hAnsi="宋体" w:cs="宋体"/>
                <w:color w:val="auto"/>
                <w:szCs w:val="21"/>
                <w:highlight w:val="none"/>
              </w:rPr>
            </w:pPr>
          </w:p>
        </w:tc>
        <w:tc>
          <w:tcPr>
            <w:tcW w:w="2084" w:type="dxa"/>
            <w:noWrap w:val="0"/>
            <w:vAlign w:val="center"/>
          </w:tcPr>
          <w:p>
            <w:pPr>
              <w:spacing w:line="360" w:lineRule="exact"/>
              <w:jc w:val="center"/>
              <w:rPr>
                <w:rFonts w:hint="eastAsia" w:ascii="宋体" w:hAnsi="宋体" w:eastAsia="宋体" w:cs="宋体"/>
                <w:color w:val="auto"/>
                <w:szCs w:val="21"/>
                <w:highlight w:val="none"/>
                <w:lang w:val="en-US" w:eastAsia="zh-CN" w:bidi="hi-IN"/>
              </w:rPr>
            </w:pPr>
            <w:r>
              <w:rPr>
                <w:rFonts w:hint="eastAsia" w:ascii="宋体" w:hAnsi="宋体" w:cs="宋体"/>
                <w:color w:val="auto"/>
                <w:szCs w:val="21"/>
                <w:highlight w:val="none"/>
              </w:rPr>
              <w:t>法定代表人证明或法人授权委托书</w:t>
            </w:r>
          </w:p>
        </w:tc>
        <w:tc>
          <w:tcPr>
            <w:tcW w:w="5602" w:type="dxa"/>
            <w:noWrap w:val="0"/>
            <w:vAlign w:val="center"/>
          </w:tcPr>
          <w:p>
            <w:pPr>
              <w:spacing w:line="360" w:lineRule="exact"/>
              <w:rPr>
                <w:rFonts w:hint="eastAsia" w:ascii="宋体" w:hAnsi="宋体" w:eastAsia="宋体" w:cs="宋体"/>
                <w:color w:val="auto"/>
                <w:szCs w:val="21"/>
                <w:highlight w:val="none"/>
                <w:lang w:val="en-US" w:eastAsia="zh-CN" w:bidi="hi-IN"/>
              </w:rPr>
            </w:pP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exact"/>
        </w:trPr>
        <w:tc>
          <w:tcPr>
            <w:tcW w:w="1095" w:type="dxa"/>
            <w:vMerge w:val="continue"/>
            <w:noWrap w:val="0"/>
            <w:vAlign w:val="center"/>
          </w:tcPr>
          <w:p>
            <w:pPr>
              <w:spacing w:line="440" w:lineRule="exact"/>
              <w:jc w:val="center"/>
              <w:rPr>
                <w:rFonts w:hint="eastAsia" w:ascii="宋体" w:hAnsi="宋体" w:cs="宋体"/>
                <w:color w:val="auto"/>
                <w:szCs w:val="21"/>
                <w:highlight w:val="none"/>
              </w:rPr>
            </w:pPr>
          </w:p>
        </w:tc>
        <w:tc>
          <w:tcPr>
            <w:tcW w:w="1095" w:type="dxa"/>
            <w:vMerge w:val="continue"/>
            <w:noWrap w:val="0"/>
            <w:vAlign w:val="center"/>
          </w:tcPr>
          <w:p>
            <w:pPr>
              <w:spacing w:line="440" w:lineRule="exact"/>
              <w:jc w:val="center"/>
              <w:rPr>
                <w:rFonts w:hint="eastAsia" w:ascii="宋体" w:hAnsi="宋体" w:cs="宋体"/>
                <w:color w:val="auto"/>
                <w:szCs w:val="21"/>
                <w:highlight w:val="none"/>
              </w:rPr>
            </w:pPr>
          </w:p>
        </w:tc>
        <w:tc>
          <w:tcPr>
            <w:tcW w:w="2084"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信誉要求</w:t>
            </w:r>
          </w:p>
        </w:tc>
        <w:tc>
          <w:tcPr>
            <w:tcW w:w="5602" w:type="dxa"/>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95" w:type="dxa"/>
            <w:vMerge w:val="continue"/>
            <w:tcBorders>
              <w:bottom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095" w:type="dxa"/>
            <w:vMerge w:val="continue"/>
            <w:tcBorders>
              <w:bottom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2084" w:type="dxa"/>
            <w:tcBorders>
              <w:bottom w:val="single" w:color="auto" w:sz="4" w:space="0"/>
            </w:tcBorders>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5602" w:type="dxa"/>
            <w:tcBorders>
              <w:bottom w:val="single" w:color="auto" w:sz="4"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符合招标文件资格要求的其他要求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评标委员会</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二、形式评审标准</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供应商名称</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投标函签字盖章</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投标文件格式</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报价唯一</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三、响应性评审标准</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采购内容</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采购双层游船4艘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bCs/>
                <w:iCs/>
                <w:color w:val="auto"/>
                <w:szCs w:val="21"/>
                <w:highlight w:val="none"/>
              </w:rPr>
              <w:t>供货安装期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合同签订后</w:t>
            </w:r>
            <w:r>
              <w:rPr>
                <w:rFonts w:hint="eastAsia" w:ascii="宋体" w:hAnsi="宋体" w:cs="宋体"/>
                <w:color w:val="auto"/>
                <w:szCs w:val="21"/>
                <w:highlight w:val="none"/>
                <w:lang w:val="en-US" w:eastAsia="zh-CN"/>
              </w:rPr>
              <w:t>300</w:t>
            </w:r>
            <w:r>
              <w:rPr>
                <w:rFonts w:hint="eastAsia" w:ascii="宋体" w:hAnsi="宋体" w:cs="宋体"/>
                <w:color w:val="auto"/>
                <w:szCs w:val="21"/>
                <w:highlight w:val="none"/>
              </w:rPr>
              <w:t>个日历天内完成设备的供货和安装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质  量</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合格，符合国家及行业规范标准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质保期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商务报价</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权利义务</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符合</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技术标准和要求</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符合“采购</w:t>
            </w:r>
            <w:r>
              <w:rPr>
                <w:rFonts w:hint="eastAsia" w:ascii="宋体" w:hAnsi="宋体" w:cs="宋体"/>
                <w:color w:val="auto"/>
                <w:szCs w:val="21"/>
                <w:highlight w:val="none"/>
                <w:lang w:eastAsia="zh-CN"/>
              </w:rPr>
              <w:t>内容</w:t>
            </w:r>
            <w:r>
              <w:rPr>
                <w:rFonts w:hint="eastAsia" w:ascii="宋体" w:hAnsi="宋体" w:cs="宋体"/>
                <w:color w:val="auto"/>
                <w:szCs w:val="21"/>
                <w:highlight w:val="none"/>
              </w:rPr>
              <w:t>及</w:t>
            </w:r>
            <w:r>
              <w:rPr>
                <w:rFonts w:hint="eastAsia" w:ascii="宋体" w:hAnsi="宋体" w:cs="宋体"/>
                <w:color w:val="auto"/>
                <w:szCs w:val="21"/>
                <w:highlight w:val="none"/>
                <w:lang w:eastAsia="zh-CN"/>
              </w:rPr>
              <w:t>要求</w:t>
            </w:r>
            <w:r>
              <w:rPr>
                <w:rFonts w:hint="eastAsia" w:ascii="宋体" w:hAnsi="宋体" w:cs="宋体"/>
                <w:color w:val="auto"/>
                <w:szCs w:val="21"/>
                <w:highlight w:val="none"/>
              </w:rPr>
              <w:t>”规定，若不符合技术标准和要求规定，将不再进行评审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投标文件的其他响应</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符合法律、法规和招标文件中规定的其他实质性要求的</w:t>
            </w:r>
          </w:p>
        </w:tc>
      </w:tr>
    </w:tbl>
    <w:p>
      <w:pPr>
        <w:widowControl/>
        <w:jc w:val="center"/>
        <w:rPr>
          <w:rFonts w:hint="eastAsia" w:ascii="宋体" w:hAnsi="宋体" w:cs="宋体"/>
          <w:b/>
          <w:color w:val="auto"/>
          <w:sz w:val="24"/>
          <w:szCs w:val="24"/>
          <w:highlight w:val="none"/>
        </w:rPr>
      </w:pPr>
    </w:p>
    <w:p>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评分标准</w:t>
      </w:r>
    </w:p>
    <w:p>
      <w:pPr>
        <w:widowControl/>
        <w:jc w:val="left"/>
        <w:rPr>
          <w:rFonts w:ascii="宋体" w:hAnsi="宋体" w:cs="宋体"/>
          <w:color w:val="auto"/>
          <w:sz w:val="24"/>
          <w:szCs w:val="24"/>
          <w:highlight w:val="none"/>
        </w:rPr>
      </w:pPr>
    </w:p>
    <w:tbl>
      <w:tblPr>
        <w:tblStyle w:val="26"/>
        <w:tblpPr w:leftFromText="180" w:rightFromText="180" w:vertAnchor="text" w:horzAnchor="page" w:tblpX="1048" w:tblpY="111"/>
        <w:tblOverlap w:val="never"/>
        <w:tblW w:w="10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
        <w:gridCol w:w="812"/>
        <w:gridCol w:w="1063"/>
        <w:gridCol w:w="1032"/>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825" w:type="dxa"/>
            <w:noWrap w:val="0"/>
            <w:vAlign w:val="center"/>
          </w:tcPr>
          <w:p>
            <w:pPr>
              <w:pStyle w:val="54"/>
              <w:jc w:val="center"/>
              <w:rPr>
                <w:rFonts w:hint="eastAsia"/>
                <w:color w:val="auto"/>
                <w:sz w:val="21"/>
                <w:szCs w:val="21"/>
                <w:highlight w:val="none"/>
              </w:rPr>
            </w:pPr>
            <w:r>
              <w:rPr>
                <w:rFonts w:hint="eastAsia"/>
                <w:color w:val="auto"/>
                <w:sz w:val="21"/>
                <w:szCs w:val="21"/>
                <w:highlight w:val="none"/>
              </w:rPr>
              <w:t>序号</w:t>
            </w:r>
          </w:p>
        </w:tc>
        <w:tc>
          <w:tcPr>
            <w:tcW w:w="812" w:type="dxa"/>
            <w:noWrap w:val="0"/>
            <w:vAlign w:val="center"/>
          </w:tcPr>
          <w:p>
            <w:pPr>
              <w:pStyle w:val="54"/>
              <w:jc w:val="center"/>
              <w:rPr>
                <w:rFonts w:hint="eastAsia"/>
                <w:color w:val="auto"/>
                <w:sz w:val="21"/>
                <w:szCs w:val="21"/>
                <w:highlight w:val="none"/>
              </w:rPr>
            </w:pPr>
            <w:r>
              <w:rPr>
                <w:rFonts w:hint="eastAsia"/>
                <w:color w:val="auto"/>
                <w:sz w:val="21"/>
                <w:szCs w:val="21"/>
                <w:highlight w:val="none"/>
              </w:rPr>
              <w:t>内容</w:t>
            </w:r>
          </w:p>
        </w:tc>
        <w:tc>
          <w:tcPr>
            <w:tcW w:w="1063" w:type="dxa"/>
            <w:noWrap w:val="0"/>
            <w:vAlign w:val="center"/>
          </w:tcPr>
          <w:p>
            <w:pPr>
              <w:pStyle w:val="54"/>
              <w:jc w:val="center"/>
              <w:rPr>
                <w:rFonts w:hint="eastAsia"/>
                <w:color w:val="auto"/>
                <w:sz w:val="21"/>
                <w:szCs w:val="21"/>
                <w:highlight w:val="none"/>
              </w:rPr>
            </w:pPr>
            <w:r>
              <w:rPr>
                <w:rFonts w:hint="eastAsia"/>
                <w:color w:val="auto"/>
                <w:sz w:val="21"/>
                <w:szCs w:val="21"/>
                <w:highlight w:val="none"/>
              </w:rPr>
              <w:t>评标因素</w:t>
            </w:r>
          </w:p>
        </w:tc>
        <w:tc>
          <w:tcPr>
            <w:tcW w:w="1032" w:type="dxa"/>
            <w:noWrap w:val="0"/>
            <w:vAlign w:val="center"/>
          </w:tcPr>
          <w:p>
            <w:pPr>
              <w:pStyle w:val="54"/>
              <w:jc w:val="center"/>
              <w:rPr>
                <w:rFonts w:hint="eastAsia"/>
                <w:color w:val="auto"/>
                <w:sz w:val="21"/>
                <w:szCs w:val="21"/>
                <w:highlight w:val="none"/>
              </w:rPr>
            </w:pPr>
            <w:r>
              <w:rPr>
                <w:rFonts w:hint="eastAsia"/>
                <w:color w:val="auto"/>
                <w:sz w:val="21"/>
                <w:szCs w:val="21"/>
                <w:highlight w:val="none"/>
              </w:rPr>
              <w:t>分值</w:t>
            </w:r>
          </w:p>
        </w:tc>
        <w:tc>
          <w:tcPr>
            <w:tcW w:w="6337" w:type="dxa"/>
            <w:noWrap w:val="0"/>
            <w:vAlign w:val="center"/>
          </w:tcPr>
          <w:p>
            <w:pPr>
              <w:pStyle w:val="54"/>
              <w:jc w:val="center"/>
              <w:rPr>
                <w:rFonts w:hint="eastAsia"/>
                <w:color w:val="auto"/>
                <w:sz w:val="21"/>
                <w:szCs w:val="21"/>
                <w:highlight w:val="none"/>
              </w:rPr>
            </w:pPr>
            <w:r>
              <w:rPr>
                <w:rFonts w:hint="eastAsia"/>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25" w:type="dxa"/>
            <w:noWrap w:val="0"/>
            <w:vAlign w:val="center"/>
          </w:tcPr>
          <w:p>
            <w:pPr>
              <w:jc w:val="center"/>
              <w:rPr>
                <w:rFonts w:hint="eastAsia" w:ascii="宋体" w:hAnsi="宋体" w:cs="宋体"/>
                <w:color w:val="auto"/>
                <w:spacing w:val="-3"/>
                <w:sz w:val="21"/>
                <w:szCs w:val="21"/>
                <w:highlight w:val="none"/>
              </w:rPr>
            </w:pPr>
            <w:r>
              <w:rPr>
                <w:rFonts w:hint="eastAsia" w:ascii="宋体" w:hAnsi="宋体" w:cs="宋体"/>
                <w:color w:val="auto"/>
                <w:sz w:val="21"/>
                <w:szCs w:val="21"/>
                <w:highlight w:val="none"/>
              </w:rPr>
              <w:t>1</w:t>
            </w:r>
          </w:p>
        </w:tc>
        <w:tc>
          <w:tcPr>
            <w:tcW w:w="812" w:type="dxa"/>
            <w:noWrap w:val="0"/>
            <w:vAlign w:val="center"/>
          </w:tcPr>
          <w:p>
            <w:pPr>
              <w:jc w:val="center"/>
              <w:rPr>
                <w:rFonts w:hint="eastAsia" w:ascii="宋体" w:hAnsi="宋体" w:cs="宋体"/>
                <w:color w:val="auto"/>
                <w:spacing w:val="-3"/>
                <w:sz w:val="21"/>
                <w:szCs w:val="21"/>
                <w:highlight w:val="none"/>
              </w:rPr>
            </w:pPr>
            <w:r>
              <w:rPr>
                <w:rFonts w:hint="eastAsia" w:ascii="宋体" w:hAnsi="宋体" w:cs="宋体"/>
                <w:color w:val="auto"/>
                <w:sz w:val="21"/>
                <w:szCs w:val="21"/>
                <w:highlight w:val="none"/>
              </w:rPr>
              <w:t>报价部分（</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w:t>
            </w:r>
          </w:p>
        </w:tc>
        <w:tc>
          <w:tcPr>
            <w:tcW w:w="1063"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投标报价</w:t>
            </w:r>
          </w:p>
        </w:tc>
        <w:tc>
          <w:tcPr>
            <w:tcW w:w="1032"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w:t>
            </w:r>
          </w:p>
        </w:tc>
        <w:tc>
          <w:tcPr>
            <w:tcW w:w="6337" w:type="dxa"/>
            <w:noWrap w:val="0"/>
            <w:vAlign w:val="center"/>
          </w:tcPr>
          <w:p>
            <w:pPr>
              <w:rPr>
                <w:rFonts w:hint="eastAsia"/>
                <w:color w:val="auto"/>
                <w:sz w:val="21"/>
                <w:szCs w:val="21"/>
                <w:highlight w:val="none"/>
              </w:rPr>
            </w:pPr>
            <w:r>
              <w:rPr>
                <w:rFonts w:hint="eastAsia"/>
                <w:color w:val="auto"/>
                <w:sz w:val="21"/>
                <w:szCs w:val="21"/>
                <w:highlight w:val="none"/>
              </w:rPr>
              <w:t>投标报价分采用低价优先法计算，即满足招标文件要求且投标报价</w:t>
            </w:r>
          </w:p>
          <w:p>
            <w:pPr>
              <w:rPr>
                <w:rFonts w:hint="eastAsia"/>
                <w:color w:val="auto"/>
                <w:sz w:val="21"/>
                <w:szCs w:val="21"/>
                <w:highlight w:val="none"/>
              </w:rPr>
            </w:pPr>
            <w:r>
              <w:rPr>
                <w:rFonts w:hint="eastAsia"/>
                <w:color w:val="auto"/>
                <w:sz w:val="21"/>
                <w:szCs w:val="21"/>
                <w:highlight w:val="none"/>
              </w:rPr>
              <w:t>最低的为评审基准价，其价格分为满分（即</w:t>
            </w:r>
            <w:r>
              <w:rPr>
                <w:rFonts w:hint="eastAsia"/>
                <w:color w:val="auto"/>
                <w:sz w:val="21"/>
                <w:szCs w:val="21"/>
                <w:highlight w:val="none"/>
                <w:lang w:val="en-US" w:eastAsia="zh-CN"/>
              </w:rPr>
              <w:t>40</w:t>
            </w:r>
            <w:r>
              <w:rPr>
                <w:rFonts w:hint="eastAsia"/>
                <w:color w:val="auto"/>
                <w:sz w:val="21"/>
                <w:szCs w:val="21"/>
                <w:highlight w:val="none"/>
              </w:rPr>
              <w:t>分）。其他投标人</w:t>
            </w:r>
          </w:p>
          <w:p>
            <w:pPr>
              <w:rPr>
                <w:rFonts w:hint="eastAsia"/>
                <w:color w:val="auto"/>
                <w:sz w:val="21"/>
                <w:szCs w:val="21"/>
                <w:highlight w:val="none"/>
              </w:rPr>
            </w:pPr>
            <w:r>
              <w:rPr>
                <w:rFonts w:hint="eastAsia"/>
                <w:color w:val="auto"/>
                <w:sz w:val="21"/>
                <w:szCs w:val="21"/>
                <w:highlight w:val="none"/>
              </w:rPr>
              <w:t>的价格分统一按照下列公式计算：</w:t>
            </w:r>
          </w:p>
          <w:p>
            <w:pPr>
              <w:rPr>
                <w:rFonts w:hint="eastAsia"/>
                <w:color w:val="auto"/>
                <w:sz w:val="21"/>
                <w:szCs w:val="21"/>
                <w:highlight w:val="none"/>
              </w:rPr>
            </w:pPr>
            <w:r>
              <w:rPr>
                <w:rFonts w:hint="eastAsia"/>
                <w:color w:val="auto"/>
                <w:sz w:val="21"/>
                <w:szCs w:val="21"/>
                <w:highlight w:val="none"/>
              </w:rPr>
              <w:t>报价得分=(评标基准价／投标报价)×价格权值（</w:t>
            </w:r>
            <w:r>
              <w:rPr>
                <w:rFonts w:hint="eastAsia"/>
                <w:color w:val="auto"/>
                <w:sz w:val="21"/>
                <w:szCs w:val="21"/>
                <w:highlight w:val="none"/>
                <w:lang w:val="en-US" w:eastAsia="zh-CN"/>
              </w:rPr>
              <w:t>40</w:t>
            </w:r>
            <w:r>
              <w:rPr>
                <w:rFonts w:hint="eastAsia"/>
                <w:color w:val="auto"/>
                <w:sz w:val="21"/>
                <w:szCs w:val="21"/>
                <w:highlight w:val="none"/>
              </w:rPr>
              <w:t>分）。</w:t>
            </w:r>
          </w:p>
          <w:p>
            <w:pPr>
              <w:rPr>
                <w:rFonts w:hint="eastAsia"/>
                <w:color w:val="auto"/>
                <w:sz w:val="21"/>
                <w:szCs w:val="21"/>
                <w:highlight w:val="none"/>
              </w:rPr>
            </w:pPr>
            <w:r>
              <w:rPr>
                <w:rFonts w:hint="eastAsia"/>
                <w:color w:val="auto"/>
                <w:sz w:val="21"/>
                <w:szCs w:val="21"/>
                <w:highlight w:val="none"/>
              </w:rPr>
              <w:t>注：以上计算过程中按四舍五入保留两位小数。</w:t>
            </w:r>
          </w:p>
          <w:p>
            <w:pPr>
              <w:rPr>
                <w:rFonts w:hint="eastAsia"/>
                <w:color w:val="auto"/>
                <w:sz w:val="21"/>
                <w:szCs w:val="21"/>
                <w:highlight w:val="none"/>
              </w:rPr>
            </w:pPr>
            <w:r>
              <w:rPr>
                <w:rFonts w:hint="eastAsia"/>
                <w:color w:val="auto"/>
                <w:sz w:val="21"/>
                <w:szCs w:val="21"/>
                <w:highlight w:val="none"/>
              </w:rPr>
              <w:t>1.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rPr>
                <w:rFonts w:hint="eastAsia"/>
                <w:color w:val="auto"/>
                <w:sz w:val="21"/>
                <w:szCs w:val="21"/>
                <w:highlight w:val="none"/>
              </w:rPr>
            </w:pPr>
            <w:r>
              <w:rPr>
                <w:rFonts w:hint="eastAsia"/>
                <w:color w:val="auto"/>
                <w:sz w:val="21"/>
                <w:szCs w:val="21"/>
                <w:highlight w:val="none"/>
              </w:rPr>
              <w:t>2对小型或微型企业投标的扶持：（如有）</w:t>
            </w:r>
          </w:p>
          <w:p>
            <w:pPr>
              <w:rPr>
                <w:rFonts w:hint="eastAsia"/>
                <w:color w:val="auto"/>
                <w:sz w:val="21"/>
                <w:szCs w:val="21"/>
                <w:highlight w:val="none"/>
              </w:rPr>
            </w:pPr>
            <w:r>
              <w:rPr>
                <w:rFonts w:hint="eastAsia"/>
                <w:color w:val="auto"/>
                <w:sz w:val="21"/>
                <w:szCs w:val="21"/>
                <w:highlight w:val="none"/>
              </w:rPr>
              <w:t>2.1投标供应商为小型或微型企业时，报价给予C1的价格扣除（C1的取值为</w:t>
            </w:r>
            <w:r>
              <w:rPr>
                <w:rFonts w:hint="eastAsia"/>
                <w:color w:val="auto"/>
                <w:sz w:val="21"/>
                <w:szCs w:val="21"/>
                <w:highlight w:val="none"/>
                <w:lang w:val="en-US" w:eastAsia="zh-CN"/>
              </w:rPr>
              <w:t>20</w:t>
            </w:r>
            <w:r>
              <w:rPr>
                <w:rFonts w:hint="eastAsia"/>
                <w:color w:val="auto"/>
                <w:sz w:val="21"/>
                <w:szCs w:val="21"/>
                <w:highlight w:val="none"/>
              </w:rPr>
              <w:t>%），即：评标价＝投标报价（最后报价）×(1－C1）；</w:t>
            </w:r>
          </w:p>
          <w:p>
            <w:pPr>
              <w:rPr>
                <w:rFonts w:hint="eastAsia" w:eastAsia="宋体"/>
                <w:color w:val="auto"/>
                <w:sz w:val="21"/>
                <w:szCs w:val="21"/>
                <w:highlight w:val="none"/>
                <w:lang w:eastAsia="zh-CN"/>
              </w:rPr>
            </w:pPr>
            <w:r>
              <w:rPr>
                <w:rFonts w:hint="eastAsia"/>
                <w:color w:val="auto"/>
                <w:sz w:val="21"/>
                <w:szCs w:val="21"/>
                <w:highlight w:val="none"/>
              </w:rPr>
              <w:t>小微企业应当提供《中小企业声明函》（见格式）。</w:t>
            </w:r>
          </w:p>
          <w:p>
            <w:pPr>
              <w:rPr>
                <w:rFonts w:hint="eastAsia"/>
                <w:color w:val="auto"/>
                <w:sz w:val="21"/>
                <w:szCs w:val="21"/>
                <w:highlight w:val="none"/>
              </w:rPr>
            </w:pPr>
            <w:r>
              <w:rPr>
                <w:rFonts w:hint="eastAsia"/>
                <w:color w:val="auto"/>
                <w:sz w:val="21"/>
                <w:szCs w:val="21"/>
                <w:highlight w:val="none"/>
              </w:rPr>
              <w:t>2.2按照《政府采购促进中小企业发展管理办法》有关规定，中小企业的标准为：</w:t>
            </w:r>
          </w:p>
          <w:p>
            <w:pPr>
              <w:rPr>
                <w:rFonts w:hint="eastAsia"/>
                <w:color w:val="auto"/>
                <w:sz w:val="21"/>
                <w:szCs w:val="21"/>
                <w:highlight w:val="none"/>
              </w:rPr>
            </w:pPr>
            <w:r>
              <w:rPr>
                <w:rFonts w:hint="eastAsia"/>
                <w:color w:val="auto"/>
                <w:sz w:val="21"/>
                <w:szCs w:val="21"/>
                <w:highlight w:val="none"/>
              </w:rPr>
              <w:t>2.2.1提供本企业制造的货物、承担的工程或者服务，或者提供其他中小企业制造的货物，不包括提供或使用大型企业注册商标的货物；</w:t>
            </w:r>
          </w:p>
          <w:p>
            <w:pPr>
              <w:rPr>
                <w:rFonts w:hint="eastAsia"/>
                <w:color w:val="auto"/>
                <w:sz w:val="21"/>
                <w:szCs w:val="21"/>
                <w:highlight w:val="none"/>
              </w:rPr>
            </w:pPr>
            <w:r>
              <w:rPr>
                <w:rFonts w:hint="eastAsia"/>
                <w:color w:val="auto"/>
                <w:sz w:val="21"/>
                <w:szCs w:val="21"/>
                <w:highlight w:val="none"/>
              </w:rPr>
              <w:t>2.2.2本规定所称中小企业划分标准，是指国务院有关部门根据企业从业人员、营业收入、资产总额等指标制定的中小企业划型标准（工信部联企业[2011]300号）；</w:t>
            </w:r>
          </w:p>
          <w:p>
            <w:pPr>
              <w:rPr>
                <w:rFonts w:hint="eastAsia"/>
                <w:color w:val="auto"/>
                <w:sz w:val="21"/>
                <w:szCs w:val="21"/>
                <w:highlight w:val="none"/>
              </w:rPr>
            </w:pPr>
            <w:r>
              <w:rPr>
                <w:rFonts w:hint="eastAsia"/>
                <w:color w:val="auto"/>
                <w:sz w:val="21"/>
                <w:szCs w:val="21"/>
                <w:highlight w:val="none"/>
              </w:rPr>
              <w:t>2.2.3小型、微型企业提供有中型企业制造的货物的，视同为中型企业；小型、微型、中型企业提供有大型企业制造的货物的，视同为大型企业。</w:t>
            </w:r>
          </w:p>
          <w:p>
            <w:pPr>
              <w:rPr>
                <w:rFonts w:hint="eastAsia"/>
                <w:color w:val="auto"/>
                <w:sz w:val="21"/>
                <w:szCs w:val="21"/>
                <w:highlight w:val="none"/>
              </w:rPr>
            </w:pPr>
            <w:r>
              <w:rPr>
                <w:rFonts w:hint="eastAsia"/>
                <w:color w:val="auto"/>
                <w:sz w:val="21"/>
                <w:szCs w:val="21"/>
                <w:highlight w:val="none"/>
              </w:rPr>
              <w:t>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w:t>
            </w:r>
            <w:r>
              <w:rPr>
                <w:rFonts w:hint="eastAsia"/>
                <w:color w:val="auto"/>
                <w:sz w:val="21"/>
                <w:szCs w:val="21"/>
                <w:highlight w:val="none"/>
                <w:lang w:val="en-US" w:eastAsia="zh-CN"/>
              </w:rPr>
              <w:t>20</w:t>
            </w:r>
            <w:r>
              <w:rPr>
                <w:rFonts w:hint="eastAsia"/>
                <w:color w:val="auto"/>
                <w:sz w:val="21"/>
                <w:szCs w:val="21"/>
                <w:highlight w:val="none"/>
              </w:rPr>
              <w:t>%的扣除。</w:t>
            </w:r>
          </w:p>
          <w:p>
            <w:pPr>
              <w:rPr>
                <w:rFonts w:hint="eastAsia" w:ascii="宋体" w:hAnsi="宋体" w:cs="宋体"/>
                <w:color w:val="auto"/>
                <w:sz w:val="21"/>
                <w:szCs w:val="21"/>
                <w:highlight w:val="none"/>
              </w:rPr>
            </w:pPr>
            <w:r>
              <w:rPr>
                <w:rFonts w:hint="eastAsia"/>
                <w:color w:val="auto"/>
                <w:sz w:val="21"/>
                <w:szCs w:val="21"/>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825" w:type="dxa"/>
            <w:vMerge w:val="restart"/>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812" w:type="dxa"/>
            <w:vMerge w:val="restart"/>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技术部分（</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w:t>
            </w:r>
          </w:p>
        </w:tc>
        <w:tc>
          <w:tcPr>
            <w:tcW w:w="1063" w:type="dxa"/>
            <w:noWrap w:val="0"/>
            <w:vAlign w:val="center"/>
          </w:tcPr>
          <w:p>
            <w:pPr>
              <w:pStyle w:val="2"/>
              <w:ind w:left="0" w:leftChars="0" w:firstLine="0" w:firstLineChars="0"/>
              <w:jc w:val="center"/>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技术参数</w:t>
            </w:r>
          </w:p>
        </w:tc>
        <w:tc>
          <w:tcPr>
            <w:tcW w:w="1032" w:type="dxa"/>
            <w:noWrap w:val="0"/>
            <w:vAlign w:val="center"/>
          </w:tcPr>
          <w:p>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20分</w:t>
            </w:r>
          </w:p>
        </w:tc>
        <w:tc>
          <w:tcPr>
            <w:tcW w:w="6337" w:type="dxa"/>
            <w:noWrap w:val="0"/>
            <w:vAlign w:val="center"/>
          </w:tcPr>
          <w:p>
            <w:pPr>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投标产品参数必须完全满足招标文件参数，完全满足的得20分。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825" w:type="dxa"/>
            <w:vMerge w:val="continue"/>
            <w:noWrap w:val="0"/>
            <w:vAlign w:val="center"/>
          </w:tcPr>
          <w:p>
            <w:pPr>
              <w:jc w:val="center"/>
              <w:rPr>
                <w:rFonts w:hint="eastAsia" w:ascii="宋体" w:hAnsi="宋体" w:cs="宋体"/>
                <w:color w:val="auto"/>
                <w:sz w:val="21"/>
                <w:szCs w:val="21"/>
                <w:highlight w:val="none"/>
              </w:rPr>
            </w:pPr>
          </w:p>
        </w:tc>
        <w:tc>
          <w:tcPr>
            <w:tcW w:w="812" w:type="dxa"/>
            <w:vMerge w:val="continue"/>
            <w:noWrap w:val="0"/>
            <w:vAlign w:val="center"/>
          </w:tcPr>
          <w:p>
            <w:pPr>
              <w:jc w:val="center"/>
              <w:rPr>
                <w:rFonts w:hint="eastAsia" w:ascii="宋体" w:hAnsi="宋体" w:cs="宋体"/>
                <w:color w:val="auto"/>
                <w:sz w:val="21"/>
                <w:szCs w:val="21"/>
                <w:highlight w:val="none"/>
              </w:rPr>
            </w:pPr>
          </w:p>
        </w:tc>
        <w:tc>
          <w:tcPr>
            <w:tcW w:w="1063" w:type="dxa"/>
            <w:noWrap w:val="0"/>
            <w:vAlign w:val="center"/>
          </w:tcPr>
          <w:p>
            <w:pPr>
              <w:jc w:val="center"/>
              <w:rPr>
                <w:rFonts w:hint="eastAsia" w:ascii="宋体" w:hAnsi="宋体" w:eastAsia="宋体" w:cs="宋体"/>
                <w:color w:val="auto"/>
                <w:sz w:val="21"/>
                <w:szCs w:val="21"/>
                <w:highlight w:val="none"/>
                <w:lang w:val="en-US" w:eastAsia="zh-CN" w:bidi="hi-IN"/>
              </w:rPr>
            </w:pPr>
            <w:r>
              <w:rPr>
                <w:rFonts w:hint="eastAsia" w:ascii="宋体" w:hAnsi="宋体" w:cs="宋体"/>
                <w:color w:val="auto"/>
                <w:sz w:val="21"/>
                <w:szCs w:val="21"/>
                <w:highlight w:val="none"/>
                <w:lang w:eastAsia="zh-CN"/>
              </w:rPr>
              <w:t>制造工艺</w:t>
            </w:r>
          </w:p>
        </w:tc>
        <w:tc>
          <w:tcPr>
            <w:tcW w:w="1032" w:type="dxa"/>
            <w:noWrap w:val="0"/>
            <w:vAlign w:val="center"/>
          </w:tcPr>
          <w:p>
            <w:pPr>
              <w:jc w:val="center"/>
              <w:rPr>
                <w:rFonts w:hint="eastAsia" w:ascii="宋体" w:hAnsi="宋体" w:eastAsia="宋体" w:cs="宋体"/>
                <w:color w:val="auto"/>
                <w:sz w:val="21"/>
                <w:szCs w:val="21"/>
                <w:highlight w:val="none"/>
                <w:lang w:val="en-US" w:eastAsia="zh-CN" w:bidi="hi-IN"/>
              </w:rPr>
            </w:pPr>
            <w:r>
              <w:rPr>
                <w:rFonts w:hint="eastAsia" w:ascii="宋体" w:hAnsi="宋体" w:cs="宋体"/>
                <w:color w:val="auto"/>
                <w:sz w:val="21"/>
                <w:szCs w:val="21"/>
                <w:highlight w:val="none"/>
                <w:lang w:val="en-US" w:eastAsia="zh-CN"/>
              </w:rPr>
              <w:t>3分</w:t>
            </w:r>
          </w:p>
        </w:tc>
        <w:tc>
          <w:tcPr>
            <w:tcW w:w="6337" w:type="dxa"/>
            <w:noWrap w:val="0"/>
            <w:vAlign w:val="center"/>
          </w:tcPr>
          <w:p>
            <w:pPr>
              <w:jc w:val="left"/>
              <w:rPr>
                <w:rFonts w:hint="eastAsia" w:ascii="宋体" w:hAnsi="宋体" w:eastAsia="宋体" w:cs="宋体"/>
                <w:color w:val="auto"/>
                <w:sz w:val="21"/>
                <w:szCs w:val="21"/>
                <w:highlight w:val="none"/>
                <w:lang w:val="en-US" w:eastAsia="zh-CN" w:bidi="hi-IN"/>
              </w:rPr>
            </w:pPr>
            <w:r>
              <w:rPr>
                <w:rFonts w:hint="eastAsia"/>
                <w:color w:val="auto"/>
                <w:sz w:val="21"/>
                <w:szCs w:val="21"/>
                <w:highlight w:val="none"/>
                <w:lang w:eastAsia="zh-CN"/>
              </w:rPr>
              <w:t>根据投标人的造船加工制造工艺进行评价，加工能力和工艺水平优秀得</w:t>
            </w:r>
            <w:r>
              <w:rPr>
                <w:rFonts w:hint="eastAsia"/>
                <w:color w:val="auto"/>
                <w:sz w:val="21"/>
                <w:szCs w:val="21"/>
                <w:highlight w:val="none"/>
                <w:lang w:val="en-US" w:eastAsia="zh-CN"/>
              </w:rPr>
              <w:t>3分，较好的得2分，一般得1分。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825" w:type="dxa"/>
            <w:vMerge w:val="continue"/>
            <w:noWrap w:val="0"/>
            <w:vAlign w:val="center"/>
          </w:tcPr>
          <w:p>
            <w:pPr>
              <w:jc w:val="center"/>
              <w:rPr>
                <w:rFonts w:hint="eastAsia" w:ascii="宋体" w:hAnsi="宋体" w:cs="宋体"/>
                <w:color w:val="auto"/>
                <w:sz w:val="21"/>
                <w:szCs w:val="21"/>
                <w:highlight w:val="none"/>
              </w:rPr>
            </w:pPr>
          </w:p>
        </w:tc>
        <w:tc>
          <w:tcPr>
            <w:tcW w:w="812" w:type="dxa"/>
            <w:vMerge w:val="continue"/>
            <w:noWrap w:val="0"/>
            <w:vAlign w:val="center"/>
          </w:tcPr>
          <w:p>
            <w:pPr>
              <w:jc w:val="center"/>
              <w:rPr>
                <w:rFonts w:hint="eastAsia" w:ascii="宋体" w:hAnsi="宋体" w:cs="宋体"/>
                <w:color w:val="auto"/>
                <w:sz w:val="21"/>
                <w:szCs w:val="21"/>
                <w:highlight w:val="none"/>
              </w:rPr>
            </w:pPr>
          </w:p>
        </w:tc>
        <w:tc>
          <w:tcPr>
            <w:tcW w:w="1063"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设计图</w:t>
            </w:r>
          </w:p>
        </w:tc>
        <w:tc>
          <w:tcPr>
            <w:tcW w:w="1032"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tc>
        <w:tc>
          <w:tcPr>
            <w:tcW w:w="6337" w:type="dxa"/>
            <w:noWrap w:val="0"/>
            <w:vAlign w:val="center"/>
          </w:tcPr>
          <w:p>
            <w:pPr>
              <w:jc w:val="left"/>
              <w:rPr>
                <w:rFonts w:hint="default" w:eastAsia="宋体"/>
                <w:color w:val="auto"/>
                <w:sz w:val="21"/>
                <w:szCs w:val="21"/>
                <w:highlight w:val="none"/>
                <w:lang w:val="en-US" w:eastAsia="zh-CN"/>
              </w:rPr>
            </w:pPr>
            <w:r>
              <w:rPr>
                <w:rFonts w:hint="eastAsia"/>
                <w:color w:val="auto"/>
                <w:sz w:val="21"/>
                <w:szCs w:val="21"/>
                <w:highlight w:val="none"/>
                <w:lang w:eastAsia="zh-CN"/>
              </w:rPr>
              <w:t>根据投标人设计图的美观度、合理性等进行综合评价，优秀的得</w:t>
            </w:r>
            <w:r>
              <w:rPr>
                <w:rFonts w:hint="eastAsia"/>
                <w:color w:val="auto"/>
                <w:sz w:val="21"/>
                <w:szCs w:val="21"/>
                <w:highlight w:val="none"/>
                <w:lang w:val="en-US" w:eastAsia="zh-CN"/>
              </w:rPr>
              <w:t>3分，较好的得2分，一般得1分。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trPr>
        <w:tc>
          <w:tcPr>
            <w:tcW w:w="825" w:type="dxa"/>
            <w:vMerge w:val="continue"/>
            <w:noWrap w:val="0"/>
            <w:vAlign w:val="center"/>
          </w:tcPr>
          <w:p>
            <w:pPr>
              <w:jc w:val="center"/>
              <w:rPr>
                <w:rFonts w:hint="eastAsia" w:ascii="宋体" w:hAnsi="宋体" w:cs="宋体"/>
                <w:color w:val="auto"/>
                <w:sz w:val="21"/>
                <w:szCs w:val="21"/>
                <w:highlight w:val="none"/>
              </w:rPr>
            </w:pPr>
          </w:p>
        </w:tc>
        <w:tc>
          <w:tcPr>
            <w:tcW w:w="812" w:type="dxa"/>
            <w:vMerge w:val="continue"/>
            <w:noWrap w:val="0"/>
            <w:vAlign w:val="center"/>
          </w:tcPr>
          <w:p>
            <w:pPr>
              <w:jc w:val="center"/>
              <w:rPr>
                <w:rFonts w:hint="eastAsia" w:ascii="宋体" w:hAnsi="宋体" w:cs="宋体"/>
                <w:color w:val="auto"/>
                <w:sz w:val="21"/>
                <w:szCs w:val="21"/>
                <w:highlight w:val="none"/>
              </w:rPr>
            </w:pPr>
          </w:p>
        </w:tc>
        <w:tc>
          <w:tcPr>
            <w:tcW w:w="1063"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质量保护措施</w:t>
            </w:r>
          </w:p>
        </w:tc>
        <w:tc>
          <w:tcPr>
            <w:tcW w:w="1032"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tc>
        <w:tc>
          <w:tcPr>
            <w:tcW w:w="6337" w:type="dxa"/>
            <w:noWrap w:val="0"/>
            <w:vAlign w:val="center"/>
          </w:tcPr>
          <w:p>
            <w:pPr>
              <w:jc w:val="left"/>
              <w:rPr>
                <w:rFonts w:hint="default"/>
                <w:color w:val="auto"/>
                <w:sz w:val="21"/>
                <w:szCs w:val="21"/>
                <w:highlight w:val="none"/>
                <w:lang w:val="en-US" w:eastAsia="zh-CN"/>
              </w:rPr>
            </w:pPr>
            <w:r>
              <w:rPr>
                <w:rFonts w:hint="eastAsia"/>
                <w:color w:val="auto"/>
                <w:sz w:val="21"/>
                <w:szCs w:val="21"/>
                <w:highlight w:val="none"/>
                <w:lang w:eastAsia="zh-CN"/>
              </w:rPr>
              <w:t>根据投标人制定的质量保证措施的严谨度、全面性等进行综合评价，优秀的得</w:t>
            </w:r>
            <w:r>
              <w:rPr>
                <w:rFonts w:hint="eastAsia"/>
                <w:color w:val="auto"/>
                <w:sz w:val="21"/>
                <w:szCs w:val="21"/>
                <w:highlight w:val="none"/>
                <w:lang w:val="en-US" w:eastAsia="zh-CN"/>
              </w:rPr>
              <w:t>3分，较好的得2分，一般得1分。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825" w:type="dxa"/>
            <w:vMerge w:val="continue"/>
            <w:noWrap w:val="0"/>
            <w:vAlign w:val="center"/>
          </w:tcPr>
          <w:p>
            <w:pPr>
              <w:jc w:val="center"/>
              <w:rPr>
                <w:rFonts w:hint="eastAsia" w:ascii="宋体" w:hAnsi="宋体" w:cs="宋体"/>
                <w:color w:val="auto"/>
                <w:sz w:val="21"/>
                <w:szCs w:val="21"/>
                <w:highlight w:val="none"/>
              </w:rPr>
            </w:pPr>
          </w:p>
        </w:tc>
        <w:tc>
          <w:tcPr>
            <w:tcW w:w="812" w:type="dxa"/>
            <w:vMerge w:val="continue"/>
            <w:noWrap w:val="0"/>
            <w:vAlign w:val="center"/>
          </w:tcPr>
          <w:p>
            <w:pPr>
              <w:jc w:val="center"/>
              <w:rPr>
                <w:rFonts w:hint="eastAsia" w:ascii="宋体" w:hAnsi="宋体" w:cs="宋体"/>
                <w:color w:val="auto"/>
                <w:sz w:val="21"/>
                <w:szCs w:val="21"/>
                <w:highlight w:val="none"/>
              </w:rPr>
            </w:pPr>
          </w:p>
        </w:tc>
        <w:tc>
          <w:tcPr>
            <w:tcW w:w="1063"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部件质量</w:t>
            </w:r>
          </w:p>
        </w:tc>
        <w:tc>
          <w:tcPr>
            <w:tcW w:w="1032"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tc>
        <w:tc>
          <w:tcPr>
            <w:tcW w:w="6337" w:type="dxa"/>
            <w:noWrap w:val="0"/>
            <w:vAlign w:val="center"/>
          </w:tcPr>
          <w:p>
            <w:pPr>
              <w:jc w:val="left"/>
              <w:rPr>
                <w:rFonts w:hint="default" w:eastAsia="宋体"/>
                <w:color w:val="auto"/>
                <w:sz w:val="21"/>
                <w:szCs w:val="21"/>
                <w:highlight w:val="none"/>
                <w:lang w:val="en-US" w:eastAsia="zh-CN"/>
              </w:rPr>
            </w:pPr>
            <w:r>
              <w:rPr>
                <w:rFonts w:hint="eastAsia"/>
                <w:color w:val="auto"/>
                <w:sz w:val="21"/>
                <w:szCs w:val="21"/>
                <w:highlight w:val="none"/>
                <w:lang w:eastAsia="zh-CN"/>
              </w:rPr>
              <w:t>根据投标人所投主要部件质量的优劣性进行综合评价，优秀的得</w:t>
            </w:r>
            <w:r>
              <w:rPr>
                <w:rFonts w:hint="eastAsia"/>
                <w:color w:val="auto"/>
                <w:sz w:val="21"/>
                <w:szCs w:val="21"/>
                <w:highlight w:val="none"/>
                <w:lang w:val="en-US" w:eastAsia="zh-CN"/>
              </w:rPr>
              <w:t>3分，较好的得2分，一般得1分。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825" w:type="dxa"/>
            <w:vMerge w:val="continue"/>
            <w:noWrap w:val="0"/>
            <w:vAlign w:val="center"/>
          </w:tcPr>
          <w:p>
            <w:pPr>
              <w:jc w:val="center"/>
              <w:rPr>
                <w:rFonts w:hint="eastAsia" w:ascii="宋体" w:hAnsi="宋体" w:cs="宋体"/>
                <w:color w:val="auto"/>
                <w:sz w:val="21"/>
                <w:szCs w:val="21"/>
                <w:highlight w:val="none"/>
              </w:rPr>
            </w:pPr>
          </w:p>
        </w:tc>
        <w:tc>
          <w:tcPr>
            <w:tcW w:w="812" w:type="dxa"/>
            <w:vMerge w:val="continue"/>
            <w:noWrap w:val="0"/>
            <w:vAlign w:val="center"/>
          </w:tcPr>
          <w:p>
            <w:pPr>
              <w:jc w:val="center"/>
              <w:rPr>
                <w:rFonts w:hint="eastAsia" w:ascii="宋体" w:hAnsi="宋体" w:cs="宋体"/>
                <w:color w:val="auto"/>
                <w:sz w:val="21"/>
                <w:szCs w:val="21"/>
                <w:highlight w:val="none"/>
              </w:rPr>
            </w:pPr>
          </w:p>
        </w:tc>
        <w:tc>
          <w:tcPr>
            <w:tcW w:w="1063" w:type="dxa"/>
            <w:noWrap w:val="0"/>
            <w:vAlign w:val="center"/>
          </w:tcPr>
          <w:p>
            <w:pPr>
              <w:jc w:val="center"/>
              <w:rPr>
                <w:rFonts w:hint="eastAsia" w:ascii="宋体" w:hAnsi="宋体" w:eastAsia="宋体" w:cs="宋体"/>
                <w:color w:val="auto"/>
                <w:sz w:val="21"/>
                <w:szCs w:val="21"/>
                <w:highlight w:val="none"/>
                <w:lang w:val="en-US" w:eastAsia="zh-CN" w:bidi="hi-IN"/>
              </w:rPr>
            </w:pPr>
            <w:r>
              <w:rPr>
                <w:rFonts w:hint="eastAsia" w:ascii="宋体" w:hAnsi="宋体" w:cs="宋体"/>
                <w:color w:val="auto"/>
                <w:sz w:val="21"/>
                <w:szCs w:val="21"/>
                <w:highlight w:val="none"/>
                <w:lang w:eastAsia="zh-CN"/>
              </w:rPr>
              <w:t>装饰材料</w:t>
            </w:r>
          </w:p>
        </w:tc>
        <w:tc>
          <w:tcPr>
            <w:tcW w:w="1032" w:type="dxa"/>
            <w:noWrap w:val="0"/>
            <w:vAlign w:val="center"/>
          </w:tcPr>
          <w:p>
            <w:pPr>
              <w:jc w:val="center"/>
              <w:rPr>
                <w:rFonts w:hint="eastAsia" w:ascii="宋体" w:hAnsi="宋体" w:eastAsia="宋体" w:cs="宋体"/>
                <w:color w:val="auto"/>
                <w:sz w:val="21"/>
                <w:szCs w:val="21"/>
                <w:highlight w:val="none"/>
                <w:lang w:val="en-US" w:eastAsia="zh-CN" w:bidi="hi-IN"/>
              </w:rPr>
            </w:pPr>
            <w:r>
              <w:rPr>
                <w:rFonts w:hint="eastAsia" w:ascii="宋体" w:hAnsi="宋体" w:cs="宋体"/>
                <w:color w:val="auto"/>
                <w:sz w:val="21"/>
                <w:szCs w:val="21"/>
                <w:highlight w:val="none"/>
                <w:lang w:val="en-US" w:eastAsia="zh-CN"/>
              </w:rPr>
              <w:t>3分</w:t>
            </w:r>
          </w:p>
        </w:tc>
        <w:tc>
          <w:tcPr>
            <w:tcW w:w="6337" w:type="dxa"/>
            <w:noWrap w:val="0"/>
            <w:vAlign w:val="center"/>
          </w:tcPr>
          <w:p>
            <w:pPr>
              <w:jc w:val="left"/>
              <w:rPr>
                <w:rFonts w:hint="eastAsia" w:ascii="Times New Roman" w:hAnsi="Times New Roman" w:eastAsia="宋体" w:cs="Times New Roman"/>
                <w:color w:val="auto"/>
                <w:sz w:val="21"/>
                <w:szCs w:val="21"/>
                <w:highlight w:val="none"/>
                <w:lang w:val="en-US" w:eastAsia="zh-CN" w:bidi="hi-IN"/>
              </w:rPr>
            </w:pPr>
            <w:r>
              <w:rPr>
                <w:rFonts w:hint="eastAsia"/>
                <w:color w:val="auto"/>
                <w:sz w:val="21"/>
                <w:szCs w:val="21"/>
                <w:highlight w:val="none"/>
                <w:lang w:eastAsia="zh-CN"/>
              </w:rPr>
              <w:t>根据投标人所投装饰材料的材质优劣性进行综合评价，优秀的得</w:t>
            </w:r>
            <w:r>
              <w:rPr>
                <w:rFonts w:hint="eastAsia"/>
                <w:color w:val="auto"/>
                <w:sz w:val="21"/>
                <w:szCs w:val="21"/>
                <w:highlight w:val="none"/>
                <w:lang w:val="en-US" w:eastAsia="zh-CN"/>
              </w:rPr>
              <w:t>3分，较好的得2分，一般得1分。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825" w:type="dxa"/>
            <w:vMerge w:val="continue"/>
            <w:noWrap w:val="0"/>
            <w:vAlign w:val="center"/>
          </w:tcPr>
          <w:p>
            <w:pPr>
              <w:jc w:val="center"/>
              <w:rPr>
                <w:rFonts w:hint="eastAsia" w:ascii="宋体" w:hAnsi="宋体" w:cs="宋体"/>
                <w:color w:val="auto"/>
                <w:sz w:val="21"/>
                <w:szCs w:val="21"/>
                <w:highlight w:val="none"/>
              </w:rPr>
            </w:pPr>
          </w:p>
        </w:tc>
        <w:tc>
          <w:tcPr>
            <w:tcW w:w="812" w:type="dxa"/>
            <w:vMerge w:val="continue"/>
            <w:noWrap w:val="0"/>
            <w:vAlign w:val="center"/>
          </w:tcPr>
          <w:p>
            <w:pPr>
              <w:jc w:val="center"/>
              <w:rPr>
                <w:rFonts w:hint="eastAsia" w:ascii="宋体" w:hAnsi="宋体" w:cs="宋体"/>
                <w:color w:val="auto"/>
                <w:sz w:val="21"/>
                <w:szCs w:val="21"/>
                <w:highlight w:val="none"/>
              </w:rPr>
            </w:pPr>
          </w:p>
        </w:tc>
        <w:tc>
          <w:tcPr>
            <w:tcW w:w="1063" w:type="dxa"/>
            <w:noWrap w:val="0"/>
            <w:vAlign w:val="center"/>
          </w:tcPr>
          <w:p>
            <w:pPr>
              <w:jc w:val="center"/>
              <w:rPr>
                <w:rFonts w:hint="eastAsia" w:ascii="Times New Roman" w:hAnsi="Times New Roman" w:eastAsia="宋体" w:cs="Times New Roman"/>
                <w:color w:val="auto"/>
                <w:sz w:val="21"/>
                <w:szCs w:val="21"/>
                <w:highlight w:val="none"/>
                <w:lang w:val="en-US" w:eastAsia="zh-CN" w:bidi="hi-IN"/>
              </w:rPr>
            </w:pPr>
            <w:r>
              <w:rPr>
                <w:rFonts w:hint="eastAsia"/>
                <w:color w:val="auto"/>
                <w:sz w:val="21"/>
                <w:szCs w:val="21"/>
                <w:highlight w:val="none"/>
                <w:lang w:eastAsia="zh-CN"/>
              </w:rPr>
              <w:t>售后服务</w:t>
            </w:r>
            <w:r>
              <w:rPr>
                <w:rFonts w:hint="eastAsia"/>
                <w:color w:val="auto"/>
                <w:sz w:val="21"/>
                <w:szCs w:val="21"/>
                <w:highlight w:val="none"/>
                <w:lang w:val="en-US" w:eastAsia="zh-CN"/>
              </w:rPr>
              <w:t>方案</w:t>
            </w:r>
          </w:p>
        </w:tc>
        <w:tc>
          <w:tcPr>
            <w:tcW w:w="1032" w:type="dxa"/>
            <w:noWrap w:val="0"/>
            <w:vAlign w:val="center"/>
          </w:tcPr>
          <w:p>
            <w:pPr>
              <w:jc w:val="center"/>
              <w:rPr>
                <w:rFonts w:hint="eastAsia"/>
                <w:color w:val="auto"/>
                <w:sz w:val="21"/>
                <w:szCs w:val="21"/>
                <w:highlight w:val="none"/>
              </w:rPr>
            </w:pPr>
          </w:p>
          <w:p>
            <w:pPr>
              <w:jc w:val="center"/>
              <w:rPr>
                <w:rFonts w:hint="eastAsia" w:ascii="Times New Roman" w:hAnsi="Times New Roman" w:eastAsia="宋体" w:cs="Times New Roman"/>
                <w:color w:val="auto"/>
                <w:sz w:val="21"/>
                <w:szCs w:val="21"/>
                <w:highlight w:val="none"/>
                <w:lang w:val="en-US" w:eastAsia="zh-CN" w:bidi="hi-IN"/>
              </w:rPr>
            </w:pPr>
            <w:r>
              <w:rPr>
                <w:rFonts w:hint="eastAsia"/>
                <w:color w:val="auto"/>
                <w:sz w:val="21"/>
                <w:szCs w:val="21"/>
                <w:highlight w:val="none"/>
                <w:lang w:val="en-US" w:eastAsia="zh-CN"/>
              </w:rPr>
              <w:t>5分</w:t>
            </w:r>
          </w:p>
        </w:tc>
        <w:tc>
          <w:tcPr>
            <w:tcW w:w="6337" w:type="dxa"/>
            <w:noWrap w:val="0"/>
            <w:vAlign w:val="center"/>
          </w:tcPr>
          <w:p>
            <w:pPr>
              <w:rPr>
                <w:rFonts w:hint="eastAsia" w:ascii="Times New Roman" w:hAnsi="Times New Roman" w:eastAsia="宋体" w:cs="Times New Roman"/>
                <w:color w:val="auto"/>
                <w:sz w:val="21"/>
                <w:szCs w:val="21"/>
                <w:highlight w:val="none"/>
                <w:lang w:val="en-US" w:eastAsia="zh-CN" w:bidi="hi-IN"/>
              </w:rPr>
            </w:pPr>
            <w:r>
              <w:rPr>
                <w:rFonts w:hint="eastAsia"/>
                <w:color w:val="auto"/>
                <w:sz w:val="21"/>
                <w:szCs w:val="21"/>
                <w:highlight w:val="none"/>
                <w:lang w:eastAsia="zh-CN"/>
              </w:rPr>
              <w:t>根据投标人指定的人员培训计划的合理性、完善性，投标人制定的质保期内详细完善的售后服务方案，包括提供</w:t>
            </w:r>
            <w:r>
              <w:rPr>
                <w:rFonts w:hint="eastAsia"/>
                <w:color w:val="auto"/>
                <w:sz w:val="21"/>
                <w:szCs w:val="21"/>
                <w:highlight w:val="none"/>
                <w:lang w:val="en-US" w:eastAsia="zh-CN"/>
              </w:rPr>
              <w:t>7X24小时服务热线、现场服务人员的配备、响应时间、响应程度、解决问题的能力、质量保障措施、备品备件，</w:t>
            </w:r>
            <w:r>
              <w:rPr>
                <w:rFonts w:hint="eastAsia"/>
                <w:color w:val="auto"/>
                <w:sz w:val="21"/>
                <w:szCs w:val="21"/>
                <w:highlight w:val="none"/>
                <w:lang w:eastAsia="zh-CN"/>
              </w:rPr>
              <w:t>投标人制定的质保期满后提供的售后服务方案等进行评分，优秀的得</w:t>
            </w:r>
            <w:r>
              <w:rPr>
                <w:rFonts w:hint="eastAsia"/>
                <w:color w:val="auto"/>
                <w:sz w:val="21"/>
                <w:szCs w:val="21"/>
                <w:highlight w:val="none"/>
                <w:lang w:val="en-US" w:eastAsia="zh-CN"/>
              </w:rPr>
              <w:t>5分，较好的得3分，一般得1分。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1" w:hRule="atLeast"/>
        </w:trPr>
        <w:tc>
          <w:tcPr>
            <w:tcW w:w="825" w:type="dxa"/>
            <w:vMerge w:val="restart"/>
            <w:noWrap w:val="0"/>
            <w:vAlign w:val="center"/>
          </w:tcPr>
          <w:p>
            <w:pPr>
              <w:jc w:val="center"/>
              <w:rPr>
                <w:rFonts w:hint="eastAsia"/>
                <w:color w:val="auto"/>
                <w:sz w:val="21"/>
                <w:szCs w:val="21"/>
                <w:highlight w:val="none"/>
              </w:rPr>
            </w:pPr>
            <w:r>
              <w:rPr>
                <w:rFonts w:hint="eastAsia"/>
                <w:color w:val="auto"/>
                <w:sz w:val="21"/>
                <w:szCs w:val="21"/>
                <w:highlight w:val="none"/>
              </w:rPr>
              <w:t>3</w:t>
            </w:r>
          </w:p>
        </w:tc>
        <w:tc>
          <w:tcPr>
            <w:tcW w:w="812" w:type="dxa"/>
            <w:vMerge w:val="restart"/>
            <w:noWrap w:val="0"/>
            <w:vAlign w:val="center"/>
          </w:tcPr>
          <w:p>
            <w:pPr>
              <w:jc w:val="center"/>
              <w:rPr>
                <w:rFonts w:hint="eastAsia"/>
                <w:color w:val="auto"/>
                <w:sz w:val="21"/>
                <w:szCs w:val="21"/>
                <w:highlight w:val="none"/>
              </w:rPr>
            </w:pPr>
            <w:r>
              <w:rPr>
                <w:rFonts w:hint="eastAsia"/>
                <w:color w:val="auto"/>
                <w:sz w:val="21"/>
                <w:szCs w:val="21"/>
                <w:highlight w:val="none"/>
              </w:rPr>
              <w:t>商务部分（</w:t>
            </w:r>
            <w:r>
              <w:rPr>
                <w:rFonts w:hint="eastAsia"/>
                <w:color w:val="auto"/>
                <w:sz w:val="21"/>
                <w:szCs w:val="21"/>
                <w:highlight w:val="none"/>
                <w:lang w:val="en-US" w:eastAsia="zh-CN"/>
              </w:rPr>
              <w:t>20</w:t>
            </w:r>
            <w:r>
              <w:rPr>
                <w:rFonts w:hint="eastAsia"/>
                <w:color w:val="auto"/>
                <w:sz w:val="21"/>
                <w:szCs w:val="21"/>
                <w:highlight w:val="none"/>
              </w:rPr>
              <w:t>分）</w:t>
            </w:r>
          </w:p>
        </w:tc>
        <w:tc>
          <w:tcPr>
            <w:tcW w:w="1063" w:type="dxa"/>
            <w:noWrap w:val="0"/>
            <w:vAlign w:val="center"/>
          </w:tcPr>
          <w:p>
            <w:pPr>
              <w:snapToGrid w:val="0"/>
              <w:jc w:val="center"/>
              <w:rPr>
                <w:rFonts w:hint="eastAsia"/>
                <w:color w:val="auto"/>
                <w:sz w:val="21"/>
                <w:szCs w:val="21"/>
                <w:highlight w:val="none"/>
              </w:rPr>
            </w:pPr>
            <w:r>
              <w:rPr>
                <w:rFonts w:hint="eastAsia"/>
                <w:color w:val="auto"/>
                <w:sz w:val="21"/>
                <w:szCs w:val="21"/>
                <w:highlight w:val="none"/>
              </w:rPr>
              <w:t>业绩</w:t>
            </w:r>
          </w:p>
          <w:p>
            <w:pPr>
              <w:jc w:val="center"/>
              <w:rPr>
                <w:rFonts w:hint="eastAsia"/>
                <w:color w:val="auto"/>
                <w:sz w:val="21"/>
                <w:szCs w:val="21"/>
                <w:highlight w:val="none"/>
              </w:rPr>
            </w:pPr>
          </w:p>
        </w:tc>
        <w:tc>
          <w:tcPr>
            <w:tcW w:w="1032" w:type="dxa"/>
            <w:noWrap w:val="0"/>
            <w:vAlign w:val="center"/>
          </w:tcPr>
          <w:p>
            <w:pPr>
              <w:jc w:val="center"/>
              <w:rPr>
                <w:rFonts w:hint="eastAsia"/>
                <w:color w:val="auto"/>
                <w:sz w:val="21"/>
                <w:szCs w:val="21"/>
                <w:highlight w:val="none"/>
              </w:rPr>
            </w:pPr>
            <w:r>
              <w:rPr>
                <w:rFonts w:hint="eastAsia"/>
                <w:color w:val="auto"/>
                <w:sz w:val="21"/>
                <w:szCs w:val="21"/>
                <w:highlight w:val="none"/>
                <w:lang w:val="en-US" w:eastAsia="zh-CN"/>
              </w:rPr>
              <w:t>10</w:t>
            </w:r>
            <w:r>
              <w:rPr>
                <w:rFonts w:hint="eastAsia"/>
                <w:color w:val="auto"/>
                <w:sz w:val="21"/>
                <w:szCs w:val="21"/>
                <w:highlight w:val="none"/>
              </w:rPr>
              <w:t>分</w:t>
            </w:r>
          </w:p>
        </w:tc>
        <w:tc>
          <w:tcPr>
            <w:tcW w:w="6337" w:type="dxa"/>
            <w:noWrap w:val="0"/>
            <w:vAlign w:val="center"/>
          </w:tcPr>
          <w:p>
            <w:pPr>
              <w:keepNext w:val="0"/>
              <w:keepLines w:val="0"/>
              <w:widowControl/>
              <w:suppressLineNumbers w:val="0"/>
              <w:jc w:val="left"/>
              <w:rPr>
                <w:rFonts w:hint="eastAsia"/>
                <w:color w:val="auto"/>
                <w:sz w:val="21"/>
                <w:szCs w:val="21"/>
                <w:highlight w:val="none"/>
              </w:rPr>
            </w:pPr>
            <w:r>
              <w:rPr>
                <w:rFonts w:hint="eastAsia"/>
                <w:color w:val="auto"/>
                <w:sz w:val="21"/>
                <w:szCs w:val="21"/>
                <w:highlight w:val="none"/>
              </w:rPr>
              <w:t>投标人2018年1月1日以来具有类似业绩的，每有一项得</w:t>
            </w:r>
            <w:r>
              <w:rPr>
                <w:rFonts w:hint="eastAsia"/>
                <w:color w:val="auto"/>
                <w:sz w:val="21"/>
                <w:szCs w:val="21"/>
                <w:highlight w:val="none"/>
                <w:lang w:val="en-US" w:eastAsia="zh-CN"/>
              </w:rPr>
              <w:t>2</w:t>
            </w:r>
            <w:r>
              <w:rPr>
                <w:rFonts w:hint="eastAsia"/>
                <w:color w:val="auto"/>
                <w:sz w:val="21"/>
                <w:szCs w:val="21"/>
                <w:highlight w:val="none"/>
              </w:rPr>
              <w:t>分，最多得</w:t>
            </w:r>
            <w:r>
              <w:rPr>
                <w:rFonts w:hint="eastAsia"/>
                <w:color w:val="auto"/>
                <w:sz w:val="21"/>
                <w:szCs w:val="21"/>
                <w:highlight w:val="none"/>
                <w:lang w:val="en-US" w:eastAsia="zh-CN"/>
              </w:rPr>
              <w:t>10</w:t>
            </w:r>
            <w:r>
              <w:rPr>
                <w:rFonts w:hint="eastAsia"/>
                <w:color w:val="auto"/>
                <w:sz w:val="21"/>
                <w:szCs w:val="21"/>
                <w:highlight w:val="none"/>
              </w:rPr>
              <w:t>分。（提供合同</w:t>
            </w:r>
            <w:r>
              <w:rPr>
                <w:rFonts w:hint="eastAsia"/>
                <w:color w:val="auto"/>
                <w:sz w:val="21"/>
                <w:szCs w:val="21"/>
                <w:highlight w:val="none"/>
                <w:lang w:val="en-US" w:eastAsia="zh-CN"/>
              </w:rPr>
              <w:t>扫描件</w:t>
            </w:r>
            <w:r>
              <w:rPr>
                <w:rFonts w:hint="eastAsia"/>
                <w:color w:val="auto"/>
                <w:sz w:val="21"/>
                <w:szCs w:val="21"/>
                <w:highlight w:val="none"/>
              </w:rPr>
              <w:t>、中标通知书</w:t>
            </w:r>
            <w:r>
              <w:rPr>
                <w:rFonts w:hint="eastAsia"/>
                <w:color w:val="auto"/>
                <w:sz w:val="21"/>
                <w:szCs w:val="21"/>
                <w:highlight w:val="none"/>
                <w:lang w:val="en-US" w:eastAsia="zh-CN"/>
              </w:rPr>
              <w:t>扫描件</w:t>
            </w:r>
            <w:r>
              <w:rPr>
                <w:rFonts w:hint="eastAsia"/>
                <w:color w:val="auto"/>
                <w:sz w:val="21"/>
                <w:szCs w:val="21"/>
                <w:highlight w:val="none"/>
              </w:rPr>
              <w:t>及</w:t>
            </w:r>
            <w:r>
              <w:rPr>
                <w:rFonts w:hint="eastAsia"/>
                <w:color w:val="auto"/>
                <w:sz w:val="21"/>
                <w:szCs w:val="21"/>
                <w:highlight w:val="none"/>
                <w:lang w:val="en-US" w:eastAsia="zh-CN"/>
              </w:rPr>
              <w:t>中标公示</w:t>
            </w:r>
            <w:r>
              <w:rPr>
                <w:rFonts w:hint="eastAsia"/>
                <w:color w:val="auto"/>
                <w:sz w:val="21"/>
                <w:szCs w:val="21"/>
                <w:highlight w:val="none"/>
              </w:rPr>
              <w:t>网站截图</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时间以合同签订时间为准</w:t>
            </w:r>
            <w:r>
              <w:rPr>
                <w:rFonts w:hint="eastAsia"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1" w:hRule="atLeast"/>
        </w:trPr>
        <w:tc>
          <w:tcPr>
            <w:tcW w:w="825" w:type="dxa"/>
            <w:vMerge w:val="continue"/>
            <w:noWrap w:val="0"/>
            <w:vAlign w:val="center"/>
          </w:tcPr>
          <w:p>
            <w:pPr>
              <w:jc w:val="center"/>
              <w:rPr>
                <w:rFonts w:hint="eastAsia"/>
                <w:color w:val="auto"/>
                <w:sz w:val="21"/>
                <w:szCs w:val="21"/>
                <w:highlight w:val="none"/>
              </w:rPr>
            </w:pPr>
          </w:p>
        </w:tc>
        <w:tc>
          <w:tcPr>
            <w:tcW w:w="812" w:type="dxa"/>
            <w:vMerge w:val="continue"/>
            <w:noWrap w:val="0"/>
            <w:vAlign w:val="center"/>
          </w:tcPr>
          <w:p>
            <w:pPr>
              <w:jc w:val="center"/>
              <w:rPr>
                <w:rFonts w:hint="eastAsia"/>
                <w:color w:val="auto"/>
                <w:sz w:val="21"/>
                <w:szCs w:val="21"/>
                <w:highlight w:val="none"/>
              </w:rPr>
            </w:pPr>
          </w:p>
        </w:tc>
        <w:tc>
          <w:tcPr>
            <w:tcW w:w="1063" w:type="dxa"/>
            <w:noWrap w:val="0"/>
            <w:vAlign w:val="center"/>
          </w:tcPr>
          <w:p>
            <w:pPr>
              <w:jc w:val="center"/>
              <w:rPr>
                <w:rFonts w:hint="eastAsia"/>
                <w:color w:val="auto"/>
                <w:sz w:val="21"/>
                <w:szCs w:val="21"/>
                <w:highlight w:val="none"/>
              </w:rPr>
            </w:pPr>
            <w:r>
              <w:rPr>
                <w:rFonts w:hint="eastAsia"/>
                <w:color w:val="auto"/>
                <w:sz w:val="21"/>
                <w:szCs w:val="21"/>
                <w:highlight w:val="none"/>
              </w:rPr>
              <w:t>企业实</w:t>
            </w:r>
          </w:p>
          <w:p>
            <w:pPr>
              <w:jc w:val="center"/>
              <w:rPr>
                <w:rFonts w:hint="eastAsia" w:ascii="Times New Roman" w:hAnsi="Times New Roman" w:eastAsia="宋体" w:cs="Times New Roman"/>
                <w:color w:val="auto"/>
                <w:sz w:val="21"/>
                <w:szCs w:val="21"/>
                <w:highlight w:val="none"/>
                <w:lang w:val="en-US" w:eastAsia="zh-CN" w:bidi="hi-IN"/>
              </w:rPr>
            </w:pPr>
            <w:r>
              <w:rPr>
                <w:rFonts w:hint="eastAsia"/>
                <w:color w:val="auto"/>
                <w:sz w:val="21"/>
                <w:szCs w:val="21"/>
                <w:highlight w:val="none"/>
              </w:rPr>
              <w:t>力</w:t>
            </w:r>
          </w:p>
        </w:tc>
        <w:tc>
          <w:tcPr>
            <w:tcW w:w="1032" w:type="dxa"/>
            <w:noWrap w:val="0"/>
            <w:vAlign w:val="center"/>
          </w:tcPr>
          <w:p>
            <w:pPr>
              <w:jc w:val="center"/>
              <w:rPr>
                <w:rFonts w:hint="eastAsia" w:ascii="Times New Roman" w:hAnsi="Times New Roman" w:eastAsia="宋体" w:cs="Times New Roman"/>
                <w:color w:val="auto"/>
                <w:sz w:val="21"/>
                <w:szCs w:val="21"/>
                <w:highlight w:val="none"/>
                <w:lang w:val="en-US" w:eastAsia="zh-CN" w:bidi="hi-IN"/>
              </w:rPr>
            </w:pPr>
            <w:r>
              <w:rPr>
                <w:rFonts w:hint="eastAsia"/>
                <w:color w:val="auto"/>
                <w:sz w:val="21"/>
                <w:szCs w:val="21"/>
                <w:highlight w:val="none"/>
                <w:lang w:val="en-US" w:eastAsia="zh-CN"/>
              </w:rPr>
              <w:t>8分</w:t>
            </w:r>
          </w:p>
        </w:tc>
        <w:tc>
          <w:tcPr>
            <w:tcW w:w="6337" w:type="dxa"/>
            <w:noWrap w:val="0"/>
            <w:vAlign w:val="center"/>
          </w:tcPr>
          <w:p>
            <w:pPr>
              <w:rPr>
                <w:rFonts w:hint="eastAsia"/>
                <w:color w:val="auto"/>
                <w:sz w:val="21"/>
                <w:szCs w:val="21"/>
                <w:highlight w:val="none"/>
              </w:rPr>
            </w:pPr>
            <w:r>
              <w:rPr>
                <w:rFonts w:hint="eastAsia"/>
                <w:color w:val="auto"/>
                <w:sz w:val="21"/>
                <w:szCs w:val="21"/>
                <w:highlight w:val="none"/>
              </w:rPr>
              <w:t xml:space="preserve">1、投标人具有行业主管部门颁发的安全生产三级（及以上）标准化证书得 </w:t>
            </w:r>
            <w:r>
              <w:rPr>
                <w:rFonts w:hint="eastAsia"/>
                <w:color w:val="auto"/>
                <w:sz w:val="21"/>
                <w:szCs w:val="21"/>
                <w:highlight w:val="none"/>
                <w:lang w:val="en-US" w:eastAsia="zh-CN"/>
              </w:rPr>
              <w:t>2</w:t>
            </w:r>
            <w:r>
              <w:rPr>
                <w:rFonts w:hint="eastAsia"/>
                <w:color w:val="auto"/>
                <w:sz w:val="21"/>
                <w:szCs w:val="21"/>
                <w:highlight w:val="none"/>
              </w:rPr>
              <w:t>分。</w:t>
            </w:r>
          </w:p>
          <w:p>
            <w:pPr>
              <w:rPr>
                <w:rFonts w:hint="eastAsia"/>
                <w:color w:val="auto"/>
                <w:sz w:val="21"/>
                <w:szCs w:val="21"/>
                <w:highlight w:val="none"/>
              </w:rPr>
            </w:pPr>
            <w:r>
              <w:rPr>
                <w:rFonts w:hint="eastAsia"/>
                <w:color w:val="auto"/>
                <w:sz w:val="21"/>
                <w:szCs w:val="21"/>
                <w:highlight w:val="none"/>
              </w:rPr>
              <w:t xml:space="preserve">2、投标人具有质量体系认证证书的得 </w:t>
            </w:r>
            <w:r>
              <w:rPr>
                <w:rFonts w:hint="eastAsia"/>
                <w:color w:val="auto"/>
                <w:sz w:val="21"/>
                <w:szCs w:val="21"/>
                <w:highlight w:val="none"/>
                <w:lang w:val="en-US" w:eastAsia="zh-CN"/>
              </w:rPr>
              <w:t>2</w:t>
            </w:r>
            <w:r>
              <w:rPr>
                <w:rFonts w:hint="eastAsia"/>
                <w:color w:val="auto"/>
                <w:sz w:val="21"/>
                <w:szCs w:val="21"/>
                <w:highlight w:val="none"/>
              </w:rPr>
              <w:t xml:space="preserve"> 分。</w:t>
            </w:r>
          </w:p>
          <w:p>
            <w:pPr>
              <w:rPr>
                <w:rFonts w:hint="eastAsia"/>
                <w:color w:val="auto"/>
                <w:sz w:val="21"/>
                <w:szCs w:val="21"/>
                <w:highlight w:val="none"/>
              </w:rPr>
            </w:pPr>
            <w:r>
              <w:rPr>
                <w:rFonts w:hint="eastAsia"/>
                <w:color w:val="auto"/>
                <w:sz w:val="21"/>
                <w:szCs w:val="21"/>
                <w:highlight w:val="none"/>
              </w:rPr>
              <w:t>3、投标人具有环境管</w:t>
            </w:r>
            <w:bookmarkStart w:id="316" w:name="_GoBack"/>
            <w:bookmarkEnd w:id="316"/>
            <w:r>
              <w:rPr>
                <w:rFonts w:hint="eastAsia"/>
                <w:color w:val="auto"/>
                <w:sz w:val="21"/>
                <w:szCs w:val="21"/>
                <w:highlight w:val="none"/>
              </w:rPr>
              <w:t>理体系认证证书得</w:t>
            </w:r>
            <w:r>
              <w:rPr>
                <w:rFonts w:hint="eastAsia"/>
                <w:color w:val="auto"/>
                <w:sz w:val="21"/>
                <w:szCs w:val="21"/>
                <w:highlight w:val="none"/>
                <w:lang w:val="en-US" w:eastAsia="zh-CN"/>
              </w:rPr>
              <w:t>2</w:t>
            </w:r>
            <w:r>
              <w:rPr>
                <w:rFonts w:hint="eastAsia"/>
                <w:color w:val="auto"/>
                <w:sz w:val="21"/>
                <w:szCs w:val="21"/>
                <w:highlight w:val="none"/>
              </w:rPr>
              <w:t>分。</w:t>
            </w:r>
          </w:p>
          <w:p>
            <w:pPr>
              <w:rPr>
                <w:rFonts w:hint="eastAsia"/>
                <w:color w:val="auto"/>
                <w:sz w:val="21"/>
                <w:szCs w:val="21"/>
                <w:highlight w:val="none"/>
              </w:rPr>
            </w:pPr>
            <w:r>
              <w:rPr>
                <w:rFonts w:hint="eastAsia"/>
                <w:color w:val="auto"/>
                <w:sz w:val="21"/>
                <w:szCs w:val="21"/>
                <w:highlight w:val="none"/>
              </w:rPr>
              <w:t xml:space="preserve">4、投标人具有职业健康安全管理体系认证证书得 </w:t>
            </w:r>
            <w:r>
              <w:rPr>
                <w:rFonts w:hint="eastAsia"/>
                <w:color w:val="auto"/>
                <w:sz w:val="21"/>
                <w:szCs w:val="21"/>
                <w:highlight w:val="none"/>
                <w:lang w:val="en-US" w:eastAsia="zh-CN"/>
              </w:rPr>
              <w:t>2</w:t>
            </w:r>
            <w:r>
              <w:rPr>
                <w:rFonts w:hint="eastAsia"/>
                <w:color w:val="auto"/>
                <w:sz w:val="21"/>
                <w:szCs w:val="21"/>
                <w:highlight w:val="none"/>
              </w:rPr>
              <w:t>分。</w:t>
            </w:r>
          </w:p>
          <w:p>
            <w:pPr>
              <w:rPr>
                <w:rFonts w:hint="eastAsia" w:ascii="Times New Roman" w:hAnsi="Times New Roman" w:eastAsia="宋体" w:cs="Times New Roman"/>
                <w:color w:val="auto"/>
                <w:sz w:val="21"/>
                <w:szCs w:val="21"/>
                <w:highlight w:val="none"/>
                <w:lang w:val="en-US" w:eastAsia="zh-CN" w:bidi="hi-IN"/>
              </w:rPr>
            </w:pPr>
            <w:r>
              <w:rPr>
                <w:rFonts w:hint="eastAsia"/>
                <w:color w:val="auto"/>
                <w:sz w:val="21"/>
                <w:szCs w:val="21"/>
                <w:highlight w:val="none"/>
              </w:rPr>
              <w:t>(提供扫描件，不提供不得分)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rPr>
        <w:tc>
          <w:tcPr>
            <w:tcW w:w="825" w:type="dxa"/>
            <w:vMerge w:val="continue"/>
            <w:noWrap w:val="0"/>
            <w:vAlign w:val="center"/>
          </w:tcPr>
          <w:p>
            <w:pPr>
              <w:jc w:val="center"/>
              <w:rPr>
                <w:rFonts w:hint="eastAsia"/>
                <w:color w:val="auto"/>
                <w:sz w:val="21"/>
                <w:szCs w:val="21"/>
                <w:highlight w:val="none"/>
              </w:rPr>
            </w:pPr>
          </w:p>
        </w:tc>
        <w:tc>
          <w:tcPr>
            <w:tcW w:w="812" w:type="dxa"/>
            <w:vMerge w:val="continue"/>
            <w:noWrap w:val="0"/>
            <w:vAlign w:val="center"/>
          </w:tcPr>
          <w:p>
            <w:pPr>
              <w:jc w:val="center"/>
              <w:rPr>
                <w:rFonts w:hint="eastAsia"/>
                <w:color w:val="auto"/>
                <w:sz w:val="21"/>
                <w:szCs w:val="21"/>
                <w:highlight w:val="none"/>
              </w:rPr>
            </w:pPr>
          </w:p>
        </w:tc>
        <w:tc>
          <w:tcPr>
            <w:tcW w:w="1063" w:type="dxa"/>
            <w:noWrap w:val="0"/>
            <w:vAlign w:val="center"/>
          </w:tcPr>
          <w:p>
            <w:pPr>
              <w:jc w:val="center"/>
              <w:rPr>
                <w:rFonts w:hint="eastAsia" w:eastAsia="宋体"/>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质保期</w:t>
            </w:r>
          </w:p>
        </w:tc>
        <w:tc>
          <w:tcPr>
            <w:tcW w:w="1032" w:type="dxa"/>
            <w:noWrap w:val="0"/>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2分</w:t>
            </w:r>
          </w:p>
        </w:tc>
        <w:tc>
          <w:tcPr>
            <w:tcW w:w="6337" w:type="dxa"/>
            <w:noWrap w:val="0"/>
            <w:vAlign w:val="center"/>
          </w:tcPr>
          <w:p>
            <w:pPr>
              <w:rPr>
                <w:rFonts w:hint="default" w:eastAsia="宋体"/>
                <w:color w:val="auto"/>
                <w:sz w:val="21"/>
                <w:szCs w:val="21"/>
                <w:highlight w:val="none"/>
                <w:lang w:val="en-US" w:eastAsia="zh-CN"/>
              </w:rPr>
            </w:pPr>
            <w:r>
              <w:rPr>
                <w:rFonts w:hint="eastAsia"/>
                <w:color w:val="auto"/>
                <w:sz w:val="21"/>
                <w:szCs w:val="21"/>
                <w:highlight w:val="none"/>
                <w:lang w:val="en-US" w:eastAsia="zh-CN"/>
              </w:rPr>
              <w:t>投标人承诺的质保期在1年的基础上每再增加1年，加1分，最多加2分。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10069" w:type="dxa"/>
            <w:gridSpan w:val="5"/>
            <w:noWrap w:val="0"/>
            <w:vAlign w:val="center"/>
          </w:tcPr>
          <w:p>
            <w:pPr>
              <w:rPr>
                <w:rFonts w:hint="eastAsia" w:eastAsia="宋体"/>
                <w:color w:val="auto"/>
                <w:sz w:val="21"/>
                <w:szCs w:val="21"/>
                <w:highlight w:val="none"/>
                <w:lang w:eastAsia="zh-CN"/>
              </w:rPr>
            </w:pPr>
            <w:r>
              <w:rPr>
                <w:color w:val="auto"/>
                <w:sz w:val="21"/>
                <w:szCs w:val="21"/>
                <w:highlight w:val="none"/>
              </w:rPr>
              <w:t>投标人综合得分=投标报价得分+技术部分得分+商务部分得分。</w:t>
            </w:r>
          </w:p>
          <w:p>
            <w:pPr>
              <w:rPr>
                <w:rFonts w:hint="eastAsia" w:eastAsia="宋体"/>
                <w:color w:val="auto"/>
                <w:sz w:val="21"/>
                <w:szCs w:val="21"/>
                <w:highlight w:val="none"/>
                <w:lang w:eastAsia="zh-CN"/>
              </w:rPr>
            </w:pPr>
            <w:r>
              <w:rPr>
                <w:color w:val="auto"/>
                <w:sz w:val="21"/>
                <w:szCs w:val="21"/>
                <w:highlight w:val="none"/>
              </w:rPr>
              <w:t>投标人最终得分:</w:t>
            </w:r>
          </w:p>
          <w:p>
            <w:pPr>
              <w:rPr>
                <w:color w:val="auto"/>
                <w:sz w:val="21"/>
                <w:szCs w:val="21"/>
                <w:highlight w:val="none"/>
              </w:rPr>
            </w:pPr>
            <w:r>
              <w:rPr>
                <w:color w:val="auto"/>
                <w:sz w:val="21"/>
                <w:szCs w:val="21"/>
                <w:highlight w:val="none"/>
              </w:rPr>
              <w:t>1.评标委员会完成评审后，取全部得分算术平均值，作为该投标人的最终得分。</w:t>
            </w:r>
          </w:p>
          <w:p>
            <w:pPr>
              <w:rPr>
                <w:rFonts w:hint="eastAsia" w:eastAsia="宋体"/>
                <w:color w:val="auto"/>
                <w:sz w:val="21"/>
                <w:szCs w:val="21"/>
                <w:highlight w:val="none"/>
                <w:lang w:eastAsia="zh-CN"/>
              </w:rPr>
            </w:pPr>
            <w:r>
              <w:rPr>
                <w:color w:val="auto"/>
                <w:sz w:val="21"/>
                <w:szCs w:val="21"/>
                <w:highlight w:val="none"/>
              </w:rPr>
              <w:t>2.本办法计算过程中分值按四舍五入保留二位小数。</w:t>
            </w:r>
          </w:p>
          <w:p>
            <w:pPr>
              <w:rPr>
                <w:rFonts w:hint="eastAsia"/>
                <w:color w:val="auto"/>
                <w:sz w:val="21"/>
                <w:szCs w:val="21"/>
                <w:highlight w:val="none"/>
              </w:rPr>
            </w:pPr>
            <w:r>
              <w:rPr>
                <w:color w:val="auto"/>
                <w:sz w:val="21"/>
                <w:szCs w:val="21"/>
                <w:highlight w:val="none"/>
              </w:rPr>
              <w:t>3.评标委员会对通过以上评审的投标人，按最终得分从高到低排序，确定1至3名中标候选人。当投标人最终得分相等时，按照报价从低到高进行排序，排序第</w:t>
            </w:r>
            <w:r>
              <w:rPr>
                <w:rFonts w:hint="eastAsia"/>
                <w:color w:val="auto"/>
                <w:sz w:val="21"/>
                <w:szCs w:val="21"/>
                <w:highlight w:val="none"/>
                <w:lang w:val="en-US" w:eastAsia="zh-CN"/>
              </w:rPr>
              <w:t>1</w:t>
            </w:r>
            <w:r>
              <w:rPr>
                <w:color w:val="auto"/>
                <w:sz w:val="21"/>
                <w:szCs w:val="21"/>
                <w:highlight w:val="none"/>
              </w:rPr>
              <w:t>的为中标人</w:t>
            </w:r>
            <w:r>
              <w:rPr>
                <w:rFonts w:hint="eastAsia"/>
                <w:color w:val="auto"/>
                <w:sz w:val="21"/>
                <w:szCs w:val="21"/>
                <w:highlight w:val="none"/>
                <w:lang w:eastAsia="zh-CN"/>
              </w:rPr>
              <w:t>；</w:t>
            </w:r>
            <w:r>
              <w:rPr>
                <w:color w:val="auto"/>
                <w:sz w:val="21"/>
                <w:szCs w:val="21"/>
                <w:highlight w:val="none"/>
              </w:rPr>
              <w:t>最终得分相等，报价得分也相等按技术指标优劣排列确定中标人。</w:t>
            </w:r>
          </w:p>
        </w:tc>
      </w:tr>
    </w:tbl>
    <w:p>
      <w:pPr>
        <w:pStyle w:val="33"/>
        <w:spacing w:line="560" w:lineRule="exact"/>
        <w:rPr>
          <w:rFonts w:hint="eastAsia"/>
          <w:color w:val="auto"/>
          <w:highlight w:val="none"/>
        </w:rPr>
      </w:pP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评标方法</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次评标采用综合评分法。评标委员会对满足招标文件实质性要求的投标文件，按照本章第2.2款规定的评分标准进行打分，并按得分由高到低顺序推荐中标候选人，或根据采购人授权直接确定中标人，但投标报价低于其成本的除外。综合评分相等时，以投标报价低的优先；投标报价也相等的，按技术指标优劣排列确定中标人。</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评审标准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 初步评审标准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 形式评审标准：见评标办法前附表。</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2.1.2 资格评审标准：见评标办法前附表。</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2.1.3 响应性评审标准：见评标办法前附表。</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 分值构成与评分标准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2.2.1 分值构成</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详细评分分值：见评标办法前附表。</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2.2.3 评分标准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详细评分标准：见评标办法前附表。</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评标程序</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 初步评审</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3.1.1 评标委员会依据本章第2.1款规定的标准对投标文件进行初步评审。有一项不符合评审标准的，作废标处理。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3.1.2 投标人有以下情形之一的，其投标作废标处理：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（1）第二章“投标人须知”第1.4.3项规定的任何一种情形的；</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（2）串通投标或弄虚作假或有其他违法行为的；</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（3）不按评标委员会要求澄清、说明或补正的。</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3.1.3投标报价有算术错误的，评标委员会按以下原则对投标报价进行修正，修正的价格经投标人确认后具有约束力。投标人不接受修正价格的，其投标作废标处理。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（1）投标文件中的大写金额与小写金额不一致的，以大写金额为准；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（2）总价金额与依据单价计算出的结果不一致的，以单价金额为准修正总价，但单价金额小数点有明显错误的除外。</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 详细评审</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3.2.1 评标委员会按本章第2.2款规定的量化因素和分值进行打分，并计算出综合评估得分。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（1）按本章第2.2.4（1）目规定的评审因素和分值对商务部分计算出得分A；</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（2）按本章第2.2.4（2）目规定的评审因素和分值对技术部分计算出得分B；</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（3）按本章第2.2.4（3）目规定的评审因素和分值对综合部分计算出得分C；</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3.2.2 评分分值计算保留小数点后两位，小数点后第三位“四舍五入”。</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3.2.3 投标人得分=A+B+C。</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3.2.4 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 投标文件的澄清和补正</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3.3.1在评标过程中，评标委员会可以要求投标人对所提交投标文件中不明确的内容进行澄清或说明，或者对细微偏差进行补正。评标委员会不接受投标人主动提出的澄清、说明或补正。</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3.3.2 澄清、说明和补正不得改变投标文件的实质性内容（算术性错误修正的除外）。投标人的澄清、说明和补正属于投标文件的组成部分。</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3.3.3 评标委员会对投标人提交的澄清、说明或补正有疑问的，可以要求投标人进一步澄清、说明或补正，直至满足评标委员会的要求。</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 评标结果</w:t>
      </w:r>
    </w:p>
    <w:p>
      <w:pPr>
        <w:tabs>
          <w:tab w:val="left" w:pos="72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3.4.1除第二章“投标人须知”前附表授权直接确定中标人外，评标委员会按照得分由高到低的顺序推荐中标候选人。</w:t>
      </w:r>
    </w:p>
    <w:p>
      <w:pPr>
        <w:tabs>
          <w:tab w:val="left" w:pos="720"/>
        </w:tabs>
        <w:spacing w:line="44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highlight w:val="none"/>
        </w:rPr>
        <w:t>3.4.2 评标委员会完成评标后，应当向采购人提交评标报告。</w:t>
      </w:r>
      <w:r>
        <w:rPr>
          <w:rFonts w:hint="eastAsia" w:asciiTheme="minorEastAsia" w:hAnsiTheme="minorEastAsia" w:eastAsiaTheme="minorEastAsia" w:cstheme="minorEastAsia"/>
          <w:bCs/>
          <w:color w:val="auto"/>
          <w:kern w:val="0"/>
          <w:szCs w:val="21"/>
          <w:highlight w:val="none"/>
        </w:rPr>
        <w:br w:type="page"/>
      </w:r>
    </w:p>
    <w:p>
      <w:pPr>
        <w:pStyle w:val="23"/>
        <w:numPr>
          <w:ilvl w:val="0"/>
          <w:numId w:val="6"/>
        </w:numPr>
        <w:spacing w:line="600" w:lineRule="exact"/>
        <w:ind w:right="-63" w:rightChars="-3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 </w:t>
      </w:r>
      <w:bookmarkStart w:id="252" w:name="_Toc27443"/>
      <w:bookmarkStart w:id="253" w:name="_Toc7325"/>
      <w:r>
        <w:rPr>
          <w:rFonts w:hint="eastAsia" w:asciiTheme="minorEastAsia" w:hAnsiTheme="minorEastAsia" w:eastAsiaTheme="minorEastAsia" w:cstheme="minorEastAsia"/>
          <w:color w:val="auto"/>
          <w:sz w:val="36"/>
          <w:szCs w:val="36"/>
          <w:highlight w:val="none"/>
        </w:rPr>
        <w:t>合同条款及格式</w:t>
      </w:r>
      <w:bookmarkEnd w:id="249"/>
      <w:bookmarkEnd w:id="250"/>
      <w:bookmarkEnd w:id="251"/>
      <w:bookmarkEnd w:id="252"/>
      <w:bookmarkEnd w:id="253"/>
    </w:p>
    <w:p>
      <w:pPr>
        <w:rPr>
          <w:color w:val="auto"/>
          <w:highlight w:val="none"/>
        </w:rPr>
      </w:pPr>
      <w:r>
        <w:rPr>
          <w:rFonts w:hint="eastAsia"/>
          <w:color w:val="auto"/>
          <w:highlight w:val="none"/>
        </w:rPr>
        <w:t xml:space="preserve">                             </w:t>
      </w:r>
      <w:r>
        <w:rPr>
          <w:rFonts w:hint="eastAsia"/>
          <w:color w:val="auto"/>
          <w:sz w:val="28"/>
          <w:szCs w:val="28"/>
          <w:highlight w:val="none"/>
        </w:rPr>
        <w:t xml:space="preserve">    </w:t>
      </w:r>
      <w:r>
        <w:rPr>
          <w:rFonts w:hint="eastAsia"/>
          <w:b/>
          <w:bCs/>
          <w:color w:val="auto"/>
          <w:sz w:val="28"/>
          <w:szCs w:val="28"/>
          <w:highlight w:val="none"/>
        </w:rPr>
        <w:t xml:space="preserve">  （仅供参考）</w:t>
      </w:r>
    </w:p>
    <w:p>
      <w:pPr>
        <w:adjustRightInd w:val="0"/>
        <w:spacing w:line="360" w:lineRule="auto"/>
        <w:ind w:firstLine="480" w:firstLineChars="200"/>
        <w:textAlignment w:val="baseline"/>
        <w:rPr>
          <w:rFonts w:ascii="宋体" w:hAnsi="宋体" w:cs="宋体"/>
          <w:color w:val="auto"/>
          <w:sz w:val="24"/>
          <w:highlight w:val="none"/>
        </w:rPr>
      </w:pPr>
      <w:bookmarkStart w:id="254" w:name="_Toc12807"/>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甲方：（采购单位）</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乙方：（供应商 ）</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甲、乙双方持采购人、采购代理公司签发的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采购项目成交通知书，根据采购文件、响应性文件的内容，并经双方协商一致，达成以下合同条款：</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一、本合同所指货物为此次采购的货物（注明品名、规格、数量、单价等技术要求），合同总价款为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二、货物质量要求及乙方对质量负责条件和期限：</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乙方提供的货物达到乙方</w:t>
      </w:r>
      <w:r>
        <w:rPr>
          <w:rFonts w:hint="eastAsia" w:asciiTheme="minorEastAsia" w:hAnsiTheme="minorEastAsia" w:eastAsiaTheme="minorEastAsia" w:cstheme="minorEastAsia"/>
          <w:color w:val="auto"/>
          <w:szCs w:val="21"/>
          <w:highlight w:val="none"/>
          <w:lang w:eastAsia="zh-CN"/>
        </w:rPr>
        <w:t>投标文件</w:t>
      </w:r>
      <w:r>
        <w:rPr>
          <w:rFonts w:hint="eastAsia" w:asciiTheme="minorEastAsia" w:hAnsiTheme="minorEastAsia" w:eastAsiaTheme="minorEastAsia" w:cstheme="minorEastAsia"/>
          <w:color w:val="auto"/>
          <w:szCs w:val="21"/>
          <w:highlight w:val="none"/>
        </w:rPr>
        <w:t>及澄清中的技术标准。（售后服务要求按采购文件及响应性文件相应条款制订）</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三、交货时间、地点、方式、验收：</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乙方应于2023年 月 日前按甲方要求在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（甲方指定地点）将货物运送达到验收条件。货物运送产生的费用由乙方负责。由甲方组织相关人员进行验收。</w:t>
      </w:r>
    </w:p>
    <w:p>
      <w:pPr>
        <w:numPr>
          <w:ilvl w:val="0"/>
          <w:numId w:val="7"/>
        </w:numPr>
        <w:adjustRightInd w:val="0"/>
        <w:spacing w:line="360" w:lineRule="auto"/>
        <w:ind w:firstLine="48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宋体" w:hAnsi="宋体" w:cs="宋体"/>
          <w:bCs/>
          <w:color w:val="auto"/>
          <w:highlight w:val="none"/>
        </w:rPr>
        <w:t>。</w:t>
      </w:r>
    </w:p>
    <w:p>
      <w:pPr>
        <w:numPr>
          <w:ilvl w:val="0"/>
          <w:numId w:val="7"/>
        </w:numPr>
        <w:adjustRightInd w:val="0"/>
        <w:spacing w:line="360" w:lineRule="auto"/>
        <w:ind w:firstLine="48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违约责任：甲方无正当理由拒收货物、拒付货款的，向乙方偿付拒收拒付部分货物款总额的________违约金。</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乙方所交货物的规格型号、技术要求、质量品质等不符合合同规定，甲方有权拒收货物，乙方应负责更换并承担因更换而支付的全部实际费用。因更换而造成逾期交货，则按逾期交货处理。</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乙方不能交付货物的，乙方向甲方支付未交付部分货物款总额____违约金。</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若因中标人原因不能按期按质供货的，将扣除中标人2万元的违约金，同时每超过一天另扣除合同金额的千分之一。</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六、因货物的质量问题发生争议，由甲方所在地市级技术监督单位进行质量鉴定。</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七、甲乙双方应严格遵守投标要求和供应商须知，如有违反，按投标要求和供应商须知规定予以处理。</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八、采购文件及其修改补充、投标文件及其修改补充澄清均为本合同的组成部分。</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十、合同生效及其它：</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本合同经甲、乙双方代表签字、加盖公章和骑缝章后生效。本合同一式五份，甲乙双方各持两份。合同签订后在2个工作日内，采购人将合同在焦作市政府采购网公示并备案。</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甲方：</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地址：</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                   法定代表人：</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                   委托代理人：</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电话：</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开户银行：</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银行账号：</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银行账号：</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签约时间：                     签约地点：</w:t>
      </w:r>
    </w:p>
    <w:p>
      <w:pPr>
        <w:adjustRightInd w:val="0"/>
        <w:spacing w:line="360" w:lineRule="auto"/>
        <w:ind w:firstLine="422" w:firstLineChars="200"/>
        <w:textAlignment w:val="baseline"/>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重要提示：以上合同文本作为签订合同的重要依据，涉及付款方式、供应商名称等实质性内容不得变更。</w:t>
      </w: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b/>
          <w:bCs/>
          <w:color w:val="auto"/>
          <w:sz w:val="32"/>
          <w:szCs w:val="32"/>
          <w:highlight w:val="none"/>
        </w:rPr>
      </w:pPr>
    </w:p>
    <w:p>
      <w:pPr>
        <w:pStyle w:val="12"/>
        <w:numPr>
          <w:ilvl w:val="0"/>
          <w:numId w:val="6"/>
        </w:numPr>
        <w:jc w:val="center"/>
        <w:outlineLvl w:val="0"/>
        <w:rPr>
          <w:b/>
          <w:bCs/>
          <w:color w:val="auto"/>
          <w:sz w:val="32"/>
          <w:szCs w:val="32"/>
          <w:highlight w:val="none"/>
        </w:rPr>
      </w:pPr>
      <w:r>
        <w:rPr>
          <w:rFonts w:hint="eastAsia"/>
          <w:b/>
          <w:bCs/>
          <w:color w:val="auto"/>
          <w:sz w:val="32"/>
          <w:szCs w:val="32"/>
          <w:highlight w:val="none"/>
        </w:rPr>
        <w:t xml:space="preserve">  </w:t>
      </w:r>
      <w:bookmarkStart w:id="255" w:name="_Toc6692"/>
      <w:r>
        <w:rPr>
          <w:rFonts w:hint="eastAsia"/>
          <w:b/>
          <w:bCs/>
          <w:color w:val="auto"/>
          <w:sz w:val="32"/>
          <w:szCs w:val="32"/>
          <w:highlight w:val="none"/>
        </w:rPr>
        <w:t>采购内容及技术要求</w:t>
      </w:r>
      <w:bookmarkEnd w:id="255"/>
    </w:p>
    <w:p>
      <w:pPr>
        <w:keepNext w:val="0"/>
        <w:keepLines w:val="0"/>
        <w:pageBreakBefore w:val="0"/>
        <w:widowControl/>
        <w:numPr>
          <w:ilvl w:val="0"/>
          <w:numId w:val="8"/>
        </w:numPr>
        <w:kinsoku/>
        <w:wordWrap/>
        <w:overflowPunct/>
        <w:topLinePunct w:val="0"/>
        <w:autoSpaceDE/>
        <w:autoSpaceDN/>
        <w:bidi w:val="0"/>
        <w:adjustRightInd w:val="0"/>
        <w:snapToGrid w:val="0"/>
        <w:spacing w:line="460" w:lineRule="exact"/>
        <w:textAlignment w:val="auto"/>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采购内容：购置4艘游船，每艘可容纳200名游客，预算金额</w:t>
      </w:r>
      <w:r>
        <w:rPr>
          <w:rFonts w:hint="eastAsia" w:ascii="宋体" w:hAnsi="宋体"/>
          <w:bCs/>
          <w:color w:val="auto"/>
          <w:kern w:val="0"/>
          <w:sz w:val="24"/>
          <w:szCs w:val="24"/>
          <w:highlight w:val="none"/>
          <w:lang w:eastAsia="zh-CN"/>
        </w:rPr>
        <w:t>2100万元</w:t>
      </w:r>
      <w:r>
        <w:rPr>
          <w:rFonts w:hint="default" w:ascii="宋体" w:hAnsi="宋体"/>
          <w:bCs/>
          <w:color w:val="auto"/>
          <w:kern w:val="0"/>
          <w:sz w:val="24"/>
          <w:szCs w:val="24"/>
          <w:highlight w:val="none"/>
          <w:lang w:val="en-US" w:eastAsia="zh-CN"/>
        </w:rPr>
        <w:t>（含设计、建造、</w:t>
      </w:r>
      <w:r>
        <w:rPr>
          <w:rFonts w:hint="eastAsia" w:ascii="宋体" w:hAnsi="宋体"/>
          <w:bCs/>
          <w:color w:val="auto"/>
          <w:kern w:val="0"/>
          <w:sz w:val="24"/>
          <w:szCs w:val="24"/>
          <w:highlight w:val="none"/>
          <w:lang w:val="en-US" w:eastAsia="zh-CN"/>
        </w:rPr>
        <w:t>运输、</w:t>
      </w:r>
      <w:r>
        <w:rPr>
          <w:rFonts w:hint="default" w:ascii="宋体" w:hAnsi="宋体"/>
          <w:bCs/>
          <w:color w:val="auto"/>
          <w:kern w:val="0"/>
          <w:sz w:val="24"/>
          <w:szCs w:val="24"/>
          <w:highlight w:val="none"/>
          <w:lang w:val="en-US" w:eastAsia="zh-CN"/>
        </w:rPr>
        <w:t>下水、检验、办证</w:t>
      </w:r>
      <w:r>
        <w:rPr>
          <w:rFonts w:hint="eastAsia" w:ascii="宋体" w:hAnsi="宋体"/>
          <w:bCs/>
          <w:color w:val="auto"/>
          <w:kern w:val="0"/>
          <w:sz w:val="24"/>
          <w:szCs w:val="24"/>
          <w:highlight w:val="none"/>
          <w:lang w:val="en-US" w:eastAsia="zh-CN"/>
        </w:rPr>
        <w:t>、税金</w:t>
      </w:r>
      <w:r>
        <w:rPr>
          <w:rFonts w:hint="default" w:ascii="宋体" w:hAnsi="宋体"/>
          <w:bCs/>
          <w:color w:val="auto"/>
          <w:kern w:val="0"/>
          <w:sz w:val="24"/>
          <w:szCs w:val="24"/>
          <w:highlight w:val="none"/>
          <w:lang w:val="en-US" w:eastAsia="zh-CN"/>
        </w:rPr>
        <w:t>等费用）</w:t>
      </w:r>
      <w:r>
        <w:rPr>
          <w:rFonts w:hint="eastAsia" w:ascii="宋体" w:hAnsi="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二、质量要求：符合国家及行业规范标准。</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三、供货安装期：合同签订后</w:t>
      </w:r>
      <w:r>
        <w:rPr>
          <w:rFonts w:hint="eastAsia" w:ascii="宋体" w:hAnsi="宋体"/>
          <w:bCs/>
          <w:color w:val="auto"/>
          <w:kern w:val="0"/>
          <w:sz w:val="24"/>
          <w:szCs w:val="24"/>
          <w:highlight w:val="none"/>
          <w:lang w:val="en-US" w:eastAsia="zh-CN"/>
        </w:rPr>
        <w:t>300</w:t>
      </w:r>
      <w:r>
        <w:rPr>
          <w:rFonts w:hint="eastAsia" w:ascii="宋体" w:hAnsi="宋体"/>
          <w:bCs/>
          <w:color w:val="auto"/>
          <w:kern w:val="0"/>
          <w:sz w:val="24"/>
          <w:szCs w:val="24"/>
          <w:highlight w:val="none"/>
        </w:rPr>
        <w:t>个日历天内完成设备的供货和安装</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color w:val="auto"/>
          <w:sz w:val="24"/>
          <w:szCs w:val="24"/>
          <w:highlight w:val="none"/>
        </w:rPr>
      </w:pPr>
      <w:r>
        <w:rPr>
          <w:rFonts w:hint="eastAsia" w:ascii="宋体" w:hAnsi="宋体"/>
          <w:bCs/>
          <w:color w:val="auto"/>
          <w:kern w:val="0"/>
          <w:sz w:val="24"/>
          <w:szCs w:val="24"/>
          <w:highlight w:val="none"/>
        </w:rPr>
        <w:t>四、质保期：一年</w:t>
      </w:r>
      <w:r>
        <w:rPr>
          <w:rFonts w:hint="eastAsia" w:ascii="仿宋_GB2312" w:hAnsi="宋体" w:eastAsia="仿宋_GB2312"/>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460" w:lineRule="exact"/>
        <w:textAlignment w:val="auto"/>
        <w:rPr>
          <w:color w:val="auto"/>
          <w:sz w:val="24"/>
          <w:szCs w:val="24"/>
          <w:highlight w:val="none"/>
        </w:rPr>
      </w:pPr>
      <w:r>
        <w:rPr>
          <w:rFonts w:hint="eastAsia" w:ascii="宋体" w:hAnsi="宋体"/>
          <w:bCs/>
          <w:color w:val="auto"/>
          <w:kern w:val="0"/>
          <w:sz w:val="24"/>
          <w:szCs w:val="24"/>
          <w:highlight w:val="none"/>
        </w:rPr>
        <w:t>五、采购要求：</w:t>
      </w:r>
    </w:p>
    <w:tbl>
      <w:tblPr>
        <w:tblStyle w:val="26"/>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
        <w:gridCol w:w="2288"/>
        <w:gridCol w:w="3366"/>
        <w:gridCol w:w="903"/>
        <w:gridCol w:w="757"/>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640"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1.1、游船--技术参数及要求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一</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结构形式</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单底、单舷、单甲板横骨架式钢质游船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二</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航    区</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B级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eastAsia="zh-CN" w:bidi="hi-IN"/>
              </w:rPr>
            </w:pPr>
            <w:r>
              <w:rPr>
                <w:rFonts w:hint="eastAsia" w:ascii="宋体" w:hAnsi="宋体" w:eastAsia="宋体" w:cs="宋体"/>
                <w:color w:val="auto"/>
                <w:sz w:val="21"/>
                <w:szCs w:val="21"/>
                <w:highlight w:val="none"/>
                <w:lang w:val="en-US" w:eastAsia="zh-CN"/>
              </w:rPr>
              <w:t>三</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总    长</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27.00~29.00米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eastAsia="zh-CN" w:bidi="hi-IN"/>
              </w:rPr>
            </w:pPr>
            <w:r>
              <w:rPr>
                <w:rFonts w:hint="eastAsia" w:ascii="宋体" w:hAnsi="宋体" w:eastAsia="宋体" w:cs="宋体"/>
                <w:color w:val="auto"/>
                <w:sz w:val="21"/>
                <w:szCs w:val="21"/>
                <w:highlight w:val="none"/>
                <w:lang w:val="en-US" w:eastAsia="zh-CN"/>
              </w:rPr>
              <w:t>四</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总    宽</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6.8~7.2米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eastAsia="zh-CN" w:bidi="hi-IN"/>
              </w:rPr>
            </w:pPr>
            <w:r>
              <w:rPr>
                <w:rFonts w:hint="eastAsia" w:ascii="宋体" w:hAnsi="宋体" w:eastAsia="宋体" w:cs="宋体"/>
                <w:color w:val="auto"/>
                <w:sz w:val="21"/>
                <w:szCs w:val="21"/>
                <w:highlight w:val="none"/>
                <w:lang w:val="en-US" w:eastAsia="zh-CN"/>
              </w:rPr>
              <w:t>五</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型    深</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1.7~1.8米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eastAsia="zh-CN" w:bidi="hi-IN"/>
              </w:rPr>
            </w:pPr>
            <w:r>
              <w:rPr>
                <w:rFonts w:hint="eastAsia" w:ascii="宋体" w:hAnsi="宋体" w:eastAsia="宋体" w:cs="宋体"/>
                <w:color w:val="auto"/>
                <w:sz w:val="21"/>
                <w:szCs w:val="21"/>
                <w:highlight w:val="none"/>
                <w:lang w:val="en-US" w:eastAsia="zh-CN"/>
              </w:rPr>
              <w:t>六</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吃    水</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color w:val="auto"/>
                <w:sz w:val="21"/>
                <w:szCs w:val="21"/>
                <w:highlight w:val="none"/>
                <w:lang w:val="en-US" w:eastAsia="zh-CN"/>
              </w:rPr>
              <w:t>1.05~1.15米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eastAsia="zh-CN" w:bidi="hi-IN"/>
              </w:rPr>
            </w:pPr>
            <w:r>
              <w:rPr>
                <w:rFonts w:hint="eastAsia" w:ascii="宋体" w:hAnsi="宋体" w:eastAsia="宋体" w:cs="宋体"/>
                <w:color w:val="auto"/>
                <w:sz w:val="21"/>
                <w:szCs w:val="21"/>
                <w:highlight w:val="none"/>
                <w:lang w:val="en-US" w:eastAsia="zh-CN"/>
              </w:rPr>
              <w:t>八</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主    机</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330KW*2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eastAsia="zh-CN" w:bidi="hi-IN"/>
              </w:rPr>
            </w:pPr>
            <w:r>
              <w:rPr>
                <w:rFonts w:hint="eastAsia" w:ascii="宋体" w:hAnsi="宋体" w:eastAsia="宋体" w:cs="宋体"/>
                <w:color w:val="auto"/>
                <w:sz w:val="21"/>
                <w:szCs w:val="21"/>
                <w:highlight w:val="none"/>
                <w:lang w:val="en-US" w:eastAsia="zh-CN"/>
              </w:rPr>
              <w:t>九</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乘员人数</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≥200人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lang w:val="en-US" w:eastAsia="zh-CN" w:bidi="hi-IN"/>
              </w:rPr>
            </w:pPr>
            <w:r>
              <w:rPr>
                <w:rFonts w:hint="eastAsia" w:ascii="宋体" w:hAnsi="宋体" w:eastAsia="宋体" w:cs="宋体"/>
                <w:color w:val="auto"/>
                <w:sz w:val="21"/>
                <w:szCs w:val="21"/>
                <w:highlight w:val="none"/>
                <w:lang w:val="en-US" w:eastAsia="zh-CN"/>
              </w:rPr>
              <w:t>十</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船员人数</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十一</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设计航速</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15-18公里/小时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十二</w:t>
            </w:r>
          </w:p>
        </w:tc>
        <w:tc>
          <w:tcPr>
            <w:tcW w:w="655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续航时间</w:t>
            </w:r>
          </w:p>
        </w:tc>
        <w:tc>
          <w:tcPr>
            <w:tcW w:w="2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不低于6小时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640"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备注:（投标报价应包含设计、建造、运输、下水、检验、办证、税金等费用）。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40"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 详细配置要求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船体主材料</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船用钢材及型材</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CCSA/B、Q235</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板材预处理</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CCSB-T6m </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Q235-T6mm</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异形件制造加工</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外板部位</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上层结构框架</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CCSA/B、Q235 T5 T4</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尾部装饰水车</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CCSA/B、Q235</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护舷材舾装件</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Q235-T6em</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电焊条</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422 3.2</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钣金灰</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耐高温、附着力强</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油漆</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环氧富锌、</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环氧云铁、甲板漆</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船体内局部防腐处理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玻璃钢</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氧气、乙炔</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市购</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A60防火棉</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船用CCS</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含劳防用品、工装、工件等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轮机部分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船用发动机</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国二排放，330KW，电启动，含主机遥控</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发动机安装附件</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消声器、隔热降噪等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电子离合器</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轴系、舵系</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轴、舵系及螺旋桨</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液压舵机</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电动液压舵机(含油</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管、液压油)</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柴油机、发电机启动</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电瓶</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200A(含启动电</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缆、闸刀)</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防腐电瓶箱</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玻璃钢</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主机基座</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主机配套含减震配件等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燃油系统</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燃油箱(钢质根据舱室尽量做大)、液位计、放泄阀、铜质注油口</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油柜</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钢质(滑油柜、污油水柜、舵机油柜、日用油柜)</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全船管系及阀件</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江水箱、阀件、法兰、丝接、无缝钢管、弯头</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全船透气管</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手摇泵</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海水过滤器</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机舱通风</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符合船检要求</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主机排气管</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按船检设计</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附件材料</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工具工装劳护用品、工件等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电气设备部分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主配电板</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充放电板</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电线、电缆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船用发电机组</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船用380V 发电机16KW(配套220v变压器)</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驾驶室空调</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1.5HP</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应急照明用蓄电池</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船用12V 200A</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(含配件)</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防腐电瓶箱</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玻璃钢</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蓄电池充电机</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24V</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船用照明灯具</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船用开关、插座、线</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耳等</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舱底水泵</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岸电系统</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水密插座</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船体舾装部分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甲板部分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带缆桩</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系船索</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 30mm</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游艇靠球</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20CM(带绳)</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靠球吊环</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不锈钢304</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桅杆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钢质</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救生圈架</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钢质</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机舱通风口</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自制</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一层甲板、二层甲板栏杆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舷侧进出口门</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不锈钢框架</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后甲板楼梯</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钢质+不锈钢栏杆</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舱内直梯</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钢质</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内装修材料及家具</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一层地板</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生态木地板(含底部骨架)</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二层地板</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生态木地板(含底部</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骨架) </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座椅</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 不锈钢</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驾驶室、卫生间</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驾驶室制安</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自制(含2只门、前挡玻璃、地板、天花等)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驾驶椅</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可升降</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驾驶台</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自制</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男女卫生间制安</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蹲便器1只、小便斗、陶瓷台盆及龙头1套、镜子1面、结构框架、地板、墙裙、吊顶、排风设施</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污水箱</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含透气孔、液位显示器、污水标准接入口</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清水箱</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 不锈钢</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船检配务</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锚泊、系泊</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霍尔锚</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系船索</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锚机</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救生设备</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带救生浮索救生圈</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带自亮灯救生圈</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救生衣</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救生衣</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成人</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200</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救生衣</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消防设备</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舱室标识贴</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消防泵</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清水泵</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污水粉碎泵</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消防栓、消防水带及枪(水柱/水雾两用)</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太平斧</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符合船检要求</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铁钎、铁钩</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符合船检要求</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灭火器(含灭火器架</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CCS 5kg干粉</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带绳消防水桶</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半圆铁+18米绳</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砂箱</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0.03m 玻璃钢</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2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航行、信号、无线电</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航行信号灯具</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按船检要求 CCS</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红、手旗</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0.04</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国旗</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信号旗</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3号</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国际信号旗</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4号</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号笛、号钟、号锣</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黑色球体号型</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手电筒</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水密防水</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测深锤</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1kg</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测深杆</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 折叠</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探照灯</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船用  CCS</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收、扩音机，电笛雾</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笛</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甚高频</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 CCS</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AIS 系统</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 CCS</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通讯报警系统</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 CCS</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舵角指示器</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倾斜指示器</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18</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望远镜</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双筒 船用</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环保要求</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0.08m3</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污油桶</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符合国家标准及相关行业规范</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垃圾告知牌</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舱室标识贴</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载客荷载标识、救生消防布置图、救生衣穿戴示意图、救生衣摆放及数量标识贴、稳性总结表</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避雷</w:t>
            </w:r>
          </w:p>
        </w:tc>
        <w:tc>
          <w:tcPr>
            <w:tcW w:w="33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ф12mm铜质避雷针</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1x70mm电缆引下线</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与船体连接</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bl>
    <w:p>
      <w:pPr>
        <w:spacing w:line="56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注：本招标项目必须要实质性满足技术要求和商务要求：</w:t>
      </w:r>
    </w:p>
    <w:p>
      <w:pPr>
        <w:spacing w:line="56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1、投标人提供的货物必须是原装全新、高于或等于招标文件规定技术参数的产品。</w:t>
      </w:r>
    </w:p>
    <w:p>
      <w:pPr>
        <w:spacing w:line="56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2、属于节能产品政府采购品目规定必须强制采购的, 必须采购当期节能产品政府采购品目内设备或产品；在价格、技术、服务等指标同等条件下，优先采购节能、环保产品（需提供投标人所投产品属于政府采购清单规定的节能环保产品的证明材料）。</w:t>
      </w:r>
    </w:p>
    <w:p>
      <w:pPr>
        <w:pStyle w:val="13"/>
        <w:ind w:firstLine="496"/>
        <w:rPr>
          <w:rFonts w:hint="eastAsia" w:ascii="宋体" w:hAnsi="宋体" w:cs="宋体"/>
          <w:b/>
          <w:bCs/>
          <w:color w:val="auto"/>
          <w:spacing w:val="4"/>
          <w:sz w:val="24"/>
          <w:szCs w:val="24"/>
          <w:highlight w:val="none"/>
        </w:rPr>
      </w:pPr>
      <w:r>
        <w:rPr>
          <w:rFonts w:hint="eastAsia" w:ascii="宋体" w:hAnsi="宋体" w:cs="宋体"/>
          <w:b/>
          <w:bCs/>
          <w:color w:val="auto"/>
          <w:spacing w:val="4"/>
          <w:sz w:val="24"/>
          <w:szCs w:val="24"/>
          <w:highlight w:val="none"/>
          <w:lang w:val="en-US" w:eastAsia="zh-CN"/>
        </w:rPr>
        <w:t>3</w:t>
      </w:r>
      <w:r>
        <w:rPr>
          <w:rFonts w:hint="eastAsia" w:ascii="宋体" w:hAnsi="宋体" w:cs="宋体"/>
          <w:b/>
          <w:bCs/>
          <w:color w:val="auto"/>
          <w:spacing w:val="4"/>
          <w:sz w:val="24"/>
          <w:szCs w:val="24"/>
          <w:highlight w:val="none"/>
        </w:rPr>
        <w:t>.本标的所属行业：制造业</w:t>
      </w:r>
    </w:p>
    <w:p>
      <w:pPr>
        <w:spacing w:line="560" w:lineRule="exact"/>
        <w:ind w:firstLine="482" w:firstLineChars="200"/>
        <w:rPr>
          <w:rFonts w:hint="eastAsia" w:ascii="宋体" w:hAnsi="宋体" w:cs="宋体"/>
          <w:b/>
          <w:bCs/>
          <w:color w:val="auto"/>
          <w:kern w:val="0"/>
          <w:sz w:val="24"/>
          <w:highlight w:val="none"/>
        </w:rPr>
      </w:pPr>
    </w:p>
    <w:bookmarkEnd w:id="254"/>
    <w:p>
      <w:pPr>
        <w:rPr>
          <w:rFonts w:hint="eastAsia"/>
          <w:color w:val="auto"/>
          <w:sz w:val="32"/>
          <w:szCs w:val="32"/>
          <w:highlight w:val="none"/>
        </w:rPr>
      </w:pPr>
      <w:bookmarkStart w:id="256" w:name="_Toc28947"/>
      <w:bookmarkStart w:id="257" w:name="_Toc426369533"/>
      <w:bookmarkStart w:id="258" w:name="_Toc403122572"/>
      <w:bookmarkStart w:id="259" w:name="_Toc7906"/>
      <w:r>
        <w:rPr>
          <w:rFonts w:hint="eastAsia"/>
          <w:color w:val="auto"/>
          <w:sz w:val="32"/>
          <w:szCs w:val="32"/>
          <w:highlight w:val="none"/>
        </w:rPr>
        <w:br w:type="page"/>
      </w:r>
    </w:p>
    <w:p>
      <w:pPr>
        <w:pStyle w:val="5"/>
        <w:spacing w:before="0" w:after="0" w:line="360" w:lineRule="auto"/>
        <w:ind w:firstLine="643" w:firstLineChars="200"/>
        <w:rPr>
          <w:color w:val="auto"/>
          <w:sz w:val="32"/>
          <w:szCs w:val="32"/>
          <w:highlight w:val="none"/>
        </w:rPr>
      </w:pPr>
      <w:r>
        <w:rPr>
          <w:rFonts w:hint="eastAsia"/>
          <w:color w:val="auto"/>
          <w:sz w:val="32"/>
          <w:szCs w:val="32"/>
          <w:highlight w:val="none"/>
        </w:rPr>
        <w:t>第六章 质疑与投诉</w:t>
      </w:r>
      <w:bookmarkEnd w:id="256"/>
    </w:p>
    <w:p>
      <w:pPr>
        <w:rPr>
          <w:color w:val="auto"/>
          <w:highlight w:val="none"/>
        </w:rPr>
      </w:pPr>
    </w:p>
    <w:p>
      <w:pPr>
        <w:pStyle w:val="6"/>
        <w:rPr>
          <w:rFonts w:ascii="宋体" w:hAnsi="宋体" w:cs="宋体"/>
          <w:b w:val="0"/>
          <w:bCs w:val="0"/>
          <w:color w:val="auto"/>
          <w:szCs w:val="21"/>
          <w:highlight w:val="none"/>
        </w:rPr>
      </w:pPr>
      <w:r>
        <w:rPr>
          <w:rFonts w:hint="eastAsia" w:ascii="宋体" w:hAnsi="宋体" w:cs="宋体"/>
          <w:color w:val="auto"/>
          <w:szCs w:val="21"/>
          <w:highlight w:val="none"/>
        </w:rPr>
        <w:t>一、质疑与答复</w:t>
      </w:r>
    </w:p>
    <w:p>
      <w:pPr>
        <w:pStyle w:val="25"/>
        <w:spacing w:line="360" w:lineRule="auto"/>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2"/>
        <w:spacing w:line="360" w:lineRule="auto"/>
        <w:rPr>
          <w:rFonts w:ascii="宋体" w:hAnsi="宋体" w:cs="宋体"/>
          <w:color w:val="auto"/>
          <w:szCs w:val="21"/>
          <w:highlight w:val="none"/>
        </w:rPr>
      </w:pPr>
      <w:r>
        <w:rPr>
          <w:rFonts w:hint="eastAsia" w:ascii="宋体" w:hAnsi="宋体" w:cs="宋体"/>
          <w:color w:val="auto"/>
          <w:szCs w:val="21"/>
          <w:highlight w:val="none"/>
        </w:rPr>
        <w:t>2. 供应商提出质疑应当提交质疑函和必要的证明材料。政府采购供应商质疑函范本下载地址：</w:t>
      </w:r>
    </w:p>
    <w:p>
      <w:pPr>
        <w:pStyle w:val="2"/>
        <w:spacing w:line="360" w:lineRule="auto"/>
        <w:ind w:left="420" w:leftChars="200" w:firstLine="0" w:firstLine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"http://download.ccgp.gov.cn/2018/zhiyihanfanben.zip；" </w:instrText>
      </w:r>
      <w:r>
        <w:rPr>
          <w:color w:val="auto"/>
          <w:highlight w:val="none"/>
        </w:rPr>
        <w:fldChar w:fldCharType="separate"/>
      </w:r>
      <w:r>
        <w:rPr>
          <w:rStyle w:val="29"/>
          <w:rFonts w:hint="eastAsia" w:ascii="宋体" w:hAnsi="宋体" w:cs="宋体"/>
          <w:color w:val="auto"/>
          <w:szCs w:val="21"/>
          <w:highlight w:val="none"/>
        </w:rPr>
        <w:t>http://download.ccgp.gov.cn/2018/zhiyihanfanben.zip；</w:t>
      </w:r>
      <w:r>
        <w:rPr>
          <w:rStyle w:val="29"/>
          <w:rFonts w:hint="eastAsia" w:ascii="宋体" w:hAnsi="宋体" w:cs="宋体"/>
          <w:color w:val="auto"/>
          <w:szCs w:val="21"/>
          <w:highlight w:val="none"/>
        </w:rPr>
        <w:fldChar w:fldCharType="end"/>
      </w:r>
    </w:p>
    <w:p>
      <w:pPr>
        <w:numPr>
          <w:ilvl w:val="0"/>
          <w:numId w:val="9"/>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采购人、采购代理机构不得拒收质疑供应商在法定质疑期内发出的质疑函，应当在收到质疑函后7个工作日内作出答复，并以书面形式通知质疑供应商和其他有关供应商。</w:t>
      </w:r>
    </w:p>
    <w:p>
      <w:pPr>
        <w:numPr>
          <w:ilvl w:val="0"/>
          <w:numId w:val="9"/>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供应商提出质疑应当提交质疑函和必要的证明材料。质疑函应当包括下列内容：</w:t>
      </w:r>
    </w:p>
    <w:p>
      <w:pPr>
        <w:numPr>
          <w:ilvl w:val="1"/>
          <w:numId w:val="9"/>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供应商的姓名或者名称、地址、邮编、联系人及联系电话；</w:t>
      </w:r>
    </w:p>
    <w:p>
      <w:pPr>
        <w:numPr>
          <w:ilvl w:val="1"/>
          <w:numId w:val="9"/>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质疑项目的名称、编号；</w:t>
      </w:r>
    </w:p>
    <w:p>
      <w:pPr>
        <w:numPr>
          <w:ilvl w:val="1"/>
          <w:numId w:val="9"/>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具体、明确的质疑事项和与质疑事项相关的请求；</w:t>
      </w:r>
    </w:p>
    <w:p>
      <w:pPr>
        <w:numPr>
          <w:ilvl w:val="1"/>
          <w:numId w:val="9"/>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事实依据；</w:t>
      </w:r>
    </w:p>
    <w:p>
      <w:pPr>
        <w:numPr>
          <w:ilvl w:val="1"/>
          <w:numId w:val="9"/>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必要的法律依据；</w:t>
      </w:r>
    </w:p>
    <w:p>
      <w:pPr>
        <w:numPr>
          <w:ilvl w:val="1"/>
          <w:numId w:val="9"/>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提出质疑的日期；</w:t>
      </w:r>
    </w:p>
    <w:p>
      <w:pPr>
        <w:numPr>
          <w:ilvl w:val="1"/>
          <w:numId w:val="9"/>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获取招标文件的凭证；</w:t>
      </w:r>
    </w:p>
    <w:p>
      <w:pPr>
        <w:numPr>
          <w:ilvl w:val="1"/>
          <w:numId w:val="9"/>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以上资料一式二份（采购人、采购代理机构各执一份）。</w:t>
      </w:r>
    </w:p>
    <w:p>
      <w:pPr>
        <w:numPr>
          <w:ilvl w:val="0"/>
          <w:numId w:val="9"/>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供应商不得虚假质疑和恶意质疑，并对质疑内容的真实性承担责任。</w:t>
      </w:r>
    </w:p>
    <w:p>
      <w:pPr>
        <w:pStyle w:val="6"/>
        <w:rPr>
          <w:rFonts w:ascii="宋体" w:hAnsi="宋体" w:cs="宋体"/>
          <w:b w:val="0"/>
          <w:bCs w:val="0"/>
          <w:color w:val="auto"/>
          <w:szCs w:val="21"/>
          <w:highlight w:val="none"/>
        </w:rPr>
      </w:pPr>
      <w:r>
        <w:rPr>
          <w:rFonts w:hint="eastAsia" w:ascii="宋体" w:hAnsi="宋体" w:cs="宋体"/>
          <w:color w:val="auto"/>
          <w:szCs w:val="21"/>
          <w:highlight w:val="none"/>
        </w:rPr>
        <w:t>二、投诉与处理</w:t>
      </w:r>
    </w:p>
    <w:p>
      <w:pPr>
        <w:pStyle w:val="25"/>
        <w:spacing w:line="360" w:lineRule="auto"/>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1、质疑供应商对采购人、采购代理机构的答复不满意，或者采购人、采购代理机构未在规定时间内作出答复的，可以在答复期满后15个工作日内向本办法第六条规定的财政部门提起投诉。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2、质疑供应商对采购人、采购代理机构的答复不满意，或者采购人、采购代理机构未在规定时间内作出答复的，可以在答复期满后15个工作日内向财政部门提起投诉。</w:t>
      </w:r>
    </w:p>
    <w:p>
      <w:pPr>
        <w:pStyle w:val="25"/>
        <w:spacing w:line="360" w:lineRule="auto"/>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5"/>
        <w:spacing w:line="360" w:lineRule="auto"/>
        <w:ind w:firstLine="640" w:firstLineChars="200"/>
        <w:rPr>
          <w:rFonts w:hint="default"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"http://download.ccgp.gov.cn/2018/tousushufanben.zip" </w:instrText>
      </w:r>
      <w:r>
        <w:rPr>
          <w:color w:val="auto"/>
          <w:highlight w:val="none"/>
        </w:rPr>
        <w:fldChar w:fldCharType="separate"/>
      </w:r>
      <w:r>
        <w:rPr>
          <w:rStyle w:val="29"/>
          <w:rFonts w:ascii="宋体" w:hAnsi="宋体" w:eastAsia="宋体" w:cs="宋体"/>
          <w:color w:val="auto"/>
          <w:sz w:val="21"/>
          <w:szCs w:val="21"/>
          <w:highlight w:val="none"/>
        </w:rPr>
        <w:t>http://download.ccgp.gov.cn/2018/tousushufanben.zip</w:t>
      </w:r>
      <w:r>
        <w:rPr>
          <w:rStyle w:val="29"/>
          <w:rFonts w:ascii="宋体" w:hAnsi="宋体" w:eastAsia="宋体" w:cs="宋体"/>
          <w:color w:val="auto"/>
          <w:sz w:val="21"/>
          <w:szCs w:val="21"/>
          <w:highlight w:val="none"/>
        </w:rPr>
        <w:fldChar w:fldCharType="end"/>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财政部门自收到投诉之日起30个工作日内，对投诉事项作出处理决定并公示。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投诉人在全国范围12个月内三次以上投诉查无实据的，由财政部门列入不良行为记录名单。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投诉人有财政部94号令第三十七条情形的，属于虚假、恶意投诉，由财政部门列入不良行为记录名单，禁止其1至3年内参加政府采购活动。</w:t>
      </w:r>
    </w:p>
    <w:p>
      <w:pPr>
        <w:pStyle w:val="2"/>
        <w:spacing w:line="360" w:lineRule="auto"/>
        <w:rPr>
          <w:rFonts w:ascii="宋体" w:hAnsi="宋体" w:cs="宋体"/>
          <w:color w:val="auto"/>
          <w:szCs w:val="21"/>
          <w:highlight w:val="none"/>
        </w:rPr>
      </w:pPr>
    </w:p>
    <w:p>
      <w:pPr>
        <w:rPr>
          <w:rFonts w:ascii="宋体" w:hAnsi="宋体" w:cs="宋体"/>
          <w:b/>
          <w:bCs/>
          <w:color w:val="auto"/>
          <w:szCs w:val="21"/>
          <w:highlight w:val="none"/>
        </w:rPr>
      </w:pPr>
      <w:r>
        <w:rPr>
          <w:rFonts w:hint="eastAsia" w:ascii="宋体" w:hAnsi="宋体" w:cs="宋体"/>
          <w:color w:val="auto"/>
          <w:szCs w:val="21"/>
          <w:highlight w:val="none"/>
        </w:rPr>
        <w:t xml:space="preserve">投诉联系电话：0391-8683273  地址：博爱县机关综合办公楼主楼1213室 </w:t>
      </w:r>
    </w:p>
    <w:p>
      <w:pPr>
        <w:rPr>
          <w:rFonts w:ascii="宋体" w:hAnsi="宋体" w:cs="宋体"/>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highlight w:val="none"/>
        </w:rPr>
      </w:pPr>
    </w:p>
    <w:p>
      <w:pPr>
        <w:rPr>
          <w:color w:val="auto"/>
          <w:highlight w:val="none"/>
        </w:rPr>
      </w:pPr>
    </w:p>
    <w:p>
      <w:pPr>
        <w:pStyle w:val="13"/>
        <w:rPr>
          <w:color w:val="auto"/>
          <w:highlight w:val="none"/>
        </w:rPr>
      </w:pPr>
    </w:p>
    <w:p>
      <w:pPr>
        <w:pStyle w:val="14"/>
        <w:rPr>
          <w:color w:val="auto"/>
          <w:highlight w:val="none"/>
        </w:rPr>
      </w:pPr>
    </w:p>
    <w:p>
      <w:pPr>
        <w:pStyle w:val="13"/>
        <w:rPr>
          <w:color w:val="auto"/>
          <w:highlight w:val="none"/>
        </w:rPr>
      </w:pPr>
    </w:p>
    <w:p>
      <w:pPr>
        <w:pStyle w:val="14"/>
        <w:rPr>
          <w:color w:val="auto"/>
          <w:highlight w:val="none"/>
        </w:rPr>
      </w:pPr>
    </w:p>
    <w:p>
      <w:pPr>
        <w:pStyle w:val="13"/>
        <w:rPr>
          <w:color w:val="auto"/>
          <w:highlight w:val="none"/>
        </w:rPr>
      </w:pPr>
    </w:p>
    <w:p>
      <w:pPr>
        <w:pStyle w:val="14"/>
        <w:rPr>
          <w:color w:val="auto"/>
          <w:highlight w:val="none"/>
        </w:rPr>
      </w:pPr>
    </w:p>
    <w:p>
      <w:pPr>
        <w:pStyle w:val="14"/>
        <w:rPr>
          <w:color w:val="auto"/>
          <w:highlight w:val="none"/>
        </w:rPr>
      </w:pPr>
    </w:p>
    <w:p>
      <w:pPr>
        <w:pStyle w:val="25"/>
        <w:spacing w:line="360" w:lineRule="auto"/>
        <w:ind w:firstLine="643" w:firstLineChars="200"/>
        <w:jc w:val="center"/>
        <w:outlineLvl w:val="0"/>
        <w:rPr>
          <w:rFonts w:hint="default" w:asciiTheme="majorEastAsia" w:hAnsiTheme="majorEastAsia" w:eastAsiaTheme="majorEastAsia" w:cstheme="majorEastAsia"/>
          <w:b/>
          <w:bCs/>
          <w:color w:val="auto"/>
          <w:szCs w:val="32"/>
          <w:highlight w:val="none"/>
        </w:rPr>
      </w:pPr>
      <w:bookmarkStart w:id="260" w:name="_Toc7285"/>
      <w:r>
        <w:rPr>
          <w:rFonts w:asciiTheme="majorEastAsia" w:hAnsiTheme="majorEastAsia" w:eastAsiaTheme="majorEastAsia" w:cstheme="majorEastAsia"/>
          <w:b/>
          <w:bCs/>
          <w:color w:val="auto"/>
          <w:szCs w:val="32"/>
          <w:highlight w:val="none"/>
        </w:rPr>
        <w:t>第七章 履约验收</w:t>
      </w:r>
      <w:bookmarkEnd w:id="260"/>
    </w:p>
    <w:p>
      <w:pPr>
        <w:pStyle w:val="2"/>
        <w:rPr>
          <w:color w:val="auto"/>
          <w:highlight w:val="none"/>
        </w:rPr>
      </w:pPr>
    </w:p>
    <w:p>
      <w:pPr>
        <w:pStyle w:val="25"/>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供应商履约完成后，向采购人提出验收建议，采购人自收到验收建议之日起五个工作日内，采购人组织供应商参与，共同完成验收。技术复杂、专业性强等项目可适当延长验收时间。验收流程如下：</w:t>
      </w:r>
    </w:p>
    <w:p>
      <w:pPr>
        <w:pStyle w:val="25"/>
        <w:numPr>
          <w:ilvl w:val="0"/>
          <w:numId w:val="10"/>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5"/>
        <w:numPr>
          <w:ilvl w:val="0"/>
          <w:numId w:val="10"/>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5"/>
        <w:numPr>
          <w:ilvl w:val="0"/>
          <w:numId w:val="10"/>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5"/>
        <w:numPr>
          <w:ilvl w:val="0"/>
          <w:numId w:val="10"/>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13"/>
        <w:rPr>
          <w:rFonts w:asciiTheme="minorEastAsia" w:hAnsiTheme="minorEastAsia" w:eastAsiaTheme="minorEastAsia" w:cstheme="minorEastAsia"/>
          <w:color w:val="auto"/>
          <w:szCs w:val="21"/>
          <w:highlight w:val="none"/>
        </w:rPr>
      </w:pPr>
    </w:p>
    <w:p>
      <w:pPr>
        <w:pStyle w:val="14"/>
        <w:rPr>
          <w:rFonts w:asciiTheme="minorEastAsia" w:hAnsiTheme="minorEastAsia" w:eastAsiaTheme="minorEastAsia" w:cstheme="minorEastAsia"/>
          <w:color w:val="auto"/>
          <w:szCs w:val="21"/>
          <w:highlight w:val="none"/>
        </w:rPr>
      </w:pPr>
    </w:p>
    <w:p>
      <w:pPr>
        <w:pStyle w:val="13"/>
        <w:rPr>
          <w:rFonts w:asciiTheme="minorEastAsia" w:hAnsiTheme="minorEastAsia" w:eastAsiaTheme="minorEastAsia" w:cstheme="minorEastAsia"/>
          <w:color w:val="auto"/>
          <w:szCs w:val="21"/>
          <w:highlight w:val="none"/>
        </w:rPr>
      </w:pPr>
    </w:p>
    <w:p>
      <w:pPr>
        <w:pStyle w:val="14"/>
        <w:rPr>
          <w:rFonts w:asciiTheme="minorEastAsia" w:hAnsiTheme="minorEastAsia" w:eastAsiaTheme="minorEastAsia" w:cstheme="minorEastAsia"/>
          <w:color w:val="auto"/>
          <w:szCs w:val="21"/>
          <w:highlight w:val="none"/>
        </w:rPr>
      </w:pPr>
    </w:p>
    <w:p>
      <w:pPr>
        <w:pStyle w:val="13"/>
        <w:rPr>
          <w:rFonts w:asciiTheme="minorEastAsia" w:hAnsiTheme="minorEastAsia" w:eastAsiaTheme="minorEastAsia" w:cstheme="minorEastAsia"/>
          <w:color w:val="auto"/>
          <w:szCs w:val="21"/>
          <w:highlight w:val="none"/>
        </w:rPr>
      </w:pPr>
    </w:p>
    <w:p>
      <w:pPr>
        <w:pStyle w:val="14"/>
        <w:rPr>
          <w:rFonts w:asciiTheme="minorEastAsia" w:hAnsiTheme="minorEastAsia" w:eastAsiaTheme="minorEastAsia" w:cstheme="minorEastAsia"/>
          <w:color w:val="auto"/>
          <w:szCs w:val="21"/>
          <w:highlight w:val="none"/>
        </w:rPr>
      </w:pPr>
    </w:p>
    <w:p>
      <w:pPr>
        <w:pStyle w:val="13"/>
        <w:rPr>
          <w:color w:val="auto"/>
          <w:highlight w:val="none"/>
        </w:rPr>
      </w:pPr>
    </w:p>
    <w:p>
      <w:pPr>
        <w:pStyle w:val="13"/>
        <w:rPr>
          <w:color w:val="auto"/>
          <w:highlight w:val="none"/>
        </w:rPr>
      </w:pPr>
    </w:p>
    <w:p>
      <w:pPr>
        <w:pStyle w:val="23"/>
        <w:spacing w:line="600" w:lineRule="exact"/>
        <w:ind w:right="-63" w:rightChars="-30"/>
        <w:rPr>
          <w:rFonts w:asciiTheme="minorEastAsia" w:hAnsiTheme="minorEastAsia" w:eastAsiaTheme="minorEastAsia" w:cstheme="minorEastAsia"/>
          <w:color w:val="auto"/>
          <w:sz w:val="36"/>
          <w:szCs w:val="36"/>
          <w:highlight w:val="none"/>
        </w:rPr>
      </w:pPr>
      <w:bookmarkStart w:id="261" w:name="_Toc12999"/>
      <w:bookmarkStart w:id="262" w:name="_Toc14191"/>
      <w:r>
        <w:rPr>
          <w:rFonts w:hint="eastAsia" w:asciiTheme="minorEastAsia" w:hAnsiTheme="minorEastAsia" w:eastAsiaTheme="minorEastAsia" w:cstheme="minorEastAsia"/>
          <w:color w:val="auto"/>
          <w:sz w:val="36"/>
          <w:szCs w:val="36"/>
          <w:highlight w:val="none"/>
        </w:rPr>
        <w:t>第八章  投标文件格式</w:t>
      </w:r>
      <w:bookmarkEnd w:id="257"/>
      <w:bookmarkEnd w:id="258"/>
      <w:bookmarkEnd w:id="259"/>
      <w:bookmarkEnd w:id="261"/>
      <w:bookmarkEnd w:id="262"/>
    </w:p>
    <w:p>
      <w:pPr>
        <w:rPr>
          <w:rFonts w:asciiTheme="minorEastAsia" w:hAnsiTheme="minorEastAsia" w:eastAsiaTheme="minorEastAsia" w:cstheme="minorEastAsia"/>
          <w:color w:val="auto"/>
          <w:highlight w:val="none"/>
        </w:rPr>
      </w:pPr>
      <w:bookmarkStart w:id="263" w:name="_Toc18905"/>
      <w:bookmarkStart w:id="264" w:name="_Toc402961301"/>
      <w:bookmarkStart w:id="265" w:name="_Toc403122573"/>
      <w:bookmarkStart w:id="266" w:name="_Toc27452"/>
    </w:p>
    <w:bookmarkEnd w:id="263"/>
    <w:bookmarkEnd w:id="264"/>
    <w:bookmarkEnd w:id="265"/>
    <w:bookmarkEnd w:id="266"/>
    <w:p>
      <w:pPr>
        <w:ind w:firstLine="2891" w:firstLineChars="8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 xml:space="preserve">（项目名称）                   </w:t>
      </w:r>
      <w:r>
        <w:rPr>
          <w:rFonts w:hint="eastAsia" w:asciiTheme="minorEastAsia" w:hAnsiTheme="minorEastAsia" w:eastAsiaTheme="minorEastAsia" w:cstheme="minorEastAsia"/>
          <w:b/>
          <w:bCs/>
          <w:color w:val="auto"/>
          <w:sz w:val="28"/>
          <w:szCs w:val="28"/>
          <w:highlight w:val="none"/>
        </w:rPr>
        <w:t>正本/副本</w:t>
      </w:r>
    </w:p>
    <w:p>
      <w:pPr>
        <w:spacing w:line="360" w:lineRule="auto"/>
        <w:jc w:val="center"/>
        <w:rPr>
          <w:rFonts w:asciiTheme="minorEastAsia" w:hAnsiTheme="minorEastAsia" w:eastAsiaTheme="minorEastAsia" w:cstheme="minorEastAsia"/>
          <w:b/>
          <w:color w:val="auto"/>
          <w:sz w:val="32"/>
          <w:szCs w:val="32"/>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360" w:lineRule="auto"/>
        <w:jc w:val="center"/>
        <w:rPr>
          <w:rFonts w:asciiTheme="minorEastAsia" w:hAnsiTheme="minorEastAsia" w:eastAsiaTheme="minorEastAsia" w:cstheme="minorEastAsia"/>
          <w:b/>
          <w:color w:val="auto"/>
          <w:spacing w:val="24"/>
          <w:kern w:val="10"/>
          <w:sz w:val="52"/>
          <w:szCs w:val="52"/>
          <w:highlight w:val="none"/>
        </w:rPr>
      </w:pPr>
      <w:r>
        <w:rPr>
          <w:rFonts w:hint="eastAsia" w:asciiTheme="minorEastAsia" w:hAnsiTheme="minorEastAsia" w:eastAsiaTheme="minorEastAsia" w:cstheme="minorEastAsia"/>
          <w:b/>
          <w:color w:val="auto"/>
          <w:spacing w:val="24"/>
          <w:kern w:val="10"/>
          <w:sz w:val="52"/>
          <w:szCs w:val="52"/>
          <w:highlight w:val="none"/>
        </w:rPr>
        <w:t>投  标  文  件</w:t>
      </w:r>
    </w:p>
    <w:p>
      <w:pPr>
        <w:jc w:val="center"/>
        <w:rPr>
          <w:rFonts w:asciiTheme="minorEastAsia" w:hAnsiTheme="minorEastAsia" w:eastAsiaTheme="minorEastAsia" w:cstheme="minorEastAsia"/>
          <w:color w:val="auto"/>
          <w:sz w:val="24"/>
          <w:highlight w:val="none"/>
        </w:rPr>
      </w:pPr>
    </w:p>
    <w:p>
      <w:pPr>
        <w:pStyle w:val="10"/>
        <w:rPr>
          <w:color w:val="auto"/>
          <w:highlight w:val="none"/>
        </w:rPr>
      </w:pPr>
      <w:r>
        <w:rPr>
          <w:rFonts w:hint="eastAsia" w:asciiTheme="minorEastAsia" w:hAnsiTheme="minorEastAsia" w:eastAsiaTheme="minorEastAsia" w:cstheme="minorEastAsia"/>
          <w:color w:val="auto"/>
          <w:highlight w:val="none"/>
        </w:rPr>
        <w:t xml:space="preserve"> </w:t>
      </w: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（封面）</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b/>
          <w:color w:val="auto"/>
          <w:sz w:val="24"/>
          <w:highlight w:val="none"/>
        </w:rPr>
      </w:pPr>
    </w:p>
    <w:p>
      <w:pPr>
        <w:pStyle w:val="16"/>
        <w:spacing w:line="600" w:lineRule="exact"/>
        <w:ind w:left="1050" w:leftChars="500" w:firstLine="1152" w:firstLineChars="45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8"/>
          <w:sz w:val="24"/>
          <w:highlight w:val="none"/>
        </w:rPr>
        <w:t>供  应  商：</w:t>
      </w:r>
      <w:r>
        <w:rPr>
          <w:rFonts w:asciiTheme="minorEastAsia" w:hAnsiTheme="minorEastAsia" w:eastAsiaTheme="minorEastAsia" w:cstheme="minorEastAsia"/>
          <w:color w:val="auto"/>
          <w:sz w:val="24"/>
          <w:highlight w:val="none"/>
        </w:rPr>
        <w:t>（单位公章）</w:t>
      </w:r>
    </w:p>
    <w:p>
      <w:pPr>
        <w:pStyle w:val="16"/>
        <w:spacing w:line="600" w:lineRule="exact"/>
        <w:ind w:left="1050" w:leftChars="500" w:firstLine="1200" w:firstLineChars="5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法定代表人或</w:t>
      </w:r>
      <w:r>
        <w:rPr>
          <w:rFonts w:asciiTheme="minorEastAsia" w:hAnsiTheme="minorEastAsia" w:eastAsiaTheme="minorEastAsia" w:cstheme="minorEastAsia"/>
          <w:color w:val="auto"/>
          <w:spacing w:val="12"/>
          <w:sz w:val="24"/>
          <w:highlight w:val="none"/>
        </w:rPr>
        <w:t>委托代理人：</w:t>
      </w:r>
      <w:r>
        <w:rPr>
          <w:rFonts w:asciiTheme="minorEastAsia" w:hAnsiTheme="minorEastAsia" w:eastAsiaTheme="minorEastAsia" w:cstheme="minorEastAsia"/>
          <w:color w:val="auto"/>
          <w:sz w:val="24"/>
          <w:highlight w:val="none"/>
        </w:rPr>
        <w:t xml:space="preserve">（签字或盖章）  </w:t>
      </w:r>
    </w:p>
    <w:p>
      <w:pPr>
        <w:pStyle w:val="16"/>
        <w:spacing w:line="600" w:lineRule="exact"/>
        <w:ind w:left="1050" w:leftChars="500" w:firstLine="1200" w:firstLineChars="500"/>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color w:val="auto"/>
          <w:sz w:val="24"/>
          <w:highlight w:val="none"/>
        </w:rPr>
        <w:t>日       期：       年    月    日</w:t>
      </w:r>
    </w:p>
    <w:p>
      <w:pPr>
        <w:ind w:firstLine="540" w:firstLineChars="192"/>
        <w:jc w:val="center"/>
        <w:rPr>
          <w:rFonts w:asciiTheme="minorEastAsia" w:hAnsiTheme="minorEastAsia" w:eastAsiaTheme="minorEastAsia" w:cstheme="minorEastAsia"/>
          <w:b/>
          <w:bCs/>
          <w:color w:val="auto"/>
          <w:sz w:val="28"/>
          <w:szCs w:val="28"/>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pStyle w:val="2"/>
        <w:ind w:firstLine="883"/>
        <w:rPr>
          <w:rFonts w:asciiTheme="minorEastAsia" w:hAnsiTheme="minorEastAsia" w:eastAsiaTheme="minorEastAsia" w:cstheme="minorEastAsia"/>
          <w:b/>
          <w:bCs/>
          <w:color w:val="auto"/>
          <w:sz w:val="44"/>
          <w:szCs w:val="44"/>
          <w:highlight w:val="none"/>
        </w:rPr>
      </w:pPr>
    </w:p>
    <w:p>
      <w:pPr>
        <w:rPr>
          <w:rFonts w:asciiTheme="minorEastAsia" w:hAnsiTheme="minorEastAsia" w:eastAsiaTheme="minorEastAsia" w:cstheme="minorEastAsia"/>
          <w:b/>
          <w:bCs/>
          <w:color w:val="auto"/>
          <w:sz w:val="44"/>
          <w:szCs w:val="44"/>
          <w:highlight w:val="none"/>
        </w:rPr>
      </w:pPr>
    </w:p>
    <w:p>
      <w:pPr>
        <w:pStyle w:val="2"/>
        <w:rPr>
          <w:color w:val="auto"/>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44"/>
          <w:szCs w:val="44"/>
          <w:highlight w:val="none"/>
        </w:rPr>
        <w:t>目    录</w:t>
      </w:r>
    </w:p>
    <w:p>
      <w:pPr>
        <w:spacing w:line="600" w:lineRule="exact"/>
        <w:jc w:val="center"/>
        <w:outlineLvl w:val="1"/>
        <w:rPr>
          <w:rFonts w:asciiTheme="minorEastAsia" w:hAnsiTheme="minorEastAsia" w:eastAsiaTheme="minorEastAsia" w:cstheme="minorEastAsia"/>
          <w:b/>
          <w:bCs/>
          <w:color w:val="auto"/>
          <w:sz w:val="28"/>
          <w:szCs w:val="28"/>
          <w:highlight w:val="none"/>
        </w:rPr>
      </w:pPr>
      <w:bookmarkStart w:id="267" w:name="_Toc31547"/>
      <w:bookmarkStart w:id="268" w:name="_Toc2130"/>
      <w:r>
        <w:rPr>
          <w:rFonts w:asciiTheme="minorEastAsia" w:hAnsiTheme="minorEastAsia" w:eastAsiaTheme="minorEastAsia" w:cstheme="minorEastAsia"/>
          <w:color w:val="auto"/>
          <w:szCs w:val="21"/>
          <w:highlight w:val="none"/>
        </w:rPr>
        <w:t>（自拟）</w:t>
      </w:r>
      <w:r>
        <w:rPr>
          <w:rFonts w:hint="eastAsia" w:asciiTheme="minorEastAsia" w:hAnsiTheme="minorEastAsia" w:eastAsiaTheme="minorEastAsia" w:cstheme="minorEastAsia"/>
          <w:color w:val="auto"/>
          <w:szCs w:val="21"/>
          <w:highlight w:val="none"/>
        </w:rPr>
        <w:br w:type="page"/>
      </w:r>
      <w:bookmarkStart w:id="269" w:name="_Toc1921"/>
      <w:r>
        <w:rPr>
          <w:rFonts w:hint="eastAsia" w:asciiTheme="minorEastAsia" w:hAnsiTheme="minorEastAsia" w:eastAsiaTheme="minorEastAsia" w:cstheme="minorEastAsia"/>
          <w:b/>
          <w:bCs/>
          <w:color w:val="auto"/>
          <w:sz w:val="30"/>
          <w:szCs w:val="30"/>
          <w:highlight w:val="none"/>
        </w:rPr>
        <w:t>一、投标函</w:t>
      </w:r>
      <w:bookmarkEnd w:id="267"/>
      <w:r>
        <w:rPr>
          <w:rFonts w:hint="eastAsia" w:asciiTheme="minorEastAsia" w:hAnsiTheme="minorEastAsia" w:eastAsiaTheme="minorEastAsia" w:cstheme="minorEastAsia"/>
          <w:b/>
          <w:bCs/>
          <w:color w:val="auto"/>
          <w:sz w:val="30"/>
          <w:szCs w:val="30"/>
          <w:highlight w:val="none"/>
        </w:rPr>
        <w:t>及开标一览表</w:t>
      </w:r>
      <w:bookmarkEnd w:id="268"/>
      <w:bookmarkEnd w:id="269"/>
    </w:p>
    <w:p>
      <w:pPr>
        <w:numPr>
          <w:ilvl w:val="0"/>
          <w:numId w:val="11"/>
        </w:numPr>
        <w:spacing w:line="600" w:lineRule="exact"/>
        <w:jc w:val="center"/>
        <w:outlineLvl w:val="2"/>
        <w:rPr>
          <w:rFonts w:asciiTheme="minorEastAsia" w:hAnsiTheme="minorEastAsia" w:eastAsiaTheme="minorEastAsia" w:cstheme="minorEastAsia"/>
          <w:b/>
          <w:color w:val="auto"/>
          <w:sz w:val="28"/>
          <w:szCs w:val="28"/>
          <w:highlight w:val="none"/>
        </w:rPr>
      </w:pPr>
      <w:bookmarkStart w:id="270" w:name="_Toc28684"/>
      <w:bookmarkStart w:id="271" w:name="_Toc27218"/>
      <w:bookmarkStart w:id="272" w:name="_Toc12044"/>
      <w:bookmarkStart w:id="273" w:name="_Toc600"/>
      <w:r>
        <w:rPr>
          <w:rFonts w:hint="eastAsia" w:asciiTheme="minorEastAsia" w:hAnsiTheme="minorEastAsia" w:eastAsiaTheme="minorEastAsia" w:cstheme="minorEastAsia"/>
          <w:b/>
          <w:color w:val="auto"/>
          <w:sz w:val="28"/>
          <w:szCs w:val="28"/>
          <w:highlight w:val="none"/>
        </w:rPr>
        <w:t>投标函</w:t>
      </w:r>
      <w:bookmarkEnd w:id="270"/>
      <w:bookmarkEnd w:id="271"/>
      <w:bookmarkEnd w:id="272"/>
      <w:bookmarkEnd w:id="273"/>
    </w:p>
    <w:p>
      <w:pPr>
        <w:pStyle w:val="2"/>
        <w:ind w:firstLine="0" w:firstLineChars="0"/>
        <w:rPr>
          <w:color w:val="auto"/>
          <w:highlight w:val="none"/>
        </w:rPr>
      </w:pPr>
    </w:p>
    <w:p>
      <w:pPr>
        <w:widowControl/>
        <w:spacing w:line="360" w:lineRule="auto"/>
        <w:ind w:firstLine="562" w:firstLineChars="200"/>
        <w:rPr>
          <w:rFonts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25"/>
        <w:spacing w:line="360" w:lineRule="auto"/>
        <w:ind w:firstLine="480" w:firstLineChars="200"/>
        <w:rPr>
          <w:rFonts w:hint="default" w:ascii="宋体" w:hAnsi="宋体" w:eastAsia="宋体"/>
          <w:color w:val="auto"/>
          <w:sz w:val="24"/>
          <w:highlight w:val="none"/>
        </w:rPr>
      </w:pPr>
      <w:r>
        <w:rPr>
          <w:rFonts w:ascii="宋体" w:hAnsi="宋体" w:eastAsia="宋体"/>
          <w:color w:val="auto"/>
          <w:sz w:val="24"/>
          <w:highlight w:val="none"/>
        </w:rPr>
        <w:t>我单位已收到的</w:t>
      </w:r>
      <w:r>
        <w:rPr>
          <w:rFonts w:ascii="宋体" w:hAnsi="宋体" w:eastAsia="宋体"/>
          <w:color w:val="auto"/>
          <w:sz w:val="24"/>
          <w:highlight w:val="none"/>
          <w:u w:val="single"/>
        </w:rPr>
        <w:t xml:space="preserve">                           </w:t>
      </w:r>
      <w:r>
        <w:rPr>
          <w:rFonts w:ascii="宋体" w:hAnsi="宋体" w:eastAsia="宋体"/>
          <w:color w:val="auto"/>
          <w:sz w:val="24"/>
          <w:highlight w:val="none"/>
        </w:rPr>
        <w:t xml:space="preserve"> 项目采购文件及有关纪要通知，现对参与投标及中标后工作，做出如下郑重承诺：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1、我方愿以总价为人民币（大写）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（小写）￥ </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lang w:eastAsia="zh-CN"/>
        </w:rPr>
        <w:t>供货及安装期</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，按合同约定实施和完成本项目。 </w:t>
      </w:r>
    </w:p>
    <w:p>
      <w:pPr>
        <w:widowControl/>
        <w:spacing w:line="360" w:lineRule="auto"/>
        <w:ind w:firstLine="480" w:firstLineChars="200"/>
        <w:rPr>
          <w:rFonts w:ascii="宋体" w:hAnsi="宋体" w:cs="宋体"/>
          <w:strike/>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在响应性文件递交截止时间后至确定成交人的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，我单位不得要求退出竞标或者修改响应性文件。</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4、我方参与本项目投标的所有资料真实有效，未在</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rPr>
          <w:color w:val="auto"/>
          <w:highlight w:val="none"/>
        </w:rPr>
      </w:pPr>
      <w:r>
        <w:rPr>
          <w:rFonts w:hint="eastAsia" w:ascii="宋体" w:hAnsi="宋体" w:cs="宋体"/>
          <w:color w:val="auto"/>
          <w:sz w:val="24"/>
          <w:highlight w:val="none"/>
        </w:rPr>
        <w:t>5、一旦我方中标，我方在收到中标通知书后15日内，依据采购文件、</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供应商：（盖章）</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pPr>
        <w:widowControl/>
        <w:spacing w:line="360" w:lineRule="auto"/>
        <w:ind w:firstLine="480" w:firstLineChars="200"/>
        <w:rPr>
          <w:rFonts w:ascii="宋体" w:hAnsi="宋体"/>
          <w:b/>
          <w:bCs/>
          <w:color w:val="auto"/>
          <w:kern w:val="0"/>
          <w:sz w:val="32"/>
          <w:szCs w:val="32"/>
          <w:highlight w:val="none"/>
        </w:rPr>
      </w:pPr>
      <w:r>
        <w:rPr>
          <w:rFonts w:hint="eastAsia" w:ascii="宋体" w:hAnsi="宋体"/>
          <w:color w:val="auto"/>
          <w:kern w:val="0"/>
          <w:sz w:val="24"/>
          <w:highlight w:val="none"/>
        </w:rPr>
        <w:t>年      月      日</w:t>
      </w: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bookmarkStart w:id="274" w:name="_Toc31291"/>
      <w:bookmarkStart w:id="275" w:name="_Toc9543"/>
      <w:bookmarkStart w:id="276" w:name="_Toc208"/>
      <w:bookmarkStart w:id="277" w:name="_Toc14778"/>
      <w:r>
        <w:rPr>
          <w:rFonts w:hint="eastAsia" w:asciiTheme="minorEastAsia" w:hAnsiTheme="minorEastAsia" w:eastAsiaTheme="minorEastAsia" w:cstheme="minorEastAsia"/>
          <w:b/>
          <w:bCs/>
          <w:color w:val="auto"/>
          <w:sz w:val="28"/>
          <w:szCs w:val="28"/>
          <w:highlight w:val="none"/>
        </w:rPr>
        <w:t>（二） 开标一览表</w:t>
      </w:r>
      <w:bookmarkEnd w:id="274"/>
      <w:bookmarkEnd w:id="275"/>
      <w:bookmarkEnd w:id="276"/>
      <w:bookmarkEnd w:id="277"/>
    </w:p>
    <w:p>
      <w:pPr>
        <w:jc w:val="center"/>
        <w:rPr>
          <w:rFonts w:asciiTheme="minorEastAsia" w:hAnsiTheme="minorEastAsia" w:eastAsiaTheme="minorEastAsia" w:cstheme="minorEastAsia"/>
          <w:b/>
          <w:bCs/>
          <w:color w:val="auto"/>
          <w:sz w:val="28"/>
          <w:highlight w:val="none"/>
        </w:rPr>
      </w:pPr>
    </w:p>
    <w:tbl>
      <w:tblPr>
        <w:tblStyle w:val="26"/>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投标总报价</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（大写）                                </w:t>
            </w:r>
          </w:p>
          <w:p>
            <w:pPr>
              <w:pStyle w:val="3"/>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质量标准</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供货及安装期</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bCs/>
                <w:iCs/>
                <w:color w:val="auto"/>
                <w:sz w:val="24"/>
                <w:highlight w:val="none"/>
              </w:rPr>
              <w:t>质保期</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bCs/>
                <w:iCs/>
                <w:color w:val="auto"/>
                <w:sz w:val="24"/>
                <w:highlight w:val="none"/>
              </w:rPr>
              <w:t>投标有效期</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3"/>
              <w:spacing w:line="400" w:lineRule="exact"/>
              <w:ind w:firstLine="480"/>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color w:val="auto"/>
                <w:sz w:val="24"/>
                <w:szCs w:val="20"/>
                <w:highlight w:val="none"/>
              </w:rPr>
              <w:t>备注：</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bl>
    <w:p>
      <w:pPr>
        <w:spacing w:line="360" w:lineRule="exact"/>
        <w:jc w:val="right"/>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供应商：（单位公章）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法定代表人</w:t>
      </w:r>
      <w:r>
        <w:rPr>
          <w:rFonts w:hint="eastAsia" w:asciiTheme="minorEastAsia" w:hAnsiTheme="minorEastAsia" w:eastAsiaTheme="minorEastAsia" w:cstheme="minorEastAsia"/>
          <w:color w:val="auto"/>
          <w:sz w:val="24"/>
          <w:szCs w:val="20"/>
          <w:highlight w:val="none"/>
        </w:rPr>
        <w:t>或其委托代理人</w:t>
      </w:r>
      <w:r>
        <w:rPr>
          <w:rFonts w:hint="eastAsia" w:asciiTheme="minorEastAsia" w:hAnsiTheme="minorEastAsia" w:eastAsiaTheme="minorEastAsia" w:cstheme="minorEastAsia"/>
          <w:color w:val="auto"/>
          <w:sz w:val="24"/>
          <w:highlight w:val="none"/>
        </w:rPr>
        <w:t>：（签字或盖章）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13"/>
        <w:rPr>
          <w:rFonts w:asciiTheme="minorEastAsia" w:hAnsiTheme="minorEastAsia" w:eastAsiaTheme="minorEastAsia" w:cstheme="minorEastAsia"/>
          <w:color w:val="auto"/>
          <w:sz w:val="24"/>
          <w:highlight w:val="none"/>
        </w:rPr>
      </w:pPr>
    </w:p>
    <w:p>
      <w:pPr>
        <w:pStyle w:val="23"/>
        <w:spacing w:before="120" w:after="120" w:line="500" w:lineRule="exact"/>
        <w:ind w:right="29" w:rightChars="14"/>
        <w:outlineLvl w:val="9"/>
        <w:rPr>
          <w:rFonts w:asciiTheme="minorEastAsia" w:hAnsiTheme="minorEastAsia" w:eastAsiaTheme="minorEastAsia" w:cstheme="minorEastAsia"/>
          <w:color w:val="auto"/>
          <w:sz w:val="24"/>
          <w:highlight w:val="none"/>
        </w:rPr>
      </w:pPr>
    </w:p>
    <w:p>
      <w:pPr>
        <w:pStyle w:val="23"/>
        <w:spacing w:before="120" w:after="120" w:line="500" w:lineRule="exact"/>
        <w:ind w:right="29" w:rightChars="14"/>
        <w:outlineLvl w:val="9"/>
        <w:rPr>
          <w:rFonts w:asciiTheme="minorEastAsia" w:hAnsiTheme="minorEastAsia" w:eastAsiaTheme="minorEastAsia" w:cstheme="minorEastAsia"/>
          <w:color w:val="auto"/>
          <w:sz w:val="24"/>
          <w:highlight w:val="none"/>
        </w:rPr>
        <w:sectPr>
          <w:headerReference r:id="rId5" w:type="default"/>
          <w:footerReference r:id="rId6" w:type="default"/>
          <w:pgSz w:w="11907" w:h="16840"/>
          <w:pgMar w:top="1276" w:right="1116" w:bottom="1417" w:left="911" w:header="850" w:footer="998" w:gutter="0"/>
          <w:pgNumType w:fmt="numberInDash"/>
          <w:cols w:space="720" w:num="1"/>
          <w:docGrid w:type="lines" w:linePitch="380" w:charSpace="0"/>
        </w:sectPr>
      </w:pP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（三）报价明细表</w:t>
      </w:r>
    </w:p>
    <w:p>
      <w:pPr>
        <w:spacing w:line="440" w:lineRule="exact"/>
        <w:ind w:firstLine="308" w:firstLineChars="147"/>
        <w:rPr>
          <w:rFonts w:ascii="宋体" w:hAnsi="宋体" w:cs="宋体"/>
          <w:bCs/>
          <w:color w:val="auto"/>
          <w:szCs w:val="21"/>
          <w:highlight w:val="none"/>
        </w:rPr>
      </w:pPr>
    </w:p>
    <w:tbl>
      <w:tblPr>
        <w:tblStyle w:val="26"/>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单位</w:t>
            </w:r>
          </w:p>
        </w:tc>
        <w:tc>
          <w:tcPr>
            <w:tcW w:w="723" w:type="dxa"/>
            <w:vMerge w:val="restart"/>
            <w:tcBorders>
              <w:top w:val="single" w:color="auto" w:sz="4" w:space="0"/>
              <w:left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数量</w:t>
            </w:r>
          </w:p>
        </w:tc>
        <w:tc>
          <w:tcPr>
            <w:tcW w:w="818" w:type="dxa"/>
            <w:vMerge w:val="restart"/>
            <w:tcBorders>
              <w:top w:val="single" w:color="auto" w:sz="4" w:space="0"/>
              <w:left w:val="single" w:color="auto" w:sz="4" w:space="0"/>
              <w:right w:val="single" w:color="auto" w:sz="4" w:space="0"/>
            </w:tcBorders>
            <w:noWrap/>
            <w:vAlign w:val="center"/>
          </w:tcPr>
          <w:p>
            <w:pPr>
              <w:pStyle w:val="22"/>
              <w:widowControl w:val="0"/>
              <w:adjustRightInd w:val="0"/>
              <w:spacing w:before="0" w:beforeAutospacing="0" w:after="0" w:afterAutospacing="0" w:line="480" w:lineRule="exact"/>
              <w:ind w:firstLine="235" w:firstLineChars="98"/>
              <w:jc w:val="center"/>
              <w:rPr>
                <w:bCs/>
                <w:color w:val="auto"/>
                <w:highlight w:val="none"/>
              </w:rPr>
            </w:pPr>
          </w:p>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单价（元）</w:t>
            </w:r>
          </w:p>
          <w:p>
            <w:pPr>
              <w:pStyle w:val="22"/>
              <w:widowControl w:val="0"/>
              <w:adjustRightInd w:val="0"/>
              <w:spacing w:before="0" w:beforeAutospacing="0" w:after="0" w:afterAutospacing="0" w:line="480" w:lineRule="exact"/>
              <w:ind w:firstLine="235" w:firstLineChars="98"/>
              <w:jc w:val="center"/>
              <w:rPr>
                <w:bCs/>
                <w:color w:val="auto"/>
                <w:highlight w:val="none"/>
              </w:rPr>
            </w:pPr>
          </w:p>
        </w:tc>
        <w:tc>
          <w:tcPr>
            <w:tcW w:w="937" w:type="dxa"/>
            <w:vMerge w:val="restart"/>
            <w:tcBorders>
              <w:top w:val="single" w:color="auto" w:sz="4" w:space="0"/>
              <w:left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合价（元）</w:t>
            </w:r>
          </w:p>
        </w:tc>
        <w:tc>
          <w:tcPr>
            <w:tcW w:w="1142" w:type="dxa"/>
            <w:vMerge w:val="restart"/>
            <w:tcBorders>
              <w:top w:val="single" w:color="auto" w:sz="4" w:space="0"/>
              <w:left w:val="single" w:color="auto" w:sz="4" w:space="0"/>
              <w:right w:val="single" w:color="auto" w:sz="4" w:space="0"/>
            </w:tcBorders>
            <w:noWrap/>
          </w:tcPr>
          <w:p>
            <w:pPr>
              <w:pStyle w:val="22"/>
              <w:widowControl w:val="0"/>
              <w:adjustRightInd w:val="0"/>
              <w:spacing w:before="0" w:beforeAutospacing="0" w:after="0" w:afterAutospacing="0" w:line="480" w:lineRule="exact"/>
              <w:jc w:val="both"/>
              <w:rPr>
                <w:bCs/>
                <w:color w:val="auto"/>
                <w:highlight w:val="none"/>
              </w:rPr>
            </w:pPr>
            <w:r>
              <w:rPr>
                <w:rFonts w:hint="eastAsia"/>
                <w:bCs/>
                <w:color w:val="auto"/>
                <w:highlight w:val="none"/>
              </w:rPr>
              <w:t xml:space="preserve"> </w:t>
            </w:r>
          </w:p>
          <w:p>
            <w:pPr>
              <w:pStyle w:val="22"/>
              <w:widowControl w:val="0"/>
              <w:adjustRightInd w:val="0"/>
              <w:spacing w:before="0" w:beforeAutospacing="0" w:after="0" w:afterAutospacing="0" w:line="480" w:lineRule="exact"/>
              <w:jc w:val="both"/>
              <w:rPr>
                <w:bCs/>
                <w:color w:val="auto"/>
                <w:highlight w:val="none"/>
              </w:rPr>
            </w:pPr>
            <w:r>
              <w:rPr>
                <w:rFonts w:hint="eastAsia"/>
                <w:bCs/>
                <w:color w:val="auto"/>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p>
        </w:tc>
        <w:tc>
          <w:tcPr>
            <w:tcW w:w="723" w:type="dxa"/>
            <w:vMerge w:val="continue"/>
            <w:tcBorders>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p>
        </w:tc>
        <w:tc>
          <w:tcPr>
            <w:tcW w:w="818" w:type="dxa"/>
            <w:vMerge w:val="continue"/>
            <w:tcBorders>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ind w:firstLine="235" w:firstLineChars="98"/>
              <w:jc w:val="center"/>
              <w:rPr>
                <w:bCs/>
                <w:color w:val="auto"/>
                <w:highlight w:val="none"/>
              </w:rPr>
            </w:pPr>
          </w:p>
        </w:tc>
        <w:tc>
          <w:tcPr>
            <w:tcW w:w="937" w:type="dxa"/>
            <w:vMerge w:val="continue"/>
            <w:tcBorders>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p>
        </w:tc>
        <w:tc>
          <w:tcPr>
            <w:tcW w:w="1142" w:type="dxa"/>
            <w:vMerge w:val="continue"/>
            <w:tcBorders>
              <w:left w:val="single" w:color="auto" w:sz="4" w:space="0"/>
              <w:bottom w:val="single" w:color="auto" w:sz="4" w:space="0"/>
              <w:right w:val="single" w:color="auto" w:sz="4" w:space="0"/>
            </w:tcBorders>
            <w:noWrap/>
          </w:tcPr>
          <w:p>
            <w:pPr>
              <w:pStyle w:val="22"/>
              <w:widowControl w:val="0"/>
              <w:adjustRightInd w:val="0"/>
              <w:spacing w:before="0" w:beforeAutospacing="0" w:after="0" w:afterAutospacing="0" w:line="480" w:lineRule="exact"/>
              <w:ind w:left="105" w:leftChars="50" w:firstLine="115" w:firstLineChars="48"/>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
                <w:color w:val="auto"/>
                <w:sz w:val="24"/>
                <w:highlight w:val="none"/>
              </w:rPr>
              <w:t>重要提示：1、本表的每一页须加盖企业印章；2、涉及有国家标准的产品，须填写名称、品牌、型号及技术参数、报价等本表内容（若品牌、型号等填写的与实际不符，按照无效标处理）。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供应商：（单位公章）</w:t>
      </w:r>
    </w:p>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 xml:space="preserve">     法定代表人</w:t>
      </w:r>
      <w:r>
        <w:rPr>
          <w:rFonts w:hint="eastAsia" w:ascii="宋体" w:hAnsi="宋体" w:cs="宋体"/>
          <w:bCs/>
          <w:color w:val="auto"/>
          <w:sz w:val="24"/>
          <w:szCs w:val="20"/>
          <w:highlight w:val="none"/>
        </w:rPr>
        <w:t>或其委托代理人</w:t>
      </w:r>
      <w:r>
        <w:rPr>
          <w:rFonts w:hint="eastAsia" w:ascii="宋体" w:hAnsi="宋体" w:cs="宋体"/>
          <w:bCs/>
          <w:color w:val="auto"/>
          <w:sz w:val="24"/>
          <w:highlight w:val="none"/>
        </w:rPr>
        <w:t>：（签字或盖章）</w:t>
      </w:r>
    </w:p>
    <w:p>
      <w:pPr>
        <w:ind w:left="1050" w:leftChars="500"/>
        <w:jc w:val="right"/>
        <w:rPr>
          <w:rFonts w:ascii="宋体" w:hAnsi="宋体" w:cs="宋体"/>
          <w:bCs/>
          <w:color w:val="auto"/>
          <w:sz w:val="24"/>
          <w:highlight w:val="none"/>
        </w:rPr>
      </w:pPr>
      <w:r>
        <w:rPr>
          <w:rFonts w:hint="eastAsia" w:ascii="宋体" w:hAnsi="宋体" w:cs="宋体"/>
          <w:bCs/>
          <w:color w:val="auto"/>
          <w:sz w:val="24"/>
          <w:highlight w:val="none"/>
        </w:rPr>
        <w:t xml:space="preserve">                日  期：     年   月   日</w:t>
      </w:r>
    </w:p>
    <w:p>
      <w:pPr>
        <w:autoSpaceDE w:val="0"/>
        <w:autoSpaceDN w:val="0"/>
        <w:adjustRightInd w:val="0"/>
        <w:spacing w:line="440" w:lineRule="exact"/>
        <w:jc w:val="right"/>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（四）技术偏离表</w:t>
      </w:r>
    </w:p>
    <w:p>
      <w:pPr>
        <w:spacing w:line="440" w:lineRule="exact"/>
        <w:rPr>
          <w:rFonts w:ascii="宋体" w:hAnsi="宋体" w:cs="宋体"/>
          <w:color w:val="auto"/>
          <w:sz w:val="32"/>
          <w:highlight w:val="none"/>
        </w:rPr>
      </w:pPr>
    </w:p>
    <w:tbl>
      <w:tblPr>
        <w:tblStyle w:val="26"/>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偏离说明</w:t>
            </w:r>
          </w:p>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22"/>
              <w:widowControl w:val="0"/>
              <w:tabs>
                <w:tab w:val="left" w:pos="420"/>
              </w:tabs>
              <w:spacing w:before="0" w:beforeAutospacing="0" w:after="0" w:afterAutospacing="0" w:line="440" w:lineRule="exact"/>
              <w:jc w:val="both"/>
              <w:rPr>
                <w:bCs/>
                <w:color w:val="auto"/>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bl>
    <w:p>
      <w:pPr>
        <w:ind w:firstLine="480" w:firstLineChars="200"/>
        <w:rPr>
          <w:rFonts w:ascii="宋体" w:hAnsi="宋体"/>
          <w:color w:val="auto"/>
          <w:sz w:val="24"/>
          <w:highlight w:val="none"/>
        </w:rPr>
      </w:pPr>
      <w:r>
        <w:rPr>
          <w:rFonts w:hint="eastAsia" w:ascii="宋体" w:hAnsi="宋体"/>
          <w:color w:val="auto"/>
          <w:sz w:val="24"/>
          <w:highlight w:val="none"/>
        </w:rPr>
        <w:t>注：供应商须对照招标文件技术规格，将自己所投的所有货物的功能、技术性能、配置等内容按照上表格式与招标文件要求逐条填写，</w:t>
      </w:r>
      <w:r>
        <w:rPr>
          <w:rFonts w:hint="eastAsia" w:ascii="宋体" w:hAnsi="宋体"/>
          <w:b/>
          <w:bCs/>
          <w:color w:val="auto"/>
          <w:sz w:val="24"/>
          <w:highlight w:val="none"/>
        </w:rPr>
        <w:t>供应商必须提供所投设备的具体参数值，并在偏离说明栏中标明技术及配置的实际响应情况</w:t>
      </w:r>
      <w:r>
        <w:rPr>
          <w:rFonts w:hint="eastAsia" w:ascii="宋体" w:hAnsi="宋体"/>
          <w:color w:val="auto"/>
          <w:sz w:val="24"/>
          <w:highlight w:val="none"/>
        </w:rPr>
        <w:t>：</w:t>
      </w:r>
    </w:p>
    <w:p>
      <w:pPr>
        <w:ind w:firstLine="480" w:firstLineChars="200"/>
        <w:rPr>
          <w:rFonts w:ascii="宋体" w:hAnsi="宋体"/>
          <w:color w:val="auto"/>
          <w:sz w:val="24"/>
          <w:highlight w:val="none"/>
        </w:rPr>
      </w:pPr>
      <w:r>
        <w:rPr>
          <w:rFonts w:hint="eastAsia" w:ascii="宋体" w:hAnsi="宋体"/>
          <w:color w:val="auto"/>
          <w:sz w:val="24"/>
          <w:highlight w:val="none"/>
        </w:rPr>
        <w:t>1、偏离说明栏中必须标明技术及配置的响应情况，整项货物及该项货物各部分相应情况须按下列要求填写，任何不真实响应都将按无效投标处理：</w:t>
      </w:r>
    </w:p>
    <w:p>
      <w:pPr>
        <w:numPr>
          <w:ilvl w:val="0"/>
          <w:numId w:val="12"/>
        </w:numPr>
        <w:ind w:firstLine="480" w:firstLineChars="200"/>
        <w:rPr>
          <w:rFonts w:ascii="宋体" w:hAnsi="宋体"/>
          <w:color w:val="auto"/>
          <w:sz w:val="24"/>
          <w:highlight w:val="none"/>
        </w:rPr>
      </w:pPr>
      <w:r>
        <w:rPr>
          <w:rFonts w:hint="eastAsia" w:ascii="宋体" w:hAnsi="宋体"/>
          <w:color w:val="auto"/>
          <w:sz w:val="24"/>
          <w:highlight w:val="none"/>
        </w:rPr>
        <w:t>对应项中的所有技术参数、性能和配置全部符合招标文件要求的才能填写“符合”；</w:t>
      </w:r>
    </w:p>
    <w:p>
      <w:pPr>
        <w:numPr>
          <w:ilvl w:val="0"/>
          <w:numId w:val="12"/>
        </w:numPr>
        <w:ind w:firstLine="480" w:firstLineChars="200"/>
        <w:rPr>
          <w:rFonts w:ascii="宋体" w:hAnsi="宋体"/>
          <w:color w:val="auto"/>
          <w:sz w:val="24"/>
          <w:highlight w:val="none"/>
        </w:rPr>
      </w:pPr>
      <w:r>
        <w:rPr>
          <w:rFonts w:hint="eastAsia" w:ascii="宋体" w:hAnsi="宋体"/>
          <w:color w:val="auto"/>
          <w:sz w:val="24"/>
          <w:highlight w:val="none"/>
        </w:rPr>
        <w:t>对应项中的所有技术参数、性能和配置全部符合招标文件要求并且其中有一个或以上指标优于招标文件要求的，可填写“正偏离”；</w:t>
      </w:r>
    </w:p>
    <w:p>
      <w:pPr>
        <w:spacing w:line="600" w:lineRule="exact"/>
        <w:rPr>
          <w:rFonts w:ascii="宋体" w:hAnsi="宋体" w:cs="宋体"/>
          <w:color w:val="auto"/>
          <w:sz w:val="24"/>
          <w:highlight w:val="none"/>
        </w:rPr>
      </w:pPr>
    </w:p>
    <w:p>
      <w:pPr>
        <w:spacing w:line="600" w:lineRule="exact"/>
        <w:rPr>
          <w:rFonts w:ascii="宋体" w:hAnsi="宋体" w:cs="宋体"/>
          <w:color w:val="auto"/>
          <w:sz w:val="24"/>
          <w:highlight w:val="none"/>
          <w:u w:val="single"/>
        </w:rPr>
      </w:pPr>
      <w:r>
        <w:rPr>
          <w:rFonts w:hint="eastAsia" w:asciiTheme="minorEastAsia" w:hAnsiTheme="minorEastAsia" w:eastAsiaTheme="minorEastAsia" w:cstheme="minorEastAsia"/>
          <w:color w:val="auto"/>
          <w:sz w:val="24"/>
          <w:highlight w:val="none"/>
        </w:rPr>
        <w:t>供应商</w:t>
      </w:r>
      <w:r>
        <w:rPr>
          <w:rFonts w:hint="eastAsia" w:ascii="宋体" w:hAnsi="宋体" w:cs="宋体"/>
          <w:color w:val="auto"/>
          <w:sz w:val="24"/>
          <w:highlight w:val="none"/>
        </w:rPr>
        <w:t>（盖章）：</w:t>
      </w:r>
    </w:p>
    <w:p>
      <w:pPr>
        <w:spacing w:line="600" w:lineRule="exact"/>
        <w:rPr>
          <w:rFonts w:ascii="宋体" w:hAnsi="宋体" w:cs="宋体"/>
          <w:color w:val="auto"/>
          <w:sz w:val="24"/>
          <w:highlight w:val="none"/>
        </w:rPr>
      </w:pPr>
      <w:r>
        <w:rPr>
          <w:rFonts w:hint="eastAsia" w:ascii="宋体" w:hAnsi="宋体" w:cs="宋体"/>
          <w:color w:val="auto"/>
          <w:sz w:val="24"/>
          <w:highlight w:val="none"/>
        </w:rPr>
        <w:t>法人代表或授权委托人（签字或盖章）：</w:t>
      </w:r>
    </w:p>
    <w:p>
      <w:pPr>
        <w:ind w:firstLine="480"/>
        <w:rPr>
          <w:rFonts w:ascii="宋体" w:hAnsi="宋体" w:cs="宋体"/>
          <w:color w:val="auto"/>
          <w:sz w:val="24"/>
          <w:highlight w:val="none"/>
        </w:rPr>
        <w:sectPr>
          <w:pgSz w:w="11907" w:h="16840"/>
          <w:pgMar w:top="1276" w:right="1117" w:bottom="1417" w:left="913" w:header="850" w:footer="998" w:gutter="0"/>
          <w:pgNumType w:fmt="numberInDash"/>
          <w:cols w:space="0" w:num="1"/>
          <w:docGrid w:type="lines" w:linePitch="379" w:charSpace="0"/>
        </w:sectPr>
      </w:pPr>
      <w:r>
        <w:rPr>
          <w:rFonts w:hint="eastAsia" w:ascii="宋体" w:hAnsi="宋体" w:cs="宋体"/>
          <w:color w:val="auto"/>
          <w:sz w:val="24"/>
          <w:highlight w:val="none"/>
        </w:rPr>
        <w:t xml:space="preserve">                                         年    月    日  </w:t>
      </w:r>
    </w:p>
    <w:p>
      <w:pPr>
        <w:pStyle w:val="2"/>
        <w:ind w:firstLine="480"/>
        <w:rPr>
          <w:rFonts w:asciiTheme="minorEastAsia" w:hAnsiTheme="minorEastAsia" w:eastAsiaTheme="minorEastAsia" w:cstheme="minorEastAsia"/>
          <w:color w:val="auto"/>
          <w:sz w:val="24"/>
          <w:highlight w:val="none"/>
        </w:rPr>
      </w:pPr>
    </w:p>
    <w:p>
      <w:pPr>
        <w:pStyle w:val="23"/>
        <w:numPr>
          <w:ilvl w:val="0"/>
          <w:numId w:val="13"/>
        </w:numPr>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78" w:name="_Toc26698"/>
      <w:bookmarkStart w:id="279" w:name="_Toc17935"/>
      <w:bookmarkStart w:id="280" w:name="_Toc5614"/>
      <w:bookmarkStart w:id="281" w:name="_Toc2213"/>
      <w:r>
        <w:rPr>
          <w:rFonts w:hint="eastAsia" w:asciiTheme="minorEastAsia" w:hAnsiTheme="minorEastAsia" w:eastAsiaTheme="minorEastAsia" w:cstheme="minorEastAsia"/>
          <w:color w:val="auto"/>
          <w:sz w:val="30"/>
          <w:szCs w:val="30"/>
          <w:highlight w:val="none"/>
        </w:rPr>
        <w:t>法定代表人身份证明书</w:t>
      </w:r>
      <w:bookmarkEnd w:id="278"/>
      <w:bookmarkEnd w:id="279"/>
      <w:bookmarkEnd w:id="280"/>
      <w:bookmarkEnd w:id="281"/>
    </w:p>
    <w:p>
      <w:pPr>
        <w:rPr>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特此证明。</w:t>
      </w:r>
    </w:p>
    <w:p>
      <w:pPr>
        <w:rPr>
          <w:rFonts w:ascii="宋体" w:hAnsi="宋体"/>
          <w:color w:val="auto"/>
          <w:sz w:val="24"/>
          <w:highlight w:val="none"/>
        </w:rPr>
      </w:pPr>
    </w:p>
    <w:p>
      <w:pPr>
        <w:rPr>
          <w:rFonts w:ascii="宋体" w:hAnsi="宋体"/>
          <w:color w:val="auto"/>
          <w:sz w:val="24"/>
          <w:highlight w:val="none"/>
        </w:rPr>
      </w:pPr>
    </w:p>
    <w:p>
      <w:pPr>
        <w:ind w:firstLine="480" w:firstLineChars="200"/>
        <w:rPr>
          <w:color w:val="auto"/>
          <w:highlight w:val="none"/>
        </w:rPr>
      </w:pPr>
      <w:r>
        <w:rPr>
          <w:rFonts w:hint="eastAsia" w:ascii="宋体" w:hAnsi="宋体"/>
          <w:color w:val="auto"/>
          <w:sz w:val="24"/>
          <w:highlight w:val="none"/>
          <w:lang w:val="en-US" w:eastAsia="zh-CN"/>
        </w:rPr>
        <w:t>附：</w:t>
      </w:r>
      <w:r>
        <w:rPr>
          <w:rFonts w:hint="eastAsia" w:ascii="宋体" w:hAnsi="宋体"/>
          <w:color w:val="auto"/>
          <w:sz w:val="24"/>
          <w:highlight w:val="none"/>
        </w:rPr>
        <w:t>法定代表人身份证复印件（正</w:t>
      </w:r>
      <w:r>
        <w:rPr>
          <w:rFonts w:hint="eastAsia" w:ascii="宋体" w:hAnsi="宋体"/>
          <w:color w:val="auto"/>
          <w:sz w:val="24"/>
          <w:highlight w:val="none"/>
          <w:lang w:val="en-US" w:eastAsia="zh-CN"/>
        </w:rPr>
        <w:t>反</w:t>
      </w:r>
      <w:r>
        <w:rPr>
          <w:rFonts w:hint="eastAsia" w:ascii="宋体" w:hAnsi="宋体"/>
          <w:color w:val="auto"/>
          <w:sz w:val="24"/>
          <w:highlight w:val="none"/>
        </w:rPr>
        <w:t>面）</w:t>
      </w:r>
    </w:p>
    <w:p>
      <w:pPr>
        <w:rPr>
          <w:rFonts w:ascii="宋体" w:hAnsi="宋体"/>
          <w:color w:val="auto"/>
          <w:sz w:val="24"/>
          <w:highlight w:val="none"/>
        </w:rPr>
      </w:pPr>
    </w:p>
    <w:p>
      <w:pPr>
        <w:rPr>
          <w:color w:val="auto"/>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p>
    <w:p>
      <w:pPr>
        <w:spacing w:line="360" w:lineRule="auto"/>
        <w:ind w:firstLine="5760" w:firstLineChars="2400"/>
        <w:rPr>
          <w:rFonts w:ascii="宋体" w:hAnsi="宋体"/>
          <w:color w:val="auto"/>
          <w:sz w:val="24"/>
          <w:highlight w:val="none"/>
        </w:rPr>
      </w:pPr>
    </w:p>
    <w:p>
      <w:pPr>
        <w:spacing w:line="360" w:lineRule="auto"/>
        <w:ind w:firstLine="5760" w:firstLineChars="2400"/>
        <w:rPr>
          <w:rFonts w:ascii="宋体" w:hAnsi="宋体"/>
          <w:color w:val="auto"/>
          <w:sz w:val="24"/>
          <w:highlight w:val="none"/>
        </w:rPr>
      </w:pPr>
    </w:p>
    <w:p>
      <w:pPr>
        <w:spacing w:line="360" w:lineRule="auto"/>
        <w:ind w:firstLine="5760" w:firstLineChars="2400"/>
        <w:rPr>
          <w:rFonts w:ascii="宋体" w:hAnsi="宋体"/>
          <w:color w:val="auto"/>
          <w:sz w:val="24"/>
          <w:highlight w:val="none"/>
        </w:rPr>
      </w:pPr>
    </w:p>
    <w:p>
      <w:pPr>
        <w:spacing w:line="360" w:lineRule="auto"/>
        <w:jc w:val="righ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（盖单位公章） </w:t>
      </w:r>
    </w:p>
    <w:p>
      <w:pPr>
        <w:spacing w:line="360" w:lineRule="auto"/>
        <w:ind w:firstLine="5760" w:firstLineChars="2400"/>
        <w:jc w:val="right"/>
        <w:rPr>
          <w:rFonts w:ascii="宋体" w:hAnsi="宋体"/>
          <w:color w:val="auto"/>
          <w:sz w:val="24"/>
          <w:highlight w:val="none"/>
        </w:rPr>
      </w:pPr>
    </w:p>
    <w:p>
      <w:pPr>
        <w:spacing w:line="360" w:lineRule="auto"/>
        <w:ind w:firstLine="5760" w:firstLineChars="2400"/>
        <w:jc w:val="right"/>
        <w:rPr>
          <w:rFonts w:ascii="宋体" w:hAnsi="宋体"/>
          <w:color w:val="auto"/>
          <w:sz w:val="24"/>
          <w:highlight w:val="none"/>
        </w:rPr>
      </w:pPr>
      <w:r>
        <w:rPr>
          <w:rFonts w:hint="eastAsia" w:ascii="宋体" w:hAnsi="宋体"/>
          <w:color w:val="auto"/>
          <w:sz w:val="24"/>
          <w:highlight w:val="none"/>
        </w:rPr>
        <w:t>年    月     日</w:t>
      </w:r>
    </w:p>
    <w:p>
      <w:pPr>
        <w:spacing w:line="440" w:lineRule="exact"/>
        <w:rPr>
          <w:rFonts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30"/>
          <w:szCs w:val="30"/>
          <w:highlight w:val="none"/>
        </w:rPr>
      </w:pPr>
      <w:bookmarkStart w:id="282" w:name="_Toc17980"/>
      <w:bookmarkStart w:id="283" w:name="_Toc5815"/>
      <w:bookmarkStart w:id="284" w:name="_Toc6009"/>
      <w:bookmarkStart w:id="285" w:name="_Toc15395"/>
      <w:r>
        <w:rPr>
          <w:rFonts w:hint="eastAsia" w:asciiTheme="minorEastAsia" w:hAnsiTheme="minorEastAsia" w:eastAsiaTheme="minorEastAsia" w:cstheme="minorEastAsia"/>
          <w:color w:val="auto"/>
          <w:sz w:val="30"/>
          <w:szCs w:val="30"/>
          <w:highlight w:val="none"/>
        </w:rPr>
        <w:br w:type="page"/>
      </w:r>
    </w:p>
    <w:p>
      <w:pPr>
        <w:pStyle w:val="23"/>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三、授权委托书</w:t>
      </w:r>
      <w:bookmarkEnd w:id="282"/>
      <w:bookmarkEnd w:id="283"/>
      <w:bookmarkEnd w:id="284"/>
      <w:bookmarkEnd w:id="285"/>
    </w:p>
    <w:p>
      <w:pPr>
        <w:rPr>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w:t>
      </w:r>
      <w:r>
        <w:rPr>
          <w:rFonts w:hint="eastAsia" w:ascii="宋体" w:hAnsi="宋体"/>
          <w:color w:val="auto"/>
          <w:sz w:val="24"/>
          <w:highlight w:val="none"/>
          <w:lang w:eastAsia="zh-CN"/>
        </w:rPr>
        <w:t>投标文件</w:t>
      </w:r>
      <w:r>
        <w:rPr>
          <w:rFonts w:hint="eastAsia" w:ascii="宋体" w:hAnsi="宋体"/>
          <w:color w:val="auto"/>
          <w:sz w:val="24"/>
          <w:highlight w:val="none"/>
        </w:rPr>
        <w:t>、签订合同和处理有关事宜，其法律后果由我方承担。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pPr>
        <w:spacing w:line="360" w:lineRule="auto"/>
        <w:ind w:firstLine="480" w:firstLineChars="200"/>
        <w:rPr>
          <w:rFonts w:ascii="宋体" w:hAnsi="宋体"/>
          <w:color w:val="auto"/>
          <w:sz w:val="24"/>
          <w:highlight w:val="none"/>
        </w:rPr>
      </w:pPr>
    </w:p>
    <w:p>
      <w:pPr>
        <w:rPr>
          <w:color w:val="auto"/>
          <w:highlight w:val="none"/>
        </w:rPr>
      </w:pPr>
      <w:r>
        <w:rPr>
          <w:rFonts w:hint="eastAsia" w:ascii="宋体" w:hAnsi="宋体"/>
          <w:color w:val="auto"/>
          <w:sz w:val="24"/>
          <w:highlight w:val="none"/>
          <w:lang w:val="en-US" w:eastAsia="zh-CN"/>
        </w:rPr>
        <w:t>附：</w:t>
      </w:r>
      <w:r>
        <w:rPr>
          <w:rFonts w:hint="eastAsia" w:ascii="宋体" w:hAnsi="宋体"/>
          <w:color w:val="auto"/>
          <w:sz w:val="24"/>
          <w:highlight w:val="none"/>
        </w:rPr>
        <w:t>委托代理人身份证复印件正</w:t>
      </w:r>
      <w:r>
        <w:rPr>
          <w:rFonts w:hint="eastAsia" w:ascii="宋体" w:hAnsi="宋体"/>
          <w:color w:val="auto"/>
          <w:sz w:val="24"/>
          <w:highlight w:val="none"/>
          <w:lang w:val="en-US" w:eastAsia="zh-CN"/>
        </w:rPr>
        <w:t>反</w:t>
      </w:r>
      <w:r>
        <w:rPr>
          <w:rFonts w:hint="eastAsia" w:ascii="宋体" w:hAnsi="宋体"/>
          <w:color w:val="auto"/>
          <w:sz w:val="24"/>
          <w:highlight w:val="none"/>
        </w:rPr>
        <w:t>面</w:t>
      </w:r>
    </w:p>
    <w:p>
      <w:pPr>
        <w:spacing w:line="360" w:lineRule="auto"/>
        <w:jc w:val="left"/>
        <w:rPr>
          <w:rFonts w:hint="eastAsia" w:ascii="宋体" w:hAnsi="宋体" w:eastAsia="宋体"/>
          <w:color w:val="auto"/>
          <w:sz w:val="24"/>
          <w:highlight w:val="none"/>
          <w:lang w:val="en-US" w:eastAsia="zh-CN"/>
        </w:rPr>
      </w:pP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jc w:val="left"/>
        <w:rPr>
          <w:rFonts w:ascii="宋体" w:hAnsi="宋体"/>
          <w:color w:val="auto"/>
          <w:sz w:val="24"/>
          <w:highlight w:val="none"/>
        </w:rPr>
      </w:pPr>
    </w:p>
    <w:p>
      <w:pPr>
        <w:spacing w:line="360" w:lineRule="auto"/>
        <w:ind w:firstLine="4560" w:firstLineChars="1900"/>
        <w:jc w:val="lef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（盖单位公章） </w:t>
      </w:r>
    </w:p>
    <w:p>
      <w:pPr>
        <w:spacing w:line="360" w:lineRule="auto"/>
        <w:ind w:firstLine="4560" w:firstLineChars="1900"/>
        <w:jc w:val="left"/>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spacing w:line="360" w:lineRule="auto"/>
        <w:ind w:firstLine="4560" w:firstLineChars="1900"/>
        <w:jc w:val="left"/>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spacing w:line="360" w:lineRule="auto"/>
        <w:ind w:firstLine="5040" w:firstLineChars="2100"/>
        <w:rPr>
          <w:rFonts w:ascii="宋体" w:hAnsi="宋体"/>
          <w:color w:val="auto"/>
          <w:sz w:val="24"/>
          <w:highlight w:val="none"/>
        </w:rPr>
      </w:pPr>
    </w:p>
    <w:p>
      <w:pPr>
        <w:spacing w:line="360" w:lineRule="auto"/>
        <w:ind w:firstLine="5040" w:firstLineChars="2100"/>
        <w:rPr>
          <w:rFonts w:asciiTheme="minorEastAsia" w:hAnsiTheme="minorEastAsia" w:eastAsiaTheme="minorEastAsia" w:cstheme="minorEastAsia"/>
          <w:color w:val="auto"/>
          <w:sz w:val="30"/>
          <w:szCs w:val="30"/>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bookmarkEnd w:id="248"/>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kern w:val="2"/>
          <w:sz w:val="30"/>
          <w:szCs w:val="30"/>
          <w:highlight w:val="none"/>
        </w:rPr>
      </w:pPr>
    </w:p>
    <w:p>
      <w:pPr>
        <w:pStyle w:val="22"/>
        <w:widowControl w:val="0"/>
        <w:spacing w:before="120" w:beforeAutospacing="0" w:after="120" w:afterAutospacing="0" w:line="500" w:lineRule="exact"/>
        <w:ind w:right="29" w:rightChars="14"/>
        <w:jc w:val="both"/>
        <w:rPr>
          <w:rFonts w:asciiTheme="minorEastAsia" w:hAnsiTheme="minorEastAsia" w:eastAsiaTheme="minorEastAsia" w:cstheme="minorEastAsia"/>
          <w:b/>
          <w:bCs/>
          <w:color w:val="auto"/>
          <w:kern w:val="2"/>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bookmarkStart w:id="286" w:name="_Toc8304"/>
      <w:bookmarkStart w:id="287" w:name="_Toc25161"/>
    </w:p>
    <w:p>
      <w:pPr>
        <w:rPr>
          <w:rFonts w:hint="eastAsia"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kern w:val="2"/>
          <w:sz w:val="30"/>
          <w:szCs w:val="30"/>
          <w:highlight w:val="none"/>
        </w:rPr>
        <w:t>四、项目实施方案</w:t>
      </w:r>
      <w:bookmarkEnd w:id="286"/>
      <w:r>
        <w:rPr>
          <w:rFonts w:hint="eastAsia" w:asciiTheme="minorEastAsia" w:hAnsiTheme="minorEastAsia" w:eastAsiaTheme="minorEastAsia" w:cstheme="minorEastAsia"/>
          <w:b/>
          <w:color w:val="auto"/>
          <w:kern w:val="2"/>
          <w:sz w:val="30"/>
          <w:szCs w:val="30"/>
          <w:highlight w:val="none"/>
        </w:rPr>
        <w:t>等</w:t>
      </w:r>
      <w:bookmarkEnd w:id="287"/>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bookmarkStart w:id="288" w:name="_Toc10043"/>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rPr>
          <w:rFonts w:hint="eastAsia" w:asciiTheme="minorEastAsia" w:hAnsiTheme="minorEastAsia" w:eastAsiaTheme="minorEastAsia" w:cstheme="minorEastAsia"/>
          <w:b/>
          <w:color w:val="auto"/>
          <w:kern w:val="2"/>
          <w:sz w:val="30"/>
          <w:szCs w:val="30"/>
          <w:highlight w:val="none"/>
        </w:rPr>
      </w:pPr>
      <w:bookmarkStart w:id="289" w:name="_Toc29492"/>
      <w:bookmarkStart w:id="290" w:name="_Toc30146"/>
      <w:bookmarkStart w:id="291" w:name="_Toc20650"/>
      <w:r>
        <w:rPr>
          <w:rFonts w:hint="eastAsia" w:asciiTheme="minorEastAsia" w:hAnsiTheme="minorEastAsia" w:eastAsiaTheme="minorEastAsia" w:cstheme="minorEastAsia"/>
          <w:b/>
          <w:color w:val="auto"/>
          <w:kern w:val="2"/>
          <w:sz w:val="30"/>
          <w:szCs w:val="30"/>
          <w:highlight w:val="none"/>
        </w:rPr>
        <w:br w:type="page"/>
      </w:r>
    </w:p>
    <w:p>
      <w:pPr>
        <w:overflowPunct w:val="0"/>
        <w:adjustRightInd w:val="0"/>
        <w:snapToGrid w:val="0"/>
        <w:spacing w:line="574" w:lineRule="exact"/>
        <w:jc w:val="center"/>
        <w:rPr>
          <w:rFonts w:hint="eastAsia" w:ascii="宋体" w:hAnsi="宋体" w:cs="宋体"/>
          <w:b/>
          <w:bCs/>
          <w:color w:val="auto"/>
          <w:sz w:val="32"/>
          <w:szCs w:val="32"/>
          <w:highlight w:val="none"/>
        </w:rPr>
      </w:pPr>
      <w:r>
        <w:rPr>
          <w:rFonts w:hint="eastAsia" w:asciiTheme="minorEastAsia" w:hAnsiTheme="minorEastAsia" w:eastAsiaTheme="minorEastAsia" w:cstheme="minorEastAsia"/>
          <w:b/>
          <w:color w:val="auto"/>
          <w:kern w:val="2"/>
          <w:sz w:val="30"/>
          <w:szCs w:val="30"/>
          <w:highlight w:val="none"/>
        </w:rPr>
        <w:t>五、</w:t>
      </w:r>
      <w:bookmarkEnd w:id="288"/>
      <w:bookmarkEnd w:id="289"/>
      <w:bookmarkEnd w:id="290"/>
      <w:bookmarkEnd w:id="291"/>
      <w:r>
        <w:rPr>
          <w:rFonts w:hint="eastAsia" w:ascii="宋体" w:hAnsi="宋体" w:cs="宋体"/>
          <w:b/>
          <w:bCs/>
          <w:color w:val="auto"/>
          <w:sz w:val="32"/>
          <w:szCs w:val="32"/>
          <w:highlight w:val="none"/>
        </w:rPr>
        <w:t>政府采购供应商资格信用承诺函</w:t>
      </w:r>
    </w:p>
    <w:p>
      <w:pPr>
        <w:spacing w:line="400" w:lineRule="exact"/>
        <w:jc w:val="left"/>
        <w:rPr>
          <w:color w:val="auto"/>
          <w:sz w:val="24"/>
          <w:highlight w:val="none"/>
        </w:rPr>
      </w:pP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致</w:t>
      </w:r>
      <w:r>
        <w:rPr>
          <w:rFonts w:hint="eastAsia" w:ascii="仿宋_GB2312" w:hAnsi="仿宋_GB2312" w:cs="仿宋_GB2312"/>
          <w:color w:val="auto"/>
          <w:sz w:val="24"/>
          <w:szCs w:val="24"/>
          <w:highlight w:val="none"/>
          <w:u w:val="single"/>
        </w:rPr>
        <w:t>（采购人）</w:t>
      </w:r>
      <w:r>
        <w:rPr>
          <w:rFonts w:hint="eastAsia" w:ascii="仿宋_GB2312" w:hAnsi="仿宋_GB2312" w:cs="仿宋_GB2312"/>
          <w:color w:val="auto"/>
          <w:sz w:val="24"/>
          <w:szCs w:val="24"/>
          <w:highlight w:val="none"/>
          <w:u w:val="single"/>
          <w:lang w:val="en-US" w:eastAsia="zh-CN"/>
        </w:rPr>
        <w:t xml:space="preserve">    </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供应商名称：</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统一社会信用代码：</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供应商地址：</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overflowPunct w:val="0"/>
        <w:adjustRightInd w:val="0"/>
        <w:snapToGrid w:val="0"/>
        <w:spacing w:line="574" w:lineRule="exact"/>
        <w:rPr>
          <w:rFonts w:hint="eastAsia" w:ascii="仿宋_GB2312" w:hAnsi="仿宋_GB2312" w:eastAsia="宋体"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仿宋_GB2312" w:hAnsi="仿宋_GB2312" w:eastAsia="宋体" w:cs="仿宋_GB2312"/>
          <w:color w:val="auto"/>
          <w:sz w:val="24"/>
          <w:szCs w:val="24"/>
          <w:highlight w:val="none"/>
        </w:rPr>
        <w:t xml:space="preserve"> 一、我单位具有有效的营业执照（三证合一），</w:t>
      </w:r>
      <w:r>
        <w:rPr>
          <w:rFonts w:hint="eastAsia" w:ascii="仿宋_GB2312" w:hAnsi="仿宋_GB2312" w:eastAsia="宋体" w:cs="仿宋_GB2312"/>
          <w:color w:val="auto"/>
          <w:sz w:val="24"/>
          <w:szCs w:val="24"/>
          <w:highlight w:val="none"/>
          <w:lang w:val="en-US" w:eastAsia="zh-CN"/>
        </w:rPr>
        <w:t>具有</w:t>
      </w:r>
      <w:r>
        <w:rPr>
          <w:rFonts w:hint="eastAsia" w:ascii="仿宋_GB2312" w:hAnsi="仿宋_GB2312" w:eastAsia="宋体" w:cs="仿宋_GB2312"/>
          <w:color w:val="auto"/>
          <w:sz w:val="24"/>
          <w:szCs w:val="24"/>
          <w:highlight w:val="none"/>
        </w:rPr>
        <w:t>制造商钢质船舶建造能力评估报告或相关等效资格证明，并具有实施完成本项目的经营实力和完善的售后服务体系；</w:t>
      </w:r>
    </w:p>
    <w:p>
      <w:pPr>
        <w:overflowPunct w:val="0"/>
        <w:adjustRightInd w:val="0"/>
        <w:snapToGrid w:val="0"/>
        <w:spacing w:line="574" w:lineRule="exact"/>
        <w:ind w:firstLine="480" w:firstLineChars="200"/>
        <w:rPr>
          <w:rFonts w:hint="eastAsia" w:ascii="仿宋_GB2312" w:hAnsi="仿宋_GB2312" w:eastAsia="宋体" w:cs="仿宋_GB2312"/>
          <w:color w:val="auto"/>
          <w:sz w:val="24"/>
          <w:szCs w:val="24"/>
          <w:highlight w:val="none"/>
        </w:rPr>
      </w:pPr>
      <w:r>
        <w:rPr>
          <w:rFonts w:hint="eastAsia" w:ascii="仿宋_GB2312" w:hAnsi="仿宋_GB2312" w:eastAsia="宋体" w:cs="仿宋_GB2312"/>
          <w:color w:val="auto"/>
          <w:sz w:val="24"/>
          <w:szCs w:val="24"/>
          <w:highlight w:val="none"/>
        </w:rPr>
        <w:t>二、我单位符合《中华人民共和国政府采购法》第二十二条规定的条件：</w:t>
      </w:r>
    </w:p>
    <w:p>
      <w:pPr>
        <w:overflowPunct w:val="0"/>
        <w:adjustRightInd w:val="0"/>
        <w:snapToGrid w:val="0"/>
        <w:spacing w:line="574" w:lineRule="exact"/>
        <w:ind w:firstLine="480" w:firstLineChars="200"/>
        <w:rPr>
          <w:rFonts w:hint="eastAsia" w:ascii="仿宋_GB2312" w:hAnsi="仿宋_GB2312" w:eastAsia="宋体" w:cs="仿宋_GB2312"/>
          <w:color w:val="auto"/>
          <w:sz w:val="24"/>
          <w:szCs w:val="24"/>
          <w:highlight w:val="none"/>
        </w:rPr>
      </w:pPr>
      <w:r>
        <w:rPr>
          <w:rFonts w:hint="eastAsia" w:ascii="仿宋_GB2312" w:hAnsi="仿宋_GB2312" w:eastAsia="宋体" w:cs="仿宋_GB2312"/>
          <w:color w:val="auto"/>
          <w:sz w:val="24"/>
          <w:szCs w:val="24"/>
          <w:highlight w:val="none"/>
        </w:rPr>
        <w:t>1.我单位具有符合采购文件资格要求的独立承担民事责任的能力。</w:t>
      </w:r>
    </w:p>
    <w:p>
      <w:pPr>
        <w:overflowPunct w:val="0"/>
        <w:adjustRightInd w:val="0"/>
        <w:snapToGrid w:val="0"/>
        <w:spacing w:line="574" w:lineRule="exact"/>
        <w:ind w:firstLine="480" w:firstLineChars="200"/>
        <w:rPr>
          <w:rFonts w:hint="eastAsia" w:ascii="仿宋_GB2312" w:hAnsi="仿宋_GB2312" w:eastAsia="宋体" w:cs="仿宋_GB2312"/>
          <w:color w:val="auto"/>
          <w:sz w:val="24"/>
          <w:szCs w:val="24"/>
          <w:highlight w:val="none"/>
        </w:rPr>
      </w:pPr>
      <w:r>
        <w:rPr>
          <w:rFonts w:hint="eastAsia" w:ascii="仿宋_GB2312" w:hAnsi="仿宋_GB2312" w:eastAsia="宋体" w:cs="仿宋_GB2312"/>
          <w:color w:val="auto"/>
          <w:sz w:val="24"/>
          <w:szCs w:val="24"/>
          <w:highlight w:val="none"/>
        </w:rPr>
        <w:t>2.我单位具有符合采购文件资格要求的财务状况报告。</w:t>
      </w:r>
    </w:p>
    <w:p>
      <w:pPr>
        <w:overflowPunct w:val="0"/>
        <w:adjustRightInd w:val="0"/>
        <w:snapToGrid w:val="0"/>
        <w:spacing w:line="574" w:lineRule="exact"/>
        <w:ind w:firstLine="480" w:firstLineChars="200"/>
        <w:rPr>
          <w:rFonts w:hint="eastAsia" w:ascii="仿宋_GB2312" w:hAnsi="仿宋_GB2312" w:eastAsia="宋体" w:cs="仿宋_GB2312"/>
          <w:color w:val="auto"/>
          <w:sz w:val="24"/>
          <w:szCs w:val="24"/>
          <w:highlight w:val="none"/>
        </w:rPr>
      </w:pPr>
      <w:r>
        <w:rPr>
          <w:rFonts w:hint="eastAsia" w:ascii="仿宋_GB2312" w:hAnsi="仿宋_GB2312" w:eastAsia="宋体" w:cs="仿宋_GB2312"/>
          <w:color w:val="auto"/>
          <w:sz w:val="24"/>
          <w:szCs w:val="24"/>
          <w:highlight w:val="none"/>
        </w:rPr>
        <w:t>3.我单位具有符合采购文件资格要求的依法缴纳税收和社会保障记录的良好记录。</w:t>
      </w:r>
    </w:p>
    <w:p>
      <w:pPr>
        <w:overflowPunct w:val="0"/>
        <w:adjustRightInd w:val="0"/>
        <w:snapToGrid w:val="0"/>
        <w:spacing w:line="574" w:lineRule="exact"/>
        <w:ind w:firstLine="480" w:firstLineChars="200"/>
        <w:rPr>
          <w:rFonts w:hint="eastAsia" w:ascii="仿宋_GB2312" w:hAnsi="仿宋_GB2312" w:eastAsia="宋体" w:cs="仿宋_GB2312"/>
          <w:color w:val="auto"/>
          <w:sz w:val="24"/>
          <w:szCs w:val="24"/>
          <w:highlight w:val="none"/>
        </w:rPr>
      </w:pPr>
      <w:r>
        <w:rPr>
          <w:rFonts w:hint="eastAsia" w:ascii="仿宋_GB2312" w:hAnsi="仿宋_GB2312" w:eastAsia="宋体" w:cs="仿宋_GB2312"/>
          <w:color w:val="auto"/>
          <w:sz w:val="24"/>
          <w:szCs w:val="24"/>
          <w:highlight w:val="none"/>
        </w:rPr>
        <w:t>4.我单位具有符合采购文件资格要求的履行合同所必需的设备和专业技术能力。</w:t>
      </w:r>
    </w:p>
    <w:p>
      <w:pPr>
        <w:overflowPunct w:val="0"/>
        <w:adjustRightInd w:val="0"/>
        <w:snapToGrid w:val="0"/>
        <w:spacing w:line="574" w:lineRule="exact"/>
        <w:ind w:firstLine="480" w:firstLineChars="200"/>
        <w:rPr>
          <w:rFonts w:hint="eastAsia" w:ascii="仿宋_GB2312" w:hAnsi="仿宋_GB2312" w:eastAsia="宋体" w:cs="仿宋_GB2312"/>
          <w:color w:val="auto"/>
          <w:sz w:val="24"/>
          <w:szCs w:val="24"/>
          <w:highlight w:val="none"/>
        </w:rPr>
      </w:pPr>
      <w:r>
        <w:rPr>
          <w:rFonts w:hint="eastAsia" w:ascii="仿宋_GB2312" w:hAnsi="仿宋_GB2312" w:eastAsia="宋体" w:cs="仿宋_GB2312"/>
          <w:color w:val="auto"/>
          <w:sz w:val="24"/>
          <w:szCs w:val="24"/>
          <w:highlight w:val="none"/>
        </w:rPr>
        <w:t>5.我单位参加政府采购活动前三年内，在经营活动中没有重大违法记录。</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若我单位承诺不实，自愿承担提供虚假材料谋取中标、成交的法律责任。</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承诺供应商（全称并加盖公章）：</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法定代表人或授权代表(签字或签章)：</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日期：    年  月  日 </w:t>
      </w:r>
    </w:p>
    <w:p>
      <w:pPr>
        <w:overflowPunct w:val="0"/>
        <w:adjustRightInd w:val="0"/>
        <w:snapToGrid w:val="0"/>
        <w:spacing w:line="574" w:lineRule="exact"/>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仿宋_GB2312" w:hAnsi="仿宋_GB2312" w:cs="仿宋_GB2312"/>
          <w:b/>
          <w:bCs/>
          <w:color w:val="auto"/>
          <w:sz w:val="24"/>
          <w:szCs w:val="24"/>
          <w:highlight w:val="none"/>
        </w:rPr>
        <w:t>注：</w:t>
      </w:r>
      <w:r>
        <w:rPr>
          <w:rFonts w:hint="eastAsia" w:ascii="Times New Roman" w:hAnsi="Times New Roman" w:cs="仿宋_GB2312"/>
          <w:color w:val="auto"/>
          <w:sz w:val="24"/>
          <w:szCs w:val="24"/>
          <w:highlight w:val="none"/>
        </w:rPr>
        <w:t>1</w:t>
      </w:r>
      <w:r>
        <w:rPr>
          <w:rFonts w:hint="eastAsia" w:ascii="仿宋_GB2312" w:hAnsi="仿宋_GB2312" w:cs="仿宋_GB2312"/>
          <w:color w:val="auto"/>
          <w:sz w:val="24"/>
          <w:szCs w:val="24"/>
          <w:highlight w:val="none"/>
        </w:rPr>
        <w:t>.供应商须在投标文件中按此模板提供承诺函，未提供视为未实质性响应招标文件要求，按无效投标处理。</w:t>
      </w:r>
    </w:p>
    <w:p>
      <w:pPr>
        <w:overflowPunct w:val="0"/>
        <w:adjustRightInd w:val="0"/>
        <w:snapToGrid w:val="0"/>
        <w:spacing w:line="574" w:lineRule="exact"/>
        <w:rPr>
          <w:rFonts w:hint="eastAsia"/>
          <w:color w:val="auto"/>
          <w:sz w:val="24"/>
          <w:szCs w:val="24"/>
          <w:highlight w:val="none"/>
        </w:rPr>
      </w:pPr>
      <w:r>
        <w:rPr>
          <w:rFonts w:hint="eastAsia" w:ascii="仿宋_GB2312" w:hAnsi="仿宋_GB2312" w:cs="仿宋_GB2312"/>
          <w:color w:val="auto"/>
          <w:sz w:val="24"/>
          <w:szCs w:val="24"/>
          <w:highlight w:val="none"/>
        </w:rPr>
        <w:t xml:space="preserve">     </w:t>
      </w:r>
    </w:p>
    <w:p>
      <w:pPr>
        <w:pStyle w:val="2"/>
        <w:rPr>
          <w:color w:val="auto"/>
          <w:highlight w:val="none"/>
        </w:rPr>
      </w:pPr>
    </w:p>
    <w:p>
      <w:pPr>
        <w:autoSpaceDE w:val="0"/>
        <w:autoSpaceDN w:val="0"/>
        <w:adjustRightInd w:val="0"/>
        <w:spacing w:line="440" w:lineRule="exact"/>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25"/>
        <w:ind w:firstLine="281"/>
        <w:rPr>
          <w:rFonts w:hint="default" w:asciiTheme="minorEastAsia" w:hAnsiTheme="minorEastAsia" w:eastAsiaTheme="minorEastAsia" w:cstheme="minorEastAsia"/>
          <w:b/>
          <w:color w:val="auto"/>
          <w:sz w:val="28"/>
          <w:highlight w:val="none"/>
        </w:rPr>
      </w:pPr>
    </w:p>
    <w:p>
      <w:pPr>
        <w:pStyle w:val="2"/>
        <w:ind w:firstLine="562"/>
        <w:rPr>
          <w:rFonts w:asciiTheme="minorEastAsia" w:hAnsiTheme="minorEastAsia" w:eastAsiaTheme="minorEastAsia" w:cstheme="minorEastAsia"/>
          <w:b/>
          <w:color w:val="auto"/>
          <w:sz w:val="28"/>
          <w:highlight w:val="none"/>
        </w:rPr>
      </w:pPr>
    </w:p>
    <w:p>
      <w:pPr>
        <w:pStyle w:val="22"/>
        <w:widowControl w:val="0"/>
        <w:tabs>
          <w:tab w:val="left" w:pos="0"/>
        </w:tabs>
        <w:spacing w:before="120" w:beforeAutospacing="0" w:after="120" w:afterAutospacing="0" w:line="500" w:lineRule="exact"/>
        <w:ind w:right="29" w:rightChars="14" w:firstLine="3313" w:firstLineChars="1100"/>
        <w:outlineLvl w:val="1"/>
        <w:rPr>
          <w:rFonts w:asciiTheme="minorEastAsia" w:hAnsiTheme="minorEastAsia" w:eastAsiaTheme="minorEastAsia" w:cstheme="minorEastAsia"/>
          <w:b/>
          <w:color w:val="auto"/>
          <w:kern w:val="2"/>
          <w:sz w:val="30"/>
          <w:szCs w:val="30"/>
          <w:highlight w:val="none"/>
        </w:rPr>
      </w:pPr>
      <w:bookmarkStart w:id="292" w:name="_Toc4390"/>
      <w:bookmarkStart w:id="293" w:name="_Toc8330"/>
      <w:bookmarkStart w:id="294" w:name="_Toc6465"/>
      <w:bookmarkStart w:id="295" w:name="_Toc31553"/>
      <w:r>
        <w:rPr>
          <w:rFonts w:hint="eastAsia" w:asciiTheme="minorEastAsia" w:hAnsiTheme="minorEastAsia" w:eastAsiaTheme="minorEastAsia" w:cstheme="minorEastAsia"/>
          <w:b/>
          <w:color w:val="auto"/>
          <w:kern w:val="2"/>
          <w:sz w:val="30"/>
          <w:szCs w:val="30"/>
          <w:highlight w:val="none"/>
        </w:rPr>
        <w:t>六、供应商服务承诺和优惠承诺</w:t>
      </w:r>
      <w:bookmarkEnd w:id="292"/>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96" w:name="_Toc700"/>
      <w:r>
        <w:rPr>
          <w:rFonts w:hint="eastAsia" w:asciiTheme="minorEastAsia" w:hAnsiTheme="minorEastAsia" w:eastAsiaTheme="minorEastAsia" w:cstheme="minorEastAsia"/>
          <w:b/>
          <w:color w:val="auto"/>
          <w:kern w:val="2"/>
          <w:sz w:val="30"/>
          <w:szCs w:val="30"/>
          <w:highlight w:val="none"/>
        </w:rPr>
        <w:t>七、供应商所投产品属于当期政府采购清单规定的节能环保产品的</w:t>
      </w:r>
      <w:bookmarkEnd w:id="293"/>
      <w:bookmarkEnd w:id="296"/>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97" w:name="_Toc18925"/>
      <w:bookmarkStart w:id="298" w:name="_Toc28422"/>
      <w:bookmarkStart w:id="299" w:name="_Toc24210"/>
      <w:bookmarkStart w:id="300" w:name="_Toc21287"/>
      <w:r>
        <w:rPr>
          <w:rFonts w:hint="eastAsia" w:asciiTheme="minorEastAsia" w:hAnsiTheme="minorEastAsia" w:eastAsiaTheme="minorEastAsia" w:cstheme="minorEastAsia"/>
          <w:b/>
          <w:color w:val="auto"/>
          <w:kern w:val="2"/>
          <w:sz w:val="30"/>
          <w:szCs w:val="30"/>
          <w:highlight w:val="none"/>
        </w:rPr>
        <w:t>证明材料</w:t>
      </w:r>
      <w:bookmarkEnd w:id="294"/>
      <w:bookmarkEnd w:id="297"/>
      <w:bookmarkEnd w:id="298"/>
      <w:bookmarkEnd w:id="299"/>
      <w:r>
        <w:rPr>
          <w:rFonts w:hint="eastAsia" w:asciiTheme="minorEastAsia" w:hAnsiTheme="minorEastAsia" w:eastAsiaTheme="minorEastAsia" w:cstheme="minorEastAsia"/>
          <w:b/>
          <w:color w:val="auto"/>
          <w:kern w:val="2"/>
          <w:sz w:val="30"/>
          <w:szCs w:val="30"/>
          <w:highlight w:val="none"/>
        </w:rPr>
        <w:t>（如有）</w:t>
      </w:r>
      <w:bookmarkEnd w:id="300"/>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bookmarkStart w:id="301" w:name="_Toc24850"/>
      <w:bookmarkStart w:id="302" w:name="_Toc23227"/>
      <w:bookmarkStart w:id="303" w:name="_Toc10717"/>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kern w:val="2"/>
          <w:sz w:val="30"/>
          <w:szCs w:val="30"/>
          <w:highlight w:val="none"/>
        </w:rPr>
        <w:t>八、中小企业声明函（如有）</w:t>
      </w:r>
      <w:bookmarkEnd w:id="301"/>
      <w:bookmarkEnd w:id="302"/>
      <w:bookmarkEnd w:id="303"/>
    </w:p>
    <w:p>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本公司（联合体）郑重声明，根据《政府采购促进中小企业发展管理办法》（财库﹝2020﹞46 号）的规定，本公司 （联合体）参加</w:t>
      </w:r>
      <w:r>
        <w:rPr>
          <w:rFonts w:ascii="宋体" w:hAnsi="宋体" w:cs="宋体"/>
          <w:color w:val="auto"/>
          <w:sz w:val="24"/>
          <w:highlight w:val="none"/>
          <w:u w:val="single"/>
        </w:rPr>
        <w:t>（单位名称）</w:t>
      </w:r>
      <w:r>
        <w:rPr>
          <w:rFonts w:ascii="宋体" w:hAnsi="宋体" w:cs="宋体"/>
          <w:color w:val="auto"/>
          <w:sz w:val="24"/>
          <w:highlight w:val="none"/>
        </w:rPr>
        <w:t>的</w:t>
      </w:r>
      <w:r>
        <w:rPr>
          <w:rFonts w:ascii="宋体" w:hAnsi="宋体" w:cs="宋体"/>
          <w:color w:val="auto"/>
          <w:sz w:val="24"/>
          <w:highlight w:val="none"/>
          <w:u w:val="single"/>
        </w:rPr>
        <w:t>（项目名称）</w:t>
      </w:r>
      <w:r>
        <w:rPr>
          <w:rFonts w:ascii="宋体" w:hAnsi="宋体" w:cs="宋体"/>
          <w:color w:val="auto"/>
          <w:sz w:val="24"/>
          <w:highlight w:val="none"/>
        </w:rPr>
        <w:t>采购活动，提供的货物全部由符合政策要求的中小企业制造。相关企业 （含联合体中的中小企业、签订分包意向协议的中小企业） 的具体情况如下：</w:t>
      </w:r>
    </w:p>
    <w:p>
      <w:pPr>
        <w:numPr>
          <w:ilvl w:val="0"/>
          <w:numId w:val="14"/>
        </w:numPr>
        <w:spacing w:line="560" w:lineRule="exact"/>
        <w:ind w:left="0" w:firstLine="600" w:firstLineChars="250"/>
        <w:rPr>
          <w:rFonts w:ascii="宋体" w:hAnsi="宋体" w:cs="宋体"/>
          <w:color w:val="auto"/>
          <w:sz w:val="24"/>
          <w:highlight w:val="none"/>
        </w:rPr>
      </w:pPr>
      <w:r>
        <w:rPr>
          <w:rFonts w:ascii="宋体" w:hAnsi="宋体" w:cs="宋体"/>
          <w:color w:val="auto"/>
          <w:sz w:val="24"/>
          <w:highlight w:val="none"/>
          <w:u w:val="single"/>
        </w:rPr>
        <w:t>（标的名称）</w:t>
      </w:r>
      <w:r>
        <w:rPr>
          <w:rFonts w:ascii="宋体" w:hAnsi="宋体" w:cs="宋体"/>
          <w:color w:val="auto"/>
          <w:sz w:val="24"/>
          <w:highlight w:val="none"/>
        </w:rPr>
        <w:t xml:space="preserve"> ，属于</w:t>
      </w:r>
      <w:r>
        <w:rPr>
          <w:rFonts w:ascii="宋体" w:hAnsi="宋体" w:cs="宋体"/>
          <w:color w:val="auto"/>
          <w:sz w:val="24"/>
          <w:highlight w:val="none"/>
          <w:u w:val="single"/>
        </w:rPr>
        <w:t>（采购文件中明确的所属行业）</w:t>
      </w:r>
      <w:r>
        <w:rPr>
          <w:rFonts w:ascii="宋体" w:hAnsi="宋体" w:cs="宋体"/>
          <w:color w:val="auto"/>
          <w:sz w:val="24"/>
          <w:highlight w:val="none"/>
        </w:rPr>
        <w:t xml:space="preserve"> 行业；制造商为</w:t>
      </w:r>
      <w:r>
        <w:rPr>
          <w:rFonts w:ascii="宋体" w:hAnsi="宋体" w:cs="宋体"/>
          <w:color w:val="auto"/>
          <w:sz w:val="24"/>
          <w:highlight w:val="none"/>
          <w:u w:val="single"/>
        </w:rPr>
        <w:t>（企业名称）</w:t>
      </w:r>
      <w:r>
        <w:rPr>
          <w:rFonts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ascii="宋体" w:hAnsi="宋体" w:cs="宋体"/>
          <w:color w:val="auto"/>
          <w:sz w:val="24"/>
          <w:highlight w:val="none"/>
        </w:rPr>
        <w:t>万元 ，属于</w:t>
      </w:r>
      <w:r>
        <w:rPr>
          <w:rFonts w:ascii="宋体" w:hAnsi="宋体" w:cs="宋体"/>
          <w:color w:val="auto"/>
          <w:sz w:val="24"/>
          <w:highlight w:val="none"/>
          <w:u w:val="single"/>
        </w:rPr>
        <w:t>（中型企业、小 型企业、微型企业）</w:t>
      </w:r>
      <w:r>
        <w:rPr>
          <w:rFonts w:ascii="宋体" w:hAnsi="宋体" w:cs="宋体"/>
          <w:color w:val="auto"/>
          <w:sz w:val="24"/>
          <w:highlight w:val="none"/>
        </w:rPr>
        <w:t>；</w:t>
      </w:r>
    </w:p>
    <w:p>
      <w:pPr>
        <w:numPr>
          <w:ilvl w:val="0"/>
          <w:numId w:val="14"/>
        </w:numPr>
        <w:spacing w:line="560" w:lineRule="exact"/>
        <w:ind w:left="0" w:firstLine="600" w:firstLineChars="250"/>
        <w:rPr>
          <w:rFonts w:ascii="宋体" w:hAnsi="宋体" w:cs="宋体"/>
          <w:color w:val="auto"/>
          <w:sz w:val="24"/>
          <w:highlight w:val="none"/>
        </w:rPr>
      </w:pPr>
      <w:r>
        <w:rPr>
          <w:rFonts w:ascii="宋体" w:hAnsi="宋体" w:cs="宋体"/>
          <w:color w:val="auto"/>
          <w:sz w:val="24"/>
          <w:highlight w:val="none"/>
          <w:u w:val="single"/>
        </w:rPr>
        <w:t xml:space="preserve">（标的名称） </w:t>
      </w:r>
      <w:r>
        <w:rPr>
          <w:rFonts w:ascii="宋体" w:hAnsi="宋体" w:cs="宋体"/>
          <w:color w:val="auto"/>
          <w:sz w:val="24"/>
          <w:highlight w:val="none"/>
        </w:rPr>
        <w:t>，属于</w:t>
      </w:r>
      <w:r>
        <w:rPr>
          <w:rFonts w:ascii="宋体" w:hAnsi="宋体" w:cs="宋体"/>
          <w:color w:val="auto"/>
          <w:sz w:val="24"/>
          <w:highlight w:val="none"/>
          <w:u w:val="single"/>
        </w:rPr>
        <w:t>（采购文件中明确的所属行业）</w:t>
      </w:r>
      <w:r>
        <w:rPr>
          <w:rFonts w:ascii="宋体" w:hAnsi="宋体" w:cs="宋体"/>
          <w:color w:val="auto"/>
          <w:sz w:val="24"/>
          <w:highlight w:val="none"/>
        </w:rPr>
        <w:t xml:space="preserve"> 行业；制造商为</w:t>
      </w:r>
      <w:r>
        <w:rPr>
          <w:rFonts w:ascii="宋体" w:hAnsi="宋体" w:cs="宋体"/>
          <w:color w:val="auto"/>
          <w:sz w:val="24"/>
          <w:highlight w:val="none"/>
          <w:u w:val="single"/>
        </w:rPr>
        <w:t>（企业名称）</w:t>
      </w:r>
      <w:r>
        <w:rPr>
          <w:rFonts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ascii="宋体" w:hAnsi="宋体" w:cs="宋体"/>
          <w:color w:val="auto"/>
          <w:sz w:val="24"/>
          <w:highlight w:val="none"/>
        </w:rPr>
        <w:t>万元，属于</w:t>
      </w:r>
      <w:r>
        <w:rPr>
          <w:rFonts w:ascii="宋体" w:hAnsi="宋体" w:cs="宋体"/>
          <w:color w:val="auto"/>
          <w:sz w:val="24"/>
          <w:highlight w:val="none"/>
          <w:u w:val="single"/>
        </w:rPr>
        <w:t>（中型企业、小型 企业、微型企业）</w:t>
      </w:r>
      <w:r>
        <w:rPr>
          <w:rFonts w:ascii="宋体" w:hAnsi="宋体" w:cs="宋体"/>
          <w:color w:val="auto"/>
          <w:sz w:val="24"/>
          <w:highlight w:val="none"/>
        </w:rPr>
        <w:t>；</w:t>
      </w:r>
    </w:p>
    <w:p>
      <w:pPr>
        <w:spacing w:line="560" w:lineRule="exact"/>
        <w:ind w:left="525" w:leftChars="250"/>
        <w:rPr>
          <w:rFonts w:ascii="宋体" w:hAnsi="宋体" w:cs="宋体"/>
          <w:color w:val="auto"/>
          <w:sz w:val="24"/>
          <w:highlight w:val="none"/>
        </w:rPr>
      </w:pPr>
      <w:r>
        <w:rPr>
          <w:rFonts w:ascii="宋体" w:hAnsi="宋体" w:cs="宋体"/>
          <w:color w:val="auto"/>
          <w:sz w:val="24"/>
          <w:highlight w:val="none"/>
        </w:rPr>
        <w:t xml:space="preserve"> …… </w:t>
      </w:r>
    </w:p>
    <w:p>
      <w:pPr>
        <w:spacing w:line="560" w:lineRule="exact"/>
        <w:ind w:left="5" w:firstLine="518" w:firstLineChars="216"/>
        <w:rPr>
          <w:rFonts w:ascii="宋体" w:hAnsi="宋体" w:cs="宋体"/>
          <w:color w:val="auto"/>
          <w:sz w:val="24"/>
          <w:highlight w:val="none"/>
        </w:rPr>
      </w:pPr>
      <w:r>
        <w:rPr>
          <w:rFonts w:ascii="宋体" w:hAnsi="宋体" w:cs="宋体"/>
          <w:color w:val="auto"/>
          <w:sz w:val="24"/>
          <w:highlight w:val="none"/>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highlight w:val="none"/>
        </w:rPr>
      </w:pPr>
      <w:r>
        <w:rPr>
          <w:rFonts w:ascii="宋体" w:hAnsi="宋体" w:cs="宋体"/>
          <w:color w:val="auto"/>
          <w:sz w:val="24"/>
          <w:highlight w:val="none"/>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highlight w:val="none"/>
        </w:rPr>
      </w:pPr>
    </w:p>
    <w:p>
      <w:pPr>
        <w:spacing w:line="560" w:lineRule="exact"/>
        <w:ind w:left="5" w:firstLine="518" w:firstLineChars="216"/>
        <w:rPr>
          <w:rFonts w:ascii="宋体" w:hAnsi="宋体" w:cs="宋体"/>
          <w:color w:val="auto"/>
          <w:sz w:val="24"/>
          <w:highlight w:val="none"/>
        </w:rPr>
      </w:pPr>
    </w:p>
    <w:p>
      <w:pPr>
        <w:spacing w:line="560" w:lineRule="exact"/>
        <w:ind w:left="5" w:firstLine="518" w:firstLineChars="216"/>
        <w:jc w:val="right"/>
        <w:rPr>
          <w:rFonts w:ascii="宋体" w:hAnsi="宋体" w:cs="宋体"/>
          <w:color w:val="auto"/>
          <w:sz w:val="24"/>
          <w:highlight w:val="none"/>
        </w:rPr>
      </w:pPr>
      <w:r>
        <w:rPr>
          <w:rFonts w:ascii="宋体" w:hAnsi="宋体" w:cs="宋体"/>
          <w:color w:val="auto"/>
          <w:sz w:val="24"/>
          <w:highlight w:val="none"/>
        </w:rPr>
        <w:t>企业名称（盖章）：</w:t>
      </w:r>
    </w:p>
    <w:p>
      <w:pPr>
        <w:spacing w:line="560" w:lineRule="exact"/>
        <w:ind w:left="5" w:firstLine="518" w:firstLineChars="216"/>
        <w:jc w:val="right"/>
        <w:rPr>
          <w:rFonts w:ascii="宋体" w:hAnsi="宋体" w:cs="宋体"/>
          <w:color w:val="auto"/>
          <w:sz w:val="24"/>
          <w:highlight w:val="none"/>
        </w:rPr>
      </w:pPr>
      <w:r>
        <w:rPr>
          <w:rFonts w:ascii="宋体" w:hAnsi="宋体" w:cs="宋体"/>
          <w:color w:val="auto"/>
          <w:sz w:val="24"/>
          <w:highlight w:val="none"/>
        </w:rPr>
        <w:t xml:space="preserve"> 日 期： </w:t>
      </w:r>
    </w:p>
    <w:p>
      <w:pPr>
        <w:spacing w:line="560" w:lineRule="exact"/>
        <w:ind w:left="5" w:firstLine="518" w:firstLineChars="216"/>
        <w:rPr>
          <w:rFonts w:ascii="宋体" w:hAnsi="宋体" w:cs="宋体"/>
          <w:color w:val="auto"/>
          <w:sz w:val="24"/>
          <w:highlight w:val="none"/>
        </w:rPr>
      </w:pPr>
      <w:r>
        <w:rPr>
          <w:rFonts w:hint="eastAsia" w:ascii="宋体" w:hAnsi="宋体" w:cs="宋体"/>
          <w:color w:val="auto"/>
          <w:sz w:val="24"/>
          <w:highlight w:val="none"/>
        </w:rPr>
        <w:t>注：1、</w:t>
      </w:r>
      <w:r>
        <w:rPr>
          <w:rFonts w:ascii="宋体" w:hAnsi="宋体" w:cs="宋体"/>
          <w:color w:val="auto"/>
          <w:sz w:val="24"/>
          <w:highlight w:val="none"/>
        </w:rPr>
        <w:t>从业人员、营业收入、资产总额填报上一年度数据，无上一年度数据的新成立企业可不填报。</w:t>
      </w:r>
    </w:p>
    <w:p>
      <w:pPr>
        <w:pStyle w:val="2"/>
        <w:ind w:firstLine="480"/>
        <w:rPr>
          <w:rFonts w:ascii="宋体"/>
          <w:color w:val="auto"/>
          <w:highlight w:val="none"/>
        </w:rPr>
      </w:pPr>
      <w:r>
        <w:rPr>
          <w:rFonts w:hint="eastAsia" w:ascii="宋体" w:hAnsi="宋体" w:cs="宋体"/>
          <w:color w:val="auto"/>
          <w:sz w:val="24"/>
          <w:highlight w:val="none"/>
        </w:rPr>
        <w:t>2、供应商提供的声明函将在中标后随中标公告一并公示，若声明函内容不实的，将依照《政府采购法》等国家有关规定追究相应责任。</w:t>
      </w:r>
      <w:bookmarkStart w:id="304" w:name="_Toc309736882"/>
      <w:bookmarkStart w:id="305" w:name="_Toc12390"/>
      <w:bookmarkStart w:id="306" w:name="_Toc352061202"/>
    </w:p>
    <w:bookmarkEnd w:id="304"/>
    <w:bookmarkEnd w:id="305"/>
    <w:bookmarkEnd w:id="306"/>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bookmarkStart w:id="307" w:name="_Toc20881"/>
      <w:bookmarkStart w:id="308" w:name="_Toc11708"/>
      <w:bookmarkStart w:id="309" w:name="_Toc30170"/>
      <w:bookmarkStart w:id="310" w:name="_Toc14292"/>
      <w:r>
        <w:rPr>
          <w:rFonts w:hint="eastAsia" w:asciiTheme="minorEastAsia" w:hAnsiTheme="minorEastAsia" w:eastAsiaTheme="minorEastAsia" w:cstheme="minorEastAsia"/>
          <w:b/>
          <w:color w:val="auto"/>
          <w:kern w:val="2"/>
          <w:sz w:val="30"/>
          <w:szCs w:val="30"/>
          <w:highlight w:val="none"/>
        </w:rPr>
        <w:t>九、残疾人福利性单位声明函（如有）</w:t>
      </w:r>
      <w:bookmarkEnd w:id="307"/>
      <w:bookmarkEnd w:id="308"/>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bookmarkEnd w:id="295"/>
    <w:bookmarkEnd w:id="309"/>
    <w:bookmarkEnd w:id="310"/>
    <w:p>
      <w:pPr>
        <w:rPr>
          <w:rFonts w:ascii="Times New Roman" w:hAnsi="Times New Roman" w:eastAsia="仿宋"/>
          <w:color w:val="auto"/>
          <w:sz w:val="32"/>
          <w:szCs w:val="32"/>
          <w:highlight w:val="none"/>
          <w:shd w:val="clear" w:color="FFFFFF" w:fill="D9D9D9"/>
        </w:rPr>
      </w:pPr>
    </w:p>
    <w:p>
      <w:pPr>
        <w:rPr>
          <w:color w:val="auto"/>
          <w:highlight w:val="none"/>
          <w:shd w:val="clear" w:color="FFFFFF" w:fill="D9D9D9"/>
        </w:rPr>
      </w:pPr>
    </w:p>
    <w:p>
      <w:pPr>
        <w:rPr>
          <w:rFonts w:asciiTheme="minorEastAsia" w:hAnsiTheme="minorEastAsia" w:eastAsiaTheme="minorEastAsia" w:cstheme="minorEastAsia"/>
          <w:b/>
          <w:color w:val="auto"/>
          <w:sz w:val="30"/>
          <w:szCs w:val="30"/>
          <w:highlight w:val="none"/>
          <w:shd w:val="clear" w:color="FFFFFF" w:fill="D9D9D9"/>
        </w:rPr>
      </w:pPr>
    </w:p>
    <w:p>
      <w:pPr>
        <w:pStyle w:val="22"/>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color w:val="auto"/>
          <w:kern w:val="2"/>
          <w:sz w:val="30"/>
          <w:szCs w:val="30"/>
          <w:highlight w:val="none"/>
        </w:rPr>
      </w:pPr>
      <w:bookmarkStart w:id="311" w:name="_Toc16608"/>
      <w:bookmarkStart w:id="312" w:name="_Toc18605"/>
      <w:r>
        <w:rPr>
          <w:rFonts w:hint="eastAsia" w:asciiTheme="minorEastAsia" w:hAnsiTheme="minorEastAsia" w:eastAsiaTheme="minorEastAsia" w:cstheme="minorEastAsia"/>
          <w:b/>
          <w:color w:val="auto"/>
          <w:kern w:val="2"/>
          <w:sz w:val="30"/>
          <w:szCs w:val="30"/>
          <w:highlight w:val="none"/>
        </w:rPr>
        <w:t>十、招标文件要求的或供应商认为须提交的其他材料</w:t>
      </w:r>
      <w:bookmarkEnd w:id="311"/>
      <w:bookmarkEnd w:id="312"/>
    </w:p>
    <w:p>
      <w:pPr>
        <w:spacing w:line="360" w:lineRule="auto"/>
        <w:rPr>
          <w:rFonts w:asciiTheme="minorEastAsia" w:hAnsiTheme="minorEastAsia" w:eastAsiaTheme="minorEastAsia" w:cstheme="minorEastAsia"/>
          <w:color w:val="auto"/>
          <w:sz w:val="24"/>
          <w:highlight w:val="none"/>
          <w:shd w:val="clear" w:color="FFFFFF" w:fill="D9D9D9"/>
        </w:rPr>
      </w:pPr>
    </w:p>
    <w:p>
      <w:pPr>
        <w:spacing w:line="6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招标文件规定的其他资料及供应商认为需要提交的其他材料。</w:t>
      </w:r>
    </w:p>
    <w:p>
      <w:pPr>
        <w:spacing w:line="600" w:lineRule="exact"/>
        <w:ind w:firstLine="600" w:firstLineChars="200"/>
        <w:rPr>
          <w:rFonts w:ascii="仿宋" w:hAnsi="仿宋" w:eastAsia="仿宋" w:cs="仿宋"/>
          <w:color w:val="auto"/>
          <w:sz w:val="30"/>
          <w:szCs w:val="30"/>
          <w:highlight w:val="none"/>
        </w:rPr>
      </w:pPr>
    </w:p>
    <w:p>
      <w:pPr>
        <w:widowControl/>
        <w:spacing w:line="580" w:lineRule="atLeast"/>
        <w:jc w:val="center"/>
        <w:rPr>
          <w:rFonts w:asciiTheme="minorEastAsia" w:hAnsiTheme="minorEastAsia" w:eastAsiaTheme="minorEastAsia" w:cstheme="minorEastAsia"/>
          <w:b/>
          <w:color w:val="auto"/>
          <w:kern w:val="0"/>
          <w:sz w:val="32"/>
          <w:szCs w:val="32"/>
          <w:highlight w:val="none"/>
        </w:rPr>
      </w:pPr>
    </w:p>
    <w:p>
      <w:pPr>
        <w:pStyle w:val="53"/>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53"/>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53"/>
        <w:rPr>
          <w:rFonts w:asciiTheme="minorEastAsia" w:hAnsiTheme="minorEastAsia" w:eastAsiaTheme="minorEastAsia" w:cstheme="minorEastAsia"/>
          <w:b/>
          <w:bCs/>
          <w:color w:val="auto"/>
          <w:kern w:val="0"/>
          <w:sz w:val="32"/>
          <w:szCs w:val="32"/>
          <w:highlight w:val="none"/>
        </w:rPr>
      </w:pPr>
    </w:p>
    <w:p>
      <w:pPr>
        <w:spacing w:line="440" w:lineRule="exact"/>
        <w:jc w:val="center"/>
        <w:rPr>
          <w:rFonts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r>
        <w:rPr>
          <w:rFonts w:ascii="宋体" w:hAnsi="宋体" w:cs="宋体"/>
          <w:color w:val="auto"/>
          <w:kern w:val="0"/>
          <w:sz w:val="24"/>
          <w:highlight w:val="none"/>
        </w:rPr>
        <w:br w:type="page"/>
      </w:r>
    </w:p>
    <w:p>
      <w:pPr>
        <w:spacing w:line="360" w:lineRule="auto"/>
        <w:jc w:val="center"/>
        <w:rPr>
          <w:rFonts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优化和提升政府采购政策</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一、全面取消采购文件费用和投标保证金费用。</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color w:val="auto"/>
          <w:sz w:val="24"/>
          <w:highlight w:val="none"/>
          <w:u w:val="single"/>
        </w:rPr>
        <w:t>6%</w:t>
      </w:r>
      <w:r>
        <w:rPr>
          <w:rFonts w:hint="eastAsia" w:asciiTheme="minorEastAsia" w:hAnsiTheme="minorEastAsia" w:eastAsiaTheme="minorEastAsia" w:cstheme="minorEastAsia"/>
          <w:color w:val="auto"/>
          <w:sz w:val="24"/>
          <w:highlight w:val="none"/>
        </w:rPr>
        <w:t>，并按约定的时间和条件退还。</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三、评标结果确认时限。自评标（评审）结束后应2个工作日内确定中标供应商，5个工作日内公告结果，同时发送中标通知书。</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四、合同签订时限。自中标通知书发出之日起</w:t>
      </w:r>
      <w:r>
        <w:rPr>
          <w:rFonts w:hint="eastAsia" w:asciiTheme="minorEastAsia" w:hAnsiTheme="minorEastAsia" w:eastAsiaTheme="minorEastAsia" w:cstheme="minorEastAsia"/>
          <w:color w:val="auto"/>
          <w:sz w:val="24"/>
          <w:highlight w:val="none"/>
          <w:u w:val="single"/>
        </w:rPr>
        <w:t>15</w:t>
      </w:r>
      <w:r>
        <w:rPr>
          <w:rFonts w:hint="eastAsia" w:asciiTheme="minorEastAsia" w:hAnsiTheme="minorEastAsia" w:eastAsiaTheme="minorEastAsia" w:cstheme="minorEastAsia"/>
          <w:color w:val="auto"/>
          <w:sz w:val="24"/>
          <w:highlight w:val="none"/>
        </w:rPr>
        <w:t xml:space="preserve">日内，按照采购文件和投标文件确定的事项签订政府采购合同。 </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五、合同公告和备案时限。自合同签订之日起2个工作日内。</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在政府采购活动中，若发现采购人或采购代理机构未按以上政策执行的，可向监督部门举报反映。</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监督单位：博爱县财政局政府采购监督管理办公室</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监督电话：0391-8683273</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地址：博爱县发展大道188号机关综合办公楼主楼1213室</w:t>
      </w:r>
    </w:p>
    <w:p>
      <w:pPr>
        <w:spacing w:line="440" w:lineRule="exact"/>
        <w:jc w:val="center"/>
        <w:rPr>
          <w:rFonts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p>
    <w:p>
      <w:pPr>
        <w:rPr>
          <w:rFonts w:ascii="宋体" w:hAnsi="宋体" w:cs="宋体"/>
          <w:color w:val="auto"/>
          <w:sz w:val="36"/>
          <w:szCs w:val="36"/>
          <w:highlight w:val="none"/>
        </w:rPr>
      </w:pPr>
    </w:p>
    <w:p>
      <w:pPr>
        <w:rPr>
          <w:rFonts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p>
    <w:p>
      <w:pPr>
        <w:pStyle w:val="5"/>
        <w:spacing w:line="480" w:lineRule="exact"/>
        <w:rPr>
          <w:rFonts w:ascii="宋体" w:hAnsi="宋体" w:cs="宋体"/>
          <w:color w:val="auto"/>
          <w:sz w:val="36"/>
          <w:szCs w:val="36"/>
          <w:highlight w:val="none"/>
        </w:rPr>
      </w:pPr>
      <w:bookmarkStart w:id="313" w:name="_Toc7574"/>
      <w:r>
        <w:rPr>
          <w:rFonts w:hint="eastAsia" w:ascii="宋体" w:hAnsi="宋体" w:cs="宋体"/>
          <w:color w:val="auto"/>
          <w:sz w:val="36"/>
          <w:szCs w:val="36"/>
          <w:highlight w:val="none"/>
        </w:rPr>
        <w:t>河南省政府采购合同融资政策告知函</w:t>
      </w:r>
      <w:bookmarkEnd w:id="313"/>
    </w:p>
    <w:p>
      <w:pPr>
        <w:pStyle w:val="5"/>
        <w:spacing w:line="400" w:lineRule="exact"/>
        <w:jc w:val="both"/>
        <w:rPr>
          <w:rFonts w:ascii="宋体" w:hAnsi="宋体" w:cs="宋体"/>
          <w:color w:val="auto"/>
          <w:sz w:val="24"/>
          <w:highlight w:val="none"/>
        </w:rPr>
      </w:pPr>
      <w:bookmarkStart w:id="314" w:name="_Toc4905"/>
      <w:r>
        <w:rPr>
          <w:rFonts w:hint="eastAsia" w:ascii="宋体" w:hAnsi="宋体" w:cs="宋体"/>
          <w:color w:val="auto"/>
          <w:sz w:val="24"/>
          <w:highlight w:val="none"/>
        </w:rPr>
        <w:t>各供应商：</w:t>
      </w:r>
      <w:bookmarkEnd w:id="314"/>
    </w:p>
    <w:p>
      <w:pPr>
        <w:pStyle w:val="5"/>
        <w:spacing w:line="400" w:lineRule="exact"/>
        <w:jc w:val="both"/>
        <w:rPr>
          <w:rFonts w:ascii="宋体" w:hAnsi="宋体" w:cs="宋体"/>
          <w:color w:val="auto"/>
          <w:sz w:val="24"/>
          <w:highlight w:val="none"/>
        </w:rPr>
      </w:pPr>
      <w:r>
        <w:rPr>
          <w:rFonts w:hint="eastAsia" w:ascii="宋体" w:hAnsi="宋体" w:cs="宋体"/>
          <w:color w:val="auto"/>
          <w:sz w:val="24"/>
          <w:highlight w:val="none"/>
        </w:rPr>
        <w:t>欢迎贵公司参与河南省政府采购活动！</w:t>
      </w:r>
    </w:p>
    <w:p>
      <w:pPr>
        <w:spacing w:line="400" w:lineRule="exact"/>
        <w:ind w:firstLine="420" w:firstLineChars="175"/>
        <w:rPr>
          <w:rFonts w:ascii="宋体" w:hAnsi="宋体" w:cs="宋体"/>
          <w:bCs/>
          <w:color w:val="auto"/>
          <w:sz w:val="24"/>
          <w:highlight w:val="none"/>
        </w:rPr>
      </w:pPr>
      <w:r>
        <w:rPr>
          <w:rFonts w:hint="eastAsia" w:ascii="宋体" w:hAnsi="宋体" w:cs="宋体"/>
          <w:bCs/>
          <w:color w:val="auto"/>
          <w:sz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00" w:lineRule="exact"/>
        <w:ind w:firstLine="420" w:firstLineChars="175"/>
        <w:rPr>
          <w:rFonts w:ascii="宋体" w:hAnsi="宋体" w:cs="宋体"/>
          <w:bCs/>
          <w:color w:val="auto"/>
          <w:sz w:val="24"/>
          <w:highlight w:val="none"/>
        </w:rPr>
      </w:pPr>
      <w:r>
        <w:rPr>
          <w:rFonts w:hint="eastAsia" w:ascii="宋体" w:hAnsi="宋体" w:cs="宋体"/>
          <w:bCs/>
          <w:color w:val="auto"/>
          <w:sz w:val="24"/>
          <w:highlight w:val="none"/>
        </w:rPr>
        <w:t xml:space="preserve"> 贷款渠道和提供贷款的金融机构，可在河南省政府采购网“河南省政府采购合同融资平台”查询联系。</w:t>
      </w:r>
    </w:p>
    <w:p>
      <w:pPr>
        <w:spacing w:line="420" w:lineRule="exact"/>
        <w:ind w:firstLine="2168" w:firstLineChars="675"/>
        <w:outlineLvl w:val="0"/>
        <w:rPr>
          <w:rFonts w:ascii="宋体" w:hAnsi="宋体"/>
          <w:b/>
          <w:color w:val="auto"/>
          <w:sz w:val="32"/>
          <w:szCs w:val="32"/>
          <w:highlight w:val="none"/>
        </w:rPr>
      </w:pPr>
      <w:bookmarkStart w:id="315" w:name="_Toc30161"/>
      <w:r>
        <w:rPr>
          <w:rFonts w:hint="eastAsia" w:ascii="宋体" w:hAnsi="宋体"/>
          <w:b/>
          <w:color w:val="auto"/>
          <w:sz w:val="32"/>
          <w:szCs w:val="32"/>
          <w:highlight w:val="none"/>
        </w:rPr>
        <w:t>焦作市政府采购合同融资合作企业</w:t>
      </w:r>
      <w:bookmarkEnd w:id="315"/>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1280"/>
        <w:gridCol w:w="193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96"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280"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193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689"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中国农业银行股份有限公司焦作分行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280"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193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689"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中国邮政储蓄银行股份有限公司焦作市分行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280"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193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689"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pPr>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MediumGap" w:color="auto" w:sz="18" w:space="1"/>
      </w:pBdr>
    </w:pPr>
  </w:p>
  <w:p>
    <w:pPr>
      <w:pStyle w:val="18"/>
      <w:wordWrap w:val="0"/>
      <w:jc w:val="right"/>
      <w:rPr>
        <w:lang w:eastAsia="zh-CN"/>
      </w:rPr>
    </w:pPr>
    <w:r>
      <w:rPr>
        <w:rFonts w:hint="eastAsia"/>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p>
                        <w:p>
                          <w:pPr>
                            <w:pStyle w:val="18"/>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pPr>
                      <w:pStyle w:val="18"/>
                    </w:pPr>
                  </w:p>
                  <w:p>
                    <w:pPr>
                      <w:pStyle w:val="1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 w:val="16"/>
        <w:szCs w:val="22"/>
      </w:rPr>
    </w:pPr>
    <w:r>
      <w:rPr>
        <w:sz w:val="20"/>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26C9F"/>
    <w:multiLevelType w:val="singleLevel"/>
    <w:tmpl w:val="9A726C9F"/>
    <w:lvl w:ilvl="0" w:tentative="0">
      <w:start w:val="1"/>
      <w:numFmt w:val="chineseCounting"/>
      <w:suff w:val="nothing"/>
      <w:lvlText w:val="%1、"/>
      <w:lvlJc w:val="left"/>
      <w:rPr>
        <w:rFonts w:hint="eastAsia"/>
      </w:rPr>
    </w:lvl>
  </w:abstractNum>
  <w:abstractNum w:abstractNumId="1">
    <w:nsid w:val="9FB039FA"/>
    <w:multiLevelType w:val="singleLevel"/>
    <w:tmpl w:val="9FB039FA"/>
    <w:lvl w:ilvl="0" w:tentative="0">
      <w:start w:val="2"/>
      <w:numFmt w:val="chineseCounting"/>
      <w:suff w:val="nothing"/>
      <w:lvlText w:val="%1、"/>
      <w:lvlJc w:val="left"/>
      <w:rPr>
        <w:rFonts w:hint="eastAsia"/>
      </w:rPr>
    </w:lvl>
  </w:abstractNum>
  <w:abstractNum w:abstractNumId="2">
    <w:nsid w:val="A2C6ACF8"/>
    <w:multiLevelType w:val="singleLevel"/>
    <w:tmpl w:val="A2C6ACF8"/>
    <w:lvl w:ilvl="0" w:tentative="0">
      <w:start w:val="1"/>
      <w:numFmt w:val="decimal"/>
      <w:suff w:val="nothing"/>
      <w:lvlText w:val="（%1）"/>
      <w:lvlJc w:val="left"/>
      <w:pPr>
        <w:ind w:left="420" w:firstLine="0"/>
      </w:pPr>
      <w:rPr>
        <w:rFonts w:hint="default"/>
        <w:b w:val="0"/>
        <w:bCs w:val="0"/>
      </w:rPr>
    </w:lvl>
  </w:abstractNum>
  <w:abstractNum w:abstractNumId="3">
    <w:nsid w:val="A58974FB"/>
    <w:multiLevelType w:val="singleLevel"/>
    <w:tmpl w:val="A58974FB"/>
    <w:lvl w:ilvl="0" w:tentative="0">
      <w:start w:val="1"/>
      <w:numFmt w:val="decimal"/>
      <w:suff w:val="space"/>
      <w:lvlText w:val="%1."/>
      <w:lvlJc w:val="left"/>
    </w:lvl>
  </w:abstractNum>
  <w:abstractNum w:abstractNumId="4">
    <w:nsid w:val="B7CCEAB9"/>
    <w:multiLevelType w:val="singleLevel"/>
    <w:tmpl w:val="B7CCEAB9"/>
    <w:lvl w:ilvl="0" w:tentative="0">
      <w:start w:val="1"/>
      <w:numFmt w:val="decimal"/>
      <w:suff w:val="space"/>
      <w:lvlText w:val="%1."/>
      <w:lvlJc w:val="left"/>
      <w:pPr>
        <w:ind w:left="600" w:firstLine="0"/>
      </w:pPr>
    </w:lvl>
  </w:abstractNum>
  <w:abstractNum w:abstractNumId="5">
    <w:nsid w:val="B940B7CB"/>
    <w:multiLevelType w:val="singleLevel"/>
    <w:tmpl w:val="B940B7CB"/>
    <w:lvl w:ilvl="0" w:tentative="0">
      <w:start w:val="3"/>
      <w:numFmt w:val="decimal"/>
      <w:suff w:val="nothing"/>
      <w:lvlText w:val="%1、"/>
      <w:lvlJc w:val="left"/>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74054F6"/>
    <w:multiLevelType w:val="multilevel"/>
    <w:tmpl w:val="074054F6"/>
    <w:lvl w:ilvl="0" w:tentative="0">
      <w:start w:val="1"/>
      <w:numFmt w:val="decimal"/>
      <w:pStyle w:val="4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2E675402"/>
    <w:multiLevelType w:val="singleLevel"/>
    <w:tmpl w:val="2E675402"/>
    <w:lvl w:ilvl="0" w:tentative="0">
      <w:start w:val="1"/>
      <w:numFmt w:val="chineseCounting"/>
      <w:suff w:val="nothing"/>
      <w:lvlText w:val="（%1）"/>
      <w:lvlJc w:val="left"/>
      <w:rPr>
        <w:rFonts w:hint="eastAsia"/>
      </w:rPr>
    </w:lvl>
  </w:abstractNum>
  <w:abstractNum w:abstractNumId="10">
    <w:nsid w:val="59CCA2E1"/>
    <w:multiLevelType w:val="singleLevel"/>
    <w:tmpl w:val="59CCA2E1"/>
    <w:lvl w:ilvl="0" w:tentative="0">
      <w:start w:val="1"/>
      <w:numFmt w:val="decimal"/>
      <w:suff w:val="nothing"/>
      <w:lvlText w:val="（%1）"/>
      <w:lvlJc w:val="left"/>
    </w:lvl>
  </w:abstractNum>
  <w:abstractNum w:abstractNumId="11">
    <w:nsid w:val="5A693C2F"/>
    <w:multiLevelType w:val="singleLevel"/>
    <w:tmpl w:val="5A693C2F"/>
    <w:lvl w:ilvl="0" w:tentative="0">
      <w:start w:val="3"/>
      <w:numFmt w:val="chineseCounting"/>
      <w:suff w:val="space"/>
      <w:lvlText w:val="第%1章"/>
      <w:lvlJc w:val="left"/>
    </w:lvl>
  </w:abstractNum>
  <w:abstractNum w:abstractNumId="12">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3">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7"/>
  </w:num>
  <w:num w:numId="2">
    <w:abstractNumId w:val="5"/>
  </w:num>
  <w:num w:numId="3">
    <w:abstractNumId w:val="2"/>
  </w:num>
  <w:num w:numId="4">
    <w:abstractNumId w:val="12"/>
  </w:num>
  <w:num w:numId="5">
    <w:abstractNumId w:val="6"/>
  </w:num>
  <w:num w:numId="6">
    <w:abstractNumId w:val="11"/>
  </w:num>
  <w:num w:numId="7">
    <w:abstractNumId w:val="13"/>
  </w:num>
  <w:num w:numId="8">
    <w:abstractNumId w:val="0"/>
  </w:num>
  <w:num w:numId="9">
    <w:abstractNumId w:val="8"/>
  </w:num>
  <w:num w:numId="10">
    <w:abstractNumId w:val="3"/>
  </w:num>
  <w:num w:numId="11">
    <w:abstractNumId w:val="9"/>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CF3BAF"/>
    <w:rsid w:val="00013DD1"/>
    <w:rsid w:val="000547C6"/>
    <w:rsid w:val="00081779"/>
    <w:rsid w:val="001E6661"/>
    <w:rsid w:val="00205DE3"/>
    <w:rsid w:val="002075F5"/>
    <w:rsid w:val="00227539"/>
    <w:rsid w:val="00236004"/>
    <w:rsid w:val="00261DC9"/>
    <w:rsid w:val="00272A9F"/>
    <w:rsid w:val="00281BCC"/>
    <w:rsid w:val="0034193D"/>
    <w:rsid w:val="00382698"/>
    <w:rsid w:val="00387019"/>
    <w:rsid w:val="0042593E"/>
    <w:rsid w:val="0044589E"/>
    <w:rsid w:val="00451A98"/>
    <w:rsid w:val="00471CF0"/>
    <w:rsid w:val="004856FA"/>
    <w:rsid w:val="004B78BE"/>
    <w:rsid w:val="004E3BC3"/>
    <w:rsid w:val="004E4875"/>
    <w:rsid w:val="00536F66"/>
    <w:rsid w:val="005542F2"/>
    <w:rsid w:val="005A2870"/>
    <w:rsid w:val="005E14C7"/>
    <w:rsid w:val="005F220F"/>
    <w:rsid w:val="00631E63"/>
    <w:rsid w:val="00651B64"/>
    <w:rsid w:val="00651BA7"/>
    <w:rsid w:val="00656FFA"/>
    <w:rsid w:val="00666E50"/>
    <w:rsid w:val="006B2CA3"/>
    <w:rsid w:val="006C7E0E"/>
    <w:rsid w:val="00712D43"/>
    <w:rsid w:val="007145D8"/>
    <w:rsid w:val="00783CF9"/>
    <w:rsid w:val="007C65BE"/>
    <w:rsid w:val="007E2B28"/>
    <w:rsid w:val="00826247"/>
    <w:rsid w:val="00850F37"/>
    <w:rsid w:val="008672C4"/>
    <w:rsid w:val="00884C5F"/>
    <w:rsid w:val="008B741E"/>
    <w:rsid w:val="008D2851"/>
    <w:rsid w:val="008D29D1"/>
    <w:rsid w:val="008D314A"/>
    <w:rsid w:val="009368F4"/>
    <w:rsid w:val="009A0E66"/>
    <w:rsid w:val="009B3631"/>
    <w:rsid w:val="009F60C5"/>
    <w:rsid w:val="00A52CAF"/>
    <w:rsid w:val="00AD577B"/>
    <w:rsid w:val="00B32984"/>
    <w:rsid w:val="00B34D9F"/>
    <w:rsid w:val="00BC19AF"/>
    <w:rsid w:val="00BF3DA8"/>
    <w:rsid w:val="00C63E59"/>
    <w:rsid w:val="00C86DE2"/>
    <w:rsid w:val="00C93CF9"/>
    <w:rsid w:val="00C94A06"/>
    <w:rsid w:val="00C94AF7"/>
    <w:rsid w:val="00C95C63"/>
    <w:rsid w:val="00CF3BAF"/>
    <w:rsid w:val="00DE7C62"/>
    <w:rsid w:val="00E61A34"/>
    <w:rsid w:val="00ED32EC"/>
    <w:rsid w:val="00F165F0"/>
    <w:rsid w:val="00F16816"/>
    <w:rsid w:val="00F5227C"/>
    <w:rsid w:val="00FB3E02"/>
    <w:rsid w:val="00FC0F08"/>
    <w:rsid w:val="015A0ED7"/>
    <w:rsid w:val="01930027"/>
    <w:rsid w:val="019C74BD"/>
    <w:rsid w:val="01A249C3"/>
    <w:rsid w:val="01A90C02"/>
    <w:rsid w:val="01CD0413"/>
    <w:rsid w:val="0224187C"/>
    <w:rsid w:val="024768DF"/>
    <w:rsid w:val="024D2FC2"/>
    <w:rsid w:val="02534437"/>
    <w:rsid w:val="02A079AD"/>
    <w:rsid w:val="02AD7AC3"/>
    <w:rsid w:val="02B2279A"/>
    <w:rsid w:val="02C572FD"/>
    <w:rsid w:val="02D346FD"/>
    <w:rsid w:val="02DF753E"/>
    <w:rsid w:val="038F5EB4"/>
    <w:rsid w:val="03D41ED5"/>
    <w:rsid w:val="03EF01A2"/>
    <w:rsid w:val="04035DC5"/>
    <w:rsid w:val="041F1D93"/>
    <w:rsid w:val="04351B1E"/>
    <w:rsid w:val="046F0DBE"/>
    <w:rsid w:val="04730C9A"/>
    <w:rsid w:val="049A5F70"/>
    <w:rsid w:val="04B80A56"/>
    <w:rsid w:val="04F44273"/>
    <w:rsid w:val="051F15AE"/>
    <w:rsid w:val="05476DA0"/>
    <w:rsid w:val="0587053C"/>
    <w:rsid w:val="0598227A"/>
    <w:rsid w:val="05CF063D"/>
    <w:rsid w:val="061F1094"/>
    <w:rsid w:val="064662A5"/>
    <w:rsid w:val="06494301"/>
    <w:rsid w:val="064B3EA8"/>
    <w:rsid w:val="0681360C"/>
    <w:rsid w:val="06F1337E"/>
    <w:rsid w:val="06F2019A"/>
    <w:rsid w:val="07310D7F"/>
    <w:rsid w:val="074D4119"/>
    <w:rsid w:val="07997BA5"/>
    <w:rsid w:val="08161B2A"/>
    <w:rsid w:val="08355432"/>
    <w:rsid w:val="083A174E"/>
    <w:rsid w:val="083B347B"/>
    <w:rsid w:val="083D3697"/>
    <w:rsid w:val="0885658D"/>
    <w:rsid w:val="08910593"/>
    <w:rsid w:val="08B6562F"/>
    <w:rsid w:val="09102B5A"/>
    <w:rsid w:val="09217513"/>
    <w:rsid w:val="098B21E0"/>
    <w:rsid w:val="0A3D6877"/>
    <w:rsid w:val="0A645EB1"/>
    <w:rsid w:val="0A8B4CEF"/>
    <w:rsid w:val="0AFE4F5A"/>
    <w:rsid w:val="0B057D70"/>
    <w:rsid w:val="0B2D5070"/>
    <w:rsid w:val="0B440CBC"/>
    <w:rsid w:val="0B664CB3"/>
    <w:rsid w:val="0B7902B3"/>
    <w:rsid w:val="0B8C1399"/>
    <w:rsid w:val="0BE37935"/>
    <w:rsid w:val="0C051155"/>
    <w:rsid w:val="0C076843"/>
    <w:rsid w:val="0C1427EF"/>
    <w:rsid w:val="0C2D57D1"/>
    <w:rsid w:val="0C350433"/>
    <w:rsid w:val="0C732807"/>
    <w:rsid w:val="0CD05128"/>
    <w:rsid w:val="0D270828"/>
    <w:rsid w:val="0D3E11DD"/>
    <w:rsid w:val="0D792EC2"/>
    <w:rsid w:val="0D81592D"/>
    <w:rsid w:val="0D8716C8"/>
    <w:rsid w:val="0D974D65"/>
    <w:rsid w:val="0E651252"/>
    <w:rsid w:val="0E8C0D4D"/>
    <w:rsid w:val="0EA33B28"/>
    <w:rsid w:val="0EA67121"/>
    <w:rsid w:val="0EDC105C"/>
    <w:rsid w:val="0EDE6CBA"/>
    <w:rsid w:val="0EF32EFA"/>
    <w:rsid w:val="0F0410E0"/>
    <w:rsid w:val="0FAC4AEB"/>
    <w:rsid w:val="0FDE2EA6"/>
    <w:rsid w:val="0FE73EE9"/>
    <w:rsid w:val="100420C3"/>
    <w:rsid w:val="1012372A"/>
    <w:rsid w:val="10544429"/>
    <w:rsid w:val="10586A77"/>
    <w:rsid w:val="107D20E4"/>
    <w:rsid w:val="114E3064"/>
    <w:rsid w:val="11920A50"/>
    <w:rsid w:val="119A56B6"/>
    <w:rsid w:val="119B16ED"/>
    <w:rsid w:val="11A25357"/>
    <w:rsid w:val="11B34CF4"/>
    <w:rsid w:val="11F2782C"/>
    <w:rsid w:val="120C0D33"/>
    <w:rsid w:val="120F18F1"/>
    <w:rsid w:val="12253216"/>
    <w:rsid w:val="12486EC1"/>
    <w:rsid w:val="1298264D"/>
    <w:rsid w:val="12B30AE2"/>
    <w:rsid w:val="12F25439"/>
    <w:rsid w:val="12F64B6E"/>
    <w:rsid w:val="134734DE"/>
    <w:rsid w:val="13732E71"/>
    <w:rsid w:val="13767A5D"/>
    <w:rsid w:val="143C687A"/>
    <w:rsid w:val="144162BD"/>
    <w:rsid w:val="144353ED"/>
    <w:rsid w:val="14860849"/>
    <w:rsid w:val="14E629C1"/>
    <w:rsid w:val="152E231F"/>
    <w:rsid w:val="15545B7C"/>
    <w:rsid w:val="159D7523"/>
    <w:rsid w:val="16493207"/>
    <w:rsid w:val="16504596"/>
    <w:rsid w:val="165F3BC6"/>
    <w:rsid w:val="166D59E0"/>
    <w:rsid w:val="16997753"/>
    <w:rsid w:val="169D288C"/>
    <w:rsid w:val="1756611E"/>
    <w:rsid w:val="179C380B"/>
    <w:rsid w:val="17AC6DF4"/>
    <w:rsid w:val="183D74A2"/>
    <w:rsid w:val="188C4F4A"/>
    <w:rsid w:val="19142412"/>
    <w:rsid w:val="196A7BE4"/>
    <w:rsid w:val="19EE17C2"/>
    <w:rsid w:val="19EF2318"/>
    <w:rsid w:val="1A1025AF"/>
    <w:rsid w:val="1A2B26E2"/>
    <w:rsid w:val="1A3B0CC2"/>
    <w:rsid w:val="1A6B60E2"/>
    <w:rsid w:val="1A913822"/>
    <w:rsid w:val="1B0F127C"/>
    <w:rsid w:val="1B33310F"/>
    <w:rsid w:val="1B89014D"/>
    <w:rsid w:val="1BD529D4"/>
    <w:rsid w:val="1BE9127A"/>
    <w:rsid w:val="1C211654"/>
    <w:rsid w:val="1C2D32A0"/>
    <w:rsid w:val="1C753023"/>
    <w:rsid w:val="1C9363D1"/>
    <w:rsid w:val="1CC37618"/>
    <w:rsid w:val="1CD57C9C"/>
    <w:rsid w:val="1D1E6C5C"/>
    <w:rsid w:val="1D2A77A9"/>
    <w:rsid w:val="1D5A65E9"/>
    <w:rsid w:val="1DC13FCB"/>
    <w:rsid w:val="1DDA0B91"/>
    <w:rsid w:val="1DE803B4"/>
    <w:rsid w:val="1E212A6F"/>
    <w:rsid w:val="1E360353"/>
    <w:rsid w:val="1E4779B9"/>
    <w:rsid w:val="1E7C3987"/>
    <w:rsid w:val="1E921418"/>
    <w:rsid w:val="1E9D4BA7"/>
    <w:rsid w:val="1EB33136"/>
    <w:rsid w:val="1EE937D9"/>
    <w:rsid w:val="1EF55393"/>
    <w:rsid w:val="1F111512"/>
    <w:rsid w:val="1F3F59B3"/>
    <w:rsid w:val="1FA91310"/>
    <w:rsid w:val="1FBB33A3"/>
    <w:rsid w:val="1FCF0C21"/>
    <w:rsid w:val="1FD46237"/>
    <w:rsid w:val="202F637F"/>
    <w:rsid w:val="2049129F"/>
    <w:rsid w:val="20E259AF"/>
    <w:rsid w:val="218872DA"/>
    <w:rsid w:val="21935C7E"/>
    <w:rsid w:val="219C4D8C"/>
    <w:rsid w:val="21A96F53"/>
    <w:rsid w:val="21B767CB"/>
    <w:rsid w:val="22821933"/>
    <w:rsid w:val="22851F14"/>
    <w:rsid w:val="22937A29"/>
    <w:rsid w:val="22E0486C"/>
    <w:rsid w:val="22E7389D"/>
    <w:rsid w:val="2307024E"/>
    <w:rsid w:val="236C0699"/>
    <w:rsid w:val="23A75A11"/>
    <w:rsid w:val="23C21A0E"/>
    <w:rsid w:val="23F17EB7"/>
    <w:rsid w:val="24364D63"/>
    <w:rsid w:val="24581EC9"/>
    <w:rsid w:val="245D7AC3"/>
    <w:rsid w:val="246511FA"/>
    <w:rsid w:val="24845123"/>
    <w:rsid w:val="255249D2"/>
    <w:rsid w:val="26211AAB"/>
    <w:rsid w:val="264840A1"/>
    <w:rsid w:val="2671382C"/>
    <w:rsid w:val="26AB160B"/>
    <w:rsid w:val="26AF355A"/>
    <w:rsid w:val="26D40659"/>
    <w:rsid w:val="27070CA1"/>
    <w:rsid w:val="27144052"/>
    <w:rsid w:val="27301079"/>
    <w:rsid w:val="27B228CA"/>
    <w:rsid w:val="27CF39BA"/>
    <w:rsid w:val="27E6688C"/>
    <w:rsid w:val="287019A1"/>
    <w:rsid w:val="28BD1C36"/>
    <w:rsid w:val="291F753F"/>
    <w:rsid w:val="29AD1F3E"/>
    <w:rsid w:val="29B150CA"/>
    <w:rsid w:val="29FC7FCE"/>
    <w:rsid w:val="2A1118F0"/>
    <w:rsid w:val="2A334727"/>
    <w:rsid w:val="2AA84457"/>
    <w:rsid w:val="2ABE19E5"/>
    <w:rsid w:val="2B2362C5"/>
    <w:rsid w:val="2B24082E"/>
    <w:rsid w:val="2B68396E"/>
    <w:rsid w:val="2B9A5BB7"/>
    <w:rsid w:val="2C0F6119"/>
    <w:rsid w:val="2C5243EF"/>
    <w:rsid w:val="2CF34593"/>
    <w:rsid w:val="2D1E0486"/>
    <w:rsid w:val="2D4759F0"/>
    <w:rsid w:val="2D4B17C9"/>
    <w:rsid w:val="2DA17287"/>
    <w:rsid w:val="2DEF0B6D"/>
    <w:rsid w:val="2E400AF3"/>
    <w:rsid w:val="2E7164C1"/>
    <w:rsid w:val="2ECE479A"/>
    <w:rsid w:val="2ED658FB"/>
    <w:rsid w:val="2ED80964"/>
    <w:rsid w:val="2F3D38F1"/>
    <w:rsid w:val="2F662BA9"/>
    <w:rsid w:val="2FA713A3"/>
    <w:rsid w:val="2FEE0502"/>
    <w:rsid w:val="30204B81"/>
    <w:rsid w:val="3054090C"/>
    <w:rsid w:val="305F7D9F"/>
    <w:rsid w:val="30766F52"/>
    <w:rsid w:val="308873CF"/>
    <w:rsid w:val="30A7457C"/>
    <w:rsid w:val="310034FD"/>
    <w:rsid w:val="311B58CA"/>
    <w:rsid w:val="312875A3"/>
    <w:rsid w:val="315C20A8"/>
    <w:rsid w:val="315E08FB"/>
    <w:rsid w:val="327012C3"/>
    <w:rsid w:val="32AC094E"/>
    <w:rsid w:val="32DD09B1"/>
    <w:rsid w:val="335A371D"/>
    <w:rsid w:val="336B5FF6"/>
    <w:rsid w:val="3398566D"/>
    <w:rsid w:val="339B530E"/>
    <w:rsid w:val="33B71CA0"/>
    <w:rsid w:val="34375174"/>
    <w:rsid w:val="34490FA6"/>
    <w:rsid w:val="34771645"/>
    <w:rsid w:val="34BF0E0C"/>
    <w:rsid w:val="34D4117F"/>
    <w:rsid w:val="351D2B32"/>
    <w:rsid w:val="35400F5E"/>
    <w:rsid w:val="356103C1"/>
    <w:rsid w:val="35624307"/>
    <w:rsid w:val="35EF40B4"/>
    <w:rsid w:val="36F2243E"/>
    <w:rsid w:val="37316346"/>
    <w:rsid w:val="376D0FF4"/>
    <w:rsid w:val="379522F8"/>
    <w:rsid w:val="37BB5BE3"/>
    <w:rsid w:val="37C3064D"/>
    <w:rsid w:val="37C94B02"/>
    <w:rsid w:val="37FC6202"/>
    <w:rsid w:val="385E298D"/>
    <w:rsid w:val="38C51FA1"/>
    <w:rsid w:val="38C56745"/>
    <w:rsid w:val="38ED5B17"/>
    <w:rsid w:val="391F5908"/>
    <w:rsid w:val="39EA57B0"/>
    <w:rsid w:val="3AAA205E"/>
    <w:rsid w:val="3AC405E4"/>
    <w:rsid w:val="3B27182E"/>
    <w:rsid w:val="3B5755D8"/>
    <w:rsid w:val="3B680882"/>
    <w:rsid w:val="3C3E4D0D"/>
    <w:rsid w:val="3C5740DD"/>
    <w:rsid w:val="3C647525"/>
    <w:rsid w:val="3C806CA2"/>
    <w:rsid w:val="3C875BD5"/>
    <w:rsid w:val="3C887232"/>
    <w:rsid w:val="3CDE308C"/>
    <w:rsid w:val="3D0C551D"/>
    <w:rsid w:val="3D3F6549"/>
    <w:rsid w:val="3D6E3B32"/>
    <w:rsid w:val="3DA476DF"/>
    <w:rsid w:val="3DA9026A"/>
    <w:rsid w:val="3E007463"/>
    <w:rsid w:val="3E3D322B"/>
    <w:rsid w:val="3E8D79E9"/>
    <w:rsid w:val="3E8E1D06"/>
    <w:rsid w:val="3E9B73AF"/>
    <w:rsid w:val="3F51170A"/>
    <w:rsid w:val="3FA505CC"/>
    <w:rsid w:val="3FD66319"/>
    <w:rsid w:val="40291242"/>
    <w:rsid w:val="40507902"/>
    <w:rsid w:val="405204BF"/>
    <w:rsid w:val="407A6954"/>
    <w:rsid w:val="407C1AED"/>
    <w:rsid w:val="40AE6405"/>
    <w:rsid w:val="40E2372C"/>
    <w:rsid w:val="411F627D"/>
    <w:rsid w:val="416F7716"/>
    <w:rsid w:val="4176039B"/>
    <w:rsid w:val="417B430D"/>
    <w:rsid w:val="41A82C28"/>
    <w:rsid w:val="420C4EF5"/>
    <w:rsid w:val="42181E5B"/>
    <w:rsid w:val="421F4DB9"/>
    <w:rsid w:val="42881AA6"/>
    <w:rsid w:val="42E02E33"/>
    <w:rsid w:val="42F65BA4"/>
    <w:rsid w:val="434C47FE"/>
    <w:rsid w:val="436355A7"/>
    <w:rsid w:val="4364501E"/>
    <w:rsid w:val="43B40E65"/>
    <w:rsid w:val="43D4281E"/>
    <w:rsid w:val="4453447A"/>
    <w:rsid w:val="44E855CD"/>
    <w:rsid w:val="44F64D49"/>
    <w:rsid w:val="459B770E"/>
    <w:rsid w:val="45D313A6"/>
    <w:rsid w:val="45D94A67"/>
    <w:rsid w:val="45E375FE"/>
    <w:rsid w:val="462E1DF2"/>
    <w:rsid w:val="46307118"/>
    <w:rsid w:val="46316751"/>
    <w:rsid w:val="46642C04"/>
    <w:rsid w:val="46880C8C"/>
    <w:rsid w:val="46C978C9"/>
    <w:rsid w:val="46FF153C"/>
    <w:rsid w:val="47195F8F"/>
    <w:rsid w:val="471C20EE"/>
    <w:rsid w:val="472509CB"/>
    <w:rsid w:val="472D2551"/>
    <w:rsid w:val="473C24B5"/>
    <w:rsid w:val="476C725B"/>
    <w:rsid w:val="478A2A55"/>
    <w:rsid w:val="479E38D8"/>
    <w:rsid w:val="47EB734B"/>
    <w:rsid w:val="486E372E"/>
    <w:rsid w:val="48934AEB"/>
    <w:rsid w:val="48C93BB0"/>
    <w:rsid w:val="490377B4"/>
    <w:rsid w:val="492E33C0"/>
    <w:rsid w:val="495261A3"/>
    <w:rsid w:val="495D6F47"/>
    <w:rsid w:val="498A0C86"/>
    <w:rsid w:val="499A379E"/>
    <w:rsid w:val="4A0550BC"/>
    <w:rsid w:val="4A0B4816"/>
    <w:rsid w:val="4A107CDA"/>
    <w:rsid w:val="4A79782A"/>
    <w:rsid w:val="4AA303C5"/>
    <w:rsid w:val="4AE901CC"/>
    <w:rsid w:val="4AF33166"/>
    <w:rsid w:val="4B36226E"/>
    <w:rsid w:val="4BD54C5B"/>
    <w:rsid w:val="4C4814B5"/>
    <w:rsid w:val="4CD16F98"/>
    <w:rsid w:val="4CD722EC"/>
    <w:rsid w:val="4D8C494F"/>
    <w:rsid w:val="4DAB6BDA"/>
    <w:rsid w:val="4E4C44BA"/>
    <w:rsid w:val="4E7C3AE4"/>
    <w:rsid w:val="4EB6646D"/>
    <w:rsid w:val="4F2A2BCF"/>
    <w:rsid w:val="4F4B71E8"/>
    <w:rsid w:val="4F5E692A"/>
    <w:rsid w:val="4FA766A8"/>
    <w:rsid w:val="4FDA48F5"/>
    <w:rsid w:val="50414974"/>
    <w:rsid w:val="504413AB"/>
    <w:rsid w:val="50964CC0"/>
    <w:rsid w:val="51171D45"/>
    <w:rsid w:val="51404F43"/>
    <w:rsid w:val="519805C3"/>
    <w:rsid w:val="51B11685"/>
    <w:rsid w:val="51F82BBB"/>
    <w:rsid w:val="522B7DE8"/>
    <w:rsid w:val="522D3402"/>
    <w:rsid w:val="527728CF"/>
    <w:rsid w:val="52DC6BD6"/>
    <w:rsid w:val="52DD21C1"/>
    <w:rsid w:val="52EB6588"/>
    <w:rsid w:val="53157C48"/>
    <w:rsid w:val="53AC11E6"/>
    <w:rsid w:val="542D2B1D"/>
    <w:rsid w:val="5472334E"/>
    <w:rsid w:val="54CE480A"/>
    <w:rsid w:val="54D77655"/>
    <w:rsid w:val="551C7980"/>
    <w:rsid w:val="5549056E"/>
    <w:rsid w:val="55C81AB9"/>
    <w:rsid w:val="55FF6EF7"/>
    <w:rsid w:val="56325CFA"/>
    <w:rsid w:val="5664557C"/>
    <w:rsid w:val="568D6675"/>
    <w:rsid w:val="56BB3C75"/>
    <w:rsid w:val="56C3089C"/>
    <w:rsid w:val="56DE7067"/>
    <w:rsid w:val="570955B4"/>
    <w:rsid w:val="5725657E"/>
    <w:rsid w:val="57527C3E"/>
    <w:rsid w:val="5783793E"/>
    <w:rsid w:val="57CC2BA0"/>
    <w:rsid w:val="580956C4"/>
    <w:rsid w:val="587B1836"/>
    <w:rsid w:val="58DC41BC"/>
    <w:rsid w:val="58DC7930"/>
    <w:rsid w:val="58DF3A45"/>
    <w:rsid w:val="59257C80"/>
    <w:rsid w:val="597C73A7"/>
    <w:rsid w:val="598D26AC"/>
    <w:rsid w:val="599F77C9"/>
    <w:rsid w:val="59C95F43"/>
    <w:rsid w:val="59DE214B"/>
    <w:rsid w:val="59F53571"/>
    <w:rsid w:val="5A0045B8"/>
    <w:rsid w:val="5A772767"/>
    <w:rsid w:val="5A93268F"/>
    <w:rsid w:val="5AB2046A"/>
    <w:rsid w:val="5AC82B93"/>
    <w:rsid w:val="5AE14D89"/>
    <w:rsid w:val="5AE6318E"/>
    <w:rsid w:val="5AFB13A2"/>
    <w:rsid w:val="5B540305"/>
    <w:rsid w:val="5BFF13ED"/>
    <w:rsid w:val="5C8E651C"/>
    <w:rsid w:val="5CD33E9F"/>
    <w:rsid w:val="5CF914BA"/>
    <w:rsid w:val="5D120EE1"/>
    <w:rsid w:val="5D3A5D7E"/>
    <w:rsid w:val="5D7C6FEB"/>
    <w:rsid w:val="5DB443B5"/>
    <w:rsid w:val="5DC012A8"/>
    <w:rsid w:val="5DCA7D57"/>
    <w:rsid w:val="5E1A7EE8"/>
    <w:rsid w:val="5E313880"/>
    <w:rsid w:val="5E803BCC"/>
    <w:rsid w:val="5E8A187A"/>
    <w:rsid w:val="5EAE4FD3"/>
    <w:rsid w:val="5F09244A"/>
    <w:rsid w:val="5F6E0C40"/>
    <w:rsid w:val="5F9177D9"/>
    <w:rsid w:val="5FD41D53"/>
    <w:rsid w:val="5FFB5C83"/>
    <w:rsid w:val="600C2AB9"/>
    <w:rsid w:val="600F02EA"/>
    <w:rsid w:val="602A334A"/>
    <w:rsid w:val="60B25AEA"/>
    <w:rsid w:val="60CC0704"/>
    <w:rsid w:val="6116564E"/>
    <w:rsid w:val="615C6151"/>
    <w:rsid w:val="61626B32"/>
    <w:rsid w:val="61BD2A1D"/>
    <w:rsid w:val="62047871"/>
    <w:rsid w:val="622B3906"/>
    <w:rsid w:val="62494283"/>
    <w:rsid w:val="628428BC"/>
    <w:rsid w:val="62EF46F3"/>
    <w:rsid w:val="63213A50"/>
    <w:rsid w:val="64102296"/>
    <w:rsid w:val="642B7DAF"/>
    <w:rsid w:val="646D3E65"/>
    <w:rsid w:val="64914748"/>
    <w:rsid w:val="64AB754F"/>
    <w:rsid w:val="64C104A9"/>
    <w:rsid w:val="64C53799"/>
    <w:rsid w:val="64C93ECA"/>
    <w:rsid w:val="64CA3CB4"/>
    <w:rsid w:val="64CB0731"/>
    <w:rsid w:val="64EC0669"/>
    <w:rsid w:val="64F61535"/>
    <w:rsid w:val="65044496"/>
    <w:rsid w:val="65693C54"/>
    <w:rsid w:val="65714A10"/>
    <w:rsid w:val="65776156"/>
    <w:rsid w:val="65811558"/>
    <w:rsid w:val="65B705EA"/>
    <w:rsid w:val="65EF7DA6"/>
    <w:rsid w:val="6653420D"/>
    <w:rsid w:val="66B77D63"/>
    <w:rsid w:val="66BA6E26"/>
    <w:rsid w:val="66F10A4A"/>
    <w:rsid w:val="67477DD7"/>
    <w:rsid w:val="67895BD4"/>
    <w:rsid w:val="67923FAF"/>
    <w:rsid w:val="67997816"/>
    <w:rsid w:val="67A856DC"/>
    <w:rsid w:val="67AB689B"/>
    <w:rsid w:val="682E6AFE"/>
    <w:rsid w:val="6843464A"/>
    <w:rsid w:val="68A501F9"/>
    <w:rsid w:val="68AF4719"/>
    <w:rsid w:val="68B476C6"/>
    <w:rsid w:val="69194288"/>
    <w:rsid w:val="69676C0C"/>
    <w:rsid w:val="698D10CC"/>
    <w:rsid w:val="69AE1092"/>
    <w:rsid w:val="69C959DF"/>
    <w:rsid w:val="6A334D67"/>
    <w:rsid w:val="6A576495"/>
    <w:rsid w:val="6A753B41"/>
    <w:rsid w:val="6A8433D5"/>
    <w:rsid w:val="6AC00E8A"/>
    <w:rsid w:val="6AC515DC"/>
    <w:rsid w:val="6AD36995"/>
    <w:rsid w:val="6BA30B8B"/>
    <w:rsid w:val="6BB205D7"/>
    <w:rsid w:val="6BC664F4"/>
    <w:rsid w:val="6BD36CF4"/>
    <w:rsid w:val="6BF57693"/>
    <w:rsid w:val="6C046B2A"/>
    <w:rsid w:val="6CDE2D6D"/>
    <w:rsid w:val="6D0A63C2"/>
    <w:rsid w:val="6D163809"/>
    <w:rsid w:val="6D2120C6"/>
    <w:rsid w:val="6D2917A9"/>
    <w:rsid w:val="6D2C01D4"/>
    <w:rsid w:val="6D4E6E2B"/>
    <w:rsid w:val="6D514B1A"/>
    <w:rsid w:val="6DAF2C40"/>
    <w:rsid w:val="6DCD6F00"/>
    <w:rsid w:val="6DD70987"/>
    <w:rsid w:val="6DD85753"/>
    <w:rsid w:val="6DDE05B9"/>
    <w:rsid w:val="6E6C0E13"/>
    <w:rsid w:val="6E8615C7"/>
    <w:rsid w:val="6E886FBB"/>
    <w:rsid w:val="6EA23ED2"/>
    <w:rsid w:val="6EA4707E"/>
    <w:rsid w:val="6EDD1581"/>
    <w:rsid w:val="6EE37D9F"/>
    <w:rsid w:val="6F33431F"/>
    <w:rsid w:val="6F627C19"/>
    <w:rsid w:val="6F64384D"/>
    <w:rsid w:val="6FD71E92"/>
    <w:rsid w:val="6FE0340A"/>
    <w:rsid w:val="70227EC6"/>
    <w:rsid w:val="703F60A8"/>
    <w:rsid w:val="70822713"/>
    <w:rsid w:val="70B46F74"/>
    <w:rsid w:val="70E02081"/>
    <w:rsid w:val="714E772A"/>
    <w:rsid w:val="71FB028A"/>
    <w:rsid w:val="724B5262"/>
    <w:rsid w:val="72875C50"/>
    <w:rsid w:val="729130E1"/>
    <w:rsid w:val="729539BC"/>
    <w:rsid w:val="72D134DE"/>
    <w:rsid w:val="72FD1EE3"/>
    <w:rsid w:val="732A3CF3"/>
    <w:rsid w:val="73900C02"/>
    <w:rsid w:val="73940F35"/>
    <w:rsid w:val="73BE334D"/>
    <w:rsid w:val="73D253BE"/>
    <w:rsid w:val="746C5BB4"/>
    <w:rsid w:val="74E538AA"/>
    <w:rsid w:val="74EB0EC0"/>
    <w:rsid w:val="74EB26E9"/>
    <w:rsid w:val="74F6102E"/>
    <w:rsid w:val="7529519B"/>
    <w:rsid w:val="75360D61"/>
    <w:rsid w:val="75AB44BA"/>
    <w:rsid w:val="75CC203F"/>
    <w:rsid w:val="75F6021B"/>
    <w:rsid w:val="76263B40"/>
    <w:rsid w:val="767D2702"/>
    <w:rsid w:val="76A52F33"/>
    <w:rsid w:val="76AD3EE0"/>
    <w:rsid w:val="76B40FB3"/>
    <w:rsid w:val="772B05F4"/>
    <w:rsid w:val="77463913"/>
    <w:rsid w:val="778154D2"/>
    <w:rsid w:val="77B3710F"/>
    <w:rsid w:val="77F14B39"/>
    <w:rsid w:val="784E6FD5"/>
    <w:rsid w:val="7982320E"/>
    <w:rsid w:val="79992F3A"/>
    <w:rsid w:val="79AE33E5"/>
    <w:rsid w:val="79EC68CF"/>
    <w:rsid w:val="7A3E3951"/>
    <w:rsid w:val="7A921700"/>
    <w:rsid w:val="7A9D7487"/>
    <w:rsid w:val="7ADF7850"/>
    <w:rsid w:val="7B2C0F5F"/>
    <w:rsid w:val="7B447C52"/>
    <w:rsid w:val="7B5641A4"/>
    <w:rsid w:val="7BBF4CC5"/>
    <w:rsid w:val="7BC167E5"/>
    <w:rsid w:val="7BE44282"/>
    <w:rsid w:val="7BEB23A7"/>
    <w:rsid w:val="7C1A207B"/>
    <w:rsid w:val="7C30076C"/>
    <w:rsid w:val="7C452B24"/>
    <w:rsid w:val="7C4E0379"/>
    <w:rsid w:val="7C537629"/>
    <w:rsid w:val="7C601C17"/>
    <w:rsid w:val="7C9712F4"/>
    <w:rsid w:val="7CC04CEF"/>
    <w:rsid w:val="7CC83F86"/>
    <w:rsid w:val="7CCA3711"/>
    <w:rsid w:val="7D1F193A"/>
    <w:rsid w:val="7D2E5A63"/>
    <w:rsid w:val="7D86745E"/>
    <w:rsid w:val="7D9A12A0"/>
    <w:rsid w:val="7DE00C30"/>
    <w:rsid w:val="7DEE4676"/>
    <w:rsid w:val="7DFE187A"/>
    <w:rsid w:val="7E0706D0"/>
    <w:rsid w:val="7E331077"/>
    <w:rsid w:val="7E6D055E"/>
    <w:rsid w:val="7E8A7362"/>
    <w:rsid w:val="7ED25A6D"/>
    <w:rsid w:val="7EF95A5A"/>
    <w:rsid w:val="7F2E09F5"/>
    <w:rsid w:val="7F531E4A"/>
    <w:rsid w:val="7F6F10F3"/>
    <w:rsid w:val="7FBC4125"/>
    <w:rsid w:val="7FCA3A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6">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7">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ind w:firstLine="560" w:firstLineChars="200"/>
    </w:pPr>
    <w:rPr>
      <w:rFonts w:ascii="Times New Roman" w:hAnsi="Times New Roman"/>
    </w:rPr>
  </w:style>
  <w:style w:type="paragraph" w:styleId="4">
    <w:name w:val="envelope return"/>
    <w:basedOn w:val="1"/>
    <w:qFormat/>
    <w:uiPriority w:val="99"/>
    <w:pPr>
      <w:snapToGrid w:val="0"/>
    </w:pPr>
    <w:rPr>
      <w:rFonts w:ascii="Arial" w:hAnsi="Arial" w:cs="Arial"/>
    </w:rPr>
  </w:style>
  <w:style w:type="paragraph" w:styleId="8">
    <w:name w:val="Normal Indent"/>
    <w:basedOn w:val="1"/>
    <w:unhideWhenUsed/>
    <w:qFormat/>
    <w:uiPriority w:val="99"/>
    <w:pPr>
      <w:ind w:firstLine="420"/>
    </w:pPr>
    <w:rPr>
      <w:rFonts w:ascii="Calibri" w:hAnsi="Calibri"/>
      <w:szCs w:val="20"/>
    </w:rPr>
  </w:style>
  <w:style w:type="paragraph" w:styleId="9">
    <w:name w:val="caption"/>
    <w:basedOn w:val="1"/>
    <w:next w:val="1"/>
    <w:qFormat/>
    <w:uiPriority w:val="0"/>
    <w:rPr>
      <w:rFonts w:ascii="Arial" w:hAnsi="Arial" w:eastAsia="黑体" w:cstheme="minorBidi"/>
      <w:sz w:val="20"/>
    </w:rPr>
  </w:style>
  <w:style w:type="paragraph" w:styleId="10">
    <w:name w:val="toa heading"/>
    <w:basedOn w:val="1"/>
    <w:next w:val="1"/>
    <w:unhideWhenUsed/>
    <w:qFormat/>
    <w:uiPriority w:val="99"/>
    <w:pPr>
      <w:spacing w:before="120"/>
    </w:pPr>
    <w:rPr>
      <w:rFonts w:ascii="Arial" w:hAnsi="Arial" w:cs="Arial"/>
      <w:sz w:val="24"/>
    </w:rPr>
  </w:style>
  <w:style w:type="paragraph" w:styleId="11">
    <w:name w:val="annotation text"/>
    <w:basedOn w:val="1"/>
    <w:link w:val="59"/>
    <w:qFormat/>
    <w:uiPriority w:val="0"/>
    <w:pPr>
      <w:jc w:val="left"/>
    </w:pPr>
  </w:style>
  <w:style w:type="paragraph" w:styleId="12">
    <w:name w:val="Body Text 3"/>
    <w:basedOn w:val="1"/>
    <w:unhideWhenUsed/>
    <w:qFormat/>
    <w:uiPriority w:val="0"/>
    <w:pPr>
      <w:spacing w:after="120"/>
    </w:pPr>
    <w:rPr>
      <w:rFonts w:ascii="Times New Roman" w:hAnsi="Times New Roman"/>
      <w:sz w:val="16"/>
      <w:szCs w:val="16"/>
    </w:rPr>
  </w:style>
  <w:style w:type="paragraph" w:styleId="13">
    <w:name w:val="Body Text"/>
    <w:basedOn w:val="1"/>
    <w:next w:val="14"/>
    <w:qFormat/>
    <w:uiPriority w:val="0"/>
    <w:rPr>
      <w:rFonts w:ascii="Times New Roman" w:hAnsi="Times New Roman"/>
    </w:rPr>
  </w:style>
  <w:style w:type="paragraph" w:styleId="14">
    <w:name w:val="Body Text 2"/>
    <w:basedOn w:val="1"/>
    <w:next w:val="13"/>
    <w:unhideWhenUsed/>
    <w:qFormat/>
    <w:uiPriority w:val="0"/>
    <w:pPr>
      <w:spacing w:after="120" w:line="480" w:lineRule="auto"/>
    </w:pPr>
    <w:rPr>
      <w:rFonts w:ascii="Times New Roman" w:hAnsi="Times New Roman"/>
    </w:rPr>
  </w:style>
  <w:style w:type="paragraph" w:styleId="15">
    <w:name w:val="toc 3"/>
    <w:basedOn w:val="1"/>
    <w:next w:val="1"/>
    <w:qFormat/>
    <w:uiPriority w:val="0"/>
    <w:pPr>
      <w:ind w:left="840" w:leftChars="400"/>
    </w:pPr>
  </w:style>
  <w:style w:type="paragraph" w:styleId="16">
    <w:name w:val="Plain Text"/>
    <w:basedOn w:val="1"/>
    <w:qFormat/>
    <w:uiPriority w:val="0"/>
    <w:rPr>
      <w:rFonts w:hint="eastAsia" w:ascii="宋体" w:hAnsi="Courier New"/>
      <w:szCs w:val="21"/>
    </w:rPr>
  </w:style>
  <w:style w:type="paragraph" w:styleId="17">
    <w:name w:val="Balloon Text"/>
    <w:basedOn w:val="1"/>
    <w:link w:val="61"/>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0">
    <w:name w:val="toc 1"/>
    <w:basedOn w:val="1"/>
    <w:next w:val="1"/>
    <w:qFormat/>
    <w:uiPriority w:val="0"/>
    <w:rPr>
      <w:rFonts w:ascii="Times New Roman" w:hAnsi="Times New Roman"/>
    </w:rPr>
  </w:style>
  <w:style w:type="paragraph" w:styleId="21">
    <w:name w:val="toc 2"/>
    <w:basedOn w:val="1"/>
    <w:next w:val="1"/>
    <w:qFormat/>
    <w:uiPriority w:val="0"/>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4">
    <w:name w:val="annotation subject"/>
    <w:basedOn w:val="11"/>
    <w:next w:val="11"/>
    <w:link w:val="60"/>
    <w:qFormat/>
    <w:uiPriority w:val="0"/>
    <w:rPr>
      <w:b/>
      <w:bCs/>
    </w:rPr>
  </w:style>
  <w:style w:type="paragraph" w:styleId="25">
    <w:name w:val="Body Text First Indent"/>
    <w:basedOn w:val="13"/>
    <w:next w:val="2"/>
    <w:unhideWhenUsed/>
    <w:qFormat/>
    <w:uiPriority w:val="0"/>
    <w:pPr>
      <w:ind w:firstLine="420" w:firstLineChars="100"/>
    </w:pPr>
    <w:rPr>
      <w:rFonts w:hint="eastAsia" w:ascii="楷体_GB2312" w:eastAsia="楷体_GB2312"/>
      <w:sz w:val="3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qFormat/>
    <w:uiPriority w:val="99"/>
    <w:rPr>
      <w:rFonts w:cs="Times New Roman"/>
      <w:color w:val="0000FF"/>
      <w:u w:val="single"/>
    </w:rPr>
  </w:style>
  <w:style w:type="character" w:styleId="30">
    <w:name w:val="annotation reference"/>
    <w:basedOn w:val="28"/>
    <w:qFormat/>
    <w:uiPriority w:val="0"/>
    <w:rPr>
      <w:sz w:val="21"/>
      <w:szCs w:val="21"/>
    </w:rPr>
  </w:style>
  <w:style w:type="paragraph" w:customStyle="1" w:styleId="31">
    <w:name w:val="Default"/>
    <w:basedOn w:val="1"/>
    <w:next w:val="32"/>
    <w:qFormat/>
    <w:uiPriority w:val="0"/>
    <w:pPr>
      <w:autoSpaceDE w:val="0"/>
      <w:autoSpaceDN w:val="0"/>
      <w:adjustRightInd w:val="0"/>
      <w:jc w:val="left"/>
    </w:pPr>
    <w:rPr>
      <w:rFonts w:hint="eastAsia" w:ascii="宋体" w:hAnsi="Calibri"/>
      <w:color w:val="000000"/>
      <w:kern w:val="0"/>
      <w:sz w:val="24"/>
    </w:rPr>
  </w:style>
  <w:style w:type="paragraph" w:customStyle="1" w:styleId="32">
    <w:name w:val="正文 A"/>
    <w:next w:val="31"/>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33">
    <w:name w:val="无间隔1"/>
    <w:basedOn w:val="1"/>
    <w:next w:val="34"/>
    <w:qFormat/>
    <w:uiPriority w:val="0"/>
    <w:pPr>
      <w:spacing w:line="400" w:lineRule="exact"/>
    </w:pPr>
    <w:rPr>
      <w:sz w:val="24"/>
    </w:rPr>
  </w:style>
  <w:style w:type="paragraph" w:customStyle="1" w:styleId="34">
    <w:name w:val="正文（首行缩进） Char"/>
    <w:basedOn w:val="1"/>
    <w:next w:val="35"/>
    <w:qFormat/>
    <w:uiPriority w:val="0"/>
    <w:pPr>
      <w:spacing w:line="360" w:lineRule="auto"/>
      <w:ind w:firstLine="480"/>
    </w:pPr>
    <w:rPr>
      <w:rFonts w:ascii="Arial" w:eastAsia="宋体"/>
      <w:color w:val="000000"/>
      <w:sz w:val="24"/>
    </w:rPr>
  </w:style>
  <w:style w:type="paragraph" w:customStyle="1" w:styleId="35">
    <w:name w:val="2号黑体加粗"/>
    <w:basedOn w:val="1"/>
    <w:next w:val="36"/>
    <w:qFormat/>
    <w:uiPriority w:val="0"/>
    <w:pPr>
      <w:jc w:val="center"/>
    </w:pPr>
    <w:rPr>
      <w:rFonts w:ascii="Calibri" w:eastAsia="黑体"/>
      <w:b/>
      <w:sz w:val="44"/>
    </w:rPr>
  </w:style>
  <w:style w:type="paragraph" w:customStyle="1" w:styleId="36">
    <w:name w:val="表格文字"/>
    <w:basedOn w:val="1"/>
    <w:next w:val="1"/>
    <w:qFormat/>
    <w:uiPriority w:val="0"/>
    <w:pPr>
      <w:adjustRightInd w:val="0"/>
      <w:spacing w:line="420" w:lineRule="atLeast"/>
      <w:jc w:val="left"/>
      <w:textAlignment w:val="baseline"/>
    </w:pPr>
    <w:rPr>
      <w:kern w:val="0"/>
    </w:rPr>
  </w:style>
  <w:style w:type="paragraph" w:customStyle="1" w:styleId="37">
    <w:name w:val="style4"/>
    <w:basedOn w:val="38"/>
    <w:next w:val="39"/>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正文_0"/>
    <w:next w:val="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Style1"/>
    <w:next w:val="41"/>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1">
    <w:name w:val="*正文"/>
    <w:basedOn w:val="1"/>
    <w:qFormat/>
    <w:uiPriority w:val="0"/>
    <w:pPr>
      <w:ind w:firstLine="200" w:firstLineChars="200"/>
    </w:pPr>
    <w:rPr>
      <w:rFonts w:ascii="宋体" w:hAnsi="宋体"/>
      <w:szCs w:val="22"/>
    </w:rPr>
  </w:style>
  <w:style w:type="paragraph" w:customStyle="1" w:styleId="42">
    <w:name w:val="Body Text First Indent1"/>
    <w:basedOn w:val="13"/>
    <w:qFormat/>
    <w:uiPriority w:val="0"/>
    <w:pPr>
      <w:ind w:firstLine="420" w:firstLineChars="100"/>
    </w:pPr>
  </w:style>
  <w:style w:type="paragraph" w:customStyle="1" w:styleId="43">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4">
    <w:name w:val="p0"/>
    <w:basedOn w:val="45"/>
    <w:qFormat/>
    <w:uiPriority w:val="0"/>
    <w:pPr>
      <w:widowControl/>
    </w:pPr>
    <w:rPr>
      <w:kern w:val="0"/>
      <w:szCs w:val="21"/>
    </w:rPr>
  </w:style>
  <w:style w:type="paragraph" w:customStyle="1" w:styleId="45">
    <w:name w:val="正文1"/>
    <w:next w:val="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文本1"/>
    <w:basedOn w:val="45"/>
    <w:qFormat/>
    <w:uiPriority w:val="99"/>
    <w:rPr>
      <w:rFonts w:eastAsia="楷体_GB2312"/>
      <w:sz w:val="28"/>
    </w:rPr>
  </w:style>
  <w:style w:type="character" w:customStyle="1" w:styleId="47">
    <w:name w:val="NormalCharacter"/>
    <w:qFormat/>
    <w:uiPriority w:val="0"/>
    <w:rPr>
      <w:rFonts w:ascii="Book Antiqua" w:hAnsi="Book Antiqua" w:eastAsia="宋体" w:cs="Times New Roman"/>
      <w:kern w:val="2"/>
      <w:sz w:val="21"/>
      <w:szCs w:val="24"/>
      <w:lang w:val="en-US" w:eastAsia="zh-CN" w:bidi="ar-SA"/>
    </w:rPr>
  </w:style>
  <w:style w:type="paragraph" w:customStyle="1" w:styleId="48">
    <w:name w:val="BodyText1I"/>
    <w:basedOn w:val="49"/>
    <w:next w:val="51"/>
    <w:qFormat/>
    <w:uiPriority w:val="0"/>
    <w:pPr>
      <w:ind w:firstLine="420" w:firstLineChars="100"/>
    </w:pPr>
    <w:rPr>
      <w:rFonts w:ascii="楷体_GB2312"/>
      <w:sz w:val="32"/>
    </w:rPr>
  </w:style>
  <w:style w:type="paragraph" w:customStyle="1" w:styleId="49">
    <w:name w:val="BodyText"/>
    <w:basedOn w:val="1"/>
    <w:next w:val="50"/>
    <w:qFormat/>
    <w:uiPriority w:val="0"/>
    <w:pPr>
      <w:textAlignment w:val="baseline"/>
    </w:pPr>
    <w:rPr>
      <w:rFonts w:ascii="Calibri" w:hAnsi="Calibri" w:eastAsia="楷体_GB2312"/>
      <w:kern w:val="0"/>
      <w:sz w:val="28"/>
    </w:rPr>
  </w:style>
  <w:style w:type="paragraph" w:customStyle="1" w:styleId="50">
    <w:name w:val="BodyText2"/>
    <w:basedOn w:val="1"/>
    <w:next w:val="49"/>
    <w:qFormat/>
    <w:uiPriority w:val="0"/>
    <w:pPr>
      <w:spacing w:after="120" w:line="480" w:lineRule="auto"/>
      <w:textAlignment w:val="baseline"/>
    </w:pPr>
  </w:style>
  <w:style w:type="paragraph" w:customStyle="1" w:styleId="51">
    <w:name w:val="BodyText1I2"/>
    <w:basedOn w:val="52"/>
    <w:qFormat/>
    <w:uiPriority w:val="0"/>
    <w:pPr>
      <w:ind w:firstLine="420" w:firstLineChars="200"/>
    </w:pPr>
  </w:style>
  <w:style w:type="paragraph" w:customStyle="1" w:styleId="52">
    <w:name w:val="BodyTextIndent"/>
    <w:basedOn w:val="1"/>
    <w:qFormat/>
    <w:uiPriority w:val="0"/>
    <w:pPr>
      <w:spacing w:after="120"/>
      <w:ind w:left="420" w:leftChars="200"/>
      <w:textAlignment w:val="baseline"/>
    </w:pPr>
  </w:style>
  <w:style w:type="paragraph" w:customStyle="1" w:styleId="53">
    <w:name w:val="TOAHeading"/>
    <w:basedOn w:val="1"/>
    <w:next w:val="1"/>
    <w:qFormat/>
    <w:uiPriority w:val="0"/>
    <w:pPr>
      <w:spacing w:before="120"/>
      <w:textAlignment w:val="baseline"/>
    </w:pPr>
    <w:rPr>
      <w:rFonts w:ascii="Arial" w:hAnsi="Arial"/>
      <w:sz w:val="24"/>
      <w:szCs w:val="22"/>
    </w:rPr>
  </w:style>
  <w:style w:type="paragraph" w:customStyle="1" w:styleId="54">
    <w:name w:val="Table Paragraph"/>
    <w:basedOn w:val="45"/>
    <w:qFormat/>
    <w:uiPriority w:val="1"/>
    <w:rPr>
      <w:rFonts w:ascii="宋体" w:hAnsi="宋体" w:cs="宋体"/>
      <w:lang w:val="zh-CN" w:bidi="zh-CN"/>
    </w:rPr>
  </w:style>
  <w:style w:type="paragraph" w:styleId="55">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56">
    <w:name w:val="_Style 41"/>
    <w:basedOn w:val="1"/>
    <w:next w:val="55"/>
    <w:qFormat/>
    <w:uiPriority w:val="34"/>
    <w:pPr>
      <w:ind w:firstLine="420" w:firstLineChars="200"/>
    </w:pPr>
    <w:rPr>
      <w:rFonts w:ascii="等线" w:hAnsi="等线" w:eastAsia="等线"/>
      <w:szCs w:val="22"/>
    </w:rPr>
  </w:style>
  <w:style w:type="paragraph" w:customStyle="1" w:styleId="57">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9">
    <w:name w:val="批注文字 字符"/>
    <w:basedOn w:val="28"/>
    <w:link w:val="11"/>
    <w:qFormat/>
    <w:uiPriority w:val="0"/>
    <w:rPr>
      <w:rFonts w:ascii="Book Antiqua" w:hAnsi="Book Antiqua"/>
      <w:kern w:val="2"/>
      <w:sz w:val="21"/>
      <w:szCs w:val="24"/>
    </w:rPr>
  </w:style>
  <w:style w:type="character" w:customStyle="1" w:styleId="60">
    <w:name w:val="批注主题 字符"/>
    <w:basedOn w:val="59"/>
    <w:link w:val="24"/>
    <w:qFormat/>
    <w:uiPriority w:val="0"/>
    <w:rPr>
      <w:rFonts w:ascii="Book Antiqua" w:hAnsi="Book Antiqua"/>
      <w:b/>
      <w:bCs/>
      <w:kern w:val="2"/>
      <w:sz w:val="21"/>
      <w:szCs w:val="24"/>
    </w:rPr>
  </w:style>
  <w:style w:type="character" w:customStyle="1" w:styleId="61">
    <w:name w:val="批注框文本 字符"/>
    <w:basedOn w:val="28"/>
    <w:link w:val="17"/>
    <w:qFormat/>
    <w:uiPriority w:val="0"/>
    <w:rPr>
      <w:rFonts w:ascii="Book Antiqua" w:hAnsi="Book Antiqua"/>
      <w:kern w:val="2"/>
      <w:sz w:val="18"/>
      <w:szCs w:val="18"/>
    </w:rPr>
  </w:style>
  <w:style w:type="paragraph" w:customStyle="1" w:styleId="62">
    <w:name w:val="修订1"/>
    <w:hidden/>
    <w:semiHidden/>
    <w:qFormat/>
    <w:uiPriority w:val="99"/>
    <w:rPr>
      <w:rFonts w:ascii="Book Antiqua" w:hAnsi="Book Antiqua" w:eastAsia="宋体" w:cs="Times New Roman"/>
      <w:kern w:val="2"/>
      <w:sz w:val="21"/>
      <w:szCs w:val="24"/>
      <w:lang w:val="en-US" w:eastAsia="zh-CN" w:bidi="ar-SA"/>
    </w:rPr>
  </w:style>
  <w:style w:type="paragraph" w:customStyle="1" w:styleId="63">
    <w:name w:val="正文首行缩进 21"/>
    <w:basedOn w:val="1"/>
    <w:qFormat/>
    <w:uiPriority w:val="0"/>
    <w:pPr>
      <w:tabs>
        <w:tab w:val="left" w:pos="945"/>
        <w:tab w:val="left" w:pos="1155"/>
      </w:tabs>
      <w:ind w:firstLine="420" w:firstLineChars="200"/>
    </w:pPr>
    <w:rPr>
      <w:rFonts w:ascii="宋体"/>
      <w:sz w:val="24"/>
      <w:szCs w:val="20"/>
    </w:rPr>
  </w:style>
  <w:style w:type="paragraph" w:customStyle="1" w:styleId="64">
    <w:name w:val="WPSOffice手动目录 1"/>
    <w:qFormat/>
    <w:uiPriority w:val="0"/>
    <w:rPr>
      <w:rFonts w:ascii="Times New Roman" w:hAnsi="Times New Roman" w:eastAsia="宋体" w:cs="Times New Roman"/>
      <w:lang w:val="en-US" w:eastAsia="zh-CN" w:bidi="ar-SA"/>
    </w:rPr>
  </w:style>
  <w:style w:type="paragraph" w:customStyle="1" w:styleId="65">
    <w:name w:val="正文文本首行缩进 21"/>
    <w:basedOn w:val="66"/>
    <w:qFormat/>
    <w:uiPriority w:val="0"/>
    <w:pPr>
      <w:ind w:firstLine="420" w:firstLineChars="200"/>
    </w:pPr>
  </w:style>
  <w:style w:type="paragraph" w:customStyle="1" w:styleId="66">
    <w:name w:val="正文文本缩进1"/>
    <w:basedOn w:val="1"/>
    <w:qFormat/>
    <w:uiPriority w:val="0"/>
    <w:pPr>
      <w:spacing w:after="120"/>
      <w:ind w:left="420" w:leftChars="200"/>
    </w:pPr>
  </w:style>
  <w:style w:type="character" w:customStyle="1" w:styleId="67">
    <w:name w:val="font41"/>
    <w:basedOn w:val="28"/>
    <w:qFormat/>
    <w:uiPriority w:val="0"/>
    <w:rPr>
      <w:rFonts w:hint="eastAsia" w:ascii="微软雅黑" w:hAnsi="微软雅黑" w:eastAsia="微软雅黑" w:cs="微软雅黑"/>
      <w:b/>
      <w:bCs/>
      <w:color w:val="000000"/>
      <w:sz w:val="20"/>
      <w:szCs w:val="20"/>
      <w:u w:val="none"/>
    </w:rPr>
  </w:style>
  <w:style w:type="character" w:customStyle="1" w:styleId="68">
    <w:name w:val="font31"/>
    <w:basedOn w:val="28"/>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23736</Words>
  <Characters>25659</Characters>
  <Lines>225</Lines>
  <Paragraphs>63</Paragraphs>
  <TotalTime>24</TotalTime>
  <ScaleCrop>false</ScaleCrop>
  <LinksUpToDate>false</LinksUpToDate>
  <CharactersWithSpaces>28108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2023-03-01T00:37:00Z</dcterms:created>
  <dc:creator>DELL</dc:creator>
  <cp:lastModifiedBy>张琰</cp:lastModifiedBy>
  <cp:lastPrinted>2023-04-18T07:16:00Z</cp:lastPrinted>
  <dcterms:modified xsi:type="dcterms:W3CDTF">2023-09-27T09:58:31Z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7FA9A2D596B14F6081A66E2C47FE23DF</vt:lpwstr>
  </property>
  <property fmtid="{D5CDD505-2E9C-101B-9397-08002B2CF9AE}" pid="4" name="_2015_ms_pID_725343">
    <vt:lpwstr>(3)FMrICvVpBBggM8t6Rn3Hw6T1tB90BlZSSgjBRATiVGgTR3z0p5bFXXJ4wOuIyA+7dlaCFRk7
jRnLtWuCXvDXxiy//dVQpP7/TS50Tb9S3BiOKMJ1Lbx4lgSFm+pwvJoCjMOmxTqbwFeEDIKz
DjBcJnHyAcnMX0U8D5e1uXpbYVj3GE22DazTdMO4ZdAYl1rxnYEQTcAbIki233HN97IF8Bya
H9xvF5VtgyCrp9X7DY</vt:lpwstr>
  </property>
  <property fmtid="{D5CDD505-2E9C-101B-9397-08002B2CF9AE}" pid="5" name="_2015_ms_pID_7253431">
    <vt:lpwstr>JjOFvZsR5LFbSzUlShXUjwk2WWJ9upwoOBmSfeaiFFNq+C8KI3OI/G
IW4qoRcUbhye+Tbz5zu5VZWpM1NM5vW6j+JI4xFoLMn3QsvfE8BPpGRARwDjWedl2IXaEQ90
1/N+ScAx8QDzruzH1ECXHpI2rZas+SitsTEePv47ISyLigEr7h0qKV4Efs2e4L1RH3Xoeh0u
VhONmb6Z3IbTXJ4WpeHtqjvGEQGGz1xLDPuq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1670230851</vt:lpwstr>
  </property>
  <property fmtid="{D5CDD505-2E9C-101B-9397-08002B2CF9AE}" pid="10" name="_2015_ms_pID_7253432">
    <vt:lpwstr>qxS+sYcYD6ebVqx5ntqygGo=</vt:lpwstr>
  </property>
</Properties>
</file>