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heme="minorEastAsia" w:hAnsiTheme="minorEastAsia" w:eastAsiaTheme="minorEastAsia" w:cstheme="minorEastAsia"/>
          <w:color w:val="auto"/>
          <w:highlight w:val="none"/>
        </w:rPr>
      </w:pPr>
      <w:bookmarkStart w:id="0" w:name="_Toc281574833"/>
    </w:p>
    <w:p>
      <w:pPr>
        <w:snapToGrid w:val="0"/>
        <w:spacing w:line="360" w:lineRule="auto"/>
        <w:jc w:val="center"/>
        <w:rPr>
          <w:rFonts w:hint="eastAsia" w:asciiTheme="minorEastAsia" w:hAnsiTheme="minorEastAsia" w:eastAsiaTheme="minorEastAsia" w:cstheme="minorEastAsia"/>
          <w:b/>
          <w:color w:val="auto"/>
          <w:sz w:val="84"/>
          <w:szCs w:val="84"/>
          <w:highlight w:val="none"/>
          <w:lang w:val="en-US" w:eastAsia="zh-CN"/>
        </w:rPr>
      </w:pPr>
      <w:r>
        <w:rPr>
          <w:rFonts w:hint="eastAsia" w:asciiTheme="minorEastAsia" w:hAnsiTheme="minorEastAsia" w:eastAsiaTheme="minorEastAsia" w:cstheme="minorEastAsia"/>
          <w:b/>
          <w:color w:val="auto"/>
          <w:sz w:val="48"/>
          <w:szCs w:val="48"/>
          <w:highlight w:val="none"/>
          <w:lang w:eastAsia="zh-CN"/>
        </w:rPr>
        <w:t>青天河景区游船采购项目</w:t>
      </w:r>
    </w:p>
    <w:p>
      <w:pPr>
        <w:snapToGrid w:val="0"/>
        <w:spacing w:line="360" w:lineRule="auto"/>
        <w:jc w:val="center"/>
        <w:rPr>
          <w:rFonts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val="en-US" w:eastAsia="zh-CN"/>
        </w:rPr>
        <w:t>招标</w:t>
      </w:r>
      <w:r>
        <w:rPr>
          <w:rFonts w:hint="eastAsia" w:asciiTheme="minorEastAsia" w:hAnsiTheme="minorEastAsia" w:eastAsiaTheme="minorEastAsia" w:cstheme="minorEastAsia"/>
          <w:b/>
          <w:color w:val="auto"/>
          <w:sz w:val="84"/>
          <w:szCs w:val="84"/>
          <w:highlight w:val="none"/>
          <w:lang w:eastAsia="zh-CN"/>
        </w:rPr>
        <w:t>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p>
    <w:p>
      <w:pPr>
        <w:snapToGrid w:val="0"/>
        <w:spacing w:line="360" w:lineRule="auto"/>
        <w:ind w:firstLine="2157" w:firstLineChars="746"/>
        <w:jc w:val="both"/>
        <w:rPr>
          <w:rFonts w:asciiTheme="minorEastAsia" w:hAnsiTheme="minorEastAsia" w:eastAsiaTheme="minorEastAsia" w:cstheme="minorEastAsia"/>
          <w:b/>
          <w:color w:val="auto"/>
          <w:spacing w:val="-6"/>
          <w:sz w:val="30"/>
          <w:szCs w:val="30"/>
          <w:highlight w:val="none"/>
          <w:lang w:eastAsia="zh-CN"/>
        </w:rPr>
      </w:pPr>
    </w:p>
    <w:p>
      <w:pPr>
        <w:snapToGrid w:val="0"/>
        <w:spacing w:line="360" w:lineRule="auto"/>
        <w:jc w:val="center"/>
        <w:rPr>
          <w:rFonts w:asciiTheme="minorEastAsia" w:hAnsiTheme="minorEastAsia" w:eastAsiaTheme="minorEastAsia" w:cstheme="minorEastAsia"/>
          <w:b/>
          <w:color w:val="auto"/>
          <w:spacing w:val="-6"/>
          <w:sz w:val="32"/>
          <w:szCs w:val="32"/>
          <w:highlight w:val="none"/>
          <w:lang w:eastAsia="zh-CN"/>
        </w:rPr>
      </w:pPr>
      <w:r>
        <w:rPr>
          <w:color w:val="auto"/>
          <w:highlight w:val="none"/>
        </w:rPr>
        <w:drawing>
          <wp:inline distT="0" distB="0" distL="114300" distR="114300">
            <wp:extent cx="2095500" cy="24384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095500" cy="2438400"/>
                    </a:xfrm>
                    <a:prstGeom prst="rect">
                      <a:avLst/>
                    </a:prstGeom>
                    <a:noFill/>
                    <a:ln>
                      <a:noFill/>
                    </a:ln>
                  </pic:spPr>
                </pic:pic>
              </a:graphicData>
            </a:graphic>
          </wp:inline>
        </w:drawing>
      </w:r>
    </w:p>
    <w:p>
      <w:pPr>
        <w:snapToGrid w:val="0"/>
        <w:spacing w:line="360" w:lineRule="auto"/>
        <w:rPr>
          <w:rFonts w:hint="eastAsia" w:asciiTheme="minorEastAsia" w:hAnsiTheme="minorEastAsia" w:eastAsiaTheme="minorEastAsia" w:cstheme="minorEastAsia"/>
          <w:b/>
          <w:bCs/>
          <w:color w:val="auto"/>
          <w:sz w:val="32"/>
          <w:szCs w:val="32"/>
          <w:highlight w:val="none"/>
          <w:lang w:eastAsia="zh-CN"/>
        </w:rPr>
      </w:pPr>
    </w:p>
    <w:p>
      <w:pPr>
        <w:pStyle w:val="25"/>
        <w:rPr>
          <w:rFonts w:hint="eastAsia" w:asciiTheme="minorEastAsia" w:hAnsiTheme="minorEastAsia" w:eastAsiaTheme="minorEastAsia" w:cstheme="minorEastAsia"/>
          <w:b/>
          <w:bCs/>
          <w:color w:val="auto"/>
          <w:sz w:val="32"/>
          <w:szCs w:val="32"/>
          <w:highlight w:val="none"/>
          <w:lang w:eastAsia="zh-CN"/>
        </w:rPr>
      </w:pPr>
    </w:p>
    <w:p>
      <w:pPr>
        <w:rPr>
          <w:rFonts w:hint="eastAsia"/>
          <w:color w:val="auto"/>
          <w:highlight w:val="none"/>
          <w:lang w:eastAsia="zh-CN"/>
        </w:rPr>
      </w:pPr>
    </w:p>
    <w:p>
      <w:pPr>
        <w:snapToGrid w:val="0"/>
        <w:spacing w:line="360" w:lineRule="auto"/>
        <w:ind w:firstLine="643" w:firstLineChars="2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采 购 人：焦作青天河旅游发展有限公司</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代理机构：河南四方建设管理有限公司</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lang w:eastAsia="zh-CN"/>
        </w:rPr>
        <w:t>日    期：二〇二三年</w:t>
      </w:r>
      <w:r>
        <w:rPr>
          <w:rFonts w:hint="eastAsia" w:asciiTheme="minorEastAsia" w:hAnsiTheme="minorEastAsia" w:eastAsiaTheme="minorEastAsia" w:cstheme="minorEastAsia"/>
          <w:b/>
          <w:bCs/>
          <w:color w:val="auto"/>
          <w:sz w:val="32"/>
          <w:szCs w:val="32"/>
          <w:highlight w:val="none"/>
          <w:lang w:val="en-US" w:eastAsia="zh-CN"/>
        </w:rPr>
        <w:t>九</w:t>
      </w:r>
      <w:r>
        <w:rPr>
          <w:rFonts w:hint="eastAsia" w:asciiTheme="minorEastAsia" w:hAnsiTheme="minorEastAsia" w:eastAsiaTheme="minorEastAsia" w:cstheme="minorEastAsia"/>
          <w:b/>
          <w:bCs/>
          <w:color w:val="auto"/>
          <w:sz w:val="32"/>
          <w:szCs w:val="32"/>
          <w:highlight w:val="none"/>
          <w:lang w:eastAsia="zh-CN"/>
        </w:rPr>
        <w:t>月</w:t>
      </w:r>
    </w:p>
    <w:p>
      <w:pPr>
        <w:jc w:val="center"/>
        <w:rPr>
          <w:rFonts w:asciiTheme="minorEastAsia" w:hAnsiTheme="minorEastAsia" w:eastAsiaTheme="minorEastAsia" w:cstheme="minorEastAsia"/>
          <w:b/>
          <w:bCs/>
          <w:color w:val="auto"/>
          <w:sz w:val="32"/>
          <w:szCs w:val="32"/>
          <w:highlight w:val="none"/>
        </w:rPr>
      </w:pPr>
    </w:p>
    <w:p>
      <w:pPr>
        <w:jc w:val="center"/>
        <w:outlineLvl w:val="0"/>
        <w:rPr>
          <w:rFonts w:asciiTheme="minorEastAsia" w:hAnsiTheme="minorEastAsia" w:eastAsiaTheme="minorEastAsia" w:cstheme="minorEastAsia"/>
          <w:b/>
          <w:bCs/>
          <w:color w:val="auto"/>
          <w:sz w:val="44"/>
          <w:szCs w:val="44"/>
          <w:highlight w:val="none"/>
        </w:rPr>
      </w:pPr>
      <w:bookmarkStart w:id="1" w:name="_Toc25319"/>
      <w:r>
        <w:rPr>
          <w:rFonts w:hint="eastAsia" w:asciiTheme="minorEastAsia" w:hAnsiTheme="minorEastAsia" w:eastAsiaTheme="minorEastAsia" w:cstheme="minorEastAsia"/>
          <w:b/>
          <w:bCs/>
          <w:color w:val="auto"/>
          <w:sz w:val="44"/>
          <w:szCs w:val="44"/>
          <w:highlight w:val="none"/>
        </w:rPr>
        <w:t>目     录</w:t>
      </w:r>
      <w:bookmarkEnd w:id="1"/>
    </w:p>
    <w:sdt>
      <w:sdtPr>
        <w:rPr>
          <w:rFonts w:ascii="宋体" w:hAnsi="宋体"/>
          <w:b/>
          <w:color w:val="auto"/>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color w:val="auto"/>
          <w:sz w:val="32"/>
          <w:szCs w:val="32"/>
          <w:highlight w:val="none"/>
        </w:rPr>
      </w:sdtEndPr>
      <w:sdtContent>
        <w:p>
          <w:pPr>
            <w:jc w:val="center"/>
            <w:rPr>
              <w:color w:val="auto"/>
              <w:highlight w:val="none"/>
            </w:rPr>
          </w:pPr>
        </w:p>
        <w:p>
          <w:pPr>
            <w:pStyle w:val="64"/>
            <w:tabs>
              <w:tab w:val="right" w:leader="dot" w:pos="9880"/>
            </w:tabs>
            <w:rPr>
              <w:color w:val="auto"/>
              <w:highlight w:val="none"/>
            </w:rPr>
          </w:pPr>
          <w:r>
            <w:rPr>
              <w:rFonts w:asciiTheme="minorEastAsia" w:hAnsiTheme="minorEastAsia" w:eastAsiaTheme="minorEastAsia" w:cstheme="minorEastAsia"/>
              <w:bCs/>
              <w:color w:val="auto"/>
              <w:highlight w:val="none"/>
            </w:rPr>
            <w:fldChar w:fldCharType="begin"/>
          </w:r>
          <w:r>
            <w:rPr>
              <w:rFonts w:asciiTheme="minorEastAsia" w:hAnsiTheme="minorEastAsia" w:eastAsiaTheme="minorEastAsia" w:cstheme="minorEastAsia"/>
              <w:bCs/>
              <w:color w:val="auto"/>
              <w:highlight w:val="none"/>
            </w:rPr>
            <w:instrText xml:space="preserve">TOC \o "1-1" \h \u </w:instrText>
          </w:r>
          <w:r>
            <w:rPr>
              <w:rFonts w:asciiTheme="minorEastAsia" w:hAnsiTheme="minorEastAsia" w:eastAsiaTheme="minorEastAsia" w:cstheme="minorEastAsia"/>
              <w:bCs/>
              <w:color w:val="auto"/>
              <w:highlight w:val="none"/>
            </w:rPr>
            <w:fldChar w:fldCharType="separate"/>
          </w:r>
          <w:r>
            <w:rPr>
              <w:color w:val="auto"/>
              <w:highlight w:val="none"/>
            </w:rPr>
            <w:fldChar w:fldCharType="begin"/>
          </w:r>
          <w:r>
            <w:rPr>
              <w:color w:val="auto"/>
              <w:highlight w:val="none"/>
            </w:rPr>
            <w:instrText xml:space="preserve"> HYPERLINK \l "_Toc25319" </w:instrText>
          </w:r>
          <w:r>
            <w:rPr>
              <w:color w:val="auto"/>
              <w:highlight w:val="none"/>
            </w:rPr>
            <w:fldChar w:fldCharType="separate"/>
          </w:r>
          <w:r>
            <w:rPr>
              <w:rFonts w:hint="eastAsia" w:asciiTheme="minorEastAsia" w:hAnsiTheme="minorEastAsia" w:eastAsiaTheme="minorEastAsia" w:cstheme="minorEastAsia"/>
              <w:bCs/>
              <w:color w:val="auto"/>
              <w:szCs w:val="44"/>
              <w:highlight w:val="none"/>
            </w:rPr>
            <w:t>目     录</w:t>
          </w:r>
          <w:r>
            <w:rPr>
              <w:color w:val="auto"/>
              <w:highlight w:val="none"/>
            </w:rPr>
            <w:tab/>
          </w:r>
          <w:r>
            <w:rPr>
              <w:color w:val="auto"/>
              <w:highlight w:val="none"/>
            </w:rPr>
            <w:fldChar w:fldCharType="begin"/>
          </w:r>
          <w:r>
            <w:rPr>
              <w:color w:val="auto"/>
              <w:highlight w:val="none"/>
            </w:rPr>
            <w:instrText xml:space="preserve"> PAGEREF _Toc25319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"_Toc2173" </w:instrText>
          </w:r>
          <w:r>
            <w:rPr>
              <w:color w:val="auto"/>
              <w:highlight w:val="none"/>
            </w:rPr>
            <w:fldChar w:fldCharType="separate"/>
          </w:r>
          <w:r>
            <w:rPr>
              <w:rFonts w:hint="eastAsia"/>
              <w:color w:val="auto"/>
              <w:highlight w:val="none"/>
            </w:rPr>
            <w:t>重要事项提示</w:t>
          </w:r>
          <w:r>
            <w:rPr>
              <w:color w:val="auto"/>
              <w:highlight w:val="none"/>
            </w:rPr>
            <w:tab/>
          </w:r>
          <w:r>
            <w:rPr>
              <w:color w:val="auto"/>
              <w:highlight w:val="none"/>
            </w:rPr>
            <w:fldChar w:fldCharType="begin"/>
          </w:r>
          <w:r>
            <w:rPr>
              <w:color w:val="auto"/>
              <w:highlight w:val="none"/>
            </w:rPr>
            <w:instrText xml:space="preserve"> PAGEREF _Toc2173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"_Toc24751" </w:instrText>
          </w:r>
          <w:r>
            <w:rPr>
              <w:color w:val="auto"/>
              <w:highlight w:val="none"/>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_Toc24751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"_Toc27816"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_Toc27816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"_Toc31932"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_Toc31932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"_Toc7029"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_Toc7029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"_Toc20888"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2. 招标文件</w:t>
          </w:r>
          <w:r>
            <w:rPr>
              <w:color w:val="auto"/>
              <w:highlight w:val="none"/>
            </w:rPr>
            <w:tab/>
          </w:r>
          <w:r>
            <w:rPr>
              <w:color w:val="auto"/>
              <w:highlight w:val="none"/>
            </w:rPr>
            <w:fldChar w:fldCharType="begin"/>
          </w:r>
          <w:r>
            <w:rPr>
              <w:color w:val="auto"/>
              <w:highlight w:val="none"/>
            </w:rPr>
            <w:instrText xml:space="preserve"> PAGEREF _Toc20888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"_Toc15031"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3. 投标文件</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"_Toc21879"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_Toc21879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"_Toc22737"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_Toc22737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"_Toc4643"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6. 评标</w:t>
          </w:r>
          <w:r>
            <w:rPr>
              <w:color w:val="auto"/>
              <w:highlight w:val="none"/>
            </w:rPr>
            <w:tab/>
          </w:r>
          <w:r>
            <w:rPr>
              <w:color w:val="auto"/>
              <w:highlight w:val="none"/>
            </w:rPr>
            <w:fldChar w:fldCharType="begin"/>
          </w:r>
          <w:r>
            <w:rPr>
              <w:color w:val="auto"/>
              <w:highlight w:val="none"/>
            </w:rPr>
            <w:instrText xml:space="preserve"> PAGEREF _Toc4643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"_Toc29014"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8. 重新招标</w:t>
          </w:r>
          <w:r>
            <w:rPr>
              <w:color w:val="auto"/>
              <w:highlight w:val="none"/>
            </w:rPr>
            <w:tab/>
          </w:r>
          <w:r>
            <w:rPr>
              <w:color w:val="auto"/>
              <w:highlight w:val="none"/>
            </w:rPr>
            <w:fldChar w:fldCharType="begin"/>
          </w:r>
          <w:r>
            <w:rPr>
              <w:color w:val="auto"/>
              <w:highlight w:val="none"/>
            </w:rPr>
            <w:instrText xml:space="preserve"> PAGEREF _Toc29014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"_Toc14622"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9. 纪律和监督</w:t>
          </w:r>
          <w:r>
            <w:rPr>
              <w:color w:val="auto"/>
              <w:highlight w:val="none"/>
            </w:rPr>
            <w:tab/>
          </w:r>
          <w:r>
            <w:rPr>
              <w:color w:val="auto"/>
              <w:highlight w:val="none"/>
            </w:rPr>
            <w:fldChar w:fldCharType="begin"/>
          </w:r>
          <w:r>
            <w:rPr>
              <w:color w:val="auto"/>
              <w:highlight w:val="none"/>
            </w:rPr>
            <w:instrText xml:space="preserve"> PAGEREF _Toc14622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"_Toc26812"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_Toc26812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"_Toc32119"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_Toc32119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"_Toc27443"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第四章 </w:t>
          </w:r>
          <w:r>
            <w:rPr>
              <w:rFonts w:hint="eastAsia" w:asciiTheme="minorEastAsia" w:hAnsiTheme="minorEastAsia" w:eastAsiaTheme="minorEastAsia" w:cstheme="minorEastAsia"/>
              <w:color w:val="auto"/>
              <w:szCs w:val="36"/>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_Toc27443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bCs/>
              <w:color w:val="auto"/>
              <w:szCs w:val="32"/>
              <w:highlight w:val="none"/>
            </w:rPr>
            <w:t xml:space="preserve">第五章 </w:t>
          </w:r>
          <w:r>
            <w:rPr>
              <w:rFonts w:hint="eastAsia"/>
              <w:bCs/>
              <w:color w:val="auto"/>
              <w:szCs w:val="32"/>
              <w:highlight w:val="none"/>
            </w:rPr>
            <w:t>采购内容及技术要求</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"_Toc28947" </w:instrText>
          </w:r>
          <w:r>
            <w:rPr>
              <w:color w:val="auto"/>
              <w:highlight w:val="none"/>
            </w:rPr>
            <w:fldChar w:fldCharType="separate"/>
          </w:r>
          <w:r>
            <w:rPr>
              <w:rFonts w:hint="eastAsia"/>
              <w:color w:val="auto"/>
              <w:szCs w:val="32"/>
              <w:highlight w:val="none"/>
            </w:rPr>
            <w:t>第六章 质疑与投诉</w:t>
          </w:r>
          <w:r>
            <w:rPr>
              <w:color w:val="auto"/>
              <w:highlight w:val="none"/>
            </w:rPr>
            <w:tab/>
          </w:r>
          <w:r>
            <w:rPr>
              <w:color w:val="auto"/>
              <w:highlight w:val="none"/>
            </w:rPr>
            <w:fldChar w:fldCharType="begin"/>
          </w:r>
          <w:r>
            <w:rPr>
              <w:color w:val="auto"/>
              <w:highlight w:val="none"/>
            </w:rPr>
            <w:instrText xml:space="preserve"> PAGEREF _Toc28947 \h </w:instrText>
          </w:r>
          <w:r>
            <w:rPr>
              <w:color w:val="auto"/>
              <w:highlight w:val="none"/>
            </w:rPr>
            <w:fldChar w:fldCharType="separate"/>
          </w:r>
          <w:r>
            <w:rPr>
              <w:color w:val="auto"/>
              <w:highlight w:val="none"/>
            </w:rPr>
            <w:t>- 34 -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"_Toc7285" </w:instrText>
          </w:r>
          <w:r>
            <w:rPr>
              <w:color w:val="auto"/>
              <w:highlight w:val="none"/>
            </w:rPr>
            <w:fldChar w:fldCharType="separate"/>
          </w:r>
          <w:r>
            <w:rPr>
              <w:rFonts w:asciiTheme="majorEastAsia" w:hAnsiTheme="majorEastAsia" w:eastAsiaTheme="majorEastAsia" w:cstheme="majorEastAsia"/>
              <w:bCs/>
              <w:color w:val="auto"/>
              <w:szCs w:val="32"/>
              <w:highlight w:val="none"/>
            </w:rPr>
            <w:t>第七章 履约验收</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"_Toc14191" </w:instrText>
          </w:r>
          <w:r>
            <w:rPr>
              <w:color w:val="auto"/>
              <w:highlight w:val="none"/>
            </w:rPr>
            <w:fldChar w:fldCharType="separate"/>
          </w:r>
          <w:r>
            <w:rPr>
              <w:rFonts w:hint="eastAsia" w:asciiTheme="minorEastAsia" w:hAnsiTheme="minorEastAsia" w:eastAsiaTheme="minorEastAsia" w:cstheme="minorEastAsia"/>
              <w:color w:val="auto"/>
              <w:szCs w:val="36"/>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_Toc14191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"_Toc7574" </w:instrText>
          </w:r>
          <w:r>
            <w:rPr>
              <w:color w:val="auto"/>
              <w:highlight w:val="none"/>
            </w:rPr>
            <w:fldChar w:fldCharType="separate"/>
          </w:r>
          <w:r>
            <w:rPr>
              <w:rFonts w:hint="eastAsia" w:ascii="宋体" w:hAnsi="宋体" w:cs="宋体"/>
              <w:color w:val="auto"/>
              <w:szCs w:val="36"/>
              <w:highlight w:val="none"/>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_Toc7574 \h </w:instrText>
          </w:r>
          <w:r>
            <w:rPr>
              <w:color w:val="auto"/>
              <w:highlight w:val="none"/>
            </w:rPr>
            <w:fldChar w:fldCharType="separate"/>
          </w:r>
          <w:r>
            <w:rPr>
              <w:color w:val="auto"/>
              <w:highlight w:val="none"/>
            </w:rPr>
            <w:t>- 54 -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"_Toc30161" </w:instrText>
          </w:r>
          <w:r>
            <w:rPr>
              <w:color w:val="auto"/>
              <w:highlight w:val="none"/>
            </w:rPr>
            <w:fldChar w:fldCharType="separate"/>
          </w:r>
          <w:r>
            <w:rPr>
              <w:rFonts w:hint="eastAsia" w:ascii="宋体" w:hAnsi="宋体"/>
              <w:color w:val="auto"/>
              <w:szCs w:val="32"/>
              <w:highlight w:val="none"/>
            </w:rPr>
            <w:t>焦作市政府采购合同融资合作企业</w:t>
          </w:r>
          <w:r>
            <w:rPr>
              <w:color w:val="auto"/>
              <w:highlight w:val="none"/>
            </w:rPr>
            <w:tab/>
          </w:r>
          <w:r>
            <w:rPr>
              <w:color w:val="auto"/>
              <w:highlight w:val="none"/>
            </w:rPr>
            <w:fldChar w:fldCharType="begin"/>
          </w:r>
          <w:r>
            <w:rPr>
              <w:color w:val="auto"/>
              <w:highlight w:val="none"/>
            </w:rPr>
            <w:instrText xml:space="preserve"> PAGEREF _Toc30161 \h </w:instrText>
          </w:r>
          <w:r>
            <w:rPr>
              <w:color w:val="auto"/>
              <w:highlight w:val="none"/>
            </w:rPr>
            <w:fldChar w:fldCharType="separate"/>
          </w:r>
          <w:r>
            <w:rPr>
              <w:color w:val="auto"/>
              <w:highlight w:val="none"/>
            </w:rPr>
            <w:t>- 54 -</w:t>
          </w:r>
          <w:r>
            <w:rPr>
              <w:color w:val="auto"/>
              <w:highlight w:val="none"/>
            </w:rPr>
            <w:fldChar w:fldCharType="end"/>
          </w:r>
          <w:r>
            <w:rPr>
              <w:color w:val="auto"/>
              <w:highlight w:val="none"/>
            </w:rPr>
            <w:fldChar w:fldCharType="end"/>
          </w:r>
        </w:p>
        <w:p>
          <w:pPr>
            <w:pStyle w:val="22"/>
            <w:spacing w:line="360" w:lineRule="auto"/>
            <w:ind w:right="-63" w:rightChars="-30"/>
            <w:outlineLvl w:val="9"/>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fldChar w:fldCharType="end"/>
          </w:r>
        </w:p>
      </w:sdtContent>
    </w:sdt>
    <w:p>
      <w:pPr>
        <w:pStyle w:val="22"/>
        <w:spacing w:line="360" w:lineRule="auto"/>
        <w:ind w:right="-63" w:rightChars="-30"/>
        <w:outlineLvl w:val="9"/>
        <w:rPr>
          <w:rFonts w:asciiTheme="minorEastAsia" w:hAnsiTheme="minorEastAsia" w:eastAsiaTheme="minorEastAsia" w:cstheme="minorEastAsia"/>
          <w:bCs/>
          <w:color w:val="auto"/>
          <w:highlight w:val="none"/>
        </w:rPr>
      </w:pPr>
    </w:p>
    <w:p>
      <w:pPr>
        <w:pStyle w:val="22"/>
        <w:spacing w:line="360" w:lineRule="auto"/>
        <w:ind w:right="-63" w:rightChars="-30"/>
        <w:outlineLvl w:val="9"/>
        <w:rPr>
          <w:rFonts w:asciiTheme="minorEastAsia" w:hAnsiTheme="minorEastAsia" w:eastAsiaTheme="minorEastAsia" w:cstheme="minorEastAsia"/>
          <w:bCs/>
          <w:color w:val="auto"/>
          <w:highlight w:val="none"/>
        </w:rPr>
      </w:pPr>
    </w:p>
    <w:p>
      <w:pPr>
        <w:pStyle w:val="2"/>
        <w:rPr>
          <w:rFonts w:ascii="宋体" w:hAnsi="宋体" w:cs="宋体"/>
          <w:color w:val="auto"/>
          <w:highlight w:val="none"/>
        </w:rPr>
      </w:pPr>
      <w:bookmarkStart w:id="2" w:name="_Toc2173"/>
      <w:bookmarkStart w:id="3" w:name="_Toc27735"/>
      <w:r>
        <w:rPr>
          <w:rFonts w:hint="eastAsia"/>
          <w:color w:val="auto"/>
          <w:highlight w:val="none"/>
        </w:rPr>
        <w:t>重要事项提示</w:t>
      </w:r>
      <w:bookmarkEnd w:id="2"/>
      <w:bookmarkEnd w:id="3"/>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各潜在供应商：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1、采购文件应通过焦作市公共资源交易中心网站会员系统进行网上下载；未使用</w:t>
      </w:r>
      <w:r>
        <w:rPr>
          <w:rFonts w:hint="eastAsia" w:ascii="宋体" w:hAnsi="宋体"/>
          <w:bCs/>
          <w:color w:val="auto"/>
          <w:kern w:val="0"/>
          <w:sz w:val="24"/>
          <w:highlight w:val="none"/>
        </w:rPr>
        <w:t>企业 CA 密匙</w:t>
      </w:r>
      <w:r>
        <w:rPr>
          <w:rFonts w:hint="eastAsia" w:ascii="宋体" w:hAnsi="宋体" w:cs="宋体"/>
          <w:color w:val="auto"/>
          <w:sz w:val="24"/>
          <w:highlight w:val="none"/>
        </w:rPr>
        <w:t>登录焦作市公共资源交易中心网站会员系统进行网上下载文件的，投标视为无效；</w:t>
      </w:r>
    </w:p>
    <w:p>
      <w:pPr>
        <w:pStyle w:val="21"/>
        <w:spacing w:before="0" w:beforeAutospacing="0" w:after="0" w:afterAutospacing="0" w:line="360" w:lineRule="auto"/>
        <w:ind w:firstLine="480" w:firstLineChars="200"/>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1"/>
        <w:spacing w:before="0" w:beforeAutospacing="0" w:after="0" w:afterAutospacing="0" w:line="360" w:lineRule="auto"/>
        <w:ind w:firstLine="480" w:firstLineChars="200"/>
        <w:jc w:val="both"/>
        <w:rPr>
          <w:color w:val="auto"/>
          <w:highlight w:val="none"/>
        </w:rPr>
      </w:pPr>
      <w:r>
        <w:rPr>
          <w:rFonts w:hint="eastAsia"/>
          <w:color w:val="auto"/>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21"/>
        <w:numPr>
          <w:ilvl w:val="0"/>
          <w:numId w:val="2"/>
        </w:numPr>
        <w:spacing w:before="0" w:beforeAutospacing="0" w:after="0" w:afterAutospacing="0" w:line="360" w:lineRule="auto"/>
        <w:ind w:firstLine="480" w:firstLineChars="200"/>
        <w:jc w:val="both"/>
        <w:rPr>
          <w:color w:val="auto"/>
          <w:highlight w:val="none"/>
        </w:rPr>
      </w:pPr>
      <w:r>
        <w:rPr>
          <w:rFonts w:hint="eastAsia"/>
          <w:color w:val="auto"/>
          <w:highlight w:val="none"/>
        </w:rPr>
        <w:t>有下列情形之一的，将作为自动放弃、无效投标或废标处理：</w:t>
      </w:r>
    </w:p>
    <w:p>
      <w:pPr>
        <w:pStyle w:val="21"/>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在投标文件中对同一采购项目有两个或多个报价，且未声明哪一个有效的；</w:t>
      </w:r>
    </w:p>
    <w:p>
      <w:pPr>
        <w:pStyle w:val="21"/>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lang w:eastAsia="zh-CN"/>
        </w:rPr>
        <w:t>投标文件</w:t>
      </w:r>
      <w:r>
        <w:rPr>
          <w:rFonts w:hint="eastAsia" w:cs="Times New Roman"/>
          <w:color w:val="auto"/>
          <w:highlight w:val="none"/>
        </w:rPr>
        <w:t>的关键内容（采购报价、</w:t>
      </w:r>
      <w:r>
        <w:rPr>
          <w:rFonts w:hint="eastAsia"/>
          <w:color w:val="auto"/>
          <w:highlight w:val="none"/>
          <w:lang w:eastAsia="zh-CN"/>
        </w:rPr>
        <w:t>供货及安装期</w:t>
      </w:r>
      <w:r>
        <w:rPr>
          <w:rFonts w:hint="eastAsia" w:cs="Times New Roman"/>
          <w:color w:val="auto"/>
          <w:highlight w:val="none"/>
        </w:rPr>
        <w:t>、质量标准、品牌、型号等）未填写或填写字迹模糊无法辨认的；</w:t>
      </w:r>
    </w:p>
    <w:p>
      <w:pPr>
        <w:pStyle w:val="21"/>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采购报价超出控制价的；</w:t>
      </w:r>
    </w:p>
    <w:p>
      <w:pPr>
        <w:pStyle w:val="21"/>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投标文件中附有采购人不能接受的条件的；</w:t>
      </w:r>
    </w:p>
    <w:p>
      <w:pPr>
        <w:pStyle w:val="21"/>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s="Times New Roman"/>
          <w:color w:val="auto"/>
          <w:highlight w:val="none"/>
        </w:rPr>
        <w:t>投标文件有明显不符合采购文件其它要求和有关法律法规的；</w:t>
      </w:r>
    </w:p>
    <w:p>
      <w:pPr>
        <w:pStyle w:val="21"/>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s="Times New Roman"/>
          <w:color w:val="auto"/>
          <w:highlight w:val="none"/>
        </w:rPr>
        <w:t>如因两个或两个以上供应商使用同一台计算或同一个IP上传</w:t>
      </w:r>
      <w:r>
        <w:rPr>
          <w:rFonts w:hint="eastAsia" w:cs="Times New Roman"/>
          <w:color w:val="auto"/>
          <w:highlight w:val="none"/>
          <w:lang w:eastAsia="zh-CN"/>
        </w:rPr>
        <w:t>投标文件</w:t>
      </w:r>
      <w:r>
        <w:rPr>
          <w:rFonts w:hint="eastAsia" w:cs="Times New Roman"/>
          <w:color w:val="auto"/>
          <w:highlight w:val="none"/>
        </w:rPr>
        <w:t>，被不见面开标系统提示为“投标文件制作机器码一致”的，则视其投标无效。若经查实有《政府采购法实施条例》第七十四条情形，监管部门将依法做出处理；</w:t>
      </w:r>
    </w:p>
    <w:p>
      <w:pPr>
        <w:pStyle w:val="21"/>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olor w:val="auto"/>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b/>
          <w:bCs/>
          <w:color w:val="auto"/>
          <w:sz w:val="32"/>
          <w:szCs w:val="32"/>
          <w:highlight w:val="none"/>
        </w:rPr>
      </w:pPr>
    </w:p>
    <w:p>
      <w:pPr>
        <w:jc w:val="center"/>
        <w:rPr>
          <w:rFonts w:asciiTheme="minorEastAsia" w:hAnsiTheme="minorEastAsia" w:eastAsiaTheme="minorEastAsia" w:cstheme="minorEastAsia"/>
          <w:b/>
          <w:bCs/>
          <w:color w:val="auto"/>
          <w:sz w:val="32"/>
          <w:szCs w:val="32"/>
          <w:highlight w:val="none"/>
        </w:rPr>
      </w:pPr>
    </w:p>
    <w:p>
      <w:pPr>
        <w:pStyle w:val="22"/>
        <w:spacing w:line="360" w:lineRule="auto"/>
        <w:ind w:right="-63" w:rightChars="-30"/>
        <w:jc w:val="both"/>
        <w:outlineLvl w:val="9"/>
        <w:rPr>
          <w:rFonts w:asciiTheme="minorEastAsia" w:hAnsiTheme="minorEastAsia" w:eastAsiaTheme="minorEastAsia" w:cstheme="minorEastAsia"/>
          <w:bCs/>
          <w:color w:val="auto"/>
          <w:highlight w:val="none"/>
        </w:rPr>
      </w:pPr>
    </w:p>
    <w:p>
      <w:pPr>
        <w:rPr>
          <w:rFonts w:asciiTheme="minorEastAsia" w:hAnsiTheme="minorEastAsia" w:eastAsiaTheme="minorEastAsia" w:cstheme="minorEastAsia"/>
          <w:bCs/>
          <w:color w:val="auto"/>
          <w:highlight w:val="none"/>
        </w:rPr>
      </w:pPr>
    </w:p>
    <w:p>
      <w:pPr>
        <w:pStyle w:val="10"/>
        <w:rPr>
          <w:rFonts w:asciiTheme="minorEastAsia" w:hAnsiTheme="minorEastAsia" w:eastAsiaTheme="minorEastAsia" w:cstheme="minorEastAsia"/>
          <w:bCs/>
          <w:color w:val="auto"/>
          <w:highlight w:val="none"/>
        </w:rPr>
      </w:pPr>
    </w:p>
    <w:p>
      <w:pPr>
        <w:pStyle w:val="11"/>
        <w:rPr>
          <w:rFonts w:asciiTheme="minorEastAsia" w:hAnsiTheme="minorEastAsia" w:eastAsiaTheme="minorEastAsia" w:cstheme="minorEastAsia"/>
          <w:bCs/>
          <w:color w:val="auto"/>
          <w:highlight w:val="none"/>
        </w:rPr>
      </w:pPr>
    </w:p>
    <w:p>
      <w:pPr>
        <w:pStyle w:val="10"/>
        <w:rPr>
          <w:rFonts w:asciiTheme="minorEastAsia" w:hAnsiTheme="minorEastAsia" w:eastAsiaTheme="minorEastAsia" w:cstheme="minorEastAsia"/>
          <w:bCs/>
          <w:color w:val="auto"/>
          <w:highlight w:val="none"/>
        </w:rPr>
      </w:pPr>
    </w:p>
    <w:p>
      <w:pPr>
        <w:pStyle w:val="10"/>
        <w:rPr>
          <w:color w:val="auto"/>
          <w:highlight w:val="none"/>
        </w:rPr>
      </w:pPr>
    </w:p>
    <w:p>
      <w:pPr>
        <w:pStyle w:val="11"/>
        <w:rPr>
          <w:color w:val="auto"/>
          <w:highlight w:val="none"/>
        </w:rPr>
      </w:pPr>
    </w:p>
    <w:p>
      <w:pPr>
        <w:pStyle w:val="11"/>
        <w:rPr>
          <w:color w:val="auto"/>
          <w:highlight w:val="none"/>
        </w:rPr>
      </w:pPr>
    </w:p>
    <w:p>
      <w:pPr>
        <w:pStyle w:val="10"/>
        <w:rPr>
          <w:color w:val="auto"/>
          <w:highlight w:val="none"/>
        </w:rPr>
      </w:pPr>
    </w:p>
    <w:p>
      <w:pPr>
        <w:pStyle w:val="31"/>
        <w:rPr>
          <w:color w:val="auto"/>
          <w:highlight w:val="none"/>
        </w:rPr>
      </w:pPr>
    </w:p>
    <w:p>
      <w:pPr>
        <w:pStyle w:val="22"/>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4" w:name="_Toc23622"/>
      <w:bookmarkStart w:id="5" w:name="_Toc24751"/>
      <w:r>
        <w:rPr>
          <w:rFonts w:hint="eastAsia" w:asciiTheme="minorEastAsia" w:hAnsiTheme="minorEastAsia" w:eastAsiaTheme="minorEastAsia" w:cstheme="minorEastAsia"/>
          <w:bCs/>
          <w:color w:val="auto"/>
          <w:highlight w:val="none"/>
        </w:rPr>
        <w:t>招标公告</w:t>
      </w:r>
      <w:bookmarkEnd w:id="4"/>
      <w:bookmarkEnd w:id="5"/>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青天河景区游船采购项目</w:t>
      </w:r>
      <w:r>
        <w:rPr>
          <w:rFonts w:hint="eastAsia" w:asciiTheme="minorEastAsia" w:hAnsiTheme="minorEastAsia" w:eastAsiaTheme="minorEastAsia" w:cstheme="minorEastAsia"/>
          <w:b/>
          <w:bCs/>
          <w:color w:val="auto"/>
          <w:sz w:val="32"/>
          <w:szCs w:val="32"/>
          <w:highlight w:val="none"/>
        </w:rPr>
        <w:t>招标公告（不见面开标）</w:t>
      </w:r>
    </w:p>
    <w:tbl>
      <w:tblPr>
        <w:tblStyle w:val="26"/>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25"/>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青天河景区游船采购项目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24</w:t>
            </w:r>
            <w:r>
              <w:rPr>
                <w:rFonts w:hint="eastAsia" w:ascii="宋体" w:hAnsi="宋体" w:cs="宋体"/>
                <w:color w:val="auto"/>
                <w:kern w:val="0"/>
                <w:sz w:val="24"/>
                <w:highlight w:val="none"/>
                <w:u w:val="single"/>
              </w:rPr>
              <w:t>日上午9点00分</w:t>
            </w:r>
            <w:r>
              <w:rPr>
                <w:rFonts w:hint="eastAsia" w:ascii="宋体" w:hAnsi="宋体" w:cs="宋体"/>
                <w:color w:val="auto"/>
                <w:sz w:val="24"/>
                <w:highlight w:val="none"/>
                <w:u w:val="single"/>
              </w:rPr>
              <w:t>（北京时间）</w:t>
            </w:r>
            <w:r>
              <w:rPr>
                <w:rFonts w:hint="eastAsia" w:ascii="宋体" w:hAnsi="宋体" w:cs="宋体"/>
                <w:color w:val="auto"/>
                <w:sz w:val="24"/>
                <w:highlight w:val="none"/>
              </w:rPr>
              <w:t>前提交</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w:t>
            </w:r>
          </w:p>
        </w:tc>
      </w:tr>
    </w:tbl>
    <w:p>
      <w:pPr>
        <w:pStyle w:val="43"/>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项目名称：</w:t>
      </w:r>
      <w:r>
        <w:rPr>
          <w:rFonts w:hint="eastAsia" w:ascii="宋体" w:hAnsi="宋体" w:cs="宋体"/>
          <w:color w:val="auto"/>
          <w:sz w:val="24"/>
          <w:highlight w:val="none"/>
          <w:shd w:val="clear" w:color="auto" w:fill="FFFFFF"/>
          <w:lang w:eastAsia="zh-CN"/>
        </w:rPr>
        <w:t>青天河景区游船采购项目</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采购方式：公开招标</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资金来源：</w:t>
      </w:r>
      <w:r>
        <w:rPr>
          <w:rFonts w:hint="eastAsia" w:ascii="宋体" w:hAnsi="宋体" w:eastAsia="宋体" w:cs="宋体"/>
          <w:color w:val="auto"/>
          <w:sz w:val="24"/>
          <w:highlight w:val="none"/>
          <w:shd w:val="clear" w:color="auto" w:fill="FFFFFF"/>
          <w:lang w:val="en-US" w:eastAsia="zh-CN"/>
        </w:rPr>
        <w:t>自筹</w:t>
      </w:r>
      <w:r>
        <w:rPr>
          <w:rFonts w:hint="eastAsia" w:ascii="宋体" w:hAnsi="宋体" w:eastAsia="宋体" w:cs="宋体"/>
          <w:color w:val="auto"/>
          <w:sz w:val="24"/>
          <w:highlight w:val="none"/>
          <w:shd w:val="clear" w:color="auto" w:fill="FFFFFF"/>
          <w:lang w:eastAsia="zh-CN"/>
        </w:rPr>
        <w:t>资金</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eastAsia="zh-CN"/>
        </w:rPr>
        <w:t>预算金额</w:t>
      </w:r>
      <w:r>
        <w:rPr>
          <w:rFonts w:hint="eastAsia" w:ascii="宋体" w:hAnsi="宋体" w:eastAsia="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val="en-US" w:eastAsia="zh-CN"/>
        </w:rPr>
        <w:t>2100万</w:t>
      </w:r>
      <w:r>
        <w:rPr>
          <w:rFonts w:hint="eastAsia" w:ascii="宋体" w:hAnsi="宋体" w:eastAsia="宋体" w:cs="宋体"/>
          <w:color w:val="auto"/>
          <w:sz w:val="24"/>
          <w:highlight w:val="none"/>
          <w:shd w:val="clear" w:color="auto" w:fill="FFFFFF"/>
          <w:lang w:val="en-US" w:eastAsia="zh-CN"/>
        </w:rPr>
        <w:t>元。</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采购内容</w:t>
      </w:r>
      <w:r>
        <w:rPr>
          <w:rFonts w:hint="eastAsia" w:ascii="宋体" w:hAnsi="宋体" w:eastAsia="宋体" w:cs="宋体"/>
          <w:color w:val="auto"/>
          <w:sz w:val="24"/>
          <w:highlight w:val="none"/>
          <w:shd w:val="clear" w:color="auto" w:fill="FFFFFF"/>
          <w:lang w:val="en-US" w:eastAsia="zh-CN"/>
        </w:rPr>
        <w:t>：购置4艘游船，长约29m，宽约7m</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lang w:val="en-US" w:eastAsia="zh-CN"/>
        </w:rPr>
        <w:t>每艘可容纳200名游客（详见招标文件）。</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供货及安装期</w:t>
      </w:r>
      <w:r>
        <w:rPr>
          <w:rFonts w:hint="eastAsia" w:ascii="宋体" w:hAnsi="宋体" w:eastAsia="宋体" w:cs="宋体"/>
          <w:color w:val="auto"/>
          <w:sz w:val="24"/>
          <w:highlight w:val="none"/>
          <w:shd w:val="clear" w:color="auto" w:fill="FFFFFF"/>
          <w:lang w:eastAsia="zh-CN"/>
        </w:rPr>
        <w:t>：合同签订后</w:t>
      </w:r>
      <w:r>
        <w:rPr>
          <w:rFonts w:hint="eastAsia" w:ascii="宋体" w:hAnsi="宋体" w:cs="宋体"/>
          <w:color w:val="auto"/>
          <w:sz w:val="24"/>
          <w:highlight w:val="none"/>
          <w:shd w:val="clear" w:color="auto" w:fill="FFFFFF"/>
          <w:lang w:eastAsia="zh-CN"/>
        </w:rPr>
        <w:t>450日历天</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质量标准：合格，符合国家及行业规范标准。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3、本项目的特定资格要求：</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3.1</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投标人须具有有效的营业执照，须提供制造商钢质船舶建造能力评估报告或相关等效资格证明，并具有实施完成本项目的经营实力和完善的售后服务体系；</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3.2</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3.3</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3.4</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21"/>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1.时间：</w:t>
      </w:r>
      <w:r>
        <w:rPr>
          <w:rFonts w:hint="eastAsia"/>
          <w:color w:val="auto"/>
          <w:highlight w:val="none"/>
          <w:u w:val="single"/>
        </w:rPr>
        <w:t>2023年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28</w:t>
      </w:r>
      <w:r>
        <w:rPr>
          <w:rFonts w:hint="eastAsia"/>
          <w:color w:val="auto"/>
          <w:highlight w:val="none"/>
          <w:u w:val="single"/>
        </w:rPr>
        <w:t>日至2023年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13</w:t>
      </w:r>
      <w:r>
        <w:rPr>
          <w:rFonts w:hint="eastAsia"/>
          <w:color w:val="auto"/>
          <w:highlight w:val="none"/>
          <w:u w:val="single"/>
        </w:rPr>
        <w:t>日（北京时间）</w:t>
      </w:r>
      <w:r>
        <w:rPr>
          <w:rFonts w:hint="eastAsia"/>
          <w:color w:val="auto"/>
          <w:highlight w:val="none"/>
        </w:rPr>
        <w:t>；</w:t>
      </w:r>
    </w:p>
    <w:p>
      <w:pPr>
        <w:pStyle w:val="21"/>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shd w:val="clear" w:color="auto" w:fill="FFFFFF"/>
        </w:rPr>
      </w:pPr>
      <w:r>
        <w:rPr>
          <w:rFonts w:hint="eastAsia"/>
          <w:color w:val="auto"/>
          <w:highlight w:val="none"/>
        </w:rPr>
        <w:t>2.</w:t>
      </w:r>
      <w:r>
        <w:rPr>
          <w:rFonts w:hint="eastAsia" w:ascii="宋体" w:hAnsi="宋体" w:eastAsia="宋体" w:cs="宋体"/>
          <w:color w:val="auto"/>
          <w:highlight w:val="none"/>
          <w:shd w:val="clear" w:color="auto" w:fill="FFFFFF"/>
        </w:rPr>
        <w:t>地点：凡有意参加投标者，请登录焦作市公共资源交易中心网站会员系统进行网上下载。（联系电话：0391-3568920，QQ：232850725、361532918（群）；</w:t>
      </w:r>
    </w:p>
    <w:p>
      <w:pPr>
        <w:pStyle w:val="21"/>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3.方式：网上下载；</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w:t>
      </w:r>
      <w:r>
        <w:rPr>
          <w:rFonts w:hint="eastAsia" w:ascii="宋体" w:hAnsi="宋体" w:cs="宋体"/>
          <w:b/>
          <w:color w:val="auto"/>
          <w:kern w:val="0"/>
          <w:sz w:val="24"/>
          <w:highlight w:val="none"/>
          <w:lang w:eastAsia="zh-CN"/>
        </w:rPr>
        <w:t>投标文件</w:t>
      </w:r>
      <w:r>
        <w:rPr>
          <w:rFonts w:hint="eastAsia" w:ascii="宋体" w:hAnsi="宋体" w:cs="宋体"/>
          <w:b/>
          <w:color w:val="auto"/>
          <w:kern w:val="0"/>
          <w:sz w:val="24"/>
          <w:highlight w:val="none"/>
        </w:rPr>
        <w:t>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24</w:t>
      </w:r>
      <w:r>
        <w:rPr>
          <w:rFonts w:hint="eastAsia" w:ascii="宋体" w:hAnsi="宋体" w:cs="宋体"/>
          <w:color w:val="auto"/>
          <w:kern w:val="0"/>
          <w:sz w:val="24"/>
          <w:highlight w:val="none"/>
          <w:u w:val="single"/>
        </w:rPr>
        <w:t>日上午9点00分（北京时间）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24</w:t>
      </w:r>
      <w:r>
        <w:rPr>
          <w:rFonts w:hint="eastAsia" w:ascii="宋体" w:hAnsi="宋体" w:cs="宋体"/>
          <w:color w:val="auto"/>
          <w:kern w:val="0"/>
          <w:sz w:val="24"/>
          <w:highlight w:val="none"/>
          <w:u w:val="single"/>
        </w:rPr>
        <w:t>日上午9点00分（北京时间）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adjustRightInd w:val="0"/>
        <w:snapToGri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pPr>
        <w:pStyle w:val="21"/>
        <w:shd w:val="clear" w:color="auto" w:fill="FFFFFF"/>
        <w:autoSpaceDE w:val="0"/>
        <w:spacing w:before="0" w:beforeAutospacing="0" w:after="0" w:afterAutospacing="0" w:line="440" w:lineRule="exact"/>
        <w:ind w:firstLine="480" w:firstLineChars="200"/>
        <w:rPr>
          <w:rFonts w:hint="eastAsia" w:ascii="宋体" w:hAnsi="宋体" w:eastAsia="宋体" w:cs="宋体"/>
          <w:bCs/>
          <w:color w:val="auto"/>
          <w:highlight w:val="none"/>
        </w:rPr>
      </w:pPr>
      <w:r>
        <w:rPr>
          <w:rFonts w:hint="eastAsia"/>
          <w:color w:val="auto"/>
          <w:highlight w:val="none"/>
          <w:shd w:val="clear" w:color="auto" w:fill="FFFFFF"/>
        </w:rPr>
        <w:t>1.本次本公告在</w:t>
      </w:r>
      <w:r>
        <w:rPr>
          <w:rFonts w:hint="eastAsia"/>
          <w:bCs/>
          <w:color w:val="auto"/>
          <w:highlight w:val="none"/>
        </w:rPr>
        <w:t>中国招标投标公共服务平</w:t>
      </w:r>
      <w:r>
        <w:rPr>
          <w:rFonts w:hint="eastAsia" w:ascii="宋体" w:hAnsi="宋体" w:eastAsia="宋体" w:cs="宋体"/>
          <w:bCs/>
          <w:color w:val="auto"/>
          <w:highlight w:val="none"/>
        </w:rPr>
        <w:t>台、焦作市公共资源交易中心网、博爱县人民政府网、博爱县公共资源交易中心网http://www.baxggzyjyzx.cn/上发布。</w:t>
      </w:r>
    </w:p>
    <w:p>
      <w:pPr>
        <w:pStyle w:val="21"/>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1"/>
        <w:spacing w:beforeAutospacing="0" w:afterAutospacing="0" w:line="440" w:lineRule="exact"/>
        <w:ind w:firstLine="468" w:firstLineChars="195"/>
        <w:jc w:val="both"/>
        <w:rPr>
          <w:color w:val="auto"/>
          <w:highlight w:val="none"/>
        </w:rPr>
      </w:pPr>
      <w:r>
        <w:rPr>
          <w:rFonts w:hint="eastAsia"/>
          <w:color w:val="auto"/>
          <w:highlight w:val="none"/>
        </w:rPr>
        <w:t>3.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采购人：焦作青天河旅游发展有限公司</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地址：河南省焦作市博爱县寨豁乡青天河景区办公楼1楼 </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联系人：王先生</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电话：15139113212</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河南四方建设管理有限公司</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Theme="minorEastAsia" w:hAnsiTheme="minorEastAsia" w:eastAsiaTheme="minorEastAsia" w:cstheme="minorEastAsia"/>
          <w:color w:val="auto"/>
          <w:sz w:val="24"/>
          <w:szCs w:val="24"/>
          <w:highlight w:val="none"/>
          <w:lang w:val="en-US" w:eastAsia="zh-CN" w:bidi="ar-SA"/>
        </w:rPr>
        <w:t>郑州市航海东路1394号富田财富广场1号楼1515</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张</w:t>
      </w:r>
      <w:r>
        <w:rPr>
          <w:rFonts w:hint="eastAsia" w:ascii="宋体" w:hAnsi="宋体" w:cs="宋体"/>
          <w:color w:val="auto"/>
          <w:sz w:val="24"/>
          <w:highlight w:val="none"/>
        </w:rPr>
        <w:t>先生</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r>
        <w:rPr>
          <w:rFonts w:hint="eastAsia" w:asciiTheme="minorEastAsia" w:hAnsiTheme="minorEastAsia" w:eastAsiaTheme="minorEastAsia" w:cstheme="minorEastAsia"/>
          <w:color w:val="auto"/>
          <w:sz w:val="24"/>
          <w:szCs w:val="24"/>
          <w:highlight w:val="none"/>
          <w:lang w:val="en-US" w:eastAsia="zh-CN" w:bidi="ar-SA"/>
        </w:rPr>
        <w:t>18695863052</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r>
        <w:rPr>
          <w:rFonts w:hint="eastAsia" w:ascii="宋体" w:hAnsi="宋体" w:cs="宋体"/>
          <w:color w:val="auto"/>
          <w:sz w:val="24"/>
          <w:highlight w:val="none"/>
        </w:rPr>
        <w:tab/>
      </w:r>
    </w:p>
    <w:p>
      <w:pPr>
        <w:adjustRightInd w:val="0"/>
        <w:snapToGrid w:val="0"/>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kern w:val="0"/>
          <w:sz w:val="24"/>
          <w:highlight w:val="none"/>
        </w:rPr>
        <w:t>王先生</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color w:val="auto"/>
          <w:kern w:val="0"/>
          <w:sz w:val="24"/>
          <w:highlight w:val="none"/>
        </w:rPr>
        <w:t>15139113212</w:t>
      </w: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焦作青天河旅游发展有限公司</w:t>
      </w: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采购代理机构：</w:t>
      </w:r>
      <w:r>
        <w:rPr>
          <w:rFonts w:hint="eastAsia" w:ascii="宋体" w:hAnsi="宋体" w:cs="宋体"/>
          <w:color w:val="auto"/>
          <w:sz w:val="24"/>
          <w:highlight w:val="none"/>
          <w:shd w:val="clear" w:color="auto" w:fill="FFFFFF"/>
          <w:lang w:eastAsia="zh-CN"/>
        </w:rPr>
        <w:t>河南四方建设管理有限公司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p>
    <w:p>
      <w:pPr>
        <w:rPr>
          <w:color w:val="auto"/>
          <w:highlight w:val="none"/>
        </w:rPr>
      </w:pPr>
    </w:p>
    <w:p>
      <w:pPr>
        <w:widowControl/>
        <w:spacing w:line="440" w:lineRule="exact"/>
        <w:ind w:left="2940" w:firstLine="420"/>
        <w:rPr>
          <w:color w:val="auto"/>
          <w:highlight w:val="none"/>
        </w:rPr>
      </w:pPr>
    </w:p>
    <w:p>
      <w:pPr>
        <w:rPr>
          <w:color w:val="auto"/>
          <w:highlight w:val="none"/>
        </w:rPr>
      </w:pPr>
    </w:p>
    <w:p>
      <w:pPr>
        <w:rPr>
          <w:color w:val="auto"/>
          <w:highlight w:val="none"/>
        </w:rPr>
      </w:pPr>
    </w:p>
    <w:p>
      <w:pPr>
        <w:pStyle w:val="10"/>
        <w:rPr>
          <w:rFonts w:asciiTheme="minorEastAsia" w:hAnsiTheme="minorEastAsia" w:eastAsiaTheme="minorEastAsia" w:cstheme="minorEastAsia"/>
          <w:b/>
          <w:color w:val="auto"/>
          <w:sz w:val="32"/>
          <w:szCs w:val="32"/>
          <w:highlight w:val="none"/>
        </w:rPr>
      </w:pPr>
    </w:p>
    <w:p>
      <w:pPr>
        <w:pStyle w:val="11"/>
        <w:rPr>
          <w:rFonts w:asciiTheme="minorEastAsia" w:hAnsiTheme="minorEastAsia" w:eastAsiaTheme="minorEastAsia" w:cstheme="minorEastAsia"/>
          <w:b/>
          <w:color w:val="auto"/>
          <w:sz w:val="32"/>
          <w:szCs w:val="32"/>
          <w:highlight w:val="none"/>
        </w:rPr>
      </w:pPr>
    </w:p>
    <w:p>
      <w:pPr>
        <w:pStyle w:val="10"/>
        <w:rPr>
          <w:rFonts w:asciiTheme="minorEastAsia" w:hAnsiTheme="minorEastAsia" w:eastAsiaTheme="minorEastAsia" w:cstheme="minorEastAsia"/>
          <w:b/>
          <w:color w:val="auto"/>
          <w:sz w:val="32"/>
          <w:szCs w:val="32"/>
          <w:highlight w:val="none"/>
        </w:rPr>
      </w:pPr>
    </w:p>
    <w:p>
      <w:pPr>
        <w:pStyle w:val="39"/>
        <w:rPr>
          <w:color w:val="auto"/>
          <w:highlight w:val="none"/>
        </w:rPr>
      </w:pPr>
    </w:p>
    <w:p>
      <w:pPr>
        <w:pStyle w:val="10"/>
        <w:rPr>
          <w:color w:val="auto"/>
          <w:highlight w:val="none"/>
        </w:rPr>
      </w:pPr>
    </w:p>
    <w:p>
      <w:pPr>
        <w:pStyle w:val="11"/>
        <w:rPr>
          <w:color w:val="auto"/>
          <w:highlight w:val="none"/>
        </w:rPr>
      </w:pPr>
    </w:p>
    <w:p>
      <w:pPr>
        <w:pStyle w:val="10"/>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bookmarkStart w:id="6" w:name="_Toc27816"/>
      <w:bookmarkStart w:id="7" w:name="_Toc21974"/>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6"/>
      <w:bookmarkEnd w:id="7"/>
    </w:p>
    <w:bookmarkEnd w:id="0"/>
    <w:p>
      <w:pPr>
        <w:pStyle w:val="22"/>
        <w:spacing w:before="0" w:after="0" w:line="360" w:lineRule="auto"/>
        <w:ind w:right="-23" w:rightChars="-11"/>
        <w:outlineLvl w:val="1"/>
        <w:rPr>
          <w:rFonts w:asciiTheme="minorEastAsia" w:hAnsiTheme="minorEastAsia" w:eastAsiaTheme="minorEastAsia" w:cstheme="minorEastAsia"/>
          <w:color w:val="auto"/>
          <w:sz w:val="30"/>
          <w:szCs w:val="30"/>
          <w:highlight w:val="none"/>
        </w:rPr>
      </w:pPr>
      <w:bookmarkStart w:id="8" w:name="_Toc426369478"/>
      <w:bookmarkStart w:id="9" w:name="_Toc14655"/>
      <w:bookmarkStart w:id="10" w:name="_Toc32497"/>
      <w:bookmarkStart w:id="11" w:name="_Toc403122490"/>
      <w:bookmarkStart w:id="12" w:name="_Toc31932"/>
      <w:bookmarkStart w:id="13" w:name="_Toc9161"/>
      <w:r>
        <w:rPr>
          <w:rFonts w:hint="eastAsia" w:asciiTheme="minorEastAsia" w:hAnsiTheme="minorEastAsia" w:eastAsiaTheme="minorEastAsia" w:cstheme="minorEastAsia"/>
          <w:color w:val="auto"/>
          <w:sz w:val="30"/>
          <w:szCs w:val="30"/>
          <w:highlight w:val="none"/>
        </w:rPr>
        <w:t>供应商须知前附表</w:t>
      </w:r>
      <w:bookmarkEnd w:id="8"/>
      <w:bookmarkEnd w:id="9"/>
      <w:bookmarkEnd w:id="10"/>
      <w:bookmarkEnd w:id="11"/>
      <w:bookmarkEnd w:id="12"/>
      <w:bookmarkEnd w:id="13"/>
    </w:p>
    <w:tbl>
      <w:tblPr>
        <w:tblStyle w:val="2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5"/>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5"/>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112" w:type="dxa"/>
            <w:vAlign w:val="center"/>
          </w:tcPr>
          <w:p>
            <w:pPr>
              <w:pStyle w:val="15"/>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lang w:eastAsia="zh-CN"/>
              </w:rPr>
              <w:t>焦作青天河旅游发展有限公司</w:t>
            </w:r>
          </w:p>
          <w:p>
            <w:pPr>
              <w:pStyle w:val="15"/>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联系</w:t>
            </w:r>
            <w:r>
              <w:rPr>
                <w:rFonts w:hint="eastAsia" w:asciiTheme="minorEastAsia" w:hAnsiTheme="minorEastAsia" w:eastAsiaTheme="minorEastAsia" w:cstheme="minorEastAsia"/>
                <w:color w:val="auto"/>
                <w:highlight w:val="none"/>
                <w:lang w:eastAsia="zh-CN"/>
              </w:rPr>
              <w:t>人：王先生</w:t>
            </w:r>
          </w:p>
          <w:p>
            <w:pPr>
              <w:pStyle w:val="15"/>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电话：15139113212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采购代理机</w:t>
            </w:r>
            <w:r>
              <w:rPr>
                <w:rFonts w:hint="eastAsia" w:asciiTheme="minorEastAsia" w:hAnsiTheme="minorEastAsia" w:eastAsiaTheme="minorEastAsia" w:cstheme="minorEastAsia"/>
                <w:color w:val="auto"/>
                <w:highlight w:val="none"/>
                <w:lang w:eastAsia="zh-CN"/>
              </w:rPr>
              <w:t xml:space="preserve">构：河南四方建设管理有限公司 </w:t>
            </w:r>
          </w:p>
          <w:p>
            <w:pPr>
              <w:pStyle w:val="15"/>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联系人：</w:t>
            </w:r>
            <w:r>
              <w:rPr>
                <w:rFonts w:hint="eastAsia" w:asciiTheme="minorEastAsia" w:hAnsiTheme="minorEastAsia" w:eastAsiaTheme="minorEastAsia" w:cstheme="minorEastAsia"/>
                <w:color w:val="auto"/>
                <w:highlight w:val="none"/>
                <w:lang w:val="en-US" w:eastAsia="zh-CN"/>
              </w:rPr>
              <w:t>张</w:t>
            </w:r>
            <w:r>
              <w:rPr>
                <w:rFonts w:hint="eastAsia" w:asciiTheme="minorEastAsia" w:hAnsiTheme="minorEastAsia" w:eastAsiaTheme="minorEastAsia" w:cstheme="minorEastAsia"/>
                <w:color w:val="auto"/>
                <w:highlight w:val="none"/>
                <w:lang w:eastAsia="zh-CN"/>
              </w:rPr>
              <w:t>先生</w:t>
            </w:r>
          </w:p>
          <w:p>
            <w:pPr>
              <w:pStyle w:val="15"/>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电话：</w:t>
            </w:r>
            <w:r>
              <w:rPr>
                <w:rFonts w:hint="eastAsia" w:asciiTheme="minorEastAsia" w:hAnsiTheme="minorEastAsia" w:eastAsiaTheme="minorEastAsia" w:cstheme="minorEastAsia"/>
                <w:color w:val="auto"/>
                <w:highlight w:val="none"/>
                <w:lang w:val="en-US" w:eastAsia="zh-CN"/>
              </w:rPr>
              <w:t>18695863052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iCs/>
                <w:color w:val="auto"/>
                <w:szCs w:val="21"/>
                <w:highlight w:val="none"/>
                <w:lang w:eastAsia="zh-CN"/>
              </w:rPr>
              <w:t>青天河景区游船采购项目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5"/>
              <w:spacing w:line="360" w:lineRule="exact"/>
              <w:rPr>
                <w:rFonts w:hint="default" w:asciiTheme="minorEastAsia" w:hAnsiTheme="minorEastAsia" w:eastAsiaTheme="minorEastAsia" w:cstheme="minorEastAsia"/>
                <w:i/>
                <w:iCs/>
                <w:color w:val="auto"/>
                <w:highlight w:val="none"/>
              </w:rPr>
            </w:pPr>
            <w:r>
              <w:rPr>
                <w:rFonts w:hint="eastAsia" w:asciiTheme="minorEastAsia" w:hAnsiTheme="minorEastAsia" w:eastAsiaTheme="minorEastAsia" w:cstheme="minorEastAsia"/>
                <w:color w:val="auto"/>
                <w:highlight w:val="none"/>
                <w:lang w:val="en-US" w:eastAsia="zh-CN"/>
              </w:rPr>
              <w:t>自筹</w:t>
            </w:r>
            <w:r>
              <w:rPr>
                <w:rFonts w:asciiTheme="minorEastAsia" w:hAnsiTheme="minorEastAsia" w:eastAsiaTheme="minorEastAsia" w:cstheme="minorEastAsia"/>
                <w:color w:val="auto"/>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资金落实情况</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5"/>
              <w:spacing w:line="360" w:lineRule="exact"/>
              <w:ind w:firstLine="42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采购内容</w:t>
            </w:r>
          </w:p>
        </w:tc>
        <w:tc>
          <w:tcPr>
            <w:tcW w:w="6112" w:type="dxa"/>
          </w:tcPr>
          <w:p>
            <w:pPr>
              <w:pStyle w:val="15"/>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购置4艘游船，长约29m，宽约7m，每艘可容纳200名游客（详见第五章“采购内容及技术要求”）</w:t>
            </w:r>
            <w:r>
              <w:rPr>
                <w:rFonts w:hint="default"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5"/>
              <w:spacing w:line="360" w:lineRule="exact"/>
              <w:jc w:val="center"/>
              <w:rPr>
                <w:rFonts w:hint="eastAsia" w:asciiTheme="minorEastAsia" w:hAnsiTheme="minorEastAsia" w:eastAsiaTheme="minorEastAsia" w:cstheme="minorEastAsia"/>
                <w:bCs/>
                <w:iCs/>
                <w:color w:val="auto"/>
                <w:highlight w:val="none"/>
                <w:lang w:eastAsia="zh-CN"/>
              </w:rPr>
            </w:pPr>
            <w:r>
              <w:rPr>
                <w:rFonts w:hint="eastAsia" w:asciiTheme="minorEastAsia" w:hAnsiTheme="minorEastAsia" w:eastAsiaTheme="minorEastAsia" w:cstheme="minorEastAsia"/>
                <w:bCs/>
                <w:iCs/>
                <w:color w:val="auto"/>
                <w:highlight w:val="none"/>
                <w:lang w:eastAsia="zh-CN"/>
              </w:rPr>
              <w:t>供货及安装期</w:t>
            </w:r>
          </w:p>
        </w:tc>
        <w:tc>
          <w:tcPr>
            <w:tcW w:w="6112" w:type="dxa"/>
            <w:vAlign w:val="center"/>
          </w:tcPr>
          <w:p>
            <w:pPr>
              <w:pStyle w:val="15"/>
              <w:spacing w:line="360" w:lineRule="exact"/>
              <w:jc w:val="left"/>
              <w:rPr>
                <w:rFonts w:hint="eastAsia" w:asciiTheme="minorEastAsia" w:hAnsiTheme="minorEastAsia" w:eastAsiaTheme="minorEastAsia" w:cstheme="minorEastAsia"/>
                <w:bCs/>
                <w:iCs/>
                <w:color w:val="auto"/>
                <w:highlight w:val="none"/>
                <w:lang w:eastAsia="zh-CN"/>
              </w:rPr>
            </w:pPr>
            <w:r>
              <w:rPr>
                <w:rFonts w:hint="eastAsia" w:asciiTheme="minorEastAsia" w:hAnsiTheme="minorEastAsia" w:eastAsiaTheme="minorEastAsia" w:cstheme="minorEastAsia"/>
                <w:bCs/>
                <w:iCs/>
                <w:color w:val="auto"/>
                <w:highlight w:val="none"/>
                <w:lang w:eastAsia="zh-CN"/>
              </w:rPr>
              <w:t>合同签订后450日历天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5"/>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合格，符合国家</w:t>
            </w:r>
            <w:r>
              <w:rPr>
                <w:rFonts w:hint="eastAsia" w:ascii="宋体" w:hAnsi="宋体" w:cs="宋体"/>
                <w:color w:val="auto"/>
                <w:kern w:val="0"/>
                <w:szCs w:val="21"/>
                <w:highlight w:val="none"/>
              </w:rPr>
              <w:t>及</w:t>
            </w:r>
            <w:r>
              <w:rPr>
                <w:rFonts w:ascii="宋体" w:hAnsi="宋体" w:cs="宋体"/>
                <w:color w:val="auto"/>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5"/>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5"/>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1、符合《中华人民共和国政府采购法》第二十二条之规定；</w:t>
            </w:r>
          </w:p>
          <w:p>
            <w:pPr>
              <w:pStyle w:val="15"/>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2、落实政府采购政策需满足的资格要求：促进中小企业和监狱企业发展扶持政策、政府强制采购节能产品、节能产品及环境标志产品优先采购。</w:t>
            </w:r>
          </w:p>
          <w:p>
            <w:pPr>
              <w:pStyle w:val="15"/>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3、本项目的特定资格要求：</w:t>
            </w:r>
          </w:p>
          <w:p>
            <w:pPr>
              <w:pStyle w:val="15"/>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3.1投标人须具有有效的营业执照，须提供制造商钢质船舶建造能力评估报告或相关等效资格证明，并具有实施完成本项目的经营实力和完善的售后服务体系；</w:t>
            </w:r>
          </w:p>
          <w:p>
            <w:pPr>
              <w:pStyle w:val="15"/>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pStyle w:val="15"/>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3.3本项目不接受联合体投标；</w:t>
            </w:r>
          </w:p>
          <w:p>
            <w:pPr>
              <w:pStyle w:val="15"/>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5"/>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rPr>
              <w:t>2023年</w:t>
            </w: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24</w:t>
            </w:r>
            <w:r>
              <w:rPr>
                <w:rFonts w:hint="eastAsia" w:ascii="宋体" w:hAnsi="宋体" w:cs="宋体"/>
                <w:b/>
                <w:bCs/>
                <w:color w:val="auto"/>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 所有要求供应商加盖公章的地方都须加盖供应商单位的 CA 印章。</w:t>
            </w:r>
          </w:p>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2要求法定代表人签字或盖章的，法定代表人在签字或盖章的地方上传手写签名的扫描件或加盖法定代表人CA印章。</w:t>
            </w:r>
          </w:p>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5"/>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本项目采用“远程不见面”开标方式，远程开标大厅网址为http://122.112.246.33/BidOpening/bidopeninghallaction/hall/login。供应商不需到开标现场参加开标会议，不需提交原件资料等。 </w:t>
            </w:r>
          </w:p>
          <w:p>
            <w:pPr>
              <w:pStyle w:val="15"/>
              <w:spacing w:line="400" w:lineRule="exact"/>
              <w:rPr>
                <w:rFonts w:hint="default" w:hAnsi="宋体"/>
                <w:color w:val="auto"/>
                <w:highlight w:val="none"/>
              </w:rPr>
            </w:pPr>
            <w:r>
              <w:rPr>
                <w:rFonts w:hAnsi="宋体"/>
                <w:color w:val="auto"/>
                <w:highlight w:val="none"/>
              </w:rPr>
              <w:t>（1）电子投标文件的递交</w:t>
            </w:r>
          </w:p>
          <w:p>
            <w:pPr>
              <w:pStyle w:val="15"/>
              <w:spacing w:line="400" w:lineRule="exact"/>
              <w:rPr>
                <w:rFonts w:hint="default" w:hAnsi="宋体"/>
                <w:color w:val="auto"/>
                <w:highlight w:val="none"/>
              </w:rPr>
            </w:pPr>
            <w:r>
              <w:rPr>
                <w:rFonts w:hAnsi="宋体"/>
                <w:color w:val="auto"/>
                <w:highlight w:val="none"/>
              </w:rPr>
              <w:t>a、各供应商应在投标截止时间前上传加密的电子投标文件</w:t>
            </w:r>
          </w:p>
          <w:p>
            <w:pPr>
              <w:pStyle w:val="15"/>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格式）到会员系统的指定位置。上传时必须得到电脑“上传成功”的确认回复。请供应商在上传时认真检查上传投标文件是否完整、正确。</w:t>
            </w:r>
          </w:p>
          <w:p>
            <w:pPr>
              <w:pStyle w:val="15"/>
              <w:spacing w:line="400" w:lineRule="exact"/>
              <w:rPr>
                <w:rFonts w:hint="default"/>
                <w:color w:val="auto"/>
                <w:highlight w:val="none"/>
              </w:rPr>
            </w:pPr>
            <w:r>
              <w:rPr>
                <w:rFonts w:hAnsi="宋体"/>
                <w:color w:val="auto"/>
                <w:highlight w:val="none"/>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评标委员会构成：由采购人代表</w:t>
            </w:r>
            <w:r>
              <w:rPr>
                <w:rFonts w:hint="eastAsia" w:ascii="宋体" w:hAnsi="宋体"/>
                <w:color w:val="auto"/>
                <w:szCs w:val="21"/>
                <w:highlight w:val="none"/>
                <w:lang w:val="en-US" w:eastAsia="zh-CN"/>
              </w:rPr>
              <w:t>2人</w:t>
            </w:r>
            <w:r>
              <w:rPr>
                <w:rFonts w:hint="eastAsia" w:ascii="宋体" w:hAnsi="宋体"/>
                <w:color w:val="auto"/>
                <w:szCs w:val="21"/>
                <w:highlight w:val="none"/>
              </w:rPr>
              <w:t>和政府采购专家库中随机抽</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取的评审专家</w:t>
            </w:r>
            <w:r>
              <w:rPr>
                <w:rFonts w:hint="eastAsia" w:ascii="宋体" w:hAnsi="宋体"/>
                <w:color w:val="auto"/>
                <w:szCs w:val="21"/>
                <w:highlight w:val="none"/>
                <w:lang w:val="en-US" w:eastAsia="zh-CN"/>
              </w:rPr>
              <w:t>5人</w:t>
            </w:r>
            <w:r>
              <w:rPr>
                <w:rFonts w:hint="eastAsia" w:ascii="宋体" w:hAnsi="宋体"/>
                <w:color w:val="auto"/>
                <w:szCs w:val="21"/>
                <w:highlight w:val="none"/>
                <w:lang w:eastAsia="zh-CN"/>
              </w:rPr>
              <w:t>，</w:t>
            </w:r>
            <w:r>
              <w:rPr>
                <w:rFonts w:hint="eastAsia" w:ascii="宋体" w:hAnsi="宋体"/>
                <w:color w:val="auto"/>
                <w:szCs w:val="21"/>
                <w:highlight w:val="none"/>
              </w:rPr>
              <w:t>共</w:t>
            </w:r>
            <w:r>
              <w:rPr>
                <w:rFonts w:hint="eastAsia" w:ascii="宋体" w:hAnsi="宋体"/>
                <w:color w:val="auto"/>
                <w:szCs w:val="21"/>
                <w:highlight w:val="none"/>
                <w:lang w:val="en-US" w:eastAsia="zh-CN"/>
              </w:rPr>
              <w:t>7人</w:t>
            </w:r>
            <w:r>
              <w:rPr>
                <w:rFonts w:hint="eastAsia" w:ascii="宋体" w:hAnsi="宋体"/>
                <w:color w:val="auto"/>
                <w:szCs w:val="21"/>
                <w:highlight w:val="none"/>
              </w:rPr>
              <w:t>组成。</w:t>
            </w:r>
            <w:r>
              <w:rPr>
                <w:rFonts w:hint="eastAsia" w:ascii="宋体" w:hAnsi="宋体"/>
                <w:b/>
                <w:bCs/>
                <w:color w:val="auto"/>
                <w:szCs w:val="21"/>
                <w:highlight w:val="none"/>
              </w:rPr>
              <w:t>注</w:t>
            </w:r>
            <w:r>
              <w:rPr>
                <w:rFonts w:hint="eastAsia" w:ascii="宋体" w:hAnsi="宋体"/>
                <w:color w:val="auto"/>
                <w:szCs w:val="21"/>
                <w:highlight w:val="none"/>
              </w:rPr>
              <w:t>：</w:t>
            </w:r>
            <w:r>
              <w:rPr>
                <w:rFonts w:hint="eastAsia" w:ascii="宋体" w:hAnsi="宋体"/>
                <w:b/>
                <w:bCs/>
                <w:color w:val="auto"/>
                <w:szCs w:val="21"/>
                <w:highlight w:val="none"/>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控制价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为：</w:t>
            </w:r>
            <w:r>
              <w:rPr>
                <w:rFonts w:hint="eastAsia" w:asciiTheme="minorEastAsia" w:hAnsiTheme="minorEastAsia" w:eastAsiaTheme="minorEastAsia" w:cstheme="minorEastAsia"/>
                <w:color w:val="auto"/>
                <w:szCs w:val="21"/>
                <w:highlight w:val="none"/>
                <w:lang w:val="en-US" w:eastAsia="zh-CN"/>
              </w:rPr>
              <w:t>2100万</w:t>
            </w:r>
            <w:r>
              <w:rPr>
                <w:rFonts w:hint="eastAsia" w:asciiTheme="minorEastAsia" w:hAnsiTheme="minorEastAsia" w:eastAsiaTheme="minorEastAsia" w:cstheme="minorEastAsia"/>
                <w:color w:val="auto"/>
                <w:szCs w:val="21"/>
                <w:highlight w:val="none"/>
              </w:rPr>
              <w:t>元</w:t>
            </w:r>
            <w:r>
              <w:rPr>
                <w:rFonts w:hint="default" w:asciiTheme="minorEastAsia" w:hAnsiTheme="minorEastAsia" w:eastAsiaTheme="minorEastAsia" w:cstheme="minorEastAsia"/>
                <w:color w:val="auto"/>
                <w:szCs w:val="21"/>
                <w:highlight w:val="none"/>
                <w:lang w:val="en-US" w:eastAsia="zh-CN"/>
              </w:rPr>
              <w:t>（含设计、建造、</w:t>
            </w:r>
            <w:r>
              <w:rPr>
                <w:rFonts w:hint="eastAsia" w:asciiTheme="minorEastAsia" w:hAnsiTheme="minorEastAsia" w:eastAsiaTheme="minorEastAsia" w:cstheme="minorEastAsia"/>
                <w:color w:val="auto"/>
                <w:szCs w:val="21"/>
                <w:highlight w:val="none"/>
                <w:lang w:val="en-US" w:eastAsia="zh-CN"/>
              </w:rPr>
              <w:t>运输、</w:t>
            </w:r>
            <w:r>
              <w:rPr>
                <w:rFonts w:hint="default" w:asciiTheme="minorEastAsia" w:hAnsiTheme="minorEastAsia" w:eastAsiaTheme="minorEastAsia" w:cstheme="minorEastAsia"/>
                <w:color w:val="auto"/>
                <w:szCs w:val="21"/>
                <w:highlight w:val="none"/>
                <w:lang w:val="en-US" w:eastAsia="zh-CN"/>
              </w:rPr>
              <w:t>下水、检验、办证</w:t>
            </w:r>
            <w:r>
              <w:rPr>
                <w:rFonts w:hint="eastAsia" w:asciiTheme="minorEastAsia" w:hAnsiTheme="minorEastAsia" w:eastAsiaTheme="minorEastAsia" w:cstheme="minorEastAsia"/>
                <w:color w:val="auto"/>
                <w:szCs w:val="21"/>
                <w:highlight w:val="none"/>
                <w:lang w:val="en-US" w:eastAsia="zh-CN"/>
              </w:rPr>
              <w:t>、税金</w:t>
            </w:r>
            <w:r>
              <w:rPr>
                <w:rFonts w:hint="default" w:asciiTheme="minorEastAsia" w:hAnsiTheme="minorEastAsia" w:eastAsiaTheme="minorEastAsia" w:cstheme="minorEastAsia"/>
                <w:color w:val="auto"/>
                <w:szCs w:val="21"/>
                <w:highlight w:val="none"/>
                <w:lang w:val="en-US" w:eastAsia="zh-CN"/>
              </w:rPr>
              <w:t>等费用）</w:t>
            </w:r>
            <w:r>
              <w:rPr>
                <w:rFonts w:hint="eastAsia" w:asciiTheme="minorEastAsia" w:hAnsiTheme="minorEastAsia" w:eastAsiaTheme="minorEastAsia" w:cstheme="minorEastAsia"/>
                <w:color w:val="auto"/>
                <w:szCs w:val="21"/>
                <w:highlight w:val="none"/>
                <w:lang w:val="en-US" w:eastAsia="zh-CN"/>
              </w:rPr>
              <w:t>。</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Theme="minorEastAsia" w:hAnsiTheme="minorEastAsia" w:eastAsiaTheme="minorEastAsia" w:cstheme="minorEastAsia"/>
                <w:color w:val="auto"/>
                <w:highlight w:val="none"/>
                <w:lang w:val="en-US" w:eastAsia="zh-CN"/>
              </w:rPr>
              <w:t>1、</w:t>
            </w:r>
            <w:r>
              <w:rPr>
                <w:rFonts w:hint="eastAsia" w:ascii="宋体" w:hAnsi="宋体" w:cs="宋体"/>
                <w:color w:val="auto"/>
                <w:kern w:val="0"/>
                <w:szCs w:val="21"/>
                <w:highlight w:val="none"/>
              </w:rPr>
              <w:t>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hint="eastAsia" w:asciiTheme="minorEastAsia" w:hAnsiTheme="minorEastAsia" w:eastAsiaTheme="minorEastAsia" w:cstheme="minorEastAsia"/>
                <w:color w:val="auto"/>
                <w:highlight w:val="none"/>
                <w:lang w:val="en-US" w:eastAsia="zh-CN"/>
              </w:rPr>
            </w:pPr>
            <w:r>
              <w:rPr>
                <w:rFonts w:hint="eastAsia" w:ascii="宋体" w:hAnsi="宋体" w:cs="宋体"/>
                <w:color w:val="auto"/>
                <w:kern w:val="0"/>
                <w:szCs w:val="21"/>
                <w:highlight w:val="none"/>
              </w:rPr>
              <w:t>小微企业应当提供《中小企业声明函》（见格式）。</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 按照《政府采购促进中小企业发展管理办法》有关规定，中小企业的标准为：</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2.1提供本企业制造的货物、承担的工程或者服务，或者提供其他中小企业制造的货物，不包括提供或使用大型企业注册商标的货物；</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2.2本规定所称中小企业划分标准，是指国务院有关部门根据企业从业人员、营业收入、资产总额等指标制定的中小企业划型标准（工信部联企业﹝2011﹞300号）；</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2.3小型、微型企业提供有中型企业制造的货物的，视同为中型企业；小型、微型、中型企业提供有大型企业制造的货物的，视同为大型企业。</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rPr>
                <w:rFonts w:hint="eastAsia" w:ascii="宋体" w:hAnsi="宋体" w:cs="宋体" w:eastAsiaTheme="minorEastAsia"/>
                <w:bCs/>
                <w:color w:val="auto"/>
                <w:highlight w:val="none"/>
                <w:lang w:val="en-US" w:eastAsia="zh-CN"/>
              </w:rPr>
            </w:pPr>
            <w:r>
              <w:rPr>
                <w:rFonts w:hint="eastAsia" w:asciiTheme="minorEastAsia" w:hAnsiTheme="minorEastAsia" w:eastAsiaTheme="minorEastAsia" w:cstheme="minorEastAsia"/>
                <w:color w:val="auto"/>
                <w:highlight w:val="none"/>
              </w:rPr>
              <w:t>合同签订后设备、人员到场后，支付合同价的30%，游船制作完成经调试验收合格后，支付合同总价的40%，海事监督部门颁发准用证后，支付合同总价的25%，验收合格满两年后15日内支付剩余尾款。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w:t>
            </w:r>
          </w:p>
        </w:tc>
        <w:tc>
          <w:tcPr>
            <w:tcW w:w="2318"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供货要求</w:t>
            </w:r>
          </w:p>
        </w:tc>
        <w:tc>
          <w:tcPr>
            <w:tcW w:w="6112" w:type="dxa"/>
            <w:vAlign w:val="center"/>
          </w:tcPr>
          <w:p>
            <w:pPr>
              <w:pStyle w:val="25"/>
              <w:ind w:left="0" w:leftChars="0" w:firstLine="0" w:firstLineChars="0"/>
              <w:rPr>
                <w:rFonts w:hint="default" w:eastAsia="宋体"/>
                <w:color w:val="auto"/>
                <w:highlight w:val="none"/>
                <w:lang w:val="en-US" w:eastAsia="zh-CN"/>
              </w:rPr>
            </w:pPr>
            <w:r>
              <w:rPr>
                <w:rFonts w:hint="eastAsia"/>
                <w:color w:val="auto"/>
                <w:highlight w:val="none"/>
                <w:lang w:val="en-US" w:eastAsia="zh-CN"/>
              </w:rPr>
              <w:t>若因承包人原因不能按期按质供货，将扣除承包人20万元的违约金，同时每超过一天另扣除合同金额的千分之一。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color w:val="auto"/>
                <w:highlight w:val="none"/>
              </w:rPr>
            </w:pPr>
            <w:r>
              <w:rPr>
                <w:rFonts w:hint="eastAsia" w:ascii="宋体" w:hAnsi="宋体" w:cs="宋体"/>
                <w:bCs/>
                <w:color w:val="auto"/>
                <w:highlight w:val="none"/>
              </w:rPr>
              <w:t>参照豫招协[2023]002号《河南省招标代理服务收费指导意见》中的标准收取，由</w:t>
            </w:r>
            <w:r>
              <w:rPr>
                <w:rFonts w:hint="eastAsia" w:ascii="宋体" w:hAnsi="宋体" w:cs="宋体"/>
                <w:bCs/>
                <w:color w:val="auto"/>
                <w:highlight w:val="none"/>
                <w:lang w:val="en-US" w:eastAsia="zh-CN"/>
              </w:rPr>
              <w:t>中标</w:t>
            </w:r>
            <w:r>
              <w:rPr>
                <w:rFonts w:hint="eastAsia" w:ascii="宋体" w:hAnsi="宋体" w:cs="宋体"/>
                <w:bCs/>
                <w:color w:val="auto"/>
                <w:highlight w:val="none"/>
              </w:rPr>
              <w:t>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宋体" w:hAnsi="宋体" w:cs="宋体"/>
                <w:bCs/>
                <w:color w:val="auto"/>
                <w:highlight w:val="none"/>
              </w:rPr>
            </w:pPr>
            <w:r>
              <w:rPr>
                <w:rFonts w:hint="eastAsia" w:ascii="宋体" w:hAnsi="宋体" w:cs="宋体"/>
                <w:bCs/>
                <w:color w:val="auto"/>
                <w:highlight w:val="none"/>
              </w:rPr>
              <w:t>认定为不响应招标文件的其它条件</w:t>
            </w:r>
          </w:p>
        </w:tc>
        <w:tc>
          <w:tcPr>
            <w:tcW w:w="6112" w:type="dxa"/>
            <w:vAlign w:val="center"/>
          </w:tcPr>
          <w:p>
            <w:pPr>
              <w:pStyle w:val="25"/>
              <w:ind w:firstLine="0" w:firstLineChars="0"/>
              <w:rPr>
                <w:rFonts w:ascii="宋体" w:hAnsi="宋体" w:cs="宋体"/>
                <w:bCs/>
                <w:color w:val="auto"/>
                <w:highlight w:val="none"/>
              </w:rPr>
            </w:pPr>
            <w:r>
              <w:rPr>
                <w:rFonts w:hint="eastAsia" w:ascii="宋体" w:hAnsi="宋体" w:cs="宋体"/>
                <w:bCs/>
                <w:color w:val="auto"/>
                <w:highlight w:val="none"/>
              </w:rPr>
              <w:t>1、未按招标文件明示的规定签字盖章的；</w:t>
            </w:r>
          </w:p>
          <w:p>
            <w:pPr>
              <w:pStyle w:val="25"/>
              <w:ind w:firstLine="0" w:firstLineChars="0"/>
              <w:rPr>
                <w:rFonts w:ascii="宋体" w:hAnsi="宋体" w:cs="宋体"/>
                <w:bCs/>
                <w:color w:val="auto"/>
                <w:highlight w:val="none"/>
              </w:rPr>
            </w:pPr>
            <w:r>
              <w:rPr>
                <w:rFonts w:hint="eastAsia" w:ascii="宋体" w:hAnsi="宋体" w:cs="宋体"/>
                <w:bCs/>
                <w:color w:val="auto"/>
                <w:highlight w:val="none"/>
              </w:rPr>
              <w:t>2、投标文件的关键内容（</w:t>
            </w:r>
            <w:r>
              <w:rPr>
                <w:rFonts w:hint="eastAsia" w:ascii="宋体" w:hAnsi="宋体" w:cs="宋体"/>
                <w:bCs/>
                <w:color w:val="auto"/>
                <w:highlight w:val="none"/>
                <w:lang w:eastAsia="zh-CN"/>
              </w:rPr>
              <w:t>供货及安装期</w:t>
            </w:r>
            <w:r>
              <w:rPr>
                <w:rFonts w:hint="eastAsia" w:ascii="宋体" w:hAnsi="宋体" w:cs="宋体"/>
                <w:bCs/>
                <w:color w:val="auto"/>
                <w:highlight w:val="none"/>
              </w:rPr>
              <w:t>、质量标准、品牌、型号等）未填写或填写字迹模糊、达不到采购要求的；</w:t>
            </w:r>
          </w:p>
          <w:p>
            <w:pPr>
              <w:pStyle w:val="25"/>
              <w:ind w:firstLine="0" w:firstLineChars="0"/>
              <w:rPr>
                <w:rFonts w:ascii="宋体" w:hAnsi="宋体" w:cs="宋体"/>
                <w:bCs/>
                <w:color w:val="auto"/>
                <w:highlight w:val="none"/>
              </w:rPr>
            </w:pPr>
            <w:r>
              <w:rPr>
                <w:rFonts w:hint="eastAsia" w:ascii="宋体" w:hAnsi="宋体" w:cs="宋体"/>
                <w:bCs/>
                <w:color w:val="auto"/>
                <w:highlight w:val="none"/>
              </w:rPr>
              <w:t>3、投标报价超出招标控制价的；</w:t>
            </w:r>
          </w:p>
          <w:p>
            <w:pPr>
              <w:pStyle w:val="25"/>
              <w:ind w:firstLine="0" w:firstLineChars="0"/>
              <w:rPr>
                <w:rFonts w:ascii="宋体" w:hAnsi="宋体" w:cs="宋体"/>
                <w:bCs/>
                <w:color w:val="auto"/>
                <w:highlight w:val="none"/>
              </w:rPr>
            </w:pPr>
            <w:r>
              <w:rPr>
                <w:rFonts w:hint="eastAsia" w:ascii="宋体" w:hAnsi="宋体" w:cs="宋体"/>
                <w:bCs/>
                <w:color w:val="auto"/>
                <w:highlight w:val="none"/>
              </w:rPr>
              <w:t>4、供应商递交两份或多份内容不同的投标文件，或在一份投标文件中对同一招标项目有两个或多个报价，且未声明哪一个有效的；</w:t>
            </w:r>
          </w:p>
          <w:p>
            <w:pPr>
              <w:pStyle w:val="25"/>
              <w:ind w:firstLine="0" w:firstLineChars="0"/>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、未按要求在报价明细表中标明品牌、型号及技术参数的。</w:t>
            </w:r>
          </w:p>
          <w:p>
            <w:pPr>
              <w:pStyle w:val="25"/>
              <w:ind w:firstLine="0" w:firstLineChars="0"/>
              <w:rPr>
                <w:rFonts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、附有采购人不能接受的条件的；</w:t>
            </w:r>
          </w:p>
          <w:p>
            <w:pPr>
              <w:pStyle w:val="25"/>
              <w:ind w:firstLine="0" w:firstLineChars="0"/>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、评标过程中，如因两个或两个以上供应商在同一台计算或同一个IP上传</w:t>
            </w:r>
            <w:r>
              <w:rPr>
                <w:rFonts w:hint="eastAsia" w:ascii="宋体" w:hAnsi="宋体" w:cs="宋体"/>
                <w:bCs/>
                <w:color w:val="auto"/>
                <w:highlight w:val="none"/>
                <w:lang w:eastAsia="zh-CN"/>
              </w:rPr>
              <w:t>投标文件</w:t>
            </w:r>
            <w:r>
              <w:rPr>
                <w:rFonts w:hint="eastAsia" w:ascii="宋体" w:hAnsi="宋体" w:cs="宋体"/>
                <w:bCs/>
                <w:color w:val="auto"/>
                <w:highlight w:val="none"/>
              </w:rPr>
              <w:t>，而被不见面开标系统提示为“投标文件制作机器码一致”的，则视其投标无效。</w:t>
            </w:r>
          </w:p>
          <w:p>
            <w:pPr>
              <w:pStyle w:val="25"/>
              <w:ind w:firstLine="0" w:firstLineChars="0"/>
              <w:rPr>
                <w:rFonts w:ascii="宋体" w:hAnsi="宋体" w:cs="宋体"/>
                <w:bCs/>
                <w:color w:val="auto"/>
                <w:highlight w:val="none"/>
              </w:rPr>
            </w:pPr>
            <w:r>
              <w:rPr>
                <w:rFonts w:hint="eastAsia" w:ascii="宋体" w:hAnsi="宋体" w:cs="宋体"/>
                <w:bCs/>
                <w:color w:val="auto"/>
                <w:highlight w:val="none"/>
                <w:lang w:val="en-US" w:eastAsia="zh-CN"/>
              </w:rPr>
              <w:t>8</w:t>
            </w:r>
            <w:r>
              <w:rPr>
                <w:rFonts w:hint="eastAsia" w:ascii="宋体" w:hAnsi="宋体" w:cs="宋体"/>
                <w:bCs/>
                <w:color w:val="auto"/>
                <w:highlight w:val="none"/>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pStyle w:val="25"/>
              <w:tabs>
                <w:tab w:val="left" w:pos="1268"/>
              </w:tabs>
              <w:ind w:firstLine="0" w:firstLineChars="0"/>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5"/>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本项目采购货物在质保期内属于货物质量问题的，成交供应商应免费维修，不能维修的应及时更换新货物，供应商须针对质保期内的质量问题提供承诺函。</w:t>
            </w:r>
          </w:p>
        </w:tc>
      </w:tr>
    </w:tbl>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4" w:name="_Toc7029"/>
      <w:bookmarkStart w:id="15" w:name="_Toc23082"/>
      <w:bookmarkStart w:id="16" w:name="_Toc23576"/>
      <w:bookmarkStart w:id="17" w:name="_Toc9048"/>
      <w:bookmarkStart w:id="18" w:name="_Toc403122491"/>
      <w:bookmarkStart w:id="19" w:name="_Toc426369479"/>
      <w:bookmarkStart w:id="20" w:name="_Toc426369491"/>
      <w:bookmarkStart w:id="21" w:name="_Toc403122503"/>
      <w:bookmarkStart w:id="22" w:name="_Toc26894"/>
      <w:r>
        <w:rPr>
          <w:rFonts w:hint="eastAsia" w:asciiTheme="minorEastAsia" w:hAnsiTheme="minorEastAsia" w:eastAsiaTheme="minorEastAsia" w:cstheme="minorEastAsia"/>
          <w:color w:val="auto"/>
          <w:sz w:val="24"/>
          <w:szCs w:val="24"/>
          <w:highlight w:val="none"/>
        </w:rPr>
        <w:t>1. 总则</w:t>
      </w:r>
      <w:bookmarkEnd w:id="14"/>
      <w:bookmarkEnd w:id="15"/>
      <w:bookmarkEnd w:id="16"/>
      <w:bookmarkEnd w:id="17"/>
      <w:bookmarkEnd w:id="18"/>
      <w:bookmarkEnd w:id="1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3" w:name="_Toc426369480"/>
      <w:bookmarkStart w:id="24" w:name="_Toc403122492"/>
      <w:bookmarkStart w:id="25" w:name="_Toc274249575"/>
      <w:bookmarkStart w:id="26" w:name="_Toc279599771"/>
      <w:r>
        <w:rPr>
          <w:rFonts w:hint="eastAsia" w:asciiTheme="minorEastAsia" w:hAnsiTheme="minorEastAsia" w:eastAsiaTheme="minorEastAsia" w:cstheme="minorEastAsia"/>
          <w:b/>
          <w:bCs/>
          <w:color w:val="auto"/>
          <w:sz w:val="24"/>
          <w:highlight w:val="none"/>
        </w:rPr>
        <w:t>1.1 项目概况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7" w:name="_Toc279599772"/>
      <w:bookmarkStart w:id="28" w:name="_Toc403122493"/>
      <w:bookmarkStart w:id="29" w:name="_Toc426369481"/>
      <w:bookmarkStart w:id="30" w:name="_Toc274249576"/>
      <w:r>
        <w:rPr>
          <w:rFonts w:hint="eastAsia" w:asciiTheme="minorEastAsia" w:hAnsiTheme="minorEastAsia" w:eastAsiaTheme="minorEastAsia" w:cstheme="minorEastAsia"/>
          <w:b/>
          <w:bCs/>
          <w:color w:val="auto"/>
          <w:sz w:val="24"/>
          <w:highlight w:val="none"/>
        </w:rPr>
        <w:t>1.2 资金来源和落实情况</w:t>
      </w:r>
      <w:bookmarkEnd w:id="27"/>
      <w:bookmarkEnd w:id="28"/>
      <w:bookmarkEnd w:id="29"/>
      <w:bookmarkEnd w:id="3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1" w:name="_Toc274249577"/>
      <w:bookmarkStart w:id="32" w:name="_Toc403122494"/>
      <w:bookmarkStart w:id="33" w:name="_Toc426369482"/>
      <w:bookmarkStart w:id="34" w:name="_Toc279599773"/>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eastAsia="zh-CN"/>
        </w:rPr>
        <w:t>供货及安装期</w:t>
      </w:r>
      <w:r>
        <w:rPr>
          <w:rFonts w:hint="eastAsia" w:asciiTheme="minorEastAsia" w:hAnsiTheme="minorEastAsia" w:eastAsiaTheme="minorEastAsia" w:cstheme="minorEastAsia"/>
          <w:b/>
          <w:bCs/>
          <w:color w:val="auto"/>
          <w:sz w:val="24"/>
          <w:highlight w:val="none"/>
        </w:rPr>
        <w:t>和质量</w:t>
      </w:r>
      <w:bookmarkEnd w:id="31"/>
      <w:bookmarkEnd w:id="32"/>
      <w:bookmarkEnd w:id="33"/>
      <w:bookmarkEnd w:id="34"/>
      <w:r>
        <w:rPr>
          <w:rFonts w:hint="eastAsia" w:asciiTheme="minorEastAsia" w:hAnsiTheme="minorEastAsia" w:eastAsiaTheme="minorEastAsia" w:cstheme="minorEastAsia"/>
          <w:b/>
          <w:bCs/>
          <w:color w:val="auto"/>
          <w:sz w:val="24"/>
          <w:highlight w:val="none"/>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5" w:name="_Toc274249578"/>
      <w:bookmarkStart w:id="36" w:name="_Toc279599774"/>
      <w:bookmarkStart w:id="37" w:name="_Toc403122495"/>
      <w:bookmarkStart w:id="38" w:name="_Toc426369483"/>
      <w:r>
        <w:rPr>
          <w:rFonts w:hint="eastAsia" w:asciiTheme="minorEastAsia" w:hAnsiTheme="minorEastAsia" w:eastAsiaTheme="minorEastAsia" w:cstheme="minorEastAsia"/>
          <w:b/>
          <w:bCs/>
          <w:color w:val="auto"/>
          <w:sz w:val="24"/>
          <w:highlight w:val="none"/>
        </w:rPr>
        <w:t>1.4 供应商资格要求</w:t>
      </w:r>
      <w:bookmarkEnd w:id="35"/>
      <w:bookmarkEnd w:id="36"/>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9" w:name="_Toc279599775"/>
      <w:bookmarkStart w:id="40" w:name="_Toc274249579"/>
      <w:bookmarkStart w:id="41"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26369484"/>
      <w:r>
        <w:rPr>
          <w:rFonts w:hint="eastAsia" w:asciiTheme="minorEastAsia" w:hAnsiTheme="minorEastAsia" w:eastAsiaTheme="minorEastAsia" w:cstheme="minorEastAsia"/>
          <w:b/>
          <w:bCs/>
          <w:color w:val="auto"/>
          <w:sz w:val="24"/>
          <w:highlight w:val="none"/>
        </w:rPr>
        <w:t>1.5 费用承担</w:t>
      </w:r>
      <w:bookmarkEnd w:id="39"/>
      <w:bookmarkEnd w:id="40"/>
      <w:bookmarkEnd w:id="41"/>
      <w:bookmarkEnd w:id="4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3" w:name="_Toc403122497"/>
      <w:bookmarkStart w:id="44" w:name="_Toc426369485"/>
      <w:r>
        <w:rPr>
          <w:rFonts w:hint="eastAsia" w:asciiTheme="minorEastAsia" w:hAnsiTheme="minorEastAsia" w:eastAsiaTheme="minorEastAsia" w:cstheme="minorEastAsia"/>
          <w:b/>
          <w:bCs/>
          <w:color w:val="auto"/>
          <w:sz w:val="24"/>
          <w:highlight w:val="none"/>
        </w:rPr>
        <w:t>1.6 保密</w:t>
      </w:r>
      <w:bookmarkEnd w:id="43"/>
      <w:bookmarkEnd w:id="4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279599777"/>
      <w:bookmarkStart w:id="46" w:name="_Toc426369486"/>
      <w:bookmarkStart w:id="47" w:name="_Toc403122498"/>
      <w:bookmarkStart w:id="48" w:name="_Toc274249581"/>
      <w:r>
        <w:rPr>
          <w:rFonts w:hint="eastAsia" w:asciiTheme="minorEastAsia" w:hAnsiTheme="minorEastAsia" w:eastAsiaTheme="minorEastAsia" w:cstheme="minorEastAsia"/>
          <w:b/>
          <w:bCs/>
          <w:color w:val="auto"/>
          <w:sz w:val="24"/>
          <w:highlight w:val="none"/>
        </w:rPr>
        <w:t>1.7 语言文字</w:t>
      </w:r>
      <w:bookmarkEnd w:id="45"/>
      <w:bookmarkEnd w:id="46"/>
      <w:bookmarkEnd w:id="47"/>
      <w:bookmarkEnd w:id="48"/>
      <w:r>
        <w:rPr>
          <w:rFonts w:hint="eastAsia" w:asciiTheme="minorEastAsia" w:hAnsiTheme="minorEastAsia" w:eastAsiaTheme="minorEastAsia" w:cstheme="minorEastAsia"/>
          <w:b/>
          <w:bCs/>
          <w:color w:val="auto"/>
          <w:sz w:val="24"/>
          <w:highlight w:val="none"/>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03122499"/>
      <w:bookmarkStart w:id="50" w:name="_Toc426369487"/>
    </w:p>
    <w:p>
      <w:pPr>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9"/>
      <w:bookmarkEnd w:id="5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1" w:name="_Toc274249583"/>
      <w:bookmarkStart w:id="52" w:name="_Toc403122500"/>
      <w:bookmarkStart w:id="53" w:name="_Toc279599779"/>
      <w:bookmarkStart w:id="54" w:name="_Toc426369488"/>
      <w:r>
        <w:rPr>
          <w:rFonts w:hint="eastAsia" w:asciiTheme="minorEastAsia" w:hAnsiTheme="minorEastAsia" w:eastAsiaTheme="minorEastAsia" w:cstheme="minorEastAsia"/>
          <w:b/>
          <w:bCs/>
          <w:color w:val="auto"/>
          <w:sz w:val="24"/>
          <w:highlight w:val="none"/>
        </w:rPr>
        <w:t>1.9 踏勘现场</w:t>
      </w:r>
      <w:bookmarkEnd w:id="51"/>
      <w:bookmarkEnd w:id="52"/>
      <w:bookmarkEnd w:id="53"/>
      <w:bookmarkEnd w:id="5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426369489"/>
      <w:bookmarkStart w:id="56" w:name="_Toc403122501"/>
      <w:bookmarkStart w:id="57" w:name="_Toc279599780"/>
      <w:bookmarkStart w:id="58" w:name="_Toc274249584"/>
      <w:r>
        <w:rPr>
          <w:rFonts w:hint="eastAsia" w:asciiTheme="minorEastAsia" w:hAnsiTheme="minorEastAsia" w:eastAsiaTheme="minorEastAsia" w:cstheme="minorEastAsia"/>
          <w:b/>
          <w:bCs/>
          <w:color w:val="auto"/>
          <w:sz w:val="24"/>
          <w:highlight w:val="none"/>
        </w:rPr>
        <w:t>1.10 投标预备会</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274249585"/>
      <w:bookmarkStart w:id="60" w:name="_Toc403122502"/>
      <w:bookmarkStart w:id="61" w:name="_Toc426369490"/>
      <w:bookmarkStart w:id="62" w:name="_Toc279599781"/>
      <w:r>
        <w:rPr>
          <w:rFonts w:hint="eastAsia" w:asciiTheme="minorEastAsia" w:hAnsiTheme="minorEastAsia" w:eastAsiaTheme="minorEastAsia" w:cstheme="minorEastAsia"/>
          <w:b/>
          <w:bCs/>
          <w:color w:val="auto"/>
          <w:sz w:val="24"/>
          <w:highlight w:val="none"/>
        </w:rPr>
        <w:t>1.11 分包</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63" w:name="_Toc20888"/>
      <w:bookmarkStart w:id="64" w:name="_Toc28663"/>
      <w:bookmarkStart w:id="65" w:name="_Toc9121"/>
      <w:r>
        <w:rPr>
          <w:rFonts w:hint="eastAsia" w:asciiTheme="minorEastAsia" w:hAnsiTheme="minorEastAsia" w:eastAsiaTheme="minorEastAsia" w:cstheme="minorEastAsia"/>
          <w:color w:val="auto"/>
          <w:sz w:val="24"/>
          <w:szCs w:val="24"/>
          <w:highlight w:val="none"/>
        </w:rPr>
        <w:t>2. 招标文件</w:t>
      </w:r>
      <w:bookmarkEnd w:id="20"/>
      <w:bookmarkEnd w:id="21"/>
      <w:bookmarkEnd w:id="22"/>
      <w:bookmarkEnd w:id="63"/>
      <w:bookmarkEnd w:id="64"/>
      <w:bookmarkEnd w:id="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6" w:name="_Toc403122504"/>
      <w:bookmarkStart w:id="67" w:name="_Toc426369492"/>
      <w:bookmarkStart w:id="68" w:name="_Toc279599783"/>
      <w:bookmarkStart w:id="69" w:name="_Toc274249587"/>
      <w:r>
        <w:rPr>
          <w:rFonts w:hint="eastAsia" w:asciiTheme="minorEastAsia" w:hAnsiTheme="minorEastAsia" w:eastAsiaTheme="minorEastAsia" w:cstheme="minorEastAsia"/>
          <w:b/>
          <w:bCs/>
          <w:color w:val="auto"/>
          <w:sz w:val="24"/>
          <w:highlight w:val="none"/>
        </w:rPr>
        <w:t>2.1 招标文件的组成</w:t>
      </w:r>
      <w:bookmarkEnd w:id="66"/>
      <w:bookmarkEnd w:id="67"/>
      <w:bookmarkEnd w:id="68"/>
      <w:bookmarkEnd w:id="6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0" w:name="_Toc426369493"/>
      <w:bookmarkStart w:id="71" w:name="_Toc279599784"/>
      <w:bookmarkStart w:id="72" w:name="_Toc274249588"/>
      <w:bookmarkStart w:id="73" w:name="_Toc403122505"/>
      <w:r>
        <w:rPr>
          <w:rFonts w:hint="eastAsia" w:asciiTheme="minorEastAsia" w:hAnsiTheme="minorEastAsia" w:eastAsiaTheme="minorEastAsia" w:cstheme="minorEastAsia"/>
          <w:b/>
          <w:bCs/>
          <w:color w:val="auto"/>
          <w:sz w:val="24"/>
          <w:highlight w:val="none"/>
        </w:rPr>
        <w:t>2.2 招标文件的澄清</w:t>
      </w:r>
      <w:bookmarkEnd w:id="70"/>
      <w:bookmarkEnd w:id="71"/>
      <w:bookmarkEnd w:id="72"/>
      <w:bookmarkEnd w:id="7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4" w:name="_Toc279599785"/>
      <w:bookmarkStart w:id="75" w:name="_Toc426369494"/>
      <w:bookmarkStart w:id="76" w:name="_Toc403122506"/>
      <w:bookmarkStart w:id="77" w:name="_Toc274249589"/>
      <w:r>
        <w:rPr>
          <w:rFonts w:hint="eastAsia" w:asciiTheme="minorEastAsia" w:hAnsiTheme="minorEastAsia" w:eastAsiaTheme="minorEastAsia" w:cstheme="minorEastAsia"/>
          <w:b/>
          <w:bCs/>
          <w:color w:val="auto"/>
          <w:sz w:val="24"/>
          <w:highlight w:val="none"/>
        </w:rPr>
        <w:t>2.3 招标文件的修改</w:t>
      </w:r>
      <w:bookmarkEnd w:id="74"/>
      <w:bookmarkEnd w:id="75"/>
      <w:bookmarkEnd w:id="76"/>
      <w:bookmarkEnd w:id="7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8" w:name="_Toc403122507"/>
      <w:bookmarkStart w:id="79" w:name="_Toc23265"/>
      <w:bookmarkStart w:id="80" w:name="_Toc426369495"/>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81" w:name="_Toc15031"/>
      <w:bookmarkStart w:id="82" w:name="_Toc22914"/>
      <w:bookmarkStart w:id="83" w:name="_Toc13865"/>
      <w:r>
        <w:rPr>
          <w:rFonts w:hint="eastAsia" w:asciiTheme="minorEastAsia" w:hAnsiTheme="minorEastAsia" w:eastAsiaTheme="minorEastAsia" w:cstheme="minorEastAsia"/>
          <w:color w:val="auto"/>
          <w:sz w:val="24"/>
          <w:szCs w:val="24"/>
          <w:highlight w:val="none"/>
        </w:rPr>
        <w:t>3. 投标文件</w:t>
      </w:r>
      <w:bookmarkEnd w:id="78"/>
      <w:bookmarkEnd w:id="79"/>
      <w:bookmarkEnd w:id="80"/>
      <w:bookmarkEnd w:id="81"/>
      <w:bookmarkEnd w:id="82"/>
      <w:bookmarkEnd w:id="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274249591"/>
      <w:bookmarkStart w:id="85" w:name="_Toc279599787"/>
      <w:bookmarkStart w:id="86" w:name="_Toc426369496"/>
      <w:bookmarkStart w:id="87" w:name="_Toc403122508"/>
      <w:r>
        <w:rPr>
          <w:rFonts w:hint="eastAsia" w:asciiTheme="minorEastAsia" w:hAnsiTheme="minorEastAsia" w:eastAsiaTheme="minorEastAsia" w:cstheme="minorEastAsia"/>
          <w:b/>
          <w:bCs/>
          <w:color w:val="auto"/>
          <w:sz w:val="24"/>
          <w:highlight w:val="none"/>
        </w:rPr>
        <w:t>3.1 投标文件的组成</w:t>
      </w:r>
      <w:bookmarkEnd w:id="84"/>
      <w:bookmarkEnd w:id="85"/>
      <w:bookmarkEnd w:id="86"/>
      <w:bookmarkEnd w:id="8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8" w:name="_Toc426369497"/>
      <w:bookmarkStart w:id="89" w:name="_Toc403122509"/>
      <w:bookmarkStart w:id="90" w:name="_Toc274249592"/>
      <w:bookmarkStart w:id="91" w:name="_Toc279599788"/>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四、项目实施方案等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val="en-US" w:eastAsia="zh-CN"/>
        </w:rPr>
        <w:t>政府采购</w:t>
      </w:r>
      <w:r>
        <w:rPr>
          <w:rFonts w:hint="eastAsia" w:ascii="宋体" w:hAnsi="宋体" w:cs="宋体"/>
          <w:color w:val="auto"/>
          <w:szCs w:val="21"/>
          <w:highlight w:val="none"/>
        </w:rPr>
        <w:t>供应商的资格证明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w:t>
      </w:r>
    </w:p>
    <w:p>
      <w:pPr>
        <w:pStyle w:val="24"/>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六、供应商服务承诺和优惠承诺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十、招标文件要求的或供应商认为需要加以说明的其他内容。</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注：1、符合《政府采购法》第二十二条规定的资格条件，按照采购文件约定提供资格承诺，不再提供资质资料，主要包括供应商</w:t>
      </w:r>
      <w:r>
        <w:rPr>
          <w:rFonts w:hint="eastAsia" w:ascii="宋体" w:hAnsi="宋体" w:eastAsia="宋体" w:cs="宋体"/>
          <w:b/>
          <w:bCs/>
          <w:color w:val="auto"/>
          <w:sz w:val="24"/>
          <w:highlight w:val="none"/>
          <w:lang w:eastAsia="zh-CN"/>
        </w:rPr>
        <w:t>在</w:t>
      </w:r>
      <w:r>
        <w:rPr>
          <w:rFonts w:hint="eastAsia" w:ascii="宋体" w:hAnsi="宋体" w:cs="宋体"/>
          <w:b/>
          <w:bCs/>
          <w:color w:val="auto"/>
          <w:sz w:val="24"/>
          <w:highlight w:val="none"/>
          <w:lang w:eastAsia="zh-CN"/>
        </w:rPr>
        <w:t>投标文件</w:t>
      </w:r>
      <w:r>
        <w:rPr>
          <w:rFonts w:hint="eastAsia" w:ascii="宋体" w:hAnsi="宋体" w:eastAsia="宋体" w:cs="宋体"/>
          <w:b/>
          <w:bCs/>
          <w:color w:val="auto"/>
          <w:sz w:val="24"/>
          <w:highlight w:val="none"/>
        </w:rPr>
        <w:t>中无需再提供营业执照、制造商钢质船舶建造能力评估报告或相关等效资格证明</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财务状况报告、依法缴纳税收和社会保障资金、具有履行合同所必须的设备和专业技术能力、参加政府采购活动前三年内</w:t>
      </w:r>
      <w:r>
        <w:rPr>
          <w:rFonts w:hint="eastAsia" w:ascii="宋体" w:hAnsi="宋体" w:cs="宋体"/>
          <w:b/>
          <w:bCs/>
          <w:color w:val="auto"/>
          <w:sz w:val="24"/>
          <w:highlight w:val="none"/>
          <w:lang w:val="en-US" w:eastAsia="zh-CN"/>
        </w:rPr>
        <w:t>在</w:t>
      </w:r>
      <w:r>
        <w:rPr>
          <w:rFonts w:hint="eastAsia" w:ascii="宋体" w:hAnsi="宋体" w:eastAsia="宋体" w:cs="宋体"/>
          <w:b/>
          <w:bCs/>
          <w:color w:val="auto"/>
          <w:sz w:val="24"/>
          <w:highlight w:val="none"/>
        </w:rPr>
        <w:t>经营活动中没有重大违法</w:t>
      </w:r>
      <w:r>
        <w:rPr>
          <w:rFonts w:hint="eastAsia" w:ascii="宋体" w:hAnsi="宋体" w:cs="宋体"/>
          <w:b/>
          <w:bCs/>
          <w:color w:val="auto"/>
          <w:sz w:val="24"/>
          <w:highlight w:val="none"/>
          <w:lang w:val="en-US" w:eastAsia="zh-CN"/>
        </w:rPr>
        <w:t>记录</w:t>
      </w:r>
      <w:r>
        <w:rPr>
          <w:rFonts w:hint="eastAsia" w:ascii="宋体" w:hAnsi="宋体" w:eastAsia="宋体" w:cs="宋体"/>
          <w:b/>
          <w:bCs/>
          <w:color w:val="auto"/>
          <w:sz w:val="24"/>
          <w:highlight w:val="none"/>
        </w:rPr>
        <w:t>相关证明材料。</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w:t>
      </w:r>
      <w:r>
        <w:rPr>
          <w:rFonts w:hint="eastAsia" w:asciiTheme="minorEastAsia" w:hAnsiTheme="minorEastAsia" w:eastAsiaTheme="minorEastAsia" w:cstheme="minorEastAsia"/>
          <w:color w:val="auto"/>
          <w:szCs w:val="21"/>
          <w:highlight w:val="none"/>
          <w:lang w:eastAsia="zh-CN"/>
        </w:rPr>
        <w:t>投标文件</w:t>
      </w:r>
      <w:r>
        <w:rPr>
          <w:rFonts w:hint="eastAsia" w:asciiTheme="minorEastAsia" w:hAnsiTheme="minorEastAsia" w:eastAsiaTheme="minorEastAsia" w:cstheme="minorEastAsia"/>
          <w:color w:val="auto"/>
          <w:szCs w:val="21"/>
          <w:highlight w:val="none"/>
        </w:rPr>
        <w:t>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279599789"/>
      <w:bookmarkStart w:id="93" w:name="_Toc426369498"/>
      <w:bookmarkStart w:id="94" w:name="_Toc274249593"/>
      <w:bookmarkStart w:id="95" w:name="_Toc403122510"/>
      <w:r>
        <w:rPr>
          <w:rFonts w:hint="eastAsia" w:asciiTheme="minorEastAsia" w:hAnsiTheme="minorEastAsia" w:eastAsiaTheme="minorEastAsia" w:cstheme="minorEastAsia"/>
          <w:b/>
          <w:bCs/>
          <w:color w:val="auto"/>
          <w:sz w:val="24"/>
          <w:highlight w:val="none"/>
        </w:rPr>
        <w:t>3.3 投标有效期</w:t>
      </w:r>
      <w:bookmarkEnd w:id="92"/>
      <w:bookmarkEnd w:id="93"/>
      <w:bookmarkEnd w:id="94"/>
      <w:bookmarkEnd w:id="95"/>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426369501"/>
      <w:bookmarkStart w:id="97" w:name="_Toc279599791"/>
      <w:bookmarkStart w:id="98" w:name="_Toc274249595"/>
      <w:bookmarkStart w:id="99" w:name="_Toc403122512"/>
      <w:r>
        <w:rPr>
          <w:rFonts w:hint="eastAsia" w:asciiTheme="minorEastAsia" w:hAnsiTheme="minorEastAsia" w:eastAsiaTheme="minorEastAsia" w:cstheme="minorEastAsia"/>
          <w:b/>
          <w:bCs/>
          <w:color w:val="auto"/>
          <w:sz w:val="24"/>
          <w:highlight w:val="none"/>
        </w:rPr>
        <w:t>3.5 资格审查资料</w:t>
      </w:r>
      <w:bookmarkEnd w:id="96"/>
      <w:bookmarkEnd w:id="97"/>
      <w:bookmarkEnd w:id="98"/>
      <w:bookmarkEnd w:id="99"/>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0" w:name="_Toc279599792"/>
      <w:bookmarkStart w:id="101" w:name="_Toc403122513"/>
      <w:bookmarkStart w:id="102" w:name="_Toc274249596"/>
      <w:bookmarkStart w:id="103" w:name="_Toc426369502"/>
      <w:r>
        <w:rPr>
          <w:rFonts w:hint="eastAsia" w:asciiTheme="minorEastAsia" w:hAnsiTheme="minorEastAsia" w:eastAsiaTheme="minorEastAsia" w:cstheme="minorEastAsia"/>
          <w:b/>
          <w:bCs/>
          <w:color w:val="auto"/>
          <w:sz w:val="24"/>
          <w:highlight w:val="none"/>
        </w:rPr>
        <w:t>3.6 备选投标方案</w:t>
      </w:r>
      <w:bookmarkEnd w:id="100"/>
      <w:bookmarkEnd w:id="101"/>
      <w:bookmarkEnd w:id="102"/>
      <w:bookmarkEnd w:id="103"/>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4" w:name="_Toc426369503"/>
      <w:bookmarkStart w:id="105" w:name="_Toc403122514"/>
      <w:bookmarkStart w:id="106" w:name="_Toc279599793"/>
      <w:bookmarkStart w:id="107" w:name="_Toc274249597"/>
      <w:r>
        <w:rPr>
          <w:rFonts w:hint="eastAsia" w:asciiTheme="minorEastAsia" w:hAnsiTheme="minorEastAsia" w:eastAsiaTheme="minorEastAsia" w:cstheme="minorEastAsia"/>
          <w:b/>
          <w:bCs/>
          <w:color w:val="auto"/>
          <w:sz w:val="24"/>
          <w:highlight w:val="none"/>
        </w:rPr>
        <w:t>3.7 投标文件的编制</w:t>
      </w:r>
      <w:bookmarkEnd w:id="104"/>
      <w:bookmarkEnd w:id="105"/>
      <w:bookmarkEnd w:id="106"/>
      <w:bookmarkEnd w:id="10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eastAsia="zh-CN"/>
        </w:rPr>
        <w:t>供货及安装期</w:t>
      </w:r>
      <w:r>
        <w:rPr>
          <w:rFonts w:hint="eastAsia" w:asciiTheme="minorEastAsia" w:hAnsiTheme="minorEastAsia" w:eastAsiaTheme="minorEastAsia" w:cstheme="minorEastAsia"/>
          <w:color w:val="auto"/>
          <w:szCs w:val="21"/>
          <w:highlight w:val="none"/>
        </w:rPr>
        <w:t>、投标有效期、质量标准、采购要求及服务内容、等实质性内容作出响应。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08" w:name="_Toc426369504"/>
      <w:bookmarkStart w:id="109" w:name="_Toc21879"/>
      <w:bookmarkStart w:id="110" w:name="_Toc31809"/>
      <w:bookmarkStart w:id="111" w:name="_Toc26998"/>
      <w:bookmarkStart w:id="112" w:name="_Toc30100"/>
      <w:bookmarkStart w:id="113" w:name="_Toc403122515"/>
      <w:r>
        <w:rPr>
          <w:rFonts w:hint="eastAsia" w:asciiTheme="minorEastAsia" w:hAnsiTheme="minorEastAsia" w:eastAsiaTheme="minorEastAsia" w:cstheme="minorEastAsia"/>
          <w:color w:val="auto"/>
          <w:sz w:val="24"/>
          <w:szCs w:val="24"/>
          <w:highlight w:val="none"/>
        </w:rPr>
        <w:t>4. 投标</w:t>
      </w:r>
      <w:bookmarkEnd w:id="108"/>
      <w:bookmarkEnd w:id="109"/>
      <w:bookmarkEnd w:id="110"/>
      <w:bookmarkEnd w:id="111"/>
      <w:bookmarkEnd w:id="112"/>
      <w:bookmarkEnd w:id="1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4" w:name="_Toc426369505"/>
      <w:bookmarkStart w:id="115" w:name="_Toc279599795"/>
      <w:bookmarkStart w:id="116" w:name="_Toc403122516"/>
      <w:bookmarkStart w:id="117" w:name="_Toc274249599"/>
      <w:r>
        <w:rPr>
          <w:rFonts w:hint="eastAsia" w:asciiTheme="minorEastAsia" w:hAnsiTheme="minorEastAsia" w:eastAsiaTheme="minorEastAsia" w:cstheme="minorEastAsia"/>
          <w:b/>
          <w:bCs/>
          <w:color w:val="auto"/>
          <w:sz w:val="24"/>
          <w:highlight w:val="none"/>
        </w:rPr>
        <w:t>4.1 投标文件的密封和标记</w:t>
      </w:r>
      <w:bookmarkEnd w:id="114"/>
      <w:bookmarkEnd w:id="115"/>
      <w:bookmarkEnd w:id="116"/>
      <w:bookmarkEnd w:id="117"/>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8" w:name="_Toc426369506"/>
      <w:bookmarkStart w:id="119" w:name="_Toc403122517"/>
      <w:bookmarkStart w:id="120" w:name="_Toc274249600"/>
      <w:bookmarkStart w:id="121" w:name="_Toc279599796"/>
      <w:r>
        <w:rPr>
          <w:rFonts w:hint="eastAsia" w:asciiTheme="minorEastAsia" w:hAnsiTheme="minorEastAsia" w:eastAsiaTheme="minorEastAsia" w:cstheme="minorEastAsia"/>
          <w:b/>
          <w:bCs/>
          <w:color w:val="auto"/>
          <w:sz w:val="24"/>
          <w:highlight w:val="none"/>
        </w:rPr>
        <w:t>4.2 投标文件的递交</w:t>
      </w:r>
      <w:bookmarkEnd w:id="118"/>
      <w:bookmarkEnd w:id="119"/>
      <w:bookmarkEnd w:id="120"/>
      <w:bookmarkEnd w:id="121"/>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22" w:name="_Hlt26954754"/>
      <w:bookmarkEnd w:id="122"/>
      <w:bookmarkStart w:id="123" w:name="_Hlt26954862"/>
      <w:bookmarkEnd w:id="12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9599797"/>
      <w:bookmarkStart w:id="125" w:name="_Toc403122518"/>
      <w:bookmarkStart w:id="126" w:name="_Toc426369507"/>
      <w:bookmarkStart w:id="127" w:name="_Toc274249601"/>
      <w:r>
        <w:rPr>
          <w:rFonts w:hint="eastAsia" w:asciiTheme="minorEastAsia" w:hAnsiTheme="minorEastAsia" w:eastAsiaTheme="minorEastAsia" w:cstheme="minorEastAsia"/>
          <w:b/>
          <w:bCs/>
          <w:color w:val="auto"/>
          <w:sz w:val="24"/>
          <w:highlight w:val="none"/>
        </w:rPr>
        <w:t>4.3 投标文件的修改与撤回</w:t>
      </w:r>
      <w:bookmarkEnd w:id="124"/>
      <w:bookmarkEnd w:id="125"/>
      <w:bookmarkEnd w:id="126"/>
      <w:bookmarkEnd w:id="12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22"/>
        <w:spacing w:before="120" w:after="120" w:line="500" w:lineRule="exact"/>
        <w:ind w:right="-1029" w:rightChars="-490" w:firstLine="482" w:firstLineChars="200"/>
        <w:jc w:val="left"/>
        <w:outlineLvl w:val="1"/>
        <w:rPr>
          <w:rFonts w:asciiTheme="minorEastAsia" w:hAnsiTheme="minorEastAsia" w:eastAsiaTheme="minorEastAsia" w:cstheme="minorEastAsia"/>
          <w:color w:val="auto"/>
          <w:sz w:val="24"/>
          <w:szCs w:val="24"/>
          <w:highlight w:val="none"/>
        </w:rPr>
      </w:pPr>
      <w:bookmarkStart w:id="128" w:name="_Toc22737"/>
      <w:bookmarkStart w:id="129" w:name="_Toc32449"/>
      <w:bookmarkStart w:id="130" w:name="_Toc426369508"/>
      <w:bookmarkStart w:id="131" w:name="_Toc403122519"/>
      <w:bookmarkStart w:id="132" w:name="_Toc18170"/>
      <w:bookmarkStart w:id="133" w:name="_Toc5457"/>
      <w:r>
        <w:rPr>
          <w:rFonts w:hint="eastAsia" w:asciiTheme="minorEastAsia" w:hAnsiTheme="minorEastAsia" w:eastAsiaTheme="minorEastAsia" w:cstheme="minorEastAsia"/>
          <w:color w:val="auto"/>
          <w:sz w:val="24"/>
          <w:szCs w:val="24"/>
          <w:highlight w:val="none"/>
        </w:rPr>
        <w:t>5. 开标</w:t>
      </w:r>
      <w:bookmarkEnd w:id="128"/>
      <w:bookmarkEnd w:id="129"/>
      <w:bookmarkEnd w:id="130"/>
      <w:bookmarkEnd w:id="131"/>
      <w:bookmarkEnd w:id="132"/>
      <w:bookmarkEnd w:id="13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5.1.2供应商不足3家的，不得开标。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4" w:name="_Toc426369509"/>
      <w:bookmarkStart w:id="135" w:name="_Toc279599799"/>
      <w:bookmarkStart w:id="136" w:name="_Toc403122520"/>
      <w:bookmarkStart w:id="137" w:name="_Toc274249603"/>
      <w:r>
        <w:rPr>
          <w:rFonts w:hint="eastAsia" w:asciiTheme="minorEastAsia" w:hAnsiTheme="minorEastAsia" w:eastAsiaTheme="minorEastAsia" w:cstheme="minorEastAsia"/>
          <w:b/>
          <w:bCs/>
          <w:color w:val="auto"/>
          <w:sz w:val="24"/>
          <w:highlight w:val="none"/>
        </w:rPr>
        <w:t>5.2 开标时间和地点</w:t>
      </w:r>
      <w:bookmarkEnd w:id="134"/>
      <w:bookmarkEnd w:id="135"/>
      <w:bookmarkEnd w:id="136"/>
      <w:bookmarkEnd w:id="13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8" w:name="_Toc274249604"/>
      <w:bookmarkStart w:id="139" w:name="_Toc426369510"/>
      <w:bookmarkStart w:id="140" w:name="_Toc403122521"/>
      <w:bookmarkStart w:id="141" w:name="_Toc279599800"/>
      <w:r>
        <w:rPr>
          <w:rFonts w:hint="eastAsia" w:asciiTheme="minorEastAsia" w:hAnsiTheme="minorEastAsia" w:eastAsiaTheme="minorEastAsia" w:cstheme="minorEastAsia"/>
          <w:b/>
          <w:bCs/>
          <w:color w:val="auto"/>
          <w:sz w:val="24"/>
          <w:highlight w:val="none"/>
        </w:rPr>
        <w:t>5.3开标程序</w:t>
      </w:r>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42"/>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3" w:name="_Toc403122522"/>
      <w:bookmarkStart w:id="144" w:name="_Toc426369512"/>
      <w:bookmarkStart w:id="145" w:name="_Toc21662"/>
      <w:bookmarkStart w:id="146" w:name="_Toc12881"/>
      <w:r>
        <w:rPr>
          <w:rFonts w:hint="eastAsia" w:asciiTheme="minorEastAsia" w:hAnsiTheme="minorEastAsia" w:eastAsiaTheme="minorEastAsia" w:cstheme="minorEastAsia"/>
          <w:color w:val="auto"/>
          <w:szCs w:val="21"/>
          <w:highlight w:val="none"/>
        </w:rPr>
        <w:t>5.4.1</w:t>
      </w:r>
      <w:r>
        <w:rPr>
          <w:rFonts w:hint="eastAsia" w:asciiTheme="minorEastAsia" w:hAnsiTheme="minorEastAsia" w:eastAsiaTheme="minorEastAsia" w:cstheme="minorEastAsia"/>
          <w:color w:val="auto"/>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color w:val="auto"/>
          <w:szCs w:val="21"/>
          <w:highlight w:val="none"/>
          <w:lang w:val="zh-CN"/>
        </w:rPr>
        <w:t>语音异议</w:t>
      </w:r>
      <w:bookmarkEnd w:id="147"/>
      <w:r>
        <w:rPr>
          <w:rFonts w:hint="eastAsia" w:asciiTheme="minorEastAsia" w:hAnsiTheme="minorEastAsia" w:eastAsiaTheme="minorEastAsia" w:cstheme="minorEastAsia"/>
          <w:color w:val="auto"/>
          <w:szCs w:val="21"/>
          <w:highlight w:val="none"/>
          <w:lang w:val="zh-CN"/>
        </w:rPr>
        <w:t>、</w:t>
      </w:r>
      <w:bookmarkStart w:id="148" w:name="_Toc20745"/>
      <w:r>
        <w:rPr>
          <w:rFonts w:hint="eastAsia" w:asciiTheme="minorEastAsia" w:hAnsiTheme="minorEastAsia" w:eastAsiaTheme="minorEastAsia" w:cstheme="minorEastAsia"/>
          <w:color w:val="auto"/>
          <w:szCs w:val="21"/>
          <w:highlight w:val="none"/>
          <w:lang w:val="zh-CN"/>
        </w:rPr>
        <w:t>文字异议</w:t>
      </w:r>
      <w:bookmarkEnd w:id="14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49" w:name="_Toc13445"/>
      <w:bookmarkStart w:id="150" w:name="_Toc9927"/>
      <w:r>
        <w:rPr>
          <w:rFonts w:hint="eastAsia" w:asciiTheme="minorEastAsia" w:hAnsiTheme="minorEastAsia" w:eastAsiaTheme="minorEastAsia" w:cstheme="minorEastAsia"/>
          <w:b/>
          <w:bCs/>
          <w:color w:val="auto"/>
          <w:szCs w:val="21"/>
          <w:highlight w:val="none"/>
        </w:rPr>
        <w:t>5.资格审查工作</w:t>
      </w:r>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bookmarkStart w:id="151" w:name="_Toc18803"/>
      <w:bookmarkStart w:id="152" w:name="_Toc25275"/>
      <w:bookmarkStart w:id="153" w:name="_Toc22488"/>
      <w:bookmarkStart w:id="154" w:name="_Toc25448"/>
      <w:bookmarkStart w:id="155" w:name="_Toc18806"/>
      <w:bookmarkStart w:id="156" w:name="_Toc18888"/>
      <w:bookmarkStart w:id="157" w:name="_Toc15919"/>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58" w:name="_Toc6889"/>
      <w:bookmarkStart w:id="159" w:name="_Toc4643"/>
      <w:r>
        <w:rPr>
          <w:rFonts w:hint="eastAsia" w:asciiTheme="minorEastAsia" w:hAnsiTheme="minorEastAsia" w:eastAsiaTheme="minorEastAsia" w:cstheme="minorEastAsia"/>
          <w:color w:val="auto"/>
          <w:sz w:val="24"/>
          <w:szCs w:val="24"/>
          <w:highlight w:val="none"/>
        </w:rPr>
        <w:t>6. 评标</w:t>
      </w:r>
      <w:bookmarkEnd w:id="143"/>
      <w:bookmarkEnd w:id="144"/>
      <w:bookmarkEnd w:id="145"/>
      <w:bookmarkEnd w:id="146"/>
      <w:bookmarkEnd w:id="158"/>
      <w:bookmarkEnd w:id="15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0" w:name="_Toc274249606"/>
      <w:bookmarkStart w:id="161" w:name="_Toc403122523"/>
      <w:bookmarkStart w:id="162" w:name="_Toc279599802"/>
      <w:bookmarkStart w:id="163" w:name="_Toc426369513"/>
      <w:r>
        <w:rPr>
          <w:rFonts w:hint="eastAsia" w:asciiTheme="minorEastAsia" w:hAnsiTheme="minorEastAsia" w:eastAsiaTheme="minorEastAsia" w:cstheme="minorEastAsia"/>
          <w:b/>
          <w:bCs/>
          <w:color w:val="auto"/>
          <w:sz w:val="24"/>
          <w:highlight w:val="none"/>
        </w:rPr>
        <w:t>6.1 评标委员会</w:t>
      </w:r>
      <w:bookmarkEnd w:id="160"/>
      <w:bookmarkEnd w:id="161"/>
      <w:bookmarkEnd w:id="162"/>
      <w:bookmarkEnd w:id="16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4" w:name="_Toc274249607"/>
      <w:bookmarkStart w:id="165" w:name="_Toc279599803"/>
      <w:bookmarkStart w:id="166" w:name="_Toc426369514"/>
      <w:bookmarkStart w:id="167" w:name="_Toc403122524"/>
      <w:r>
        <w:rPr>
          <w:rFonts w:hint="eastAsia" w:asciiTheme="minorEastAsia" w:hAnsiTheme="minorEastAsia" w:eastAsiaTheme="minorEastAsia" w:cstheme="minorEastAsia"/>
          <w:b/>
          <w:bCs/>
          <w:color w:val="auto"/>
          <w:sz w:val="24"/>
          <w:highlight w:val="none"/>
        </w:rPr>
        <w:t>6.2 评标原则</w:t>
      </w:r>
      <w:bookmarkEnd w:id="164"/>
      <w:bookmarkEnd w:id="165"/>
      <w:bookmarkEnd w:id="166"/>
      <w:bookmarkEnd w:id="16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color w:val="auto"/>
          <w:szCs w:val="21"/>
          <w:highlight w:val="none"/>
        </w:rPr>
      </w:pPr>
      <w:bookmarkStart w:id="168" w:name="_Toc274249608"/>
      <w:bookmarkStart w:id="169" w:name="_Toc426369515"/>
      <w:bookmarkStart w:id="170" w:name="_Toc279599804"/>
      <w:bookmarkStart w:id="171" w:name="_Toc403122525"/>
      <w:r>
        <w:rPr>
          <w:rFonts w:hint="eastAsia" w:asciiTheme="minorEastAsia" w:hAnsiTheme="minorEastAsia" w:eastAsiaTheme="minorEastAsia" w:cstheme="minorEastAsia"/>
          <w:b/>
          <w:bCs/>
          <w:color w:val="auto"/>
          <w:sz w:val="24"/>
          <w:highlight w:val="none"/>
        </w:rPr>
        <w:t>6.3 评标</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同供应商的投标文件由同一单位或者个人编制；</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（2）不同供应商委托同一单位或者个人办理投标事宜；</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（2）要求供应商对投标文件有关事项作出澄清或者说明；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（4）因重大变故，采购任务取消的。废标后，采购人应当将废标理由通知所有供应商。</w:t>
      </w:r>
    </w:p>
    <w:p>
      <w:pPr>
        <w:pStyle w:val="22"/>
        <w:spacing w:before="120" w:after="120" w:line="500" w:lineRule="exact"/>
        <w:ind w:right="-1029" w:rightChars="-490" w:firstLine="482" w:firstLineChars="200"/>
        <w:jc w:val="both"/>
        <w:outlineLvl w:val="1"/>
        <w:rPr>
          <w:color w:val="auto"/>
          <w:highlight w:val="none"/>
        </w:rPr>
      </w:pPr>
      <w:bookmarkStart w:id="172" w:name="_Toc22968"/>
      <w:bookmarkStart w:id="173" w:name="_Toc26569"/>
      <w:bookmarkStart w:id="174" w:name="_Toc426369516"/>
      <w:bookmarkStart w:id="175" w:name="_Toc17811"/>
      <w:bookmarkStart w:id="176" w:name="_Toc8566"/>
      <w:bookmarkStart w:id="177" w:name="_Toc403122526"/>
      <w:r>
        <w:rPr>
          <w:rFonts w:hint="eastAsia" w:asciiTheme="minorEastAsia" w:hAnsiTheme="minorEastAsia" w:eastAsiaTheme="minorEastAsia" w:cstheme="minorEastAsia"/>
          <w:color w:val="auto"/>
          <w:sz w:val="24"/>
          <w:szCs w:val="24"/>
          <w:highlight w:val="none"/>
        </w:rPr>
        <w:t>7. 合同授予</w:t>
      </w:r>
      <w:bookmarkEnd w:id="172"/>
      <w:bookmarkEnd w:id="173"/>
      <w:bookmarkEnd w:id="174"/>
      <w:bookmarkEnd w:id="175"/>
      <w:bookmarkEnd w:id="176"/>
      <w:bookmarkEnd w:id="17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8" w:name="_Toc274249610"/>
      <w:bookmarkStart w:id="179" w:name="_Toc426369517"/>
      <w:bookmarkStart w:id="180" w:name="_Toc403122527"/>
      <w:bookmarkStart w:id="181" w:name="_Toc279599806"/>
      <w:r>
        <w:rPr>
          <w:rFonts w:hint="eastAsia" w:asciiTheme="minorEastAsia" w:hAnsiTheme="minorEastAsia" w:eastAsiaTheme="minorEastAsia" w:cstheme="minorEastAsia"/>
          <w:b/>
          <w:bCs/>
          <w:color w:val="auto"/>
          <w:sz w:val="24"/>
          <w:highlight w:val="none"/>
        </w:rPr>
        <w:t>7.1 定标方式</w:t>
      </w:r>
      <w:bookmarkEnd w:id="178"/>
      <w:bookmarkEnd w:id="179"/>
      <w:bookmarkEnd w:id="180"/>
      <w:bookmarkEnd w:id="18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2" w:name="_Toc403122528"/>
      <w:bookmarkStart w:id="183" w:name="_Toc426369518"/>
      <w:bookmarkStart w:id="184" w:name="_Toc274249611"/>
      <w:bookmarkStart w:id="185" w:name="_Toc279599807"/>
      <w:r>
        <w:rPr>
          <w:rFonts w:hint="eastAsia" w:asciiTheme="minorEastAsia" w:hAnsiTheme="minorEastAsia" w:eastAsiaTheme="minorEastAsia" w:cstheme="minorEastAsia"/>
          <w:b/>
          <w:bCs/>
          <w:color w:val="auto"/>
          <w:sz w:val="24"/>
          <w:highlight w:val="none"/>
        </w:rPr>
        <w:t>7.2 中标通知</w:t>
      </w:r>
      <w:bookmarkEnd w:id="182"/>
      <w:bookmarkEnd w:id="183"/>
      <w:bookmarkEnd w:id="184"/>
      <w:bookmarkEnd w:id="18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6" w:name="_Toc279599808"/>
      <w:bookmarkStart w:id="187" w:name="_Toc311550376"/>
      <w:bookmarkStart w:id="188" w:name="_Toc274249612"/>
      <w:bookmarkStart w:id="189" w:name="_Toc426369519"/>
      <w:bookmarkStart w:id="190" w:name="_Toc403122529"/>
      <w:r>
        <w:rPr>
          <w:rFonts w:hint="eastAsia" w:asciiTheme="minorEastAsia" w:hAnsiTheme="minorEastAsia" w:eastAsiaTheme="minorEastAsia" w:cstheme="minorEastAsia"/>
          <w:b/>
          <w:bCs/>
          <w:color w:val="auto"/>
          <w:sz w:val="24"/>
          <w:highlight w:val="none"/>
        </w:rPr>
        <w:t>7.3履约</w:t>
      </w:r>
      <w:bookmarkEnd w:id="186"/>
      <w:bookmarkEnd w:id="187"/>
      <w:bookmarkEnd w:id="188"/>
      <w:r>
        <w:rPr>
          <w:rFonts w:hint="eastAsia" w:asciiTheme="minorEastAsia" w:hAnsiTheme="minorEastAsia" w:eastAsiaTheme="minorEastAsia" w:cstheme="minorEastAsia"/>
          <w:b/>
          <w:bCs/>
          <w:color w:val="auto"/>
          <w:sz w:val="24"/>
          <w:highlight w:val="none"/>
        </w:rPr>
        <w:t>保证金</w:t>
      </w:r>
      <w:bookmarkEnd w:id="189"/>
      <w:bookmarkEnd w:id="19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1" w:name="_Toc403122530"/>
      <w:bookmarkStart w:id="192" w:name="_Toc426369520"/>
      <w:bookmarkStart w:id="193" w:name="_Toc279599809"/>
      <w:bookmarkStart w:id="194" w:name="_Toc274249613"/>
      <w:r>
        <w:rPr>
          <w:rFonts w:hint="eastAsia" w:asciiTheme="minorEastAsia" w:hAnsiTheme="minorEastAsia" w:eastAsiaTheme="minorEastAsia" w:cstheme="minorEastAsia"/>
          <w:b/>
          <w:bCs/>
          <w:color w:val="auto"/>
          <w:sz w:val="24"/>
          <w:highlight w:val="none"/>
        </w:rPr>
        <w:t>7.4 签订合同</w:t>
      </w:r>
      <w:bookmarkEnd w:id="191"/>
      <w:bookmarkEnd w:id="192"/>
      <w:bookmarkEnd w:id="193"/>
      <w:bookmarkEnd w:id="1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95" w:name="_Toc403122531"/>
      <w:bookmarkStart w:id="196" w:name="_Toc10417"/>
      <w:bookmarkStart w:id="197" w:name="_Toc30009"/>
      <w:bookmarkStart w:id="198" w:name="_Toc29014"/>
      <w:bookmarkStart w:id="199" w:name="_Toc426369521"/>
      <w:bookmarkStart w:id="200" w:name="_Toc10541"/>
      <w:r>
        <w:rPr>
          <w:rFonts w:hint="eastAsia" w:asciiTheme="minorEastAsia" w:hAnsiTheme="minorEastAsia" w:eastAsiaTheme="minorEastAsia" w:cstheme="minorEastAsia"/>
          <w:color w:val="auto"/>
          <w:sz w:val="24"/>
          <w:szCs w:val="24"/>
          <w:highlight w:val="none"/>
        </w:rPr>
        <w:t>8. 重新招标</w:t>
      </w:r>
      <w:bookmarkEnd w:id="195"/>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403122532"/>
      <w:bookmarkStart w:id="202" w:name="_Toc279599811"/>
      <w:bookmarkStart w:id="203" w:name="_Toc274249615"/>
      <w:bookmarkStart w:id="204" w:name="_Toc426369522"/>
      <w:r>
        <w:rPr>
          <w:rFonts w:hint="eastAsia" w:asciiTheme="minorEastAsia" w:hAnsiTheme="minorEastAsia" w:eastAsiaTheme="minorEastAsia" w:cstheme="minorEastAsia"/>
          <w:b/>
          <w:bCs/>
          <w:color w:val="auto"/>
          <w:sz w:val="24"/>
          <w:highlight w:val="none"/>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05" w:name="_Toc27398"/>
      <w:bookmarkStart w:id="206" w:name="_Toc14622"/>
      <w:bookmarkStart w:id="207" w:name="_Toc10372"/>
      <w:bookmarkStart w:id="208" w:name="_Toc426369523"/>
      <w:bookmarkStart w:id="209" w:name="_Toc3760"/>
      <w:bookmarkStart w:id="210" w:name="_Toc403122533"/>
      <w:r>
        <w:rPr>
          <w:rFonts w:hint="eastAsia" w:asciiTheme="minorEastAsia" w:hAnsiTheme="minorEastAsia" w:eastAsiaTheme="minorEastAsia" w:cstheme="minorEastAsia"/>
          <w:color w:val="auto"/>
          <w:sz w:val="24"/>
          <w:szCs w:val="24"/>
          <w:highlight w:val="none"/>
        </w:rPr>
        <w:t>9. 纪律和监督</w:t>
      </w:r>
      <w:bookmarkEnd w:id="205"/>
      <w:bookmarkEnd w:id="206"/>
      <w:bookmarkEnd w:id="207"/>
      <w:bookmarkEnd w:id="208"/>
      <w:bookmarkEnd w:id="209"/>
      <w:bookmarkEnd w:id="2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1" w:name="_Toc426369524"/>
      <w:bookmarkStart w:id="212" w:name="_Toc274249618"/>
      <w:bookmarkStart w:id="213" w:name="_Toc403122534"/>
      <w:bookmarkStart w:id="214" w:name="_Toc279599814"/>
      <w:r>
        <w:rPr>
          <w:rFonts w:hint="eastAsia" w:asciiTheme="minorEastAsia" w:hAnsiTheme="minorEastAsia" w:eastAsiaTheme="minorEastAsia" w:cstheme="minorEastAsia"/>
          <w:b/>
          <w:bCs/>
          <w:color w:val="auto"/>
          <w:sz w:val="24"/>
          <w:highlight w:val="none"/>
        </w:rPr>
        <w:t>9.1 对采购人的纪律要求</w:t>
      </w:r>
      <w:bookmarkEnd w:id="211"/>
      <w:bookmarkEnd w:id="212"/>
      <w:bookmarkEnd w:id="213"/>
      <w:bookmarkEnd w:id="21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5" w:name="_Toc279599815"/>
      <w:bookmarkStart w:id="216" w:name="_Toc426369525"/>
      <w:bookmarkStart w:id="217" w:name="_Toc403122535"/>
      <w:bookmarkStart w:id="218" w:name="_Toc274249619"/>
      <w:r>
        <w:rPr>
          <w:rFonts w:hint="eastAsia" w:asciiTheme="minorEastAsia" w:hAnsiTheme="minorEastAsia" w:eastAsiaTheme="minorEastAsia" w:cstheme="minorEastAsia"/>
          <w:b/>
          <w:bCs/>
          <w:color w:val="auto"/>
          <w:sz w:val="24"/>
          <w:highlight w:val="none"/>
        </w:rPr>
        <w:t>9.2 对供应商的纪律要求</w:t>
      </w:r>
      <w:bookmarkEnd w:id="215"/>
      <w:bookmarkEnd w:id="216"/>
      <w:bookmarkEnd w:id="217"/>
      <w:bookmarkEnd w:id="2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9" w:name="_Toc426369526"/>
      <w:bookmarkStart w:id="220" w:name="_Toc274249620"/>
      <w:bookmarkStart w:id="221" w:name="_Toc403122536"/>
      <w:bookmarkStart w:id="222" w:name="_Toc279599816"/>
      <w:r>
        <w:rPr>
          <w:rFonts w:hint="eastAsia" w:asciiTheme="minorEastAsia" w:hAnsiTheme="minorEastAsia" w:eastAsiaTheme="minorEastAsia" w:cstheme="minorEastAsia"/>
          <w:b/>
          <w:bCs/>
          <w:color w:val="auto"/>
          <w:sz w:val="24"/>
          <w:highlight w:val="none"/>
        </w:rPr>
        <w:t>9.3 对评标委员会成员的纪律要求</w:t>
      </w:r>
      <w:bookmarkEnd w:id="219"/>
      <w:bookmarkEnd w:id="220"/>
      <w:bookmarkEnd w:id="221"/>
      <w:bookmarkEnd w:id="22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3" w:name="_Toc279599817"/>
      <w:bookmarkStart w:id="224" w:name="_Toc403122537"/>
      <w:bookmarkStart w:id="225" w:name="_Toc426369527"/>
      <w:bookmarkStart w:id="226" w:name="_Toc274249621"/>
      <w:r>
        <w:rPr>
          <w:rFonts w:hint="eastAsia" w:asciiTheme="minorEastAsia" w:hAnsiTheme="minorEastAsia" w:eastAsiaTheme="minorEastAsia" w:cstheme="minorEastAsia"/>
          <w:b/>
          <w:bCs/>
          <w:color w:val="auto"/>
          <w:sz w:val="24"/>
          <w:highlight w:val="none"/>
        </w:rPr>
        <w:t>9.4 对与评标活动有关的工作人员的纪律要求</w:t>
      </w:r>
      <w:bookmarkEnd w:id="223"/>
      <w:bookmarkEnd w:id="224"/>
      <w:bookmarkEnd w:id="225"/>
      <w:bookmarkEnd w:id="22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7" w:name="_Toc403122538"/>
      <w:bookmarkStart w:id="228" w:name="_Toc279599818"/>
      <w:bookmarkStart w:id="229" w:name="_Toc274249622"/>
      <w:bookmarkStart w:id="230" w:name="_Toc426369528"/>
      <w:r>
        <w:rPr>
          <w:rFonts w:hint="eastAsia" w:asciiTheme="minorEastAsia" w:hAnsiTheme="minorEastAsia" w:eastAsiaTheme="minorEastAsia" w:cstheme="minorEastAsia"/>
          <w:b/>
          <w:bCs/>
          <w:color w:val="auto"/>
          <w:sz w:val="24"/>
          <w:highlight w:val="none"/>
        </w:rPr>
        <w:t>9.5 投诉</w:t>
      </w:r>
      <w:bookmarkEnd w:id="227"/>
      <w:bookmarkEnd w:id="228"/>
      <w:bookmarkEnd w:id="229"/>
      <w:bookmarkEnd w:id="23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31" w:name="_Toc426369529"/>
      <w:bookmarkStart w:id="232" w:name="_Toc25080"/>
      <w:bookmarkStart w:id="233" w:name="_Toc10880"/>
      <w:bookmarkStart w:id="234" w:name="_Toc403122539"/>
      <w:bookmarkStart w:id="235" w:name="_Toc13281"/>
      <w:bookmarkStart w:id="236" w:name="_Toc26812"/>
      <w:r>
        <w:rPr>
          <w:rFonts w:hint="eastAsia" w:asciiTheme="minorEastAsia" w:hAnsiTheme="minorEastAsia" w:eastAsiaTheme="minorEastAsia" w:cstheme="minorEastAsia"/>
          <w:color w:val="auto"/>
          <w:sz w:val="24"/>
          <w:szCs w:val="24"/>
          <w:highlight w:val="none"/>
        </w:rPr>
        <w:t>10. 需要补充的其他内容</w:t>
      </w:r>
      <w:bookmarkEnd w:id="231"/>
      <w:bookmarkEnd w:id="232"/>
      <w:bookmarkEnd w:id="233"/>
      <w:bookmarkEnd w:id="234"/>
      <w:bookmarkEnd w:id="235"/>
      <w:bookmarkEnd w:id="236"/>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6"/>
        <w:ind w:firstLine="482" w:firstLineChars="200"/>
        <w:rPr>
          <w:rFonts w:asciiTheme="minorEastAsia" w:hAnsiTheme="minorEastAsia" w:eastAsiaTheme="minorEastAsia" w:cstheme="minorEastAsia"/>
          <w:b/>
          <w:bCs/>
          <w:color w:val="auto"/>
          <w:kern w:val="2"/>
          <w:sz w:val="24"/>
          <w:highlight w:val="none"/>
        </w:rPr>
      </w:pPr>
      <w:r>
        <w:rPr>
          <w:rFonts w:hint="eastAsia" w:asciiTheme="minorEastAsia" w:hAnsiTheme="minorEastAsia" w:eastAsiaTheme="minorEastAsia" w:cstheme="minorEastAsia"/>
          <w:b/>
          <w:bCs/>
          <w:color w:val="auto"/>
          <w:kern w:val="2"/>
          <w:sz w:val="24"/>
          <w:highlight w:val="none"/>
        </w:rPr>
        <w:t>10.2本招标文件未尽事宜，按《中华人民共和国政府采购法》等法律法规的有关规定执行。</w:t>
      </w:r>
    </w:p>
    <w:p>
      <w:pPr>
        <w:pStyle w:val="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2"/>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bookmarkStart w:id="237" w:name="_Toc426369530"/>
      <w:bookmarkStart w:id="238" w:name="_Toc28433"/>
      <w:bookmarkStart w:id="239" w:name="_Toc403122540"/>
      <w:bookmarkStart w:id="240" w:name="_Toc32119"/>
      <w:bookmarkStart w:id="241" w:name="_Toc8251"/>
      <w:r>
        <w:rPr>
          <w:rFonts w:hint="eastAsia" w:asciiTheme="minorEastAsia" w:hAnsiTheme="minorEastAsia" w:eastAsiaTheme="minorEastAsia" w:cstheme="minorEastAsia"/>
          <w:color w:val="auto"/>
          <w:sz w:val="36"/>
          <w:szCs w:val="36"/>
          <w:highlight w:val="none"/>
        </w:rPr>
        <w:t>评标办法</w:t>
      </w:r>
      <w:bookmarkEnd w:id="237"/>
      <w:bookmarkEnd w:id="238"/>
      <w:bookmarkEnd w:id="239"/>
      <w:r>
        <w:rPr>
          <w:rFonts w:hint="eastAsia" w:asciiTheme="minorEastAsia" w:hAnsiTheme="minorEastAsia" w:eastAsiaTheme="minorEastAsia" w:cstheme="minorEastAsia"/>
          <w:color w:val="auto"/>
          <w:sz w:val="36"/>
          <w:szCs w:val="36"/>
          <w:highlight w:val="none"/>
        </w:rPr>
        <w:t>（综合评分法）</w:t>
      </w:r>
      <w:bookmarkEnd w:id="240"/>
      <w:bookmarkEnd w:id="241"/>
    </w:p>
    <w:p>
      <w:pPr>
        <w:pStyle w:val="44"/>
        <w:spacing w:line="540" w:lineRule="exact"/>
        <w:jc w:val="center"/>
        <w:outlineLvl w:val="1"/>
        <w:rPr>
          <w:rFonts w:asciiTheme="minorEastAsia" w:hAnsiTheme="minorEastAsia" w:eastAsiaTheme="minorEastAsia" w:cstheme="minorEastAsia"/>
          <w:b/>
          <w:bCs/>
          <w:color w:val="auto"/>
          <w:sz w:val="28"/>
          <w:szCs w:val="28"/>
          <w:highlight w:val="none"/>
        </w:rPr>
      </w:pPr>
      <w:bookmarkStart w:id="242" w:name="_Toc30933"/>
      <w:bookmarkStart w:id="243" w:name="_Toc21885"/>
      <w:bookmarkStart w:id="244" w:name="_Toc9561"/>
      <w:bookmarkStart w:id="245" w:name="_Toc17859"/>
      <w:bookmarkStart w:id="246" w:name="_Toc29947"/>
      <w:bookmarkStart w:id="247" w:name="_Toc16529"/>
      <w:bookmarkStart w:id="248" w:name="_Toc2761070"/>
      <w:r>
        <w:rPr>
          <w:rFonts w:hint="eastAsia" w:asciiTheme="minorEastAsia" w:hAnsiTheme="minorEastAsia" w:eastAsiaTheme="minorEastAsia" w:cstheme="minorEastAsia"/>
          <w:b/>
          <w:bCs/>
          <w:color w:val="auto"/>
          <w:sz w:val="28"/>
          <w:szCs w:val="28"/>
          <w:highlight w:val="none"/>
        </w:rPr>
        <w:t>评分办法前附表</w:t>
      </w:r>
      <w:bookmarkEnd w:id="242"/>
      <w:bookmarkEnd w:id="243"/>
      <w:bookmarkEnd w:id="244"/>
      <w:bookmarkEnd w:id="245"/>
      <w:bookmarkEnd w:id="246"/>
    </w:p>
    <w:bookmarkEnd w:id="247"/>
    <w:tbl>
      <w:tblPr>
        <w:tblStyle w:val="26"/>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noWrap w:val="0"/>
            <w:vAlign w:val="center"/>
          </w:tcPr>
          <w:p>
            <w:pPr>
              <w:spacing w:line="440" w:lineRule="exact"/>
              <w:jc w:val="center"/>
              <w:rPr>
                <w:rFonts w:hint="eastAsia" w:ascii="宋体" w:hAnsi="宋体" w:cs="宋体"/>
                <w:b/>
                <w:color w:val="auto"/>
                <w:szCs w:val="21"/>
                <w:highlight w:val="none"/>
              </w:rPr>
            </w:pPr>
            <w:bookmarkStart w:id="249" w:name="_Toc403122541"/>
            <w:bookmarkStart w:id="250" w:name="_Toc31084"/>
            <w:bookmarkStart w:id="251" w:name="_Toc426369531"/>
            <w:r>
              <w:rPr>
                <w:rFonts w:hint="eastAsia" w:ascii="宋体" w:hAnsi="宋体" w:cs="宋体"/>
                <w:b/>
                <w:bCs/>
                <w:color w:val="auto"/>
                <w:kern w:val="0"/>
                <w:szCs w:val="21"/>
                <w:highlight w:val="none"/>
              </w:rPr>
              <w:t>审查主体</w:t>
            </w:r>
          </w:p>
        </w:tc>
        <w:tc>
          <w:tcPr>
            <w:tcW w:w="3179" w:type="dxa"/>
            <w:gridSpan w:val="2"/>
            <w:noWrap w:val="0"/>
            <w:vAlign w:val="center"/>
          </w:tcPr>
          <w:p>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602" w:type="dxa"/>
            <w:noWrap w:val="0"/>
            <w:vAlign w:val="center"/>
          </w:tcPr>
          <w:p>
            <w:pPr>
              <w:tabs>
                <w:tab w:val="left" w:pos="417"/>
                <w:tab w:val="center" w:pos="2999"/>
              </w:tabs>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095" w:type="dxa"/>
            <w:vMerge w:val="restar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营业执照、税务登记证、组织机构代码证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或三证合一的营业执照</w:t>
            </w:r>
            <w:r>
              <w:rPr>
                <w:rFonts w:hint="eastAsia" w:ascii="宋体" w:hAnsi="宋体" w:cs="宋体"/>
                <w:color w:val="auto"/>
                <w:szCs w:val="21"/>
                <w:highlight w:val="none"/>
                <w:lang w:eastAsia="zh-CN"/>
              </w:rPr>
              <w:t>）</w:t>
            </w:r>
          </w:p>
        </w:tc>
        <w:tc>
          <w:tcPr>
            <w:tcW w:w="5602" w:type="dxa"/>
            <w:noWrap w:val="0"/>
            <w:vAlign w:val="center"/>
          </w:tcPr>
          <w:p>
            <w:pPr>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2084" w:type="dxa"/>
            <w:noWrap w:val="0"/>
            <w:vAlign w:val="center"/>
          </w:tcPr>
          <w:p>
            <w:pPr>
              <w:spacing w:line="360" w:lineRule="exact"/>
              <w:jc w:val="center"/>
              <w:rPr>
                <w:rFonts w:hint="eastAsia" w:ascii="宋体" w:hAnsi="宋体" w:eastAsia="宋体" w:cs="宋体"/>
                <w:color w:val="auto"/>
                <w:szCs w:val="21"/>
                <w:highlight w:val="none"/>
                <w:lang w:val="en-US" w:eastAsia="zh-CN" w:bidi="hi-IN"/>
              </w:rPr>
            </w:pPr>
            <w:r>
              <w:rPr>
                <w:rFonts w:hint="eastAsia" w:ascii="宋体" w:hAnsi="宋体" w:eastAsia="宋体" w:cs="宋体"/>
                <w:color w:val="auto"/>
                <w:szCs w:val="21"/>
                <w:highlight w:val="none"/>
              </w:rPr>
              <w:t>符合《中华人民共和国政府采购法》第二十二条之规定</w:t>
            </w:r>
          </w:p>
        </w:tc>
        <w:tc>
          <w:tcPr>
            <w:tcW w:w="5602" w:type="dxa"/>
            <w:noWrap w:val="0"/>
            <w:vAlign w:val="center"/>
          </w:tcPr>
          <w:p>
            <w:pPr>
              <w:spacing w:line="360" w:lineRule="exact"/>
              <w:rPr>
                <w:rFonts w:hint="eastAsia" w:ascii="宋体" w:hAnsi="宋体" w:eastAsia="宋体" w:cs="宋体"/>
                <w:color w:val="auto"/>
                <w:szCs w:val="21"/>
                <w:highlight w:val="none"/>
                <w:lang w:val="en-US" w:eastAsia="zh-CN" w:bidi="hi-IN"/>
              </w:rPr>
            </w:pPr>
            <w:r>
              <w:rPr>
                <w:rFonts w:hint="eastAsia" w:ascii="宋体" w:hAnsi="宋体" w:cs="宋体"/>
                <w:color w:val="auto"/>
                <w:szCs w:val="21"/>
                <w:highlight w:val="none"/>
                <w:lang w:val="en-US" w:eastAsia="zh-CN"/>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2084" w:type="dxa"/>
            <w:noWrap w:val="0"/>
            <w:vAlign w:val="center"/>
          </w:tcPr>
          <w:p>
            <w:pPr>
              <w:spacing w:line="360" w:lineRule="exact"/>
              <w:jc w:val="center"/>
              <w:rPr>
                <w:rFonts w:hint="eastAsia" w:ascii="宋体" w:hAnsi="宋体" w:eastAsia="宋体" w:cs="宋体"/>
                <w:color w:val="auto"/>
                <w:szCs w:val="21"/>
                <w:highlight w:val="none"/>
                <w:lang w:val="en-US" w:eastAsia="zh-CN" w:bidi="hi-IN"/>
              </w:rPr>
            </w:pPr>
            <w:r>
              <w:rPr>
                <w:rFonts w:hint="eastAsia" w:ascii="宋体" w:hAnsi="宋体" w:cs="宋体"/>
                <w:color w:val="auto"/>
                <w:szCs w:val="21"/>
                <w:highlight w:val="none"/>
              </w:rPr>
              <w:t>法定代表人证明或法人授权委托书</w:t>
            </w:r>
          </w:p>
        </w:tc>
        <w:tc>
          <w:tcPr>
            <w:tcW w:w="5602" w:type="dxa"/>
            <w:noWrap w:val="0"/>
            <w:vAlign w:val="center"/>
          </w:tcPr>
          <w:p>
            <w:pPr>
              <w:spacing w:line="360" w:lineRule="exact"/>
              <w:rPr>
                <w:rFonts w:hint="eastAsia" w:ascii="宋体" w:hAnsi="宋体" w:eastAsia="宋体" w:cs="宋体"/>
                <w:color w:val="auto"/>
                <w:szCs w:val="21"/>
                <w:highlight w:val="none"/>
                <w:lang w:val="en-US" w:eastAsia="zh-CN" w:bidi="hi-IN"/>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exact"/>
        </w:trPr>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2084"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信誉要求</w:t>
            </w:r>
          </w:p>
        </w:tc>
        <w:tc>
          <w:tcPr>
            <w:tcW w:w="5602" w:type="dxa"/>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95" w:type="dxa"/>
            <w:vMerge w:val="continue"/>
            <w:tcBorders>
              <w:bottom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bottom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bottom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602" w:type="dxa"/>
            <w:tcBorders>
              <w:bottom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购置4艘游船，长约29m，宽约7m，每艘可容纳200名游客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iCs/>
                <w:color w:val="auto"/>
                <w:szCs w:val="21"/>
                <w:highlight w:val="none"/>
              </w:rPr>
              <w:t>供货安装期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450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  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符合“采购</w:t>
            </w:r>
            <w:r>
              <w:rPr>
                <w:rFonts w:hint="eastAsia" w:ascii="宋体" w:hAnsi="宋体" w:cs="宋体"/>
                <w:color w:val="auto"/>
                <w:szCs w:val="21"/>
                <w:highlight w:val="none"/>
                <w:lang w:eastAsia="zh-CN"/>
              </w:rPr>
              <w:t>内容</w:t>
            </w:r>
            <w:r>
              <w:rPr>
                <w:rFonts w:hint="eastAsia" w:ascii="宋体" w:hAnsi="宋体" w:cs="宋体"/>
                <w:color w:val="auto"/>
                <w:szCs w:val="21"/>
                <w:highlight w:val="none"/>
              </w:rPr>
              <w:t>及</w:t>
            </w:r>
            <w:r>
              <w:rPr>
                <w:rFonts w:hint="eastAsia" w:ascii="宋体" w:hAnsi="宋体" w:cs="宋体"/>
                <w:color w:val="auto"/>
                <w:szCs w:val="21"/>
                <w:highlight w:val="none"/>
                <w:lang w:eastAsia="zh-CN"/>
              </w:rPr>
              <w:t>要求</w:t>
            </w:r>
            <w:r>
              <w:rPr>
                <w:rFonts w:hint="eastAsia" w:ascii="宋体" w:hAnsi="宋体" w:cs="宋体"/>
                <w:color w:val="auto"/>
                <w:szCs w:val="21"/>
                <w:highlight w:val="none"/>
              </w:rPr>
              <w:t>”规定，若不符合技术标准和要求规定，将不再进行评审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pPr>
        <w:widowControl/>
        <w:jc w:val="center"/>
        <w:rPr>
          <w:rFonts w:hint="eastAsia" w:ascii="宋体" w:hAnsi="宋体" w:cs="宋体"/>
          <w:b/>
          <w:color w:val="auto"/>
          <w:sz w:val="24"/>
          <w:szCs w:val="24"/>
          <w:highlight w:val="none"/>
        </w:rPr>
      </w:pPr>
    </w:p>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p>
      <w:pPr>
        <w:widowControl/>
        <w:jc w:val="left"/>
        <w:rPr>
          <w:rFonts w:ascii="宋体" w:hAnsi="宋体" w:cs="宋体"/>
          <w:color w:val="auto"/>
          <w:sz w:val="24"/>
          <w:szCs w:val="24"/>
          <w:highlight w:val="none"/>
        </w:rPr>
      </w:pPr>
    </w:p>
    <w:tbl>
      <w:tblPr>
        <w:tblStyle w:val="26"/>
        <w:tblpPr w:leftFromText="180" w:rightFromText="180" w:vertAnchor="text" w:horzAnchor="page" w:tblpX="1048" w:tblpY="111"/>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812"/>
        <w:gridCol w:w="1063"/>
        <w:gridCol w:w="1032"/>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825"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序号</w:t>
            </w:r>
          </w:p>
        </w:tc>
        <w:tc>
          <w:tcPr>
            <w:tcW w:w="812"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内容</w:t>
            </w:r>
          </w:p>
        </w:tc>
        <w:tc>
          <w:tcPr>
            <w:tcW w:w="1063"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评标因素</w:t>
            </w:r>
          </w:p>
        </w:tc>
        <w:tc>
          <w:tcPr>
            <w:tcW w:w="1032"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分值</w:t>
            </w:r>
          </w:p>
        </w:tc>
        <w:tc>
          <w:tcPr>
            <w:tcW w:w="6337"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5" w:type="dxa"/>
            <w:noWrap w:val="0"/>
            <w:vAlign w:val="center"/>
          </w:tcPr>
          <w:p>
            <w:pPr>
              <w:jc w:val="center"/>
              <w:rPr>
                <w:rFonts w:hint="eastAsia" w:ascii="宋体" w:hAnsi="宋体" w:cs="宋体"/>
                <w:color w:val="auto"/>
                <w:spacing w:val="-3"/>
                <w:sz w:val="21"/>
                <w:szCs w:val="21"/>
                <w:highlight w:val="none"/>
              </w:rPr>
            </w:pPr>
            <w:r>
              <w:rPr>
                <w:rFonts w:hint="eastAsia" w:ascii="宋体" w:hAnsi="宋体" w:cs="宋体"/>
                <w:color w:val="auto"/>
                <w:sz w:val="21"/>
                <w:szCs w:val="21"/>
                <w:highlight w:val="none"/>
              </w:rPr>
              <w:t>1</w:t>
            </w:r>
          </w:p>
        </w:tc>
        <w:tc>
          <w:tcPr>
            <w:tcW w:w="812" w:type="dxa"/>
            <w:noWrap w:val="0"/>
            <w:vAlign w:val="center"/>
          </w:tcPr>
          <w:p>
            <w:pPr>
              <w:jc w:val="center"/>
              <w:rPr>
                <w:rFonts w:hint="eastAsia" w:ascii="宋体" w:hAnsi="宋体" w:cs="宋体"/>
                <w:color w:val="auto"/>
                <w:spacing w:val="-3"/>
                <w:sz w:val="21"/>
                <w:szCs w:val="21"/>
                <w:highlight w:val="none"/>
              </w:rPr>
            </w:pPr>
            <w:r>
              <w:rPr>
                <w:rFonts w:hint="eastAsia" w:ascii="宋体" w:hAnsi="宋体" w:cs="宋体"/>
                <w:color w:val="auto"/>
                <w:sz w:val="21"/>
                <w:szCs w:val="21"/>
                <w:highlight w:val="none"/>
              </w:rPr>
              <w:t>报价部分（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10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投标报价</w:t>
            </w:r>
          </w:p>
        </w:tc>
        <w:tc>
          <w:tcPr>
            <w:tcW w:w="1032"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6337" w:type="dxa"/>
            <w:noWrap w:val="0"/>
            <w:vAlign w:val="center"/>
          </w:tcPr>
          <w:p>
            <w:pPr>
              <w:rPr>
                <w:rFonts w:hint="eastAsia"/>
                <w:color w:val="auto"/>
                <w:sz w:val="21"/>
                <w:szCs w:val="21"/>
                <w:highlight w:val="none"/>
              </w:rPr>
            </w:pPr>
            <w:r>
              <w:rPr>
                <w:rFonts w:hint="eastAsia"/>
                <w:color w:val="auto"/>
                <w:sz w:val="21"/>
                <w:szCs w:val="21"/>
                <w:highlight w:val="none"/>
              </w:rPr>
              <w:t>投标报价分采用低价优先法计算，即满足招标文件要求且投标报价</w:t>
            </w:r>
          </w:p>
          <w:p>
            <w:pPr>
              <w:rPr>
                <w:rFonts w:hint="eastAsia"/>
                <w:color w:val="auto"/>
                <w:sz w:val="21"/>
                <w:szCs w:val="21"/>
                <w:highlight w:val="none"/>
              </w:rPr>
            </w:pPr>
            <w:r>
              <w:rPr>
                <w:rFonts w:hint="eastAsia"/>
                <w:color w:val="auto"/>
                <w:sz w:val="21"/>
                <w:szCs w:val="21"/>
                <w:highlight w:val="none"/>
              </w:rPr>
              <w:t>最低的为评审基准价，其价格分为满分（即</w:t>
            </w:r>
            <w:r>
              <w:rPr>
                <w:rFonts w:hint="eastAsia"/>
                <w:color w:val="auto"/>
                <w:sz w:val="21"/>
                <w:szCs w:val="21"/>
                <w:highlight w:val="none"/>
                <w:lang w:val="en-US" w:eastAsia="zh-CN"/>
              </w:rPr>
              <w:t>40</w:t>
            </w:r>
            <w:r>
              <w:rPr>
                <w:rFonts w:hint="eastAsia"/>
                <w:color w:val="auto"/>
                <w:sz w:val="21"/>
                <w:szCs w:val="21"/>
                <w:highlight w:val="none"/>
              </w:rPr>
              <w:t>分）。其他投标人</w:t>
            </w:r>
          </w:p>
          <w:p>
            <w:pPr>
              <w:rPr>
                <w:rFonts w:hint="eastAsia"/>
                <w:color w:val="auto"/>
                <w:sz w:val="21"/>
                <w:szCs w:val="21"/>
                <w:highlight w:val="none"/>
              </w:rPr>
            </w:pPr>
            <w:r>
              <w:rPr>
                <w:rFonts w:hint="eastAsia"/>
                <w:color w:val="auto"/>
                <w:sz w:val="21"/>
                <w:szCs w:val="21"/>
                <w:highlight w:val="none"/>
              </w:rPr>
              <w:t>的价格分统一按照下列公式计算：</w:t>
            </w:r>
          </w:p>
          <w:p>
            <w:pPr>
              <w:rPr>
                <w:rFonts w:hint="eastAsia"/>
                <w:color w:val="auto"/>
                <w:sz w:val="21"/>
                <w:szCs w:val="21"/>
                <w:highlight w:val="none"/>
              </w:rPr>
            </w:pPr>
            <w:r>
              <w:rPr>
                <w:rFonts w:hint="eastAsia"/>
                <w:color w:val="auto"/>
                <w:sz w:val="21"/>
                <w:szCs w:val="21"/>
                <w:highlight w:val="none"/>
              </w:rPr>
              <w:t>报价得分=(评标基准价／投标报价)×价格权值（</w:t>
            </w:r>
            <w:r>
              <w:rPr>
                <w:rFonts w:hint="eastAsia"/>
                <w:color w:val="auto"/>
                <w:sz w:val="21"/>
                <w:szCs w:val="21"/>
                <w:highlight w:val="none"/>
                <w:lang w:val="en-US" w:eastAsia="zh-CN"/>
              </w:rPr>
              <w:t>40</w:t>
            </w:r>
            <w:r>
              <w:rPr>
                <w:rFonts w:hint="eastAsia"/>
                <w:color w:val="auto"/>
                <w:sz w:val="21"/>
                <w:szCs w:val="21"/>
                <w:highlight w:val="none"/>
              </w:rPr>
              <w:t>分）。</w:t>
            </w:r>
          </w:p>
          <w:p>
            <w:pPr>
              <w:rPr>
                <w:rFonts w:hint="eastAsia"/>
                <w:color w:val="auto"/>
                <w:sz w:val="21"/>
                <w:szCs w:val="21"/>
                <w:highlight w:val="none"/>
              </w:rPr>
            </w:pPr>
            <w:r>
              <w:rPr>
                <w:rFonts w:hint="eastAsia"/>
                <w:color w:val="auto"/>
                <w:sz w:val="21"/>
                <w:szCs w:val="21"/>
                <w:highlight w:val="none"/>
              </w:rPr>
              <w:t>注：以上计算过程中按四舍五入保留两位小数。</w:t>
            </w:r>
          </w:p>
          <w:p>
            <w:pPr>
              <w:rPr>
                <w:rFonts w:hint="eastAsia"/>
                <w:color w:val="auto"/>
                <w:sz w:val="21"/>
                <w:szCs w:val="21"/>
                <w:highlight w:val="none"/>
              </w:rPr>
            </w:pPr>
            <w:r>
              <w:rPr>
                <w:rFonts w:hint="eastAsia"/>
                <w:color w:val="auto"/>
                <w:sz w:val="21"/>
                <w:szCs w:val="21"/>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rPr>
                <w:rFonts w:hint="eastAsia"/>
                <w:color w:val="auto"/>
                <w:sz w:val="21"/>
                <w:szCs w:val="21"/>
                <w:highlight w:val="none"/>
              </w:rPr>
            </w:pPr>
            <w:r>
              <w:rPr>
                <w:rFonts w:hint="eastAsia"/>
                <w:color w:val="auto"/>
                <w:sz w:val="21"/>
                <w:szCs w:val="21"/>
                <w:highlight w:val="none"/>
              </w:rPr>
              <w:t>2对小型或微型企业投标的扶持：（如有）</w:t>
            </w:r>
          </w:p>
          <w:p>
            <w:pPr>
              <w:rPr>
                <w:rFonts w:hint="eastAsia"/>
                <w:color w:val="auto"/>
                <w:sz w:val="21"/>
                <w:szCs w:val="21"/>
                <w:highlight w:val="none"/>
              </w:rPr>
            </w:pPr>
            <w:r>
              <w:rPr>
                <w:rFonts w:hint="eastAsia"/>
                <w:color w:val="auto"/>
                <w:sz w:val="21"/>
                <w:szCs w:val="21"/>
                <w:highlight w:val="none"/>
              </w:rPr>
              <w:t>2.1投标供应商为小型或微型企业时，报价给予C1的价格扣除（C1的取值为</w:t>
            </w:r>
            <w:r>
              <w:rPr>
                <w:rFonts w:hint="eastAsia"/>
                <w:color w:val="auto"/>
                <w:sz w:val="21"/>
                <w:szCs w:val="21"/>
                <w:highlight w:val="none"/>
                <w:lang w:val="en-US" w:eastAsia="zh-CN"/>
              </w:rPr>
              <w:t>20</w:t>
            </w:r>
            <w:r>
              <w:rPr>
                <w:rFonts w:hint="eastAsia"/>
                <w:color w:val="auto"/>
                <w:sz w:val="21"/>
                <w:szCs w:val="21"/>
                <w:highlight w:val="none"/>
              </w:rPr>
              <w:t>%），即：评标价＝投标报价（最后报价）×(1－C1）；</w:t>
            </w:r>
          </w:p>
          <w:p>
            <w:pPr>
              <w:rPr>
                <w:rFonts w:hint="eastAsia" w:eastAsia="宋体"/>
                <w:color w:val="auto"/>
                <w:sz w:val="21"/>
                <w:szCs w:val="21"/>
                <w:highlight w:val="none"/>
                <w:lang w:eastAsia="zh-CN"/>
              </w:rPr>
            </w:pPr>
            <w:r>
              <w:rPr>
                <w:rFonts w:hint="eastAsia"/>
                <w:color w:val="auto"/>
                <w:sz w:val="21"/>
                <w:szCs w:val="21"/>
                <w:highlight w:val="none"/>
              </w:rPr>
              <w:t>小微企业应当提供《中小企业声明函》（见格式）。</w:t>
            </w:r>
          </w:p>
          <w:p>
            <w:pPr>
              <w:rPr>
                <w:rFonts w:hint="eastAsia"/>
                <w:color w:val="auto"/>
                <w:sz w:val="21"/>
                <w:szCs w:val="21"/>
                <w:highlight w:val="none"/>
              </w:rPr>
            </w:pPr>
            <w:r>
              <w:rPr>
                <w:rFonts w:hint="eastAsia"/>
                <w:color w:val="auto"/>
                <w:sz w:val="21"/>
                <w:szCs w:val="21"/>
                <w:highlight w:val="none"/>
              </w:rPr>
              <w:t>2.2按照《政府采购促进中小企业发展管理办法》有关规定，中小企业的标准为：</w:t>
            </w:r>
          </w:p>
          <w:p>
            <w:pPr>
              <w:rPr>
                <w:rFonts w:hint="eastAsia"/>
                <w:color w:val="auto"/>
                <w:sz w:val="21"/>
                <w:szCs w:val="21"/>
                <w:highlight w:val="none"/>
              </w:rPr>
            </w:pPr>
            <w:r>
              <w:rPr>
                <w:rFonts w:hint="eastAsia"/>
                <w:color w:val="auto"/>
                <w:sz w:val="21"/>
                <w:szCs w:val="21"/>
                <w:highlight w:val="none"/>
              </w:rPr>
              <w:t>2.2.1提供本企业制造的货物、承担的工程或者服务，或者提供其他中小企业制造的货物，不包括提供或使用大型企业注册商标的货物；</w:t>
            </w:r>
          </w:p>
          <w:p>
            <w:pPr>
              <w:rPr>
                <w:rFonts w:hint="eastAsia"/>
                <w:color w:val="auto"/>
                <w:sz w:val="21"/>
                <w:szCs w:val="21"/>
                <w:highlight w:val="none"/>
              </w:rPr>
            </w:pPr>
            <w:r>
              <w:rPr>
                <w:rFonts w:hint="eastAsia"/>
                <w:color w:val="auto"/>
                <w:sz w:val="21"/>
                <w:szCs w:val="21"/>
                <w:highlight w:val="none"/>
              </w:rPr>
              <w:t>2.2.2本规定所称中小企业划分标准，是指国务院有关部门根据企业从业人员、营业收入、资产总额等指标制定的中小企业划型标准（工信部联企业[2011]300号）；</w:t>
            </w:r>
          </w:p>
          <w:p>
            <w:pPr>
              <w:rPr>
                <w:rFonts w:hint="eastAsia"/>
                <w:color w:val="auto"/>
                <w:sz w:val="21"/>
                <w:szCs w:val="21"/>
                <w:highlight w:val="none"/>
              </w:rPr>
            </w:pPr>
            <w:r>
              <w:rPr>
                <w:rFonts w:hint="eastAsia"/>
                <w:color w:val="auto"/>
                <w:sz w:val="21"/>
                <w:szCs w:val="21"/>
                <w:highlight w:val="none"/>
              </w:rPr>
              <w:t>2.2.3小型、微型企业提供有中型企业制造的货物的，视同为中型企业；小型、微型、中型企业提供有大型企业制造的货物的，视同为大型企业。</w:t>
            </w:r>
          </w:p>
          <w:p>
            <w:pPr>
              <w:rPr>
                <w:rFonts w:hint="eastAsia"/>
                <w:color w:val="auto"/>
                <w:sz w:val="21"/>
                <w:szCs w:val="21"/>
                <w:highlight w:val="none"/>
              </w:rPr>
            </w:pPr>
            <w:r>
              <w:rPr>
                <w:rFonts w:hint="eastAsia"/>
                <w:color w:val="auto"/>
                <w:sz w:val="21"/>
                <w:szCs w:val="21"/>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color w:val="auto"/>
                <w:sz w:val="21"/>
                <w:szCs w:val="21"/>
                <w:highlight w:val="none"/>
                <w:lang w:val="en-US" w:eastAsia="zh-CN"/>
              </w:rPr>
              <w:t>20</w:t>
            </w:r>
            <w:r>
              <w:rPr>
                <w:rFonts w:hint="eastAsia"/>
                <w:color w:val="auto"/>
                <w:sz w:val="21"/>
                <w:szCs w:val="21"/>
                <w:highlight w:val="none"/>
              </w:rPr>
              <w:t>%的扣除。</w:t>
            </w:r>
          </w:p>
          <w:p>
            <w:pPr>
              <w:rPr>
                <w:rFonts w:hint="eastAsia" w:ascii="宋体" w:hAnsi="宋体" w:cs="宋体"/>
                <w:color w:val="auto"/>
                <w:sz w:val="21"/>
                <w:szCs w:val="21"/>
                <w:highlight w:val="none"/>
              </w:rPr>
            </w:pPr>
            <w:r>
              <w:rPr>
                <w:rFonts w:hint="eastAsia"/>
                <w:color w:val="auto"/>
                <w:sz w:val="21"/>
                <w:szCs w:val="21"/>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restart"/>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12" w:type="dxa"/>
            <w:vMerge w:val="restart"/>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1063" w:type="dxa"/>
            <w:noWrap w:val="0"/>
            <w:vAlign w:val="center"/>
          </w:tcPr>
          <w:p>
            <w:pPr>
              <w:pStyle w:val="25"/>
              <w:ind w:left="0" w:leftChars="0" w:firstLine="0" w:firstLineChars="0"/>
              <w:jc w:val="center"/>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技术参数</w:t>
            </w:r>
          </w:p>
        </w:tc>
        <w:tc>
          <w:tcPr>
            <w:tcW w:w="1032" w:type="dxa"/>
            <w:noWrap w:val="0"/>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6337" w:type="dxa"/>
            <w:noWrap w:val="0"/>
            <w:vAlign w:val="center"/>
          </w:tcPr>
          <w:p>
            <w:pPr>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投标产品参数必须完全满足招标文件参数，完全满足的得20分。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eastAsia="zh-CN"/>
              </w:rPr>
              <w:t>制造工艺</w:t>
            </w:r>
          </w:p>
        </w:tc>
        <w:tc>
          <w:tcPr>
            <w:tcW w:w="1032"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eastAsia" w:ascii="宋体" w:hAnsi="宋体" w:eastAsia="宋体" w:cs="宋体"/>
                <w:color w:val="auto"/>
                <w:sz w:val="21"/>
                <w:szCs w:val="21"/>
                <w:highlight w:val="none"/>
                <w:lang w:val="en-US" w:eastAsia="zh-CN" w:bidi="hi-IN"/>
              </w:rPr>
            </w:pPr>
            <w:r>
              <w:rPr>
                <w:rFonts w:hint="eastAsia"/>
                <w:color w:val="auto"/>
                <w:sz w:val="21"/>
                <w:szCs w:val="21"/>
                <w:highlight w:val="none"/>
                <w:lang w:eastAsia="zh-CN"/>
              </w:rPr>
              <w:t>根据投标人的造船加工制造工艺进行评价，加工能力和工艺水平优秀得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设计图</w:t>
            </w:r>
          </w:p>
        </w:tc>
        <w:tc>
          <w:tcPr>
            <w:tcW w:w="1032"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default" w:eastAsia="宋体"/>
                <w:color w:val="auto"/>
                <w:sz w:val="21"/>
                <w:szCs w:val="21"/>
                <w:highlight w:val="none"/>
                <w:lang w:val="en-US" w:eastAsia="zh-CN"/>
              </w:rPr>
            </w:pPr>
            <w:r>
              <w:rPr>
                <w:rFonts w:hint="eastAsia"/>
                <w:color w:val="auto"/>
                <w:sz w:val="21"/>
                <w:szCs w:val="21"/>
                <w:highlight w:val="none"/>
                <w:lang w:eastAsia="zh-CN"/>
              </w:rPr>
              <w:t>根据投标人设计图的美观度、合理性等进行综合评价，优秀的得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质量保护措施</w:t>
            </w:r>
          </w:p>
        </w:tc>
        <w:tc>
          <w:tcPr>
            <w:tcW w:w="1032"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default"/>
                <w:color w:val="auto"/>
                <w:sz w:val="21"/>
                <w:szCs w:val="21"/>
                <w:highlight w:val="none"/>
                <w:lang w:val="en-US" w:eastAsia="zh-CN"/>
              </w:rPr>
            </w:pPr>
            <w:r>
              <w:rPr>
                <w:rFonts w:hint="eastAsia"/>
                <w:color w:val="auto"/>
                <w:sz w:val="21"/>
                <w:szCs w:val="21"/>
                <w:highlight w:val="none"/>
                <w:lang w:eastAsia="zh-CN"/>
              </w:rPr>
              <w:t>根据投标人制定的质量保证措施的严谨度、全面性等进行综合评价，优秀的得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部件质量</w:t>
            </w:r>
          </w:p>
        </w:tc>
        <w:tc>
          <w:tcPr>
            <w:tcW w:w="103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default" w:eastAsia="宋体"/>
                <w:color w:val="auto"/>
                <w:sz w:val="21"/>
                <w:szCs w:val="21"/>
                <w:highlight w:val="none"/>
                <w:lang w:val="en-US" w:eastAsia="zh-CN"/>
              </w:rPr>
            </w:pPr>
            <w:r>
              <w:rPr>
                <w:rFonts w:hint="eastAsia"/>
                <w:color w:val="auto"/>
                <w:sz w:val="21"/>
                <w:szCs w:val="21"/>
                <w:highlight w:val="none"/>
                <w:lang w:eastAsia="zh-CN"/>
              </w:rPr>
              <w:t>根据投标人所投主要部件质量的优劣性进行综合评价，优秀的得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eastAsia="zh-CN"/>
              </w:rPr>
              <w:t>装饰材料</w:t>
            </w:r>
          </w:p>
        </w:tc>
        <w:tc>
          <w:tcPr>
            <w:tcW w:w="1032"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eastAsia="zh-CN"/>
              </w:rPr>
              <w:t>根据投标人所投装饰材料的材质优劣性进行综合评价，优秀的得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eastAsia="zh-CN"/>
              </w:rPr>
              <w:t>售后服务</w:t>
            </w:r>
            <w:r>
              <w:rPr>
                <w:rFonts w:hint="eastAsia"/>
                <w:color w:val="auto"/>
                <w:sz w:val="21"/>
                <w:szCs w:val="21"/>
                <w:highlight w:val="none"/>
                <w:lang w:val="en-US" w:eastAsia="zh-CN"/>
              </w:rPr>
              <w:t>方案</w:t>
            </w:r>
          </w:p>
        </w:tc>
        <w:tc>
          <w:tcPr>
            <w:tcW w:w="1032" w:type="dxa"/>
            <w:noWrap w:val="0"/>
            <w:vAlign w:val="center"/>
          </w:tcPr>
          <w:p>
            <w:pPr>
              <w:jc w:val="center"/>
              <w:rPr>
                <w:rFonts w:hint="eastAsia"/>
                <w:color w:val="auto"/>
                <w:sz w:val="21"/>
                <w:szCs w:val="21"/>
                <w:highlight w:val="none"/>
              </w:rPr>
            </w:pPr>
          </w:p>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val="en-US" w:eastAsia="zh-CN"/>
              </w:rPr>
              <w:t>5分</w:t>
            </w:r>
          </w:p>
        </w:tc>
        <w:tc>
          <w:tcPr>
            <w:tcW w:w="6337" w:type="dxa"/>
            <w:noWrap w:val="0"/>
            <w:vAlign w:val="center"/>
          </w:tcPr>
          <w:p>
            <w:pP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eastAsia="zh-CN"/>
              </w:rPr>
              <w:t>根据投标人指定的人员培训计划的合理性、完善性，投标人制定的质保期内详细完善的售后服务方案，包括提供</w:t>
            </w:r>
            <w:r>
              <w:rPr>
                <w:rFonts w:hint="eastAsia"/>
                <w:color w:val="auto"/>
                <w:sz w:val="21"/>
                <w:szCs w:val="21"/>
                <w:highlight w:val="none"/>
                <w:lang w:val="en-US" w:eastAsia="zh-CN"/>
              </w:rPr>
              <w:t>7X24小时服务热线、现场服务人员的配备、响应时间、响应程度、解决问题的能力、质量保障措施、备品备件，</w:t>
            </w:r>
            <w:r>
              <w:rPr>
                <w:rFonts w:hint="eastAsia"/>
                <w:color w:val="auto"/>
                <w:sz w:val="21"/>
                <w:szCs w:val="21"/>
                <w:highlight w:val="none"/>
                <w:lang w:eastAsia="zh-CN"/>
              </w:rPr>
              <w:t>投标人制定的质保期满后提供的售后服务方案等进行评分，优秀的得</w:t>
            </w:r>
            <w:r>
              <w:rPr>
                <w:rFonts w:hint="eastAsia"/>
                <w:color w:val="auto"/>
                <w:sz w:val="21"/>
                <w:szCs w:val="21"/>
                <w:highlight w:val="none"/>
                <w:lang w:val="en-US" w:eastAsia="zh-CN"/>
              </w:rPr>
              <w:t>5分，较好的得3分，一般得1分。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trPr>
        <w:tc>
          <w:tcPr>
            <w:tcW w:w="825"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3</w:t>
            </w:r>
          </w:p>
        </w:tc>
        <w:tc>
          <w:tcPr>
            <w:tcW w:w="812"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商务部分（</w:t>
            </w:r>
            <w:r>
              <w:rPr>
                <w:rFonts w:hint="eastAsia"/>
                <w:color w:val="auto"/>
                <w:sz w:val="21"/>
                <w:szCs w:val="21"/>
                <w:highlight w:val="none"/>
                <w:lang w:val="en-US" w:eastAsia="zh-CN"/>
              </w:rPr>
              <w:t>20</w:t>
            </w:r>
            <w:r>
              <w:rPr>
                <w:rFonts w:hint="eastAsia"/>
                <w:color w:val="auto"/>
                <w:sz w:val="21"/>
                <w:szCs w:val="21"/>
                <w:highlight w:val="none"/>
              </w:rPr>
              <w:t>分）</w:t>
            </w:r>
          </w:p>
        </w:tc>
        <w:tc>
          <w:tcPr>
            <w:tcW w:w="1063"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业绩</w:t>
            </w:r>
          </w:p>
          <w:p>
            <w:pPr>
              <w:jc w:val="center"/>
              <w:rPr>
                <w:rFonts w:hint="eastAsia"/>
                <w:color w:val="auto"/>
                <w:sz w:val="21"/>
                <w:szCs w:val="21"/>
                <w:highlight w:val="none"/>
              </w:rPr>
            </w:pPr>
          </w:p>
        </w:tc>
        <w:tc>
          <w:tcPr>
            <w:tcW w:w="1032" w:type="dxa"/>
            <w:noWrap w:val="0"/>
            <w:vAlign w:val="center"/>
          </w:tcPr>
          <w:p>
            <w:pPr>
              <w:jc w:val="center"/>
              <w:rPr>
                <w:rFonts w:hint="eastAsia"/>
                <w:color w:val="auto"/>
                <w:sz w:val="21"/>
                <w:szCs w:val="21"/>
                <w:highlight w:val="none"/>
              </w:rPr>
            </w:pPr>
            <w:r>
              <w:rPr>
                <w:rFonts w:hint="eastAsia"/>
                <w:color w:val="auto"/>
                <w:sz w:val="21"/>
                <w:szCs w:val="21"/>
                <w:highlight w:val="none"/>
                <w:lang w:val="en-US" w:eastAsia="zh-CN"/>
              </w:rPr>
              <w:t>10</w:t>
            </w:r>
            <w:r>
              <w:rPr>
                <w:rFonts w:hint="eastAsia"/>
                <w:color w:val="auto"/>
                <w:sz w:val="21"/>
                <w:szCs w:val="21"/>
                <w:highlight w:val="none"/>
              </w:rPr>
              <w:t>分</w:t>
            </w:r>
          </w:p>
        </w:tc>
        <w:tc>
          <w:tcPr>
            <w:tcW w:w="6337" w:type="dxa"/>
            <w:noWrap w:val="0"/>
            <w:vAlign w:val="center"/>
          </w:tcPr>
          <w:p>
            <w:pPr>
              <w:keepNext w:val="0"/>
              <w:keepLines w:val="0"/>
              <w:widowControl/>
              <w:suppressLineNumbers w:val="0"/>
              <w:jc w:val="left"/>
              <w:rPr>
                <w:rFonts w:hint="eastAsia"/>
                <w:color w:val="auto"/>
                <w:sz w:val="21"/>
                <w:szCs w:val="21"/>
                <w:highlight w:val="none"/>
              </w:rPr>
            </w:pPr>
            <w:r>
              <w:rPr>
                <w:rFonts w:hint="eastAsia"/>
                <w:color w:val="auto"/>
                <w:sz w:val="21"/>
                <w:szCs w:val="21"/>
                <w:highlight w:val="none"/>
              </w:rPr>
              <w:t>投标人2018年1月1日以来具有类似业绩的，每有一项得</w:t>
            </w:r>
            <w:r>
              <w:rPr>
                <w:rFonts w:hint="eastAsia"/>
                <w:color w:val="auto"/>
                <w:sz w:val="21"/>
                <w:szCs w:val="21"/>
                <w:highlight w:val="none"/>
                <w:lang w:val="en-US" w:eastAsia="zh-CN"/>
              </w:rPr>
              <w:t>2</w:t>
            </w:r>
            <w:r>
              <w:rPr>
                <w:rFonts w:hint="eastAsia"/>
                <w:color w:val="auto"/>
                <w:sz w:val="21"/>
                <w:szCs w:val="21"/>
                <w:highlight w:val="none"/>
              </w:rPr>
              <w:t>分，最多得</w:t>
            </w:r>
            <w:r>
              <w:rPr>
                <w:rFonts w:hint="eastAsia"/>
                <w:color w:val="auto"/>
                <w:sz w:val="21"/>
                <w:szCs w:val="21"/>
                <w:highlight w:val="none"/>
                <w:lang w:val="en-US" w:eastAsia="zh-CN"/>
              </w:rPr>
              <w:t>10</w:t>
            </w:r>
            <w:r>
              <w:rPr>
                <w:rFonts w:hint="eastAsia"/>
                <w:color w:val="auto"/>
                <w:sz w:val="21"/>
                <w:szCs w:val="21"/>
                <w:highlight w:val="none"/>
              </w:rPr>
              <w:t>分。（提供合同</w:t>
            </w:r>
            <w:r>
              <w:rPr>
                <w:rFonts w:hint="eastAsia"/>
                <w:color w:val="auto"/>
                <w:sz w:val="21"/>
                <w:szCs w:val="21"/>
                <w:highlight w:val="none"/>
                <w:lang w:val="en-US" w:eastAsia="zh-CN"/>
              </w:rPr>
              <w:t>扫描件</w:t>
            </w:r>
            <w:r>
              <w:rPr>
                <w:rFonts w:hint="eastAsia"/>
                <w:color w:val="auto"/>
                <w:sz w:val="21"/>
                <w:szCs w:val="21"/>
                <w:highlight w:val="none"/>
              </w:rPr>
              <w:t>、中标通知书</w:t>
            </w:r>
            <w:r>
              <w:rPr>
                <w:rFonts w:hint="eastAsia"/>
                <w:color w:val="auto"/>
                <w:sz w:val="21"/>
                <w:szCs w:val="21"/>
                <w:highlight w:val="none"/>
                <w:lang w:val="en-US" w:eastAsia="zh-CN"/>
              </w:rPr>
              <w:t>扫描件</w:t>
            </w:r>
            <w:r>
              <w:rPr>
                <w:rFonts w:hint="eastAsia"/>
                <w:color w:val="auto"/>
                <w:sz w:val="21"/>
                <w:szCs w:val="21"/>
                <w:highlight w:val="none"/>
              </w:rPr>
              <w:t>及</w:t>
            </w:r>
            <w:r>
              <w:rPr>
                <w:rFonts w:hint="eastAsia"/>
                <w:color w:val="auto"/>
                <w:sz w:val="21"/>
                <w:szCs w:val="21"/>
                <w:highlight w:val="none"/>
                <w:lang w:val="en-US" w:eastAsia="zh-CN"/>
              </w:rPr>
              <w:t>中</w:t>
            </w:r>
            <w:bookmarkStart w:id="316" w:name="_GoBack"/>
            <w:bookmarkEnd w:id="316"/>
            <w:r>
              <w:rPr>
                <w:rFonts w:hint="eastAsia"/>
                <w:color w:val="auto"/>
                <w:sz w:val="21"/>
                <w:szCs w:val="21"/>
                <w:highlight w:val="none"/>
                <w:lang w:val="en-US" w:eastAsia="zh-CN"/>
              </w:rPr>
              <w:t>标公示</w:t>
            </w:r>
            <w:r>
              <w:rPr>
                <w:rFonts w:hint="eastAsia"/>
                <w:color w:val="auto"/>
                <w:sz w:val="21"/>
                <w:szCs w:val="21"/>
                <w:highlight w:val="none"/>
              </w:rPr>
              <w:t>网站截图</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时间以合同签订时间为准</w:t>
            </w:r>
            <w:r>
              <w:rPr>
                <w:rFonts w:hint="eastAsia"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25" w:type="dxa"/>
            <w:vMerge w:val="continue"/>
            <w:noWrap w:val="0"/>
            <w:vAlign w:val="center"/>
          </w:tcPr>
          <w:p>
            <w:pPr>
              <w:jc w:val="center"/>
              <w:rPr>
                <w:rFonts w:hint="eastAsia"/>
                <w:color w:val="auto"/>
                <w:sz w:val="21"/>
                <w:szCs w:val="21"/>
                <w:highlight w:val="none"/>
              </w:rPr>
            </w:pPr>
          </w:p>
        </w:tc>
        <w:tc>
          <w:tcPr>
            <w:tcW w:w="812" w:type="dxa"/>
            <w:vMerge w:val="continue"/>
            <w:noWrap w:val="0"/>
            <w:vAlign w:val="center"/>
          </w:tcPr>
          <w:p>
            <w:pPr>
              <w:jc w:val="center"/>
              <w:rPr>
                <w:rFonts w:hint="eastAsia"/>
                <w:color w:val="auto"/>
                <w:sz w:val="21"/>
                <w:szCs w:val="21"/>
                <w:highlight w:val="none"/>
              </w:rPr>
            </w:pPr>
          </w:p>
        </w:tc>
        <w:tc>
          <w:tcPr>
            <w:tcW w:w="1063" w:type="dxa"/>
            <w:noWrap w:val="0"/>
            <w:vAlign w:val="center"/>
          </w:tcPr>
          <w:p>
            <w:pPr>
              <w:jc w:val="center"/>
              <w:rPr>
                <w:rFonts w:hint="eastAsia"/>
                <w:color w:val="auto"/>
                <w:sz w:val="21"/>
                <w:szCs w:val="21"/>
                <w:highlight w:val="none"/>
              </w:rPr>
            </w:pPr>
            <w:r>
              <w:rPr>
                <w:rFonts w:hint="eastAsia"/>
                <w:color w:val="auto"/>
                <w:sz w:val="21"/>
                <w:szCs w:val="21"/>
                <w:highlight w:val="none"/>
              </w:rPr>
              <w:t>企业实</w:t>
            </w:r>
          </w:p>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rPr>
              <w:t>力</w:t>
            </w:r>
          </w:p>
        </w:tc>
        <w:tc>
          <w:tcPr>
            <w:tcW w:w="1032" w:type="dxa"/>
            <w:noWrap w:val="0"/>
            <w:vAlign w:val="center"/>
          </w:tcPr>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val="en-US" w:eastAsia="zh-CN"/>
              </w:rPr>
              <w:t>8分</w:t>
            </w:r>
          </w:p>
        </w:tc>
        <w:tc>
          <w:tcPr>
            <w:tcW w:w="6337" w:type="dxa"/>
            <w:noWrap w:val="0"/>
            <w:vAlign w:val="center"/>
          </w:tcPr>
          <w:p>
            <w:pPr>
              <w:rPr>
                <w:rFonts w:hint="eastAsia"/>
                <w:color w:val="auto"/>
                <w:sz w:val="21"/>
                <w:szCs w:val="21"/>
                <w:highlight w:val="none"/>
              </w:rPr>
            </w:pPr>
            <w:r>
              <w:rPr>
                <w:rFonts w:hint="eastAsia"/>
                <w:color w:val="auto"/>
                <w:sz w:val="21"/>
                <w:szCs w:val="21"/>
                <w:highlight w:val="none"/>
              </w:rPr>
              <w:t xml:space="preserve">1、投标人具有行业主管部门颁发的安全生产三级（及以上）标准化证书得 </w:t>
            </w:r>
            <w:r>
              <w:rPr>
                <w:rFonts w:hint="eastAsia"/>
                <w:color w:val="auto"/>
                <w:sz w:val="21"/>
                <w:szCs w:val="21"/>
                <w:highlight w:val="none"/>
                <w:lang w:val="en-US" w:eastAsia="zh-CN"/>
              </w:rPr>
              <w:t>2</w:t>
            </w:r>
            <w:r>
              <w:rPr>
                <w:rFonts w:hint="eastAsia"/>
                <w:color w:val="auto"/>
                <w:sz w:val="21"/>
                <w:szCs w:val="21"/>
                <w:highlight w:val="none"/>
              </w:rPr>
              <w:t>分。</w:t>
            </w:r>
          </w:p>
          <w:p>
            <w:pPr>
              <w:rPr>
                <w:rFonts w:hint="eastAsia"/>
                <w:color w:val="auto"/>
                <w:sz w:val="21"/>
                <w:szCs w:val="21"/>
                <w:highlight w:val="none"/>
              </w:rPr>
            </w:pPr>
            <w:r>
              <w:rPr>
                <w:rFonts w:hint="eastAsia"/>
                <w:color w:val="auto"/>
                <w:sz w:val="21"/>
                <w:szCs w:val="21"/>
                <w:highlight w:val="none"/>
              </w:rPr>
              <w:t xml:space="preserve">2、投标人具有质量体系认证证书的得 </w:t>
            </w:r>
            <w:r>
              <w:rPr>
                <w:rFonts w:hint="eastAsia"/>
                <w:color w:val="auto"/>
                <w:sz w:val="21"/>
                <w:szCs w:val="21"/>
                <w:highlight w:val="none"/>
                <w:lang w:val="en-US" w:eastAsia="zh-CN"/>
              </w:rPr>
              <w:t>2</w:t>
            </w:r>
            <w:r>
              <w:rPr>
                <w:rFonts w:hint="eastAsia"/>
                <w:color w:val="auto"/>
                <w:sz w:val="21"/>
                <w:szCs w:val="21"/>
                <w:highlight w:val="none"/>
              </w:rPr>
              <w:t xml:space="preserve"> 分。</w:t>
            </w:r>
          </w:p>
          <w:p>
            <w:pPr>
              <w:rPr>
                <w:rFonts w:hint="eastAsia"/>
                <w:color w:val="auto"/>
                <w:sz w:val="21"/>
                <w:szCs w:val="21"/>
                <w:highlight w:val="none"/>
              </w:rPr>
            </w:pPr>
            <w:r>
              <w:rPr>
                <w:rFonts w:hint="eastAsia"/>
                <w:color w:val="auto"/>
                <w:sz w:val="21"/>
                <w:szCs w:val="21"/>
                <w:highlight w:val="none"/>
              </w:rPr>
              <w:t>3、投标人具有环境管理体系认证证书得</w:t>
            </w:r>
            <w:r>
              <w:rPr>
                <w:rFonts w:hint="eastAsia"/>
                <w:color w:val="auto"/>
                <w:sz w:val="21"/>
                <w:szCs w:val="21"/>
                <w:highlight w:val="none"/>
                <w:lang w:val="en-US" w:eastAsia="zh-CN"/>
              </w:rPr>
              <w:t>2</w:t>
            </w:r>
            <w:r>
              <w:rPr>
                <w:rFonts w:hint="eastAsia"/>
                <w:color w:val="auto"/>
                <w:sz w:val="21"/>
                <w:szCs w:val="21"/>
                <w:highlight w:val="none"/>
              </w:rPr>
              <w:t>分。</w:t>
            </w:r>
          </w:p>
          <w:p>
            <w:pPr>
              <w:rPr>
                <w:rFonts w:hint="eastAsia"/>
                <w:color w:val="auto"/>
                <w:sz w:val="21"/>
                <w:szCs w:val="21"/>
                <w:highlight w:val="none"/>
              </w:rPr>
            </w:pPr>
            <w:r>
              <w:rPr>
                <w:rFonts w:hint="eastAsia"/>
                <w:color w:val="auto"/>
                <w:sz w:val="21"/>
                <w:szCs w:val="21"/>
                <w:highlight w:val="none"/>
              </w:rPr>
              <w:t xml:space="preserve">4、投标人具有职业健康安全管理体系认证证书得 </w:t>
            </w:r>
            <w:r>
              <w:rPr>
                <w:rFonts w:hint="eastAsia"/>
                <w:color w:val="auto"/>
                <w:sz w:val="21"/>
                <w:szCs w:val="21"/>
                <w:highlight w:val="none"/>
                <w:lang w:val="en-US" w:eastAsia="zh-CN"/>
              </w:rPr>
              <w:t>2</w:t>
            </w:r>
            <w:r>
              <w:rPr>
                <w:rFonts w:hint="eastAsia"/>
                <w:color w:val="auto"/>
                <w:sz w:val="21"/>
                <w:szCs w:val="21"/>
                <w:highlight w:val="none"/>
              </w:rPr>
              <w:t>分。</w:t>
            </w:r>
          </w:p>
          <w:p>
            <w:pP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rPr>
              <w:t>(提供扫描件，不提供不得分)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25" w:type="dxa"/>
            <w:vMerge w:val="continue"/>
            <w:noWrap w:val="0"/>
            <w:vAlign w:val="center"/>
          </w:tcPr>
          <w:p>
            <w:pPr>
              <w:jc w:val="center"/>
              <w:rPr>
                <w:rFonts w:hint="eastAsia"/>
                <w:color w:val="auto"/>
                <w:sz w:val="21"/>
                <w:szCs w:val="21"/>
                <w:highlight w:val="none"/>
              </w:rPr>
            </w:pPr>
          </w:p>
        </w:tc>
        <w:tc>
          <w:tcPr>
            <w:tcW w:w="812" w:type="dxa"/>
            <w:vMerge w:val="continue"/>
            <w:noWrap w:val="0"/>
            <w:vAlign w:val="center"/>
          </w:tcPr>
          <w:p>
            <w:pPr>
              <w:jc w:val="center"/>
              <w:rPr>
                <w:rFonts w:hint="eastAsia"/>
                <w:color w:val="auto"/>
                <w:sz w:val="21"/>
                <w:szCs w:val="21"/>
                <w:highlight w:val="none"/>
              </w:rPr>
            </w:pPr>
          </w:p>
        </w:tc>
        <w:tc>
          <w:tcPr>
            <w:tcW w:w="1063" w:type="dxa"/>
            <w:noWrap w:val="0"/>
            <w:vAlign w:val="center"/>
          </w:tcPr>
          <w:p>
            <w:pPr>
              <w:jc w:val="center"/>
              <w:rPr>
                <w:rFonts w:hint="eastAsia" w:eastAsia="宋体"/>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质保期</w:t>
            </w:r>
          </w:p>
        </w:tc>
        <w:tc>
          <w:tcPr>
            <w:tcW w:w="1032"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2分</w:t>
            </w:r>
          </w:p>
        </w:tc>
        <w:tc>
          <w:tcPr>
            <w:tcW w:w="6337" w:type="dxa"/>
            <w:noWrap w:val="0"/>
            <w:vAlign w:val="center"/>
          </w:tcPr>
          <w:p>
            <w:pPr>
              <w:rPr>
                <w:rFonts w:hint="default" w:eastAsia="宋体"/>
                <w:color w:val="auto"/>
                <w:sz w:val="21"/>
                <w:szCs w:val="21"/>
                <w:highlight w:val="none"/>
                <w:lang w:val="en-US" w:eastAsia="zh-CN"/>
              </w:rPr>
            </w:pPr>
            <w:r>
              <w:rPr>
                <w:rFonts w:hint="eastAsia"/>
                <w:color w:val="auto"/>
                <w:sz w:val="21"/>
                <w:szCs w:val="21"/>
                <w:highlight w:val="none"/>
                <w:lang w:val="en-US" w:eastAsia="zh-CN"/>
              </w:rPr>
              <w:t>投标人承诺的质保期在1年的基础上每再增加1年，加1分，最多加2分。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69" w:type="dxa"/>
            <w:gridSpan w:val="5"/>
            <w:noWrap w:val="0"/>
            <w:vAlign w:val="center"/>
          </w:tcPr>
          <w:p>
            <w:pPr>
              <w:rPr>
                <w:rFonts w:hint="eastAsia" w:eastAsia="宋体"/>
                <w:color w:val="auto"/>
                <w:sz w:val="21"/>
                <w:szCs w:val="21"/>
                <w:highlight w:val="none"/>
                <w:lang w:eastAsia="zh-CN"/>
              </w:rPr>
            </w:pPr>
            <w:r>
              <w:rPr>
                <w:color w:val="auto"/>
                <w:sz w:val="21"/>
                <w:szCs w:val="21"/>
                <w:highlight w:val="none"/>
              </w:rPr>
              <w:t>投标人综合得分=投标报价得分+技术部分得分+商务部分得分。</w:t>
            </w:r>
          </w:p>
          <w:p>
            <w:pPr>
              <w:rPr>
                <w:rFonts w:hint="eastAsia" w:eastAsia="宋体"/>
                <w:color w:val="auto"/>
                <w:sz w:val="21"/>
                <w:szCs w:val="21"/>
                <w:highlight w:val="none"/>
                <w:lang w:eastAsia="zh-CN"/>
              </w:rPr>
            </w:pPr>
            <w:r>
              <w:rPr>
                <w:color w:val="auto"/>
                <w:sz w:val="21"/>
                <w:szCs w:val="21"/>
                <w:highlight w:val="none"/>
              </w:rPr>
              <w:t>投标人最终得分:</w:t>
            </w:r>
          </w:p>
          <w:p>
            <w:pPr>
              <w:rPr>
                <w:color w:val="auto"/>
                <w:sz w:val="21"/>
                <w:szCs w:val="21"/>
                <w:highlight w:val="none"/>
              </w:rPr>
            </w:pPr>
            <w:r>
              <w:rPr>
                <w:color w:val="auto"/>
                <w:sz w:val="21"/>
                <w:szCs w:val="21"/>
                <w:highlight w:val="none"/>
              </w:rPr>
              <w:t>1.评标委员会完成评审后，取全部得分算术平均值，作为该投标人的最终得分。</w:t>
            </w:r>
          </w:p>
          <w:p>
            <w:pPr>
              <w:rPr>
                <w:rFonts w:hint="eastAsia" w:eastAsia="宋体"/>
                <w:color w:val="auto"/>
                <w:sz w:val="21"/>
                <w:szCs w:val="21"/>
                <w:highlight w:val="none"/>
                <w:lang w:eastAsia="zh-CN"/>
              </w:rPr>
            </w:pPr>
            <w:r>
              <w:rPr>
                <w:color w:val="auto"/>
                <w:sz w:val="21"/>
                <w:szCs w:val="21"/>
                <w:highlight w:val="none"/>
              </w:rPr>
              <w:t>2.本办法计算过程中分值按四舍五入保留二位小数。</w:t>
            </w:r>
          </w:p>
          <w:p>
            <w:pPr>
              <w:rPr>
                <w:rFonts w:hint="eastAsia"/>
                <w:color w:val="auto"/>
                <w:sz w:val="21"/>
                <w:szCs w:val="21"/>
                <w:highlight w:val="none"/>
              </w:rPr>
            </w:pPr>
            <w:r>
              <w:rPr>
                <w:color w:val="auto"/>
                <w:sz w:val="21"/>
                <w:szCs w:val="21"/>
                <w:highlight w:val="none"/>
              </w:rPr>
              <w:t>3.评标委员会对通过以上评审的投标人，按最终得分从高到低排序，确定1至3名中标候选人。当投标人最终得分相等时，按照报价从低到高进行排序，排序第</w:t>
            </w:r>
            <w:r>
              <w:rPr>
                <w:rFonts w:hint="eastAsia"/>
                <w:color w:val="auto"/>
                <w:sz w:val="21"/>
                <w:szCs w:val="21"/>
                <w:highlight w:val="none"/>
                <w:lang w:val="en-US" w:eastAsia="zh-CN"/>
              </w:rPr>
              <w:t>1</w:t>
            </w:r>
            <w:r>
              <w:rPr>
                <w:color w:val="auto"/>
                <w:sz w:val="21"/>
                <w:szCs w:val="21"/>
                <w:highlight w:val="none"/>
              </w:rPr>
              <w:t>的为中标人</w:t>
            </w:r>
            <w:r>
              <w:rPr>
                <w:rFonts w:hint="eastAsia"/>
                <w:color w:val="auto"/>
                <w:sz w:val="21"/>
                <w:szCs w:val="21"/>
                <w:highlight w:val="none"/>
                <w:lang w:eastAsia="zh-CN"/>
              </w:rPr>
              <w:t>；</w:t>
            </w:r>
            <w:r>
              <w:rPr>
                <w:color w:val="auto"/>
                <w:sz w:val="21"/>
                <w:szCs w:val="21"/>
                <w:highlight w:val="none"/>
              </w:rPr>
              <w:t>最终得分相等，报价得分也相等按技术指标优劣排列确定中标人。</w:t>
            </w:r>
          </w:p>
        </w:tc>
      </w:tr>
    </w:tbl>
    <w:p>
      <w:pPr>
        <w:pStyle w:val="33"/>
        <w:spacing w:line="560" w:lineRule="exact"/>
        <w:rPr>
          <w:rFonts w:hint="eastAsia"/>
          <w:color w:val="auto"/>
          <w:highlight w:val="none"/>
        </w:rPr>
      </w:pP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评标方法</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评标采用综合评分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按技术指标优劣排列确定中标人。</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评审标准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初步评审标准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形式评审标准：见评标办法前附表。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资格评审标准：见评标办法前附表。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响应性评审标准：见评标办法前附表。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分值构成与评分标准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 分值构成</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详细评分分值：见评标办法前附表。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 评分标准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详细评分标准：见评标办法前附表。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评标程序</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 初步评审</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3.1.1 评标委员会依据本章第2.1款规定的标准对投标文件进行初步评审。有一项不符合评审标准的，作废标处理。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3.1.2 投标人有以下情形之一的，其投标作废标处理：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（1）第二章“投标人须知”第1.4.3项规定的任何一种情形的；</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（2）串通投标或弄虚作假或有其他违法行为的；</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（3）不按评标委员会要求澄清、说明或补正的。</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3.1.3投标报价有算术错误的，评标委员会按以下原则对投标报价进行修正，修正的价格经投标人确认后具有约束力。投标人不接受修正价格的，其投标作废标处理。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（1）投标文件中的大写金额与小写金额不一致的，以大写金额为准；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（2）总价金额与依据单价计算出的结果不一致的，以单价金额为准修正总价，但单价金额小数点有明显错误的除外。</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详细评审</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 评标委员会按本章第2.2款规定的量化因素和分值进行打分，并计算出综合评估得分。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（1）按本章第2.2.4（1）目规定的评审因素和分值对商务部分计算出得分A；</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（2）按本章第2.2.4（2）目规定的评审因素和分值对技术部分计算出得分B；</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（3）按本章第2.2.4（3）目规定的评审因素和分值对综合部分计算出得分C；</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3.2.2 评分分值计算保留小数点后两位，小数点后第三位“四舍五入”。</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3.2.3 投标人得分=A+B+C。</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 投标文件的澄清和补正</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3.3.1在评标过程中，评标委员会可以要求投标人对所提交投标文件中不明确的内容进行澄清或说明，或者对细微偏差进行补正。评标委员会不接受投标人主动提出的澄清、说明或补正。</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3.3.2 澄清、说明和补正不得改变投标文件的实质性内容（算术性错误修正的除外）。投标人的澄清、说明和补正属于投标文件的组成部分。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3.3.3 评标委员会对投标人提交的澄清、说明或补正有疑问的，可以要求投标人进一步澄清、说明或补正，直至满足评标委员会的要求。</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 评标结果</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3.4.1除第二章“投标人须知”前附表授权直接确定中标人外，评标委员会按照得分由高到低的顺序推荐中标候选人。</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highlight w:val="none"/>
        </w:rPr>
        <w:t>3.4.2 评标委员会完成评标后，应当向采购人提交评标报告。</w:t>
      </w:r>
      <w:r>
        <w:rPr>
          <w:rFonts w:hint="eastAsia" w:asciiTheme="minorEastAsia" w:hAnsiTheme="minorEastAsia" w:eastAsiaTheme="minorEastAsia" w:cstheme="minorEastAsia"/>
          <w:bCs/>
          <w:color w:val="auto"/>
          <w:kern w:val="0"/>
          <w:szCs w:val="21"/>
          <w:highlight w:val="none"/>
        </w:rPr>
        <w:br w:type="page"/>
      </w:r>
    </w:p>
    <w:p>
      <w:pPr>
        <w:pStyle w:val="22"/>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2" w:name="_Toc27443"/>
      <w:bookmarkStart w:id="253" w:name="_Toc7325"/>
      <w:r>
        <w:rPr>
          <w:rFonts w:hint="eastAsia" w:asciiTheme="minorEastAsia" w:hAnsiTheme="minorEastAsia" w:eastAsiaTheme="minorEastAsia" w:cstheme="minorEastAsia"/>
          <w:color w:val="auto"/>
          <w:sz w:val="36"/>
          <w:szCs w:val="36"/>
          <w:highlight w:val="none"/>
        </w:rPr>
        <w:t>合同条款及格式</w:t>
      </w:r>
      <w:bookmarkEnd w:id="249"/>
      <w:bookmarkEnd w:id="250"/>
      <w:bookmarkEnd w:id="251"/>
      <w:bookmarkEnd w:id="252"/>
      <w:bookmarkEnd w:id="253"/>
    </w:p>
    <w:p>
      <w:pPr>
        <w:rPr>
          <w:color w:val="auto"/>
          <w:highlight w:val="none"/>
        </w:rPr>
      </w:pPr>
      <w:r>
        <w:rPr>
          <w:rFonts w:hint="eastAsia"/>
          <w:color w:val="auto"/>
          <w:highlight w:val="none"/>
        </w:rPr>
        <w:t xml:space="preserve">                             </w:t>
      </w:r>
      <w:r>
        <w:rPr>
          <w:rFonts w:hint="eastAsia"/>
          <w:color w:val="auto"/>
          <w:sz w:val="28"/>
          <w:szCs w:val="28"/>
          <w:highlight w:val="none"/>
        </w:rPr>
        <w:t xml:space="preserve">    </w:t>
      </w:r>
      <w:r>
        <w:rPr>
          <w:rFonts w:hint="eastAsia"/>
          <w:b/>
          <w:bCs/>
          <w:color w:val="auto"/>
          <w:sz w:val="28"/>
          <w:szCs w:val="28"/>
          <w:highlight w:val="none"/>
        </w:rPr>
        <w:t xml:space="preserve">  （仅供参考）</w:t>
      </w:r>
    </w:p>
    <w:p>
      <w:pPr>
        <w:adjustRightInd w:val="0"/>
        <w:spacing w:line="360" w:lineRule="auto"/>
        <w:ind w:firstLine="480" w:firstLineChars="200"/>
        <w:textAlignment w:val="baseline"/>
        <w:rPr>
          <w:rFonts w:ascii="宋体" w:hAnsi="宋体" w:cs="宋体"/>
          <w:color w:val="auto"/>
          <w:sz w:val="24"/>
          <w:highlight w:val="none"/>
        </w:rPr>
      </w:pPr>
      <w:bookmarkStart w:id="254" w:name="_Toc12807"/>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甲方：（采购单位）</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乙方：（供应商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甲、乙双方持采购人、采购代理公司签发的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乙方提供的货物达到乙方</w:t>
      </w:r>
      <w:r>
        <w:rPr>
          <w:rFonts w:hint="eastAsia" w:asciiTheme="minorEastAsia" w:hAnsiTheme="minorEastAsia" w:eastAsiaTheme="minorEastAsia" w:cstheme="minorEastAsia"/>
          <w:color w:val="auto"/>
          <w:szCs w:val="21"/>
          <w:highlight w:val="none"/>
          <w:lang w:eastAsia="zh-CN"/>
        </w:rPr>
        <w:t>投标文件</w:t>
      </w:r>
      <w:r>
        <w:rPr>
          <w:rFonts w:hint="eastAsia" w:asciiTheme="minorEastAsia" w:hAnsiTheme="minorEastAsia" w:eastAsiaTheme="minorEastAsia" w:cstheme="minorEastAsia"/>
          <w:color w:val="auto"/>
          <w:szCs w:val="21"/>
          <w:highlight w:val="none"/>
        </w:rPr>
        <w:t>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乙方应于2023年 月 日前按甲方要求在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（甲方指定地点）将货物运送达到验收条件。货物运送产生的费用由乙方负责。由甲方组织相关人员进行验收。</w:t>
      </w:r>
    </w:p>
    <w:p>
      <w:pPr>
        <w:numPr>
          <w:ilvl w:val="0"/>
          <w:numId w:val="7"/>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宋体" w:hAnsi="宋体" w:cs="宋体"/>
          <w:bCs/>
          <w:color w:val="auto"/>
          <w:highlight w:val="none"/>
        </w:rPr>
        <w:t>。</w:t>
      </w:r>
    </w:p>
    <w:p>
      <w:pPr>
        <w:numPr>
          <w:ilvl w:val="0"/>
          <w:numId w:val="7"/>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重要提示：以上合同文本作为签订合同的重要依据，涉及付款方式、供应商名称等实质性内容不得变更。</w:t>
      </w: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rFonts w:asciiTheme="minorEastAsia" w:hAnsiTheme="minorEastAsia" w:eastAsiaTheme="minorEastAsia" w:cstheme="minorEastAsia"/>
          <w:b/>
          <w:bCs/>
          <w:color w:val="auto"/>
          <w:sz w:val="21"/>
          <w:szCs w:val="21"/>
          <w:highlight w:val="none"/>
        </w:rPr>
      </w:pPr>
    </w:p>
    <w:p>
      <w:pPr>
        <w:pStyle w:val="9"/>
        <w:jc w:val="center"/>
        <w:rPr>
          <w:b/>
          <w:bCs/>
          <w:color w:val="auto"/>
          <w:sz w:val="32"/>
          <w:szCs w:val="32"/>
          <w:highlight w:val="none"/>
        </w:rPr>
      </w:pPr>
    </w:p>
    <w:p>
      <w:pPr>
        <w:pStyle w:val="9"/>
        <w:numPr>
          <w:ilvl w:val="0"/>
          <w:numId w:val="6"/>
        </w:numPr>
        <w:jc w:val="center"/>
        <w:outlineLvl w:val="0"/>
        <w:rPr>
          <w:b/>
          <w:bCs/>
          <w:color w:val="auto"/>
          <w:sz w:val="32"/>
          <w:szCs w:val="32"/>
          <w:highlight w:val="none"/>
        </w:rPr>
      </w:pPr>
      <w:r>
        <w:rPr>
          <w:rFonts w:hint="eastAsia"/>
          <w:b/>
          <w:bCs/>
          <w:color w:val="auto"/>
          <w:sz w:val="32"/>
          <w:szCs w:val="32"/>
          <w:highlight w:val="none"/>
        </w:rPr>
        <w:t xml:space="preserve">  </w:t>
      </w:r>
      <w:bookmarkStart w:id="255" w:name="_Toc6692"/>
      <w:r>
        <w:rPr>
          <w:rFonts w:hint="eastAsia"/>
          <w:b/>
          <w:bCs/>
          <w:color w:val="auto"/>
          <w:sz w:val="32"/>
          <w:szCs w:val="32"/>
          <w:highlight w:val="none"/>
        </w:rPr>
        <w:t>采购内容及技术要求</w:t>
      </w:r>
      <w:bookmarkEnd w:id="255"/>
    </w:p>
    <w:p>
      <w:pPr>
        <w:keepNext w:val="0"/>
        <w:keepLines w:val="0"/>
        <w:pageBreakBefore w:val="0"/>
        <w:widowControl/>
        <w:numPr>
          <w:ilvl w:val="0"/>
          <w:numId w:val="8"/>
        </w:numPr>
        <w:kinsoku/>
        <w:wordWrap/>
        <w:overflowPunct/>
        <w:topLinePunct w:val="0"/>
        <w:autoSpaceDE/>
        <w:autoSpaceDN/>
        <w:bidi w:val="0"/>
        <w:adjustRightInd w:val="0"/>
        <w:snapToGrid w:val="0"/>
        <w:spacing w:line="460" w:lineRule="exac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采购内容：购置4艘游船，每艘可容纳200名游客，预算金额</w:t>
      </w:r>
      <w:r>
        <w:rPr>
          <w:rFonts w:hint="eastAsia" w:ascii="宋体" w:hAnsi="宋体"/>
          <w:bCs/>
          <w:color w:val="auto"/>
          <w:kern w:val="0"/>
          <w:sz w:val="24"/>
          <w:szCs w:val="24"/>
          <w:highlight w:val="none"/>
          <w:lang w:eastAsia="zh-CN"/>
        </w:rPr>
        <w:t>2100万元</w:t>
      </w:r>
      <w:r>
        <w:rPr>
          <w:rFonts w:hint="default" w:ascii="宋体" w:hAnsi="宋体"/>
          <w:bCs/>
          <w:color w:val="auto"/>
          <w:kern w:val="0"/>
          <w:sz w:val="24"/>
          <w:szCs w:val="24"/>
          <w:highlight w:val="none"/>
          <w:lang w:val="en-US" w:eastAsia="zh-CN"/>
        </w:rPr>
        <w:t>（含设计、建造、</w:t>
      </w:r>
      <w:r>
        <w:rPr>
          <w:rFonts w:hint="eastAsia" w:ascii="宋体" w:hAnsi="宋体"/>
          <w:bCs/>
          <w:color w:val="auto"/>
          <w:kern w:val="0"/>
          <w:sz w:val="24"/>
          <w:szCs w:val="24"/>
          <w:highlight w:val="none"/>
          <w:lang w:val="en-US" w:eastAsia="zh-CN"/>
        </w:rPr>
        <w:t>运输、</w:t>
      </w:r>
      <w:r>
        <w:rPr>
          <w:rFonts w:hint="default" w:ascii="宋体" w:hAnsi="宋体"/>
          <w:bCs/>
          <w:color w:val="auto"/>
          <w:kern w:val="0"/>
          <w:sz w:val="24"/>
          <w:szCs w:val="24"/>
          <w:highlight w:val="none"/>
          <w:lang w:val="en-US" w:eastAsia="zh-CN"/>
        </w:rPr>
        <w:t>下水、检验、办证</w:t>
      </w:r>
      <w:r>
        <w:rPr>
          <w:rFonts w:hint="eastAsia" w:ascii="宋体" w:hAnsi="宋体"/>
          <w:bCs/>
          <w:color w:val="auto"/>
          <w:kern w:val="0"/>
          <w:sz w:val="24"/>
          <w:szCs w:val="24"/>
          <w:highlight w:val="none"/>
          <w:lang w:val="en-US" w:eastAsia="zh-CN"/>
        </w:rPr>
        <w:t>、税金</w:t>
      </w:r>
      <w:r>
        <w:rPr>
          <w:rFonts w:hint="default" w:ascii="宋体" w:hAnsi="宋体"/>
          <w:bCs/>
          <w:color w:val="auto"/>
          <w:kern w:val="0"/>
          <w:sz w:val="24"/>
          <w:szCs w:val="24"/>
          <w:highlight w:val="none"/>
          <w:lang w:val="en-US" w:eastAsia="zh-CN"/>
        </w:rPr>
        <w:t>等费用）</w:t>
      </w:r>
      <w:r>
        <w:rPr>
          <w:rFonts w:hint="eastAsia" w:ascii="宋体" w:hAnsi="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二、质量要求：符合国家及行业规范标准。</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三、供货安装期：合同签订后</w:t>
      </w:r>
      <w:r>
        <w:rPr>
          <w:rFonts w:hint="eastAsia" w:ascii="宋体" w:hAnsi="宋体"/>
          <w:bCs/>
          <w:color w:val="auto"/>
          <w:kern w:val="0"/>
          <w:sz w:val="24"/>
          <w:szCs w:val="24"/>
          <w:highlight w:val="none"/>
          <w:lang w:val="en-US" w:eastAsia="zh-CN"/>
        </w:rPr>
        <w:t>450</w:t>
      </w:r>
      <w:r>
        <w:rPr>
          <w:rFonts w:hint="eastAsia" w:ascii="宋体" w:hAnsi="宋体"/>
          <w:bCs/>
          <w:color w:val="auto"/>
          <w:kern w:val="0"/>
          <w:sz w:val="24"/>
          <w:szCs w:val="24"/>
          <w:highlight w:val="none"/>
        </w:rPr>
        <w:t>日历天</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color w:val="auto"/>
          <w:sz w:val="24"/>
          <w:szCs w:val="24"/>
          <w:highlight w:val="none"/>
        </w:rPr>
      </w:pPr>
      <w:r>
        <w:rPr>
          <w:rFonts w:hint="eastAsia" w:ascii="宋体" w:hAnsi="宋体"/>
          <w:bCs/>
          <w:color w:val="auto"/>
          <w:kern w:val="0"/>
          <w:sz w:val="24"/>
          <w:szCs w:val="24"/>
          <w:highlight w:val="none"/>
        </w:rPr>
        <w:t>四、质保期：一年</w:t>
      </w:r>
      <w:r>
        <w:rPr>
          <w:rFonts w:hint="eastAsia" w:ascii="仿宋_GB2312" w:hAnsi="宋体" w:eastAsia="仿宋_GB2312"/>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color w:val="auto"/>
          <w:sz w:val="24"/>
          <w:szCs w:val="24"/>
          <w:highlight w:val="none"/>
        </w:rPr>
      </w:pPr>
      <w:r>
        <w:rPr>
          <w:rFonts w:hint="eastAsia" w:ascii="宋体" w:hAnsi="宋体"/>
          <w:bCs/>
          <w:color w:val="auto"/>
          <w:kern w:val="0"/>
          <w:sz w:val="24"/>
          <w:szCs w:val="24"/>
          <w:highlight w:val="none"/>
        </w:rPr>
        <w:t>五、采购要求：</w:t>
      </w:r>
    </w:p>
    <w:tbl>
      <w:tblPr>
        <w:tblStyle w:val="26"/>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2288"/>
        <w:gridCol w:w="3366"/>
        <w:gridCol w:w="903"/>
        <w:gridCol w:w="757"/>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1.1、游船--技术参数及要求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一</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结构形式</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单底、单舷、单甲板横骨架式钢质游船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二</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航    区</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B级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三</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总    长</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27.00~29.00米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四</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总    宽</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6.8~7.2米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五</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型    深</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1.7~1.8米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六</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吃    水</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color w:val="auto"/>
                <w:sz w:val="21"/>
                <w:szCs w:val="21"/>
                <w:highlight w:val="none"/>
                <w:lang w:val="en-US" w:eastAsia="zh-CN"/>
              </w:rPr>
              <w:t>1.05~1.15米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八</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主    机</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330KW*2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九</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乘员人数</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十</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船员人数</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十一</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设计航速</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15-18公里/小时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十二</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续航时间</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不低于6小时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备注:（投标报价应包含设计、建造、运输、下水、检验、办证、税金等费用）。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 详细配置要求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一</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船体主材料</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船用钢材及型材</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CCSA/B、Q235 t6 t5 t4</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上层结构框架</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CCSA/B、Q235 T5 T4</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管材</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ascii="宋体" w:hAnsi="宋体" w:eastAsia="宋体" w:cs="宋体"/>
                <w:color w:val="000000"/>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钢制护舷</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Q235-T6mm</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板材预处理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Q235-T6mm</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异形件制造加工</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外板部位</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焊丝、电焊</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按工艺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钣金灰</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耐高温、附着力强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9</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防锈底漆、船体面漆</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富锌、云铁、甲板漆、金属漆、稀释剂</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船体内局部防腐处理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氧气、乙炔</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highlight w:val="none"/>
                <w:lang w:val="en-US" w:eastAsia="zh-CN"/>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A60防火棉</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（不含石棉）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辅助材料</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含劳防用品、工装、工件等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二</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轮机部分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船用发动机</w:t>
            </w:r>
          </w:p>
        </w:tc>
        <w:tc>
          <w:tcPr>
            <w:tcW w:w="3366"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kern w:val="0"/>
                <w:szCs w:val="21"/>
                <w:highlight w:val="none"/>
              </w:rPr>
              <w:t>国二排放，330KW，电启动，配套齿轮箱；含主机遥控</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主机基座</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主机配套含减震配件等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发动机安装附件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消声器、隔热降噪等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电子离合器</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配套</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eastAsia="zh-CN"/>
              </w:rPr>
            </w:pPr>
            <w:r>
              <w:rPr>
                <w:rFonts w:hint="eastAsia" w:ascii="Times New Roman" w:hAnsi="Times New Roman" w:cs="Times New Roman"/>
                <w:color w:val="000000"/>
                <w:kern w:val="0"/>
                <w:szCs w:val="21"/>
                <w:highlight w:val="none"/>
                <w:lang w:val="en-US" w:eastAsia="zh-CN"/>
              </w:rPr>
              <w:t>5</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轴系</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轴系、润滑油箱、及螺旋桨等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舵系</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舵板、上下支承等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液压舵机</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一主一备，机带+电动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船用发电机组</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静音型 380V18KW</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机组基座</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柴油机、发电机启动电瓶</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200A（含启动电缆、闸刀）</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5</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防腐电瓶箱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5</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燃油系统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燃油箱（大于4小时工作油量）、平板玻璃液位计、泄放阀、托盘、速闭阀、铜质注油口、出油阀、回油阀、检修孔等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舱底水系统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江水箱、过滤器、各类阀件、法兰、无缝钢管、弯头等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ascii="Times New Roman" w:hAnsi="Times New Roman" w:eastAsia="宋体" w:cs="Times New Roman"/>
                <w:color w:val="000000"/>
                <w:kern w:val="0"/>
                <w:szCs w:val="21"/>
                <w:highlight w:val="none"/>
              </w:rPr>
              <w:t>15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空气管</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按船检要求，含风机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ascii="Times New Roman" w:hAnsi="Times New Roman" w:eastAsia="宋体" w:cs="Times New Roman"/>
                <w:color w:val="000000"/>
                <w:kern w:val="0"/>
                <w:szCs w:val="21"/>
                <w:highlight w:val="none"/>
              </w:rPr>
              <w:t>16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手摇泵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ascii="Times New Roman" w:hAnsi="Times New Roman" w:eastAsia="宋体" w:cs="Times New Roman"/>
                <w:color w:val="000000"/>
                <w:kern w:val="0"/>
                <w:szCs w:val="21"/>
                <w:highlight w:val="none"/>
              </w:rPr>
              <w:t>19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主机排气管</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20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不锈钢清水箱</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4.0m³</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21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清水泵</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22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2"/>
                <w:szCs w:val="22"/>
                <w:highlight w:val="none"/>
              </w:rPr>
              <w:t>机舱降噪</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000000"/>
                <w:sz w:val="22"/>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2"/>
                <w:szCs w:val="22"/>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23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辅助材料</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工具工装劳护用品、工件等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电气设备部分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主配电板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充放电板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航行信号灯控制板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桅杆信号灯控制板</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电线、电缆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2"/>
                <w:szCs w:val="22"/>
                <w:highlight w:val="none"/>
              </w:rPr>
              <w:t>穿线管路、桥架</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2"/>
                <w:szCs w:val="22"/>
                <w:highlight w:val="none"/>
              </w:rPr>
              <w:t>阻燃pvc</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2"/>
                <w:szCs w:val="22"/>
                <w:highlight w:val="none"/>
              </w:rPr>
              <w:t>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2"/>
                <w:szCs w:val="22"/>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驾驶室空调</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1.5P</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应急照明用蓄电池</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船用12V 200A（含配件）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防腐电瓶箱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10</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蓄电池充电机</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24V</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船用照明灯具</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船用开关、插座、线耳等</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宋体" w:hAnsi="宋体" w:eastAsia="宋体" w:cs="宋体"/>
                <w:color w:val="000000"/>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13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舱底水泵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14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岸电箱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15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避雷系统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避雷针、防腐、消静电</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Times New Roman" w:hAnsi="Times New Roman" w:eastAsia="宋体" w:cs="Times New Roman"/>
                <w:color w:val="000000"/>
                <w:kern w:val="0"/>
                <w:szCs w:val="21"/>
                <w:highlight w:val="none"/>
              </w:rPr>
              <w:t>16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辅助材料</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扎带、焊锡、绝缘胶带等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color w:val="000000"/>
                <w:highlight w:val="none"/>
              </w:rPr>
              <w:t>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四</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甲板舱面设备及材料</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4.1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甲板部分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游艇靠球</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20CM（带绳）</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靠球吊环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不锈钢304</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一层甲板、二层甲板栏杆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米</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110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舷侧进出口门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不锈钢框架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樘</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后甲板楼梯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钢质+不锈钢栏杆</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舱内直梯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地板及座椅</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一层地板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生态木地板（含底部骨架）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平方米</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200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二层地板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生态木地板（含底部骨架）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平方米</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140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座椅</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304 不锈钢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位</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200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驾驶室、卫生间</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驾驶室制安</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自制 （含2只门、前挡玻璃、地板、天花等）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驾驶椅</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可升降</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张</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驾驶台</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男女卫生间制安</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蹲便器1只、小便斗、陶瓷台盆及龙头1套、镜子1面、结构框架、防滑地板、墙裙、吊顶、排风设施</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五</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b/>
                <w:bCs/>
                <w:i w:val="0"/>
                <w:iCs w:val="0"/>
                <w:color w:val="auto"/>
                <w:sz w:val="21"/>
                <w:szCs w:val="21"/>
                <w:highlight w:val="none"/>
                <w:u w:val="none"/>
              </w:rPr>
            </w:pPr>
            <w:r>
              <w:rPr>
                <w:rFonts w:hint="eastAsia" w:ascii="黑体" w:hAnsi="宋体" w:eastAsia="黑体" w:cs="黑体"/>
                <w:color w:val="000000"/>
                <w:kern w:val="0"/>
                <w:szCs w:val="21"/>
                <w:highlight w:val="none"/>
              </w:rPr>
              <w:t>锚泊、系泊</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带缆桩</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 双柱</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系船索</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波尔锚</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导览装置</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人力绞盘及锚链</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六</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救生设备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工作救生衣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Cs w:val="21"/>
                <w:highlight w:val="none"/>
              </w:rPr>
              <w:t>CCS成人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救生衣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CCS成人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 xml:space="preserve">240 </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救生衣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CCS儿童</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带救生浮索救生圈</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带自亮灯救生圈</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救生圈架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七</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消防设备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消防泵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65CWZ-8，流量36m3/h，扬程30m，5.5kw,CCS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消防栓、消防水带及枪（水柱/水雾两用）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10-50-20 接口铝材质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灭火器（含灭火器架子）</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CCS 5kg干粉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具</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color w:val="000000"/>
                <w:kern w:val="0"/>
                <w:szCs w:val="21"/>
                <w:highlight w:val="none"/>
              </w:rPr>
              <w:t>16</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带绳消防水桶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半圆铁+18米绳</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砂箱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0.03m³ 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太平斧</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把</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Times New Roman" w:hAnsi="Times New Roman" w:eastAsia="宋体" w:cs="Times New Roman"/>
                <w:color w:val="000000"/>
                <w:kern w:val="0"/>
                <w:szCs w:val="21"/>
                <w:highlight w:val="none"/>
                <w:lang w:val="en-US" w:eastAsia="zh-CN"/>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铁钎、铁钩</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八</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无线电通信设备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船令广播装置</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ascii="宋体" w:hAnsi="宋体" w:eastAsia="宋体" w:cs="宋体"/>
                <w:color w:val="000000"/>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通讯报警系统</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甚高频</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FT-805B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九</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航行设备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探照灯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舵角指示器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 xml:space="preserve"> LD-3</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测深手锤</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1kg</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测深杆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Cs w:val="21"/>
                <w:highlight w:val="none"/>
              </w:rPr>
              <w:t>铜 折叠</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把</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倾斜指示器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QB55-200</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双筒望远镜</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 xml:space="preserve"> 船用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船用时钟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ascii="宋体" w:hAnsi="宋体" w:eastAsia="宋体" w:cs="宋体"/>
                <w:color w:val="000000"/>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AIS系统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十</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信号设备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号灯</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桅杆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黑色球体号型</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φ300</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3</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国旗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 xml:space="preserve">5# 含旗杆 </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面</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国际信号旗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3号</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红旗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600*400</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面</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7</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手旗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350*350</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号笛</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小型</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号钟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DN160号钟</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手电筒</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水密 防水</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color w:val="000000"/>
                <w:kern w:val="0"/>
                <w:szCs w:val="21"/>
                <w:highlight w:val="none"/>
              </w:rPr>
              <w:t>十一</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防止船舶污染</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污油水柜</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污水柜</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含透气孔（加防火网）、液位显示器、液位报警装置、污水标准接入口、维修孔</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污水粉碎泵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垃圾桶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6</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2"/>
                <w:szCs w:val="22"/>
                <w:highlight w:val="none"/>
              </w:rPr>
              <w:t>十二</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i w:val="0"/>
                <w:iCs w:val="0"/>
                <w:color w:val="auto"/>
                <w:sz w:val="21"/>
                <w:szCs w:val="21"/>
                <w:highlight w:val="none"/>
                <w:u w:val="none"/>
              </w:rPr>
            </w:pPr>
            <w:r>
              <w:rPr>
                <w:rFonts w:hint="eastAsia" w:ascii="黑体" w:hAnsi="宋体" w:eastAsia="黑体" w:cs="黑体"/>
                <w:color w:val="000000"/>
                <w:kern w:val="0"/>
                <w:szCs w:val="21"/>
                <w:highlight w:val="none"/>
              </w:rPr>
              <w:t>其他</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垃圾告示牌及记录簿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ascii="Times New Roman" w:hAnsi="Times New Roman" w:eastAsia="宋体" w:cs="Times New Roman"/>
                <w:color w:val="000000"/>
                <w:kern w:val="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船名灯</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按规范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ascii="Times New Roman" w:hAnsi="Times New Roman" w:eastAsia="宋体" w:cs="Times New Roman"/>
                <w:color w:val="000000"/>
                <w:kern w:val="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color w:val="000000"/>
                <w:kern w:val="0"/>
                <w:szCs w:val="21"/>
                <w:highlight w:val="none"/>
              </w:rPr>
              <w:t>舱室标识贴</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禁止烟火牌、载客荷载标识、救生消防布置图、救生衣穿戴示意图、救生衣摆放及数量标识贴、稳性总结表、应急疏散图及应变须知</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bl>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注：本招标项目必须要实质性满足技术要求和商务要求：</w:t>
      </w: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1、投标人提供的货物必须是原装全新、高于或等于招标文件规定技术参数的产品。</w:t>
      </w: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pPr>
        <w:pStyle w:val="10"/>
        <w:ind w:firstLine="496"/>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lang w:val="en-US" w:eastAsia="zh-CN"/>
        </w:rPr>
        <w:t>3</w:t>
      </w:r>
      <w:r>
        <w:rPr>
          <w:rFonts w:hint="eastAsia" w:ascii="宋体" w:hAnsi="宋体" w:cs="宋体"/>
          <w:b/>
          <w:bCs/>
          <w:color w:val="auto"/>
          <w:spacing w:val="4"/>
          <w:sz w:val="24"/>
          <w:szCs w:val="24"/>
          <w:highlight w:val="none"/>
        </w:rPr>
        <w:t>.本标的所属行业：制造业</w:t>
      </w:r>
    </w:p>
    <w:p>
      <w:pPr>
        <w:spacing w:line="560" w:lineRule="exact"/>
        <w:ind w:firstLine="482" w:firstLineChars="200"/>
        <w:rPr>
          <w:rFonts w:hint="eastAsia" w:ascii="宋体" w:hAnsi="宋体" w:cs="宋体"/>
          <w:b/>
          <w:bCs/>
          <w:color w:val="auto"/>
          <w:kern w:val="0"/>
          <w:sz w:val="24"/>
          <w:highlight w:val="none"/>
        </w:rPr>
      </w:pPr>
    </w:p>
    <w:bookmarkEnd w:id="254"/>
    <w:p>
      <w:pPr>
        <w:rPr>
          <w:rFonts w:hint="eastAsia"/>
          <w:color w:val="auto"/>
          <w:sz w:val="32"/>
          <w:szCs w:val="32"/>
          <w:highlight w:val="none"/>
        </w:rPr>
      </w:pPr>
      <w:bookmarkStart w:id="256" w:name="_Toc28947"/>
      <w:bookmarkStart w:id="257" w:name="_Toc7906"/>
      <w:bookmarkStart w:id="258" w:name="_Toc426369533"/>
      <w:bookmarkStart w:id="259" w:name="_Toc403122572"/>
      <w:r>
        <w:rPr>
          <w:rFonts w:hint="eastAsia"/>
          <w:color w:val="auto"/>
          <w:sz w:val="32"/>
          <w:szCs w:val="32"/>
          <w:highlight w:val="none"/>
        </w:rPr>
        <w:br w:type="page"/>
      </w:r>
    </w:p>
    <w:p>
      <w:pPr>
        <w:pStyle w:val="2"/>
        <w:spacing w:before="0" w:after="0" w:line="360" w:lineRule="auto"/>
        <w:ind w:firstLine="643" w:firstLineChars="200"/>
        <w:rPr>
          <w:color w:val="auto"/>
          <w:sz w:val="32"/>
          <w:szCs w:val="32"/>
          <w:highlight w:val="none"/>
        </w:rPr>
      </w:pPr>
      <w:r>
        <w:rPr>
          <w:rFonts w:hint="eastAsia"/>
          <w:color w:val="auto"/>
          <w:sz w:val="32"/>
          <w:szCs w:val="32"/>
          <w:highlight w:val="none"/>
        </w:rPr>
        <w:t>第六章 质疑与投诉</w:t>
      </w:r>
      <w:bookmarkEnd w:id="256"/>
    </w:p>
    <w:p>
      <w:pPr>
        <w:rPr>
          <w:color w:val="auto"/>
          <w:highlight w:val="none"/>
        </w:rPr>
      </w:pPr>
    </w:p>
    <w:p>
      <w:pPr>
        <w:pStyle w:val="3"/>
        <w:rPr>
          <w:rFonts w:ascii="宋体" w:hAnsi="宋体" w:cs="宋体"/>
          <w:b w:val="0"/>
          <w:bCs w:val="0"/>
          <w:color w:val="auto"/>
          <w:szCs w:val="21"/>
          <w:highlight w:val="none"/>
        </w:rPr>
      </w:pPr>
      <w:r>
        <w:rPr>
          <w:rFonts w:hint="eastAsia" w:ascii="宋体" w:hAnsi="宋体" w:cs="宋体"/>
          <w:color w:val="auto"/>
          <w:szCs w:val="21"/>
          <w:highlight w:val="none"/>
        </w:rPr>
        <w:t>一、质疑与答复</w:t>
      </w:r>
    </w:p>
    <w:p>
      <w:pPr>
        <w:pStyle w:val="24"/>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5"/>
        <w:spacing w:line="360" w:lineRule="auto"/>
        <w:rPr>
          <w:rFonts w:ascii="宋体" w:hAnsi="宋体" w:cs="宋体"/>
          <w:color w:val="auto"/>
          <w:szCs w:val="21"/>
          <w:highlight w:val="none"/>
        </w:rPr>
      </w:pPr>
      <w:r>
        <w:rPr>
          <w:rFonts w:hint="eastAsia" w:ascii="宋体" w:hAnsi="宋体" w:cs="宋体"/>
          <w:color w:val="auto"/>
          <w:szCs w:val="21"/>
          <w:highlight w:val="none"/>
        </w:rPr>
        <w:t>2. 供应商提出质疑应当提交质疑函和必要的证明材料。政府采购供应商质疑函范本下载地址：</w:t>
      </w:r>
    </w:p>
    <w:p>
      <w:pPr>
        <w:pStyle w:val="25"/>
        <w:spacing w:line="360" w:lineRule="auto"/>
        <w:ind w:left="420" w:leftChars="200" w:firstLine="0" w:firstLine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29"/>
          <w:rFonts w:hint="eastAsia" w:ascii="宋体" w:hAnsi="宋体" w:cs="宋体"/>
          <w:color w:val="auto"/>
          <w:szCs w:val="21"/>
          <w:highlight w:val="none"/>
        </w:rPr>
        <w:t>http://download.ccgp.gov.cn/2018/zhiyihanfanben.zip；</w:t>
      </w:r>
      <w:r>
        <w:rPr>
          <w:rStyle w:val="29"/>
          <w:rFonts w:hint="eastAsia" w:ascii="宋体" w:hAnsi="宋体" w:cs="宋体"/>
          <w:color w:val="auto"/>
          <w:szCs w:val="21"/>
          <w:highlight w:val="none"/>
        </w:rPr>
        <w:fldChar w:fldCharType="end"/>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供应商提出质疑应当提交质疑函和必要的证明材料。质疑函应当包括下列内容：</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供应商的姓名或者名称、地址、邮编、联系人及联系电话；</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质疑项目的名称、编号；</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具体、明确的质疑事项和与质疑事项相关的请求；</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事实依据；</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必要的法律依据；</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提出质疑的日期；</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获取招标文件的凭证；</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以上资料一式二份（采购人、采购代理机构各执一份）。</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供应商不得虚假质疑和恶意质疑，并对质疑内容的真实性承担责任。</w:t>
      </w:r>
    </w:p>
    <w:p>
      <w:pPr>
        <w:pStyle w:val="3"/>
        <w:rPr>
          <w:rFonts w:ascii="宋体" w:hAnsi="宋体" w:cs="宋体"/>
          <w:b w:val="0"/>
          <w:bCs w:val="0"/>
          <w:color w:val="auto"/>
          <w:szCs w:val="21"/>
          <w:highlight w:val="none"/>
        </w:rPr>
      </w:pPr>
      <w:r>
        <w:rPr>
          <w:rFonts w:hint="eastAsia" w:ascii="宋体" w:hAnsi="宋体" w:cs="宋体"/>
          <w:color w:val="auto"/>
          <w:szCs w:val="21"/>
          <w:highlight w:val="none"/>
        </w:rPr>
        <w:t>二、投诉与处理</w:t>
      </w:r>
    </w:p>
    <w:p>
      <w:pPr>
        <w:pStyle w:val="24"/>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2、质疑供应商对采购人、采购代理机构的答复不满意，或者采购人、采购代理机构未在规定时间内作出答复的，可以在答复期满后15个工作日内向财政部门提起投诉。</w:t>
      </w:r>
    </w:p>
    <w:p>
      <w:pPr>
        <w:pStyle w:val="24"/>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4"/>
        <w:spacing w:line="360" w:lineRule="auto"/>
        <w:ind w:firstLine="640" w:firstLineChars="200"/>
        <w:rPr>
          <w:rFonts w:hint="default"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29"/>
          <w:rFonts w:ascii="宋体" w:hAnsi="宋体" w:eastAsia="宋体" w:cs="宋体"/>
          <w:color w:val="auto"/>
          <w:sz w:val="21"/>
          <w:szCs w:val="21"/>
          <w:highlight w:val="none"/>
        </w:rPr>
        <w:t>http://download.ccgp.gov.cn/2018/tousushufanben.zip</w:t>
      </w:r>
      <w:r>
        <w:rPr>
          <w:rStyle w:val="29"/>
          <w:rFonts w:ascii="宋体" w:hAnsi="宋体" w:eastAsia="宋体" w:cs="宋体"/>
          <w:color w:val="auto"/>
          <w:sz w:val="21"/>
          <w:szCs w:val="21"/>
          <w:highlight w:val="none"/>
        </w:rPr>
        <w:fldChar w:fldCharType="end"/>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财政部门自收到投诉之日起30个工作日内，对投诉事项作出处理决定并公示。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投诉人在全国范围12个月内三次以上投诉查无实据的，由财政部门列入不良行为记录名单。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投诉人有财政部94号令第三十七条情形的，属于虚假、恶意投诉，由财政部门列入不良行为记录名单，禁止其1至3年内参加政府采购活动。</w:t>
      </w:r>
    </w:p>
    <w:p>
      <w:pPr>
        <w:pStyle w:val="25"/>
        <w:spacing w:line="360" w:lineRule="auto"/>
        <w:rPr>
          <w:rFonts w:ascii="宋体" w:hAnsi="宋体" w:cs="宋体"/>
          <w:color w:val="auto"/>
          <w:szCs w:val="21"/>
          <w:highlight w:val="none"/>
        </w:rPr>
      </w:pPr>
    </w:p>
    <w:p>
      <w:pPr>
        <w:rPr>
          <w:rFonts w:ascii="宋体" w:hAnsi="宋体" w:cs="宋体"/>
          <w:b/>
          <w:bCs/>
          <w:color w:val="auto"/>
          <w:szCs w:val="21"/>
          <w:highlight w:val="none"/>
        </w:rPr>
      </w:pPr>
      <w:r>
        <w:rPr>
          <w:rFonts w:hint="eastAsia" w:ascii="宋体" w:hAnsi="宋体" w:cs="宋体"/>
          <w:color w:val="auto"/>
          <w:szCs w:val="21"/>
          <w:highlight w:val="none"/>
        </w:rPr>
        <w:t xml:space="preserve">投诉联系电话：0391-8683273  地址：博爱县机关综合办公楼主楼1213室 </w:t>
      </w:r>
    </w:p>
    <w:p>
      <w:pPr>
        <w:rPr>
          <w:rFonts w:ascii="宋体" w:hAnsi="宋体" w:cs="宋体"/>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p>
    <w:p>
      <w:pPr>
        <w:rPr>
          <w:color w:val="auto"/>
          <w:highlight w:val="none"/>
        </w:rPr>
      </w:pPr>
    </w:p>
    <w:p>
      <w:pPr>
        <w:pStyle w:val="10"/>
        <w:rPr>
          <w:color w:val="auto"/>
          <w:highlight w:val="none"/>
        </w:rPr>
      </w:pPr>
    </w:p>
    <w:p>
      <w:pPr>
        <w:pStyle w:val="11"/>
        <w:rPr>
          <w:color w:val="auto"/>
          <w:highlight w:val="none"/>
        </w:rPr>
      </w:pPr>
    </w:p>
    <w:p>
      <w:pPr>
        <w:pStyle w:val="10"/>
        <w:rPr>
          <w:color w:val="auto"/>
          <w:highlight w:val="none"/>
        </w:rPr>
      </w:pPr>
    </w:p>
    <w:p>
      <w:pPr>
        <w:pStyle w:val="11"/>
        <w:rPr>
          <w:color w:val="auto"/>
          <w:highlight w:val="none"/>
        </w:rPr>
      </w:pPr>
    </w:p>
    <w:p>
      <w:pPr>
        <w:pStyle w:val="10"/>
        <w:rPr>
          <w:color w:val="auto"/>
          <w:highlight w:val="none"/>
        </w:rPr>
      </w:pPr>
    </w:p>
    <w:p>
      <w:pPr>
        <w:pStyle w:val="11"/>
        <w:rPr>
          <w:color w:val="auto"/>
          <w:highlight w:val="none"/>
        </w:rPr>
      </w:pPr>
    </w:p>
    <w:p>
      <w:pPr>
        <w:pStyle w:val="11"/>
        <w:rPr>
          <w:color w:val="auto"/>
          <w:highlight w:val="none"/>
        </w:rPr>
      </w:pPr>
    </w:p>
    <w:p>
      <w:pPr>
        <w:pStyle w:val="24"/>
        <w:spacing w:line="360" w:lineRule="auto"/>
        <w:ind w:firstLine="643" w:firstLineChars="200"/>
        <w:jc w:val="center"/>
        <w:outlineLvl w:val="0"/>
        <w:rPr>
          <w:rFonts w:hint="default" w:asciiTheme="majorEastAsia" w:hAnsiTheme="majorEastAsia" w:eastAsiaTheme="majorEastAsia" w:cstheme="majorEastAsia"/>
          <w:b/>
          <w:bCs/>
          <w:color w:val="auto"/>
          <w:szCs w:val="32"/>
          <w:highlight w:val="none"/>
        </w:rPr>
      </w:pPr>
      <w:bookmarkStart w:id="260" w:name="_Toc7285"/>
      <w:r>
        <w:rPr>
          <w:rFonts w:asciiTheme="majorEastAsia" w:hAnsiTheme="majorEastAsia" w:eastAsiaTheme="majorEastAsia" w:cstheme="majorEastAsia"/>
          <w:b/>
          <w:bCs/>
          <w:color w:val="auto"/>
          <w:szCs w:val="32"/>
          <w:highlight w:val="none"/>
        </w:rPr>
        <w:t>第七章 履约验收</w:t>
      </w:r>
      <w:bookmarkEnd w:id="260"/>
    </w:p>
    <w:p>
      <w:pPr>
        <w:pStyle w:val="25"/>
        <w:rPr>
          <w:color w:val="auto"/>
          <w:highlight w:val="none"/>
        </w:rPr>
      </w:pPr>
    </w:p>
    <w:p>
      <w:pPr>
        <w:pStyle w:val="24"/>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24"/>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4"/>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4"/>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4"/>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0"/>
        <w:rPr>
          <w:rFonts w:asciiTheme="minorEastAsia" w:hAnsiTheme="minorEastAsia" w:eastAsiaTheme="minorEastAsia" w:cstheme="minorEastAsia"/>
          <w:color w:val="auto"/>
          <w:szCs w:val="21"/>
          <w:highlight w:val="none"/>
        </w:rPr>
      </w:pPr>
    </w:p>
    <w:p>
      <w:pPr>
        <w:pStyle w:val="11"/>
        <w:rPr>
          <w:rFonts w:asciiTheme="minorEastAsia" w:hAnsiTheme="minorEastAsia" w:eastAsiaTheme="minorEastAsia" w:cstheme="minorEastAsia"/>
          <w:color w:val="auto"/>
          <w:szCs w:val="21"/>
          <w:highlight w:val="none"/>
        </w:rPr>
      </w:pPr>
    </w:p>
    <w:p>
      <w:pPr>
        <w:pStyle w:val="10"/>
        <w:rPr>
          <w:rFonts w:asciiTheme="minorEastAsia" w:hAnsiTheme="minorEastAsia" w:eastAsiaTheme="minorEastAsia" w:cstheme="minorEastAsia"/>
          <w:color w:val="auto"/>
          <w:szCs w:val="21"/>
          <w:highlight w:val="none"/>
        </w:rPr>
      </w:pPr>
    </w:p>
    <w:p>
      <w:pPr>
        <w:pStyle w:val="11"/>
        <w:rPr>
          <w:rFonts w:asciiTheme="minorEastAsia" w:hAnsiTheme="minorEastAsia" w:eastAsiaTheme="minorEastAsia" w:cstheme="minorEastAsia"/>
          <w:color w:val="auto"/>
          <w:szCs w:val="21"/>
          <w:highlight w:val="none"/>
        </w:rPr>
      </w:pPr>
    </w:p>
    <w:p>
      <w:pPr>
        <w:pStyle w:val="10"/>
        <w:rPr>
          <w:rFonts w:asciiTheme="minorEastAsia" w:hAnsiTheme="minorEastAsia" w:eastAsiaTheme="minorEastAsia" w:cstheme="minorEastAsia"/>
          <w:color w:val="auto"/>
          <w:szCs w:val="21"/>
          <w:highlight w:val="none"/>
        </w:rPr>
      </w:pPr>
    </w:p>
    <w:p>
      <w:pPr>
        <w:pStyle w:val="11"/>
        <w:rPr>
          <w:rFonts w:asciiTheme="minorEastAsia" w:hAnsiTheme="minorEastAsia" w:eastAsiaTheme="minorEastAsia" w:cstheme="minorEastAsia"/>
          <w:color w:val="auto"/>
          <w:szCs w:val="21"/>
          <w:highlight w:val="none"/>
        </w:rPr>
      </w:pPr>
    </w:p>
    <w:p>
      <w:pPr>
        <w:pStyle w:val="10"/>
        <w:rPr>
          <w:color w:val="auto"/>
          <w:highlight w:val="none"/>
        </w:rPr>
      </w:pPr>
    </w:p>
    <w:p>
      <w:pPr>
        <w:pStyle w:val="10"/>
        <w:rPr>
          <w:color w:val="auto"/>
          <w:highlight w:val="none"/>
        </w:rPr>
      </w:pPr>
    </w:p>
    <w:p>
      <w:pPr>
        <w:pStyle w:val="22"/>
        <w:spacing w:line="600" w:lineRule="exact"/>
        <w:ind w:right="-63" w:rightChars="-30"/>
        <w:rPr>
          <w:rFonts w:asciiTheme="minorEastAsia" w:hAnsiTheme="minorEastAsia" w:eastAsiaTheme="minorEastAsia" w:cstheme="minorEastAsia"/>
          <w:color w:val="auto"/>
          <w:sz w:val="36"/>
          <w:szCs w:val="36"/>
          <w:highlight w:val="none"/>
        </w:rPr>
      </w:pPr>
      <w:bookmarkStart w:id="261" w:name="_Toc12999"/>
      <w:bookmarkStart w:id="262" w:name="_Toc14191"/>
      <w:r>
        <w:rPr>
          <w:rFonts w:hint="eastAsia" w:asciiTheme="minorEastAsia" w:hAnsiTheme="minorEastAsia" w:eastAsiaTheme="minorEastAsia" w:cstheme="minorEastAsia"/>
          <w:color w:val="auto"/>
          <w:sz w:val="36"/>
          <w:szCs w:val="36"/>
          <w:highlight w:val="none"/>
        </w:rPr>
        <w:t>第八章  投标文件格式</w:t>
      </w:r>
      <w:bookmarkEnd w:id="257"/>
      <w:bookmarkEnd w:id="258"/>
      <w:bookmarkEnd w:id="259"/>
      <w:bookmarkEnd w:id="261"/>
      <w:bookmarkEnd w:id="262"/>
    </w:p>
    <w:p>
      <w:pPr>
        <w:rPr>
          <w:rFonts w:asciiTheme="minorEastAsia" w:hAnsiTheme="minorEastAsia" w:eastAsiaTheme="minorEastAsia" w:cstheme="minorEastAsia"/>
          <w:color w:val="auto"/>
          <w:highlight w:val="none"/>
        </w:rPr>
      </w:pPr>
      <w:bookmarkStart w:id="263" w:name="_Toc402961301"/>
      <w:bookmarkStart w:id="264" w:name="_Toc27452"/>
      <w:bookmarkStart w:id="265" w:name="_Toc403122573"/>
      <w:bookmarkStart w:id="266" w:name="_Toc18905"/>
    </w:p>
    <w:bookmarkEnd w:id="263"/>
    <w:bookmarkEnd w:id="264"/>
    <w:bookmarkEnd w:id="265"/>
    <w:bookmarkEnd w:id="266"/>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5"/>
        <w:rPr>
          <w:color w:val="auto"/>
          <w:highlight w:val="none"/>
        </w:rPr>
      </w:pPr>
    </w:p>
    <w:p>
      <w:pPr>
        <w:pStyle w:val="25"/>
        <w:rPr>
          <w:color w:val="auto"/>
          <w:highlight w:val="none"/>
        </w:rPr>
      </w:pPr>
    </w:p>
    <w:p>
      <w:pPr>
        <w:pStyle w:val="25"/>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7"/>
        <w:rPr>
          <w:color w:val="auto"/>
          <w:highlight w:val="none"/>
        </w:rPr>
      </w:pPr>
      <w:r>
        <w:rPr>
          <w:rFonts w:hint="eastAsia" w:asciiTheme="minorEastAsia" w:hAnsiTheme="minorEastAsia" w:eastAsiaTheme="minorEastAsia" w:cstheme="minorEastAsia"/>
          <w:color w:val="auto"/>
          <w:highlight w:val="none"/>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5"/>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5"/>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5"/>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25"/>
        <w:ind w:firstLine="883"/>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25"/>
        <w:rPr>
          <w:color w:val="auto"/>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600" w:lineRule="exact"/>
        <w:jc w:val="center"/>
        <w:outlineLvl w:val="1"/>
        <w:rPr>
          <w:rFonts w:asciiTheme="minorEastAsia" w:hAnsiTheme="minorEastAsia" w:eastAsiaTheme="minorEastAsia" w:cstheme="minorEastAsia"/>
          <w:b/>
          <w:bCs/>
          <w:color w:val="auto"/>
          <w:sz w:val="28"/>
          <w:szCs w:val="28"/>
          <w:highlight w:val="none"/>
        </w:rPr>
      </w:pPr>
      <w:bookmarkStart w:id="267" w:name="_Toc31547"/>
      <w:bookmarkStart w:id="268"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69" w:name="_Toc1921"/>
      <w:r>
        <w:rPr>
          <w:rFonts w:hint="eastAsia" w:asciiTheme="minorEastAsia" w:hAnsiTheme="minorEastAsia" w:eastAsiaTheme="minorEastAsia" w:cstheme="minorEastAsia"/>
          <w:b/>
          <w:bCs/>
          <w:color w:val="auto"/>
          <w:sz w:val="30"/>
          <w:szCs w:val="30"/>
          <w:highlight w:val="none"/>
        </w:rPr>
        <w:t>一、投标函</w:t>
      </w:r>
      <w:bookmarkEnd w:id="267"/>
      <w:r>
        <w:rPr>
          <w:rFonts w:hint="eastAsia" w:asciiTheme="minorEastAsia" w:hAnsiTheme="minorEastAsia" w:eastAsiaTheme="minorEastAsia" w:cstheme="minorEastAsia"/>
          <w:b/>
          <w:bCs/>
          <w:color w:val="auto"/>
          <w:sz w:val="30"/>
          <w:szCs w:val="30"/>
          <w:highlight w:val="none"/>
        </w:rPr>
        <w:t>及开标一览表</w:t>
      </w:r>
      <w:bookmarkEnd w:id="268"/>
      <w:bookmarkEnd w:id="269"/>
    </w:p>
    <w:p>
      <w:pPr>
        <w:numPr>
          <w:ilvl w:val="0"/>
          <w:numId w:val="11"/>
        </w:numPr>
        <w:spacing w:line="600" w:lineRule="exact"/>
        <w:jc w:val="center"/>
        <w:outlineLvl w:val="2"/>
        <w:rPr>
          <w:rFonts w:asciiTheme="minorEastAsia" w:hAnsiTheme="minorEastAsia" w:eastAsiaTheme="minorEastAsia" w:cstheme="minorEastAsia"/>
          <w:b/>
          <w:color w:val="auto"/>
          <w:sz w:val="28"/>
          <w:szCs w:val="28"/>
          <w:highlight w:val="none"/>
        </w:rPr>
      </w:pPr>
      <w:bookmarkStart w:id="270" w:name="_Toc27218"/>
      <w:bookmarkStart w:id="271" w:name="_Toc28684"/>
      <w:bookmarkStart w:id="272" w:name="_Toc600"/>
      <w:bookmarkStart w:id="273" w:name="_Toc12044"/>
      <w:r>
        <w:rPr>
          <w:rFonts w:hint="eastAsia" w:asciiTheme="minorEastAsia" w:hAnsiTheme="minorEastAsia" w:eastAsiaTheme="minorEastAsia" w:cstheme="minorEastAsia"/>
          <w:b/>
          <w:color w:val="auto"/>
          <w:sz w:val="28"/>
          <w:szCs w:val="28"/>
          <w:highlight w:val="none"/>
        </w:rPr>
        <w:t>投标函</w:t>
      </w:r>
      <w:bookmarkEnd w:id="270"/>
      <w:bookmarkEnd w:id="271"/>
      <w:bookmarkEnd w:id="272"/>
      <w:bookmarkEnd w:id="273"/>
    </w:p>
    <w:p>
      <w:pPr>
        <w:pStyle w:val="25"/>
        <w:ind w:firstLine="0" w:firstLineChars="0"/>
        <w:rPr>
          <w:color w:val="auto"/>
          <w:highlight w:val="none"/>
        </w:rPr>
      </w:pPr>
    </w:p>
    <w:p>
      <w:pPr>
        <w:widowControl/>
        <w:spacing w:line="360" w:lineRule="auto"/>
        <w:ind w:firstLine="562"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4"/>
        <w:spacing w:line="360" w:lineRule="auto"/>
        <w:ind w:firstLine="480" w:firstLineChars="200"/>
        <w:rPr>
          <w:rFonts w:hint="default" w:ascii="宋体" w:hAnsi="宋体" w:eastAsia="宋体"/>
          <w:color w:val="auto"/>
          <w:sz w:val="24"/>
          <w:highlight w:val="none"/>
        </w:rPr>
      </w:pPr>
      <w:r>
        <w:rPr>
          <w:rFonts w:ascii="宋体" w:hAnsi="宋体" w:eastAsia="宋体"/>
          <w:color w:val="auto"/>
          <w:sz w:val="24"/>
          <w:highlight w:val="none"/>
        </w:rPr>
        <w:t>我单位已收到的</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项目采购文件及有关纪要通知，现对参与投标及中标后工作，做出如下郑重承诺：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1、我方愿以总价为人民币（大写）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（小写）￥ </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供货及安装期</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，按合同约定实施和完成本项目。 </w:t>
      </w:r>
    </w:p>
    <w:p>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4、我方参与本项目投标的所有资料真实有效，未在</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color w:val="auto"/>
          <w:highlight w:val="none"/>
        </w:rPr>
      </w:pPr>
      <w:r>
        <w:rPr>
          <w:rFonts w:hint="eastAsia" w:ascii="宋体" w:hAnsi="宋体" w:cs="宋体"/>
          <w:color w:val="auto"/>
          <w:sz w:val="24"/>
          <w:highlight w:val="none"/>
        </w:rPr>
        <w:t>5、一旦我方中标，我方在收到中标通知书后15日内，依据采购文件、</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供应商：（盖章）</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widowControl/>
        <w:spacing w:line="360" w:lineRule="auto"/>
        <w:ind w:firstLine="480" w:firstLineChars="200"/>
        <w:rPr>
          <w:rFonts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4" w:name="_Toc9543"/>
      <w:bookmarkStart w:id="275" w:name="_Toc14778"/>
      <w:bookmarkStart w:id="276" w:name="_Toc31291"/>
      <w:bookmarkStart w:id="277" w:name="_Toc208"/>
      <w:r>
        <w:rPr>
          <w:rFonts w:hint="eastAsia" w:asciiTheme="minorEastAsia" w:hAnsiTheme="minorEastAsia" w:eastAsiaTheme="minorEastAsia" w:cstheme="minorEastAsia"/>
          <w:b/>
          <w:bCs/>
          <w:color w:val="auto"/>
          <w:sz w:val="28"/>
          <w:szCs w:val="28"/>
          <w:highlight w:val="none"/>
        </w:rPr>
        <w:t>（二） 开标一览表</w:t>
      </w:r>
      <w:bookmarkEnd w:id="274"/>
      <w:bookmarkEnd w:id="275"/>
      <w:bookmarkEnd w:id="276"/>
      <w:bookmarkEnd w:id="277"/>
    </w:p>
    <w:p>
      <w:pPr>
        <w:jc w:val="center"/>
        <w:rPr>
          <w:rFonts w:asciiTheme="minorEastAsia" w:hAnsiTheme="minorEastAsia" w:eastAsiaTheme="minorEastAsia" w:cstheme="minorEastAsia"/>
          <w:b/>
          <w:bCs/>
          <w:color w:val="auto"/>
          <w:sz w:val="28"/>
          <w:highlight w:val="none"/>
        </w:rPr>
      </w:pPr>
    </w:p>
    <w:tbl>
      <w:tblPr>
        <w:tblStyle w:val="2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2"/>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供货及安装期</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质保期</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2"/>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2"/>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0"/>
        <w:rPr>
          <w:rFonts w:asciiTheme="minorEastAsia" w:hAnsiTheme="minorEastAsia" w:eastAsiaTheme="minorEastAsia" w:cstheme="minorEastAsia"/>
          <w:color w:val="auto"/>
          <w:sz w:val="24"/>
          <w:highlight w:val="none"/>
        </w:rPr>
      </w:pPr>
    </w:p>
    <w:p>
      <w:pPr>
        <w:pStyle w:val="22"/>
        <w:spacing w:before="120" w:after="120" w:line="500" w:lineRule="exact"/>
        <w:ind w:right="29" w:rightChars="14"/>
        <w:outlineLvl w:val="9"/>
        <w:rPr>
          <w:rFonts w:asciiTheme="minorEastAsia" w:hAnsiTheme="minorEastAsia" w:eastAsiaTheme="minorEastAsia" w:cstheme="minorEastAsia"/>
          <w:color w:val="auto"/>
          <w:sz w:val="24"/>
          <w:highlight w:val="none"/>
        </w:rPr>
      </w:pPr>
    </w:p>
    <w:p>
      <w:pPr>
        <w:pStyle w:val="22"/>
        <w:spacing w:before="120" w:after="120" w:line="500" w:lineRule="exact"/>
        <w:ind w:right="29" w:rightChars="14"/>
        <w:outlineLvl w:val="9"/>
        <w:rPr>
          <w:rFonts w:asciiTheme="minorEastAsia" w:hAnsiTheme="minorEastAsia" w:eastAsiaTheme="minorEastAsia" w:cstheme="minorEastAsia"/>
          <w:color w:val="auto"/>
          <w:sz w:val="24"/>
          <w:highlight w:val="none"/>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6"/>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ind w:firstLine="235" w:firstLineChars="98"/>
              <w:jc w:val="center"/>
              <w:rPr>
                <w:bCs/>
                <w:color w:val="auto"/>
                <w:highlight w:val="none"/>
              </w:rPr>
            </w:pPr>
          </w:p>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21"/>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21"/>
              <w:widowControl w:val="0"/>
              <w:adjustRightInd w:val="0"/>
              <w:spacing w:before="0" w:beforeAutospacing="0" w:after="0" w:afterAutospacing="0" w:line="480" w:lineRule="exact"/>
              <w:jc w:val="both"/>
              <w:rPr>
                <w:bCs/>
                <w:color w:val="auto"/>
                <w:highlight w:val="none"/>
              </w:rPr>
            </w:pPr>
            <w:r>
              <w:rPr>
                <w:rFonts w:hint="eastAsia"/>
                <w:bCs/>
                <w:color w:val="auto"/>
                <w:highlight w:val="none"/>
              </w:rPr>
              <w:t xml:space="preserve"> </w:t>
            </w:r>
          </w:p>
          <w:p>
            <w:pPr>
              <w:pStyle w:val="21"/>
              <w:widowControl w:val="0"/>
              <w:adjustRightInd w:val="0"/>
              <w:spacing w:before="0" w:beforeAutospacing="0" w:after="0" w:afterAutospacing="0" w:line="480" w:lineRule="exact"/>
              <w:jc w:val="both"/>
              <w:rPr>
                <w:bCs/>
                <w:color w:val="auto"/>
                <w:highlight w:val="none"/>
              </w:rPr>
            </w:pPr>
            <w:r>
              <w:rPr>
                <w:rFonts w:hint="eastAsia"/>
                <w:bCs/>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21"/>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color w:val="auto"/>
                <w:sz w:val="24"/>
                <w:highlight w:val="none"/>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6"/>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1"/>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highlight w:val="none"/>
        </w:rPr>
      </w:pPr>
      <w:r>
        <w:rPr>
          <w:rFonts w:hint="eastAsia" w:ascii="宋体" w:hAnsi="宋体"/>
          <w:color w:val="auto"/>
          <w:sz w:val="24"/>
          <w:highlight w:val="none"/>
        </w:rPr>
        <w:t>注：供应商须对照招标文件技术规格，将自己所投的所有货物的功能、技术性能、配置等内容按照上表格式与招标文件要求逐条填写，</w:t>
      </w:r>
      <w:r>
        <w:rPr>
          <w:rFonts w:hint="eastAsia" w:ascii="宋体" w:hAnsi="宋体"/>
          <w:b/>
          <w:bCs/>
          <w:color w:val="auto"/>
          <w:sz w:val="24"/>
          <w:highlight w:val="none"/>
        </w:rPr>
        <w:t>供应商必须提供所投设备的具体参数值，并在偏离说明栏中标明技术及配置的实际响应情况</w:t>
      </w:r>
      <w:r>
        <w:rPr>
          <w:rFonts w:hint="eastAsia" w:ascii="宋体" w:hAnsi="宋体"/>
          <w:color w:val="auto"/>
          <w:sz w:val="24"/>
          <w:highlight w:val="none"/>
        </w:rPr>
        <w:t>：</w:t>
      </w:r>
    </w:p>
    <w:p>
      <w:pPr>
        <w:ind w:firstLine="480" w:firstLineChars="200"/>
        <w:rPr>
          <w:rFonts w:ascii="宋体" w:hAnsi="宋体"/>
          <w:color w:val="auto"/>
          <w:sz w:val="24"/>
          <w:highlight w:val="none"/>
        </w:rPr>
      </w:pPr>
      <w:r>
        <w:rPr>
          <w:rFonts w:hint="eastAsia" w:ascii="宋体" w:hAnsi="宋体"/>
          <w:color w:val="auto"/>
          <w:sz w:val="24"/>
          <w:highlight w:val="none"/>
        </w:rPr>
        <w:t>1、偏离说明栏中必须标明技术及配置的响应情况，整项货物及该项货物各部分相应情况须按下列要求填写，任何不真实响应都将按无效投标处理：</w:t>
      </w:r>
    </w:p>
    <w:p>
      <w:pPr>
        <w:numPr>
          <w:ilvl w:val="0"/>
          <w:numId w:val="12"/>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对应项中的所有技术参数、性能和配置全部符合招标文件要求的才能填写“符合”；</w:t>
      </w:r>
    </w:p>
    <w:p>
      <w:pPr>
        <w:numPr>
          <w:ilvl w:val="0"/>
          <w:numId w:val="12"/>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5"/>
        <w:ind w:firstLine="480"/>
        <w:rPr>
          <w:rFonts w:asciiTheme="minorEastAsia" w:hAnsiTheme="minorEastAsia" w:eastAsiaTheme="minorEastAsia" w:cstheme="minorEastAsia"/>
          <w:color w:val="auto"/>
          <w:sz w:val="24"/>
          <w:highlight w:val="none"/>
        </w:rPr>
      </w:pPr>
    </w:p>
    <w:p>
      <w:pPr>
        <w:pStyle w:val="22"/>
        <w:numPr>
          <w:ilvl w:val="0"/>
          <w:numId w:val="13"/>
        </w:numPr>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78" w:name="_Toc17935"/>
      <w:bookmarkStart w:id="279" w:name="_Toc26698"/>
      <w:bookmarkStart w:id="280" w:name="_Toc2213"/>
      <w:bookmarkStart w:id="281" w:name="_Toc5614"/>
      <w:r>
        <w:rPr>
          <w:rFonts w:hint="eastAsia" w:asciiTheme="minorEastAsia" w:hAnsiTheme="minorEastAsia" w:eastAsiaTheme="minorEastAsia" w:cstheme="minorEastAsia"/>
          <w:color w:val="auto"/>
          <w:sz w:val="30"/>
          <w:szCs w:val="30"/>
          <w:highlight w:val="none"/>
        </w:rPr>
        <w:t>法定代表人身份证明书</w:t>
      </w:r>
      <w:bookmarkEnd w:id="278"/>
      <w:bookmarkEnd w:id="279"/>
      <w:bookmarkEnd w:id="280"/>
      <w:bookmarkEnd w:id="281"/>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ind w:firstLine="480" w:firstLineChars="200"/>
        <w:rPr>
          <w:color w:val="auto"/>
          <w:highlight w:val="none"/>
        </w:rPr>
      </w:pPr>
      <w:r>
        <w:rPr>
          <w:rFonts w:hint="eastAsia" w:ascii="宋体" w:hAnsi="宋体"/>
          <w:color w:val="auto"/>
          <w:sz w:val="24"/>
          <w:highlight w:val="none"/>
          <w:lang w:val="en-US" w:eastAsia="zh-CN"/>
        </w:rPr>
        <w:t>附：</w:t>
      </w:r>
      <w:r>
        <w:rPr>
          <w:rFonts w:hint="eastAsia" w:ascii="宋体" w:hAnsi="宋体"/>
          <w:color w:val="auto"/>
          <w:sz w:val="24"/>
          <w:highlight w:val="none"/>
        </w:rPr>
        <w:t>法定代表人身份证复印件（正</w:t>
      </w:r>
      <w:r>
        <w:rPr>
          <w:rFonts w:hint="eastAsia" w:ascii="宋体" w:hAnsi="宋体"/>
          <w:color w:val="auto"/>
          <w:sz w:val="24"/>
          <w:highlight w:val="none"/>
          <w:lang w:val="en-US" w:eastAsia="zh-CN"/>
        </w:rPr>
        <w:t>反</w:t>
      </w:r>
      <w:r>
        <w:rPr>
          <w:rFonts w:hint="eastAsia" w:ascii="宋体" w:hAnsi="宋体"/>
          <w:color w:val="auto"/>
          <w:sz w:val="24"/>
          <w:highlight w:val="none"/>
        </w:rPr>
        <w:t>面）</w:t>
      </w:r>
    </w:p>
    <w:p>
      <w:pPr>
        <w:rPr>
          <w:rFonts w:ascii="宋体" w:hAnsi="宋体"/>
          <w:color w:val="auto"/>
          <w:sz w:val="24"/>
          <w:highlight w:val="none"/>
        </w:rPr>
      </w:pPr>
    </w:p>
    <w:p>
      <w:pPr>
        <w:rPr>
          <w:color w:val="auto"/>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5760" w:firstLineChars="2400"/>
        <w:jc w:val="right"/>
        <w:rPr>
          <w:rFonts w:ascii="宋体" w:hAnsi="宋体"/>
          <w:color w:val="auto"/>
          <w:sz w:val="24"/>
          <w:highlight w:val="none"/>
        </w:rPr>
      </w:pPr>
    </w:p>
    <w:p>
      <w:pPr>
        <w:spacing w:line="360" w:lineRule="auto"/>
        <w:ind w:firstLine="5760" w:firstLineChars="2400"/>
        <w:jc w:val="right"/>
        <w:rPr>
          <w:rFonts w:ascii="宋体" w:hAnsi="宋体"/>
          <w:color w:val="auto"/>
          <w:sz w:val="24"/>
          <w:highlight w:val="none"/>
        </w:rPr>
      </w:pPr>
      <w:r>
        <w:rPr>
          <w:rFonts w:hint="eastAsia" w:ascii="宋体" w:hAnsi="宋体"/>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30"/>
          <w:szCs w:val="30"/>
          <w:highlight w:val="none"/>
        </w:rPr>
      </w:pPr>
      <w:bookmarkStart w:id="282" w:name="_Toc15395"/>
      <w:bookmarkStart w:id="283" w:name="_Toc5815"/>
      <w:bookmarkStart w:id="284" w:name="_Toc17980"/>
      <w:bookmarkStart w:id="285" w:name="_Toc6009"/>
      <w:r>
        <w:rPr>
          <w:rFonts w:hint="eastAsia" w:asciiTheme="minorEastAsia" w:hAnsiTheme="minorEastAsia" w:eastAsiaTheme="minorEastAsia" w:cstheme="minorEastAsia"/>
          <w:color w:val="auto"/>
          <w:sz w:val="30"/>
          <w:szCs w:val="30"/>
          <w:highlight w:val="none"/>
        </w:rPr>
        <w:br w:type="page"/>
      </w:r>
    </w:p>
    <w:p>
      <w:pPr>
        <w:pStyle w:val="22"/>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bookmarkEnd w:id="285"/>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w:t>
      </w:r>
      <w:r>
        <w:rPr>
          <w:rFonts w:hint="eastAsia" w:ascii="宋体" w:hAnsi="宋体"/>
          <w:color w:val="auto"/>
          <w:sz w:val="24"/>
          <w:highlight w:val="none"/>
          <w:lang w:eastAsia="zh-CN"/>
        </w:rPr>
        <w:t>投标文件</w:t>
      </w:r>
      <w:r>
        <w:rPr>
          <w:rFonts w:hint="eastAsia" w:ascii="宋体" w:hAnsi="宋体"/>
          <w:color w:val="auto"/>
          <w:sz w:val="24"/>
          <w:highlight w:val="none"/>
        </w:rPr>
        <w:t>、签订合同和处理有关事宜，其法律后果由我方承担。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80" w:firstLineChars="200"/>
        <w:rPr>
          <w:rFonts w:ascii="宋体" w:hAnsi="宋体"/>
          <w:color w:val="auto"/>
          <w:sz w:val="24"/>
          <w:highlight w:val="none"/>
        </w:rPr>
      </w:pPr>
    </w:p>
    <w:p>
      <w:pPr>
        <w:rPr>
          <w:color w:val="auto"/>
          <w:highlight w:val="none"/>
        </w:rPr>
      </w:pPr>
      <w:r>
        <w:rPr>
          <w:rFonts w:hint="eastAsia" w:ascii="宋体" w:hAnsi="宋体"/>
          <w:color w:val="auto"/>
          <w:sz w:val="24"/>
          <w:highlight w:val="none"/>
          <w:lang w:val="en-US" w:eastAsia="zh-CN"/>
        </w:rPr>
        <w:t>附：</w:t>
      </w:r>
      <w:r>
        <w:rPr>
          <w:rFonts w:hint="eastAsia" w:ascii="宋体" w:hAnsi="宋体"/>
          <w:color w:val="auto"/>
          <w:sz w:val="24"/>
          <w:highlight w:val="none"/>
        </w:rPr>
        <w:t>委托代理人身份证复印件正</w:t>
      </w:r>
      <w:r>
        <w:rPr>
          <w:rFonts w:hint="eastAsia" w:ascii="宋体" w:hAnsi="宋体"/>
          <w:color w:val="auto"/>
          <w:sz w:val="24"/>
          <w:highlight w:val="none"/>
          <w:lang w:val="en-US" w:eastAsia="zh-CN"/>
        </w:rPr>
        <w:t>反</w:t>
      </w:r>
      <w:r>
        <w:rPr>
          <w:rFonts w:hint="eastAsia" w:ascii="宋体" w:hAnsi="宋体"/>
          <w:color w:val="auto"/>
          <w:sz w:val="24"/>
          <w:highlight w:val="none"/>
        </w:rPr>
        <w:t>面</w:t>
      </w:r>
    </w:p>
    <w:p>
      <w:pPr>
        <w:spacing w:line="360" w:lineRule="auto"/>
        <w:jc w:val="left"/>
        <w:rPr>
          <w:rFonts w:hint="eastAsia" w:ascii="宋体" w:hAnsi="宋体" w:eastAsia="宋体"/>
          <w:color w:val="auto"/>
          <w:sz w:val="24"/>
          <w:highlight w:val="none"/>
          <w:lang w:val="en-US" w:eastAsia="zh-CN"/>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5040" w:firstLineChars="2100"/>
        <w:rPr>
          <w:rFonts w:ascii="宋体" w:hAnsi="宋体"/>
          <w:color w:val="auto"/>
          <w:sz w:val="24"/>
          <w:highlight w:val="none"/>
        </w:rPr>
      </w:pPr>
    </w:p>
    <w:p>
      <w:pPr>
        <w:spacing w:line="360" w:lineRule="auto"/>
        <w:ind w:firstLine="5040" w:firstLineChars="2100"/>
        <w:rPr>
          <w:rFonts w:asciiTheme="minorEastAsia" w:hAnsiTheme="minorEastAsia" w:eastAsiaTheme="minorEastAsia" w:cstheme="minorEastAsia"/>
          <w:color w:val="auto"/>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48"/>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kern w:val="2"/>
          <w:sz w:val="30"/>
          <w:szCs w:val="30"/>
          <w:highlight w:val="none"/>
        </w:rPr>
      </w:pPr>
    </w:p>
    <w:p>
      <w:pPr>
        <w:pStyle w:val="21"/>
        <w:widowControl w:val="0"/>
        <w:spacing w:before="120" w:beforeAutospacing="0" w:after="120" w:afterAutospacing="0" w:line="500" w:lineRule="exact"/>
        <w:ind w:right="29" w:rightChars="14"/>
        <w:jc w:val="both"/>
        <w:rPr>
          <w:rFonts w:asciiTheme="minorEastAsia" w:hAnsiTheme="minorEastAsia" w:eastAsiaTheme="minorEastAsia" w:cstheme="minorEastAsia"/>
          <w:b/>
          <w:bCs/>
          <w:color w:val="auto"/>
          <w:kern w:val="2"/>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286" w:name="_Toc8304"/>
      <w:bookmarkStart w:id="287" w:name="_Toc25161"/>
    </w:p>
    <w:p>
      <w:pPr>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四、项目实施方案</w:t>
      </w:r>
      <w:bookmarkEnd w:id="286"/>
      <w:r>
        <w:rPr>
          <w:rFonts w:hint="eastAsia" w:asciiTheme="minorEastAsia" w:hAnsiTheme="minorEastAsia" w:eastAsiaTheme="minorEastAsia" w:cstheme="minorEastAsia"/>
          <w:b/>
          <w:color w:val="auto"/>
          <w:kern w:val="2"/>
          <w:sz w:val="30"/>
          <w:szCs w:val="30"/>
          <w:highlight w:val="none"/>
        </w:rPr>
        <w:t>等</w:t>
      </w:r>
      <w:bookmarkEnd w:id="287"/>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8" w:name="_Toc10043"/>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rPr>
          <w:rFonts w:hint="eastAsia" w:asciiTheme="minorEastAsia" w:hAnsiTheme="minorEastAsia" w:eastAsiaTheme="minorEastAsia" w:cstheme="minorEastAsia"/>
          <w:b/>
          <w:color w:val="auto"/>
          <w:kern w:val="2"/>
          <w:sz w:val="30"/>
          <w:szCs w:val="30"/>
          <w:highlight w:val="none"/>
        </w:rPr>
      </w:pPr>
      <w:bookmarkStart w:id="289" w:name="_Toc20650"/>
      <w:bookmarkStart w:id="290" w:name="_Toc29492"/>
      <w:bookmarkStart w:id="291" w:name="_Toc30146"/>
      <w:r>
        <w:rPr>
          <w:rFonts w:hint="eastAsia" w:asciiTheme="minorEastAsia" w:hAnsiTheme="minorEastAsia" w:eastAsiaTheme="minorEastAsia" w:cstheme="minorEastAsia"/>
          <w:b/>
          <w:color w:val="auto"/>
          <w:kern w:val="2"/>
          <w:sz w:val="30"/>
          <w:szCs w:val="30"/>
          <w:highlight w:val="none"/>
        </w:rPr>
        <w:br w:type="page"/>
      </w:r>
    </w:p>
    <w:p>
      <w:pPr>
        <w:overflowPunct w:val="0"/>
        <w:adjustRightInd w:val="0"/>
        <w:snapToGrid w:val="0"/>
        <w:spacing w:line="574" w:lineRule="exact"/>
        <w:jc w:val="center"/>
        <w:rPr>
          <w:rFonts w:hint="eastAsia" w:ascii="宋体" w:hAnsi="宋体" w:cs="宋体"/>
          <w:b/>
          <w:bCs/>
          <w:color w:val="auto"/>
          <w:sz w:val="32"/>
          <w:szCs w:val="32"/>
          <w:highlight w:val="none"/>
        </w:rPr>
      </w:pPr>
      <w:r>
        <w:rPr>
          <w:rFonts w:hint="eastAsia" w:asciiTheme="minorEastAsia" w:hAnsiTheme="minorEastAsia" w:eastAsiaTheme="minorEastAsia" w:cstheme="minorEastAsia"/>
          <w:b/>
          <w:color w:val="auto"/>
          <w:kern w:val="2"/>
          <w:sz w:val="30"/>
          <w:szCs w:val="30"/>
          <w:highlight w:val="none"/>
        </w:rPr>
        <w:t>五、</w:t>
      </w:r>
      <w:bookmarkEnd w:id="288"/>
      <w:bookmarkEnd w:id="289"/>
      <w:bookmarkEnd w:id="290"/>
      <w:bookmarkEnd w:id="291"/>
      <w:r>
        <w:rPr>
          <w:rFonts w:hint="eastAsia" w:ascii="宋体" w:hAnsi="宋体" w:cs="宋体"/>
          <w:b/>
          <w:bCs/>
          <w:color w:val="auto"/>
          <w:sz w:val="32"/>
          <w:szCs w:val="32"/>
          <w:highlight w:val="none"/>
        </w:rPr>
        <w:t>政府采购供应商资格信用承诺函</w:t>
      </w:r>
    </w:p>
    <w:p>
      <w:pPr>
        <w:spacing w:line="400" w:lineRule="exact"/>
        <w:jc w:val="left"/>
        <w:rPr>
          <w:color w:val="auto"/>
          <w:sz w:val="24"/>
          <w:highlight w:val="none"/>
        </w:rPr>
      </w:pP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致</w:t>
      </w:r>
      <w:r>
        <w:rPr>
          <w:rFonts w:hint="eastAsia" w:ascii="仿宋_GB2312" w:hAnsi="仿宋_GB2312" w:cs="仿宋_GB2312"/>
          <w:color w:val="auto"/>
          <w:sz w:val="24"/>
          <w:szCs w:val="24"/>
          <w:highlight w:val="none"/>
          <w:u w:val="single"/>
        </w:rPr>
        <w:t>（采购人）</w:t>
      </w:r>
      <w:r>
        <w:rPr>
          <w:rFonts w:hint="eastAsia" w:ascii="仿宋_GB2312" w:hAnsi="仿宋_GB2312" w:cs="仿宋_GB2312"/>
          <w:color w:val="auto"/>
          <w:sz w:val="24"/>
          <w:szCs w:val="24"/>
          <w:highlight w:val="none"/>
          <w:u w:val="single"/>
          <w:lang w:val="en-US" w:eastAsia="zh-CN"/>
        </w:rPr>
        <w:t xml:space="preserve">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供应商名称：</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统一社会信用代码：</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供应商地址：</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hint="eastAsia" w:ascii="仿宋_GB2312" w:hAnsi="仿宋_GB2312" w:eastAsia="宋体"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eastAsia="宋体" w:cs="仿宋_GB2312"/>
          <w:color w:val="auto"/>
          <w:sz w:val="24"/>
          <w:szCs w:val="24"/>
          <w:highlight w:val="none"/>
        </w:rPr>
        <w:t xml:space="preserve"> 一、我单位具有有效的营业执照（三证合一），</w:t>
      </w:r>
      <w:r>
        <w:rPr>
          <w:rFonts w:hint="eastAsia" w:ascii="仿宋_GB2312" w:hAnsi="仿宋_GB2312" w:eastAsia="宋体" w:cs="仿宋_GB2312"/>
          <w:color w:val="auto"/>
          <w:sz w:val="24"/>
          <w:szCs w:val="24"/>
          <w:highlight w:val="none"/>
          <w:lang w:val="en-US" w:eastAsia="zh-CN"/>
        </w:rPr>
        <w:t>具有</w:t>
      </w:r>
      <w:r>
        <w:rPr>
          <w:rFonts w:hint="eastAsia" w:ascii="仿宋_GB2312" w:hAnsi="仿宋_GB2312" w:eastAsia="宋体" w:cs="仿宋_GB2312"/>
          <w:color w:val="auto"/>
          <w:sz w:val="24"/>
          <w:szCs w:val="24"/>
          <w:highlight w:val="none"/>
        </w:rPr>
        <w:t>制造商钢质船舶建造能力评估报告或相关等效资格证明，并具有实施完成本项目的经营实力和完善的售后服务体系；</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二、我单位符合《中华人民共和国政府采购法》第二十二条规定的条件：</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1.我单位具有符合采购文件资格要求的独立承担民事责任的能力。</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2.我单位具有符合采购文件资格要求的财务状况报告。</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3.我单位具有符合采购文件资格要求的依法缴纳税收和社会保障记录的良好记录。</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4.我单位具有符合采购文件资格要求的履行合同所必需的设备和专业技术能力。</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5.我单位参加政府采购活动前三年内，在经营活动中没有重大违法记录。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若我单位承诺不实，自愿承担提供虚假材料谋取中标、成交的法律责任。</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承诺供应商（全称并加盖公章）：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法定代表人或授权代表(签字或签章)：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日期：    年  月  日 </w:t>
      </w:r>
    </w:p>
    <w:p>
      <w:pPr>
        <w:overflowPunct w:val="0"/>
        <w:adjustRightInd w:val="0"/>
        <w:snapToGrid w:val="0"/>
        <w:spacing w:line="574" w:lineRule="exac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
          <w:bCs/>
          <w:color w:val="auto"/>
          <w:sz w:val="24"/>
          <w:szCs w:val="24"/>
          <w:highlight w:val="none"/>
        </w:rPr>
        <w:t>注：</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rFonts w:hint="eastAsia"/>
          <w:color w:val="auto"/>
          <w:sz w:val="24"/>
          <w:szCs w:val="24"/>
          <w:highlight w:val="none"/>
        </w:rPr>
      </w:pPr>
      <w:r>
        <w:rPr>
          <w:rFonts w:hint="eastAsia" w:ascii="仿宋_GB2312" w:hAnsi="仿宋_GB2312" w:cs="仿宋_GB2312"/>
          <w:color w:val="auto"/>
          <w:sz w:val="24"/>
          <w:szCs w:val="24"/>
          <w:highlight w:val="none"/>
        </w:rPr>
        <w:t xml:space="preserve">     </w:t>
      </w:r>
    </w:p>
    <w:p>
      <w:pPr>
        <w:pStyle w:val="25"/>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4"/>
        <w:ind w:firstLine="281"/>
        <w:rPr>
          <w:rFonts w:hint="default" w:asciiTheme="minorEastAsia" w:hAnsiTheme="minorEastAsia" w:eastAsiaTheme="minorEastAsia" w:cstheme="minorEastAsia"/>
          <w:b/>
          <w:color w:val="auto"/>
          <w:sz w:val="28"/>
          <w:highlight w:val="none"/>
        </w:rPr>
      </w:pPr>
    </w:p>
    <w:p>
      <w:pPr>
        <w:pStyle w:val="25"/>
        <w:ind w:firstLine="562"/>
        <w:rPr>
          <w:rFonts w:asciiTheme="minorEastAsia" w:hAnsiTheme="minorEastAsia" w:eastAsiaTheme="minorEastAsia" w:cstheme="minorEastAsia"/>
          <w:b/>
          <w:color w:val="auto"/>
          <w:sz w:val="28"/>
          <w:highlight w:val="none"/>
        </w:rPr>
      </w:pPr>
    </w:p>
    <w:p>
      <w:pPr>
        <w:pStyle w:val="21"/>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color w:val="auto"/>
          <w:kern w:val="2"/>
          <w:sz w:val="30"/>
          <w:szCs w:val="30"/>
          <w:highlight w:val="none"/>
        </w:rPr>
      </w:pPr>
      <w:bookmarkStart w:id="292" w:name="_Toc4390"/>
      <w:bookmarkStart w:id="293" w:name="_Toc8330"/>
      <w:bookmarkStart w:id="294" w:name="_Toc6465"/>
      <w:bookmarkStart w:id="295" w:name="_Toc31553"/>
      <w:r>
        <w:rPr>
          <w:rFonts w:hint="eastAsia" w:asciiTheme="minorEastAsia" w:hAnsiTheme="minorEastAsia" w:eastAsiaTheme="minorEastAsia" w:cstheme="minorEastAsia"/>
          <w:b/>
          <w:color w:val="auto"/>
          <w:kern w:val="2"/>
          <w:sz w:val="30"/>
          <w:szCs w:val="30"/>
          <w:highlight w:val="none"/>
        </w:rPr>
        <w:t>六、供应商服务承诺和优惠承诺</w:t>
      </w:r>
      <w:bookmarkEnd w:id="292"/>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700"/>
      <w:r>
        <w:rPr>
          <w:rFonts w:hint="eastAsia" w:asciiTheme="minorEastAsia" w:hAnsiTheme="minorEastAsia" w:eastAsiaTheme="minorEastAsia" w:cstheme="minorEastAsia"/>
          <w:b/>
          <w:color w:val="auto"/>
          <w:kern w:val="2"/>
          <w:sz w:val="30"/>
          <w:szCs w:val="30"/>
          <w:highlight w:val="none"/>
        </w:rPr>
        <w:t>七、供应商所投产品属于当期政府采购清单规定的节能环保产品的</w:t>
      </w:r>
      <w:bookmarkEnd w:id="293"/>
      <w:bookmarkEnd w:id="296"/>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7" w:name="_Toc18925"/>
      <w:bookmarkStart w:id="298" w:name="_Toc24210"/>
      <w:bookmarkStart w:id="299" w:name="_Toc28422"/>
      <w:bookmarkStart w:id="300" w:name="_Toc21287"/>
      <w:r>
        <w:rPr>
          <w:rFonts w:hint="eastAsia" w:asciiTheme="minorEastAsia" w:hAnsiTheme="minorEastAsia" w:eastAsiaTheme="minorEastAsia" w:cstheme="minorEastAsia"/>
          <w:b/>
          <w:color w:val="auto"/>
          <w:kern w:val="2"/>
          <w:sz w:val="30"/>
          <w:szCs w:val="30"/>
          <w:highlight w:val="none"/>
        </w:rPr>
        <w:t>证明材料</w:t>
      </w:r>
      <w:bookmarkEnd w:id="294"/>
      <w:bookmarkEnd w:id="297"/>
      <w:bookmarkEnd w:id="298"/>
      <w:bookmarkEnd w:id="299"/>
      <w:r>
        <w:rPr>
          <w:rFonts w:hint="eastAsia" w:asciiTheme="minorEastAsia" w:hAnsiTheme="minorEastAsia" w:eastAsiaTheme="minorEastAsia" w:cstheme="minorEastAsia"/>
          <w:b/>
          <w:color w:val="auto"/>
          <w:kern w:val="2"/>
          <w:sz w:val="30"/>
          <w:szCs w:val="30"/>
          <w:highlight w:val="none"/>
        </w:rPr>
        <w:t>（如有）</w:t>
      </w:r>
      <w:bookmarkEnd w:id="300"/>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301" w:name="_Toc23227"/>
      <w:bookmarkStart w:id="302" w:name="_Toc10717"/>
      <w:bookmarkStart w:id="303" w:name="_Toc24850"/>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八、中小企业声明函（如有）</w:t>
      </w:r>
      <w:bookmarkEnd w:id="301"/>
      <w:bookmarkEnd w:id="302"/>
      <w:bookmarkEnd w:id="303"/>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pPr>
        <w:numPr>
          <w:ilvl w:val="0"/>
          <w:numId w:val="1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pPr>
        <w:numPr>
          <w:ilvl w:val="0"/>
          <w:numId w:val="1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pPr>
        <w:pStyle w:val="25"/>
        <w:ind w:firstLine="480"/>
        <w:rPr>
          <w:rFonts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304" w:name="_Toc309736882"/>
      <w:bookmarkStart w:id="305" w:name="_Toc12390"/>
      <w:bookmarkStart w:id="306" w:name="_Toc352061202"/>
    </w:p>
    <w:bookmarkEnd w:id="304"/>
    <w:bookmarkEnd w:id="305"/>
    <w:bookmarkEnd w:id="306"/>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7" w:name="_Toc11708"/>
      <w:bookmarkStart w:id="308" w:name="_Toc20881"/>
      <w:bookmarkStart w:id="309" w:name="_Toc30170"/>
      <w:bookmarkStart w:id="310" w:name="_Toc14292"/>
      <w:r>
        <w:rPr>
          <w:rFonts w:hint="eastAsia" w:asciiTheme="minorEastAsia" w:hAnsiTheme="minorEastAsia" w:eastAsiaTheme="minorEastAsia" w:cstheme="minorEastAsia"/>
          <w:b/>
          <w:color w:val="auto"/>
          <w:kern w:val="2"/>
          <w:sz w:val="30"/>
          <w:szCs w:val="30"/>
          <w:highlight w:val="none"/>
        </w:rPr>
        <w:t>九、残疾人福利性单位声明函（如有）</w:t>
      </w:r>
      <w:bookmarkEnd w:id="307"/>
      <w:bookmarkEnd w:id="308"/>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bookmarkEnd w:id="295"/>
    <w:bookmarkEnd w:id="309"/>
    <w:bookmarkEnd w:id="310"/>
    <w:p>
      <w:pPr>
        <w:rPr>
          <w:rFonts w:ascii="Times New Roman" w:hAnsi="Times New Roman" w:eastAsia="仿宋"/>
          <w:color w:val="auto"/>
          <w:sz w:val="32"/>
          <w:szCs w:val="32"/>
          <w:highlight w:val="none"/>
          <w:shd w:val="clear" w:color="FFFFFF" w:fill="D9D9D9"/>
        </w:rPr>
      </w:pPr>
    </w:p>
    <w:p>
      <w:pPr>
        <w:rPr>
          <w:color w:val="auto"/>
          <w:highlight w:val="none"/>
          <w:shd w:val="clear" w:color="FFFFFF" w:fill="D9D9D9"/>
        </w:rPr>
      </w:pPr>
    </w:p>
    <w:p>
      <w:pPr>
        <w:rPr>
          <w:rFonts w:asciiTheme="minorEastAsia" w:hAnsiTheme="minorEastAsia" w:eastAsiaTheme="minorEastAsia" w:cstheme="minorEastAsia"/>
          <w:b/>
          <w:color w:val="auto"/>
          <w:sz w:val="30"/>
          <w:szCs w:val="30"/>
          <w:highlight w:val="none"/>
          <w:shd w:val="clear" w:color="FFFFFF" w:fill="D9D9D9"/>
        </w:rPr>
      </w:pPr>
    </w:p>
    <w:p>
      <w:pPr>
        <w:pStyle w:val="21"/>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11" w:name="_Toc16608"/>
      <w:bookmarkStart w:id="312" w:name="_Toc18605"/>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11"/>
      <w:bookmarkEnd w:id="312"/>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ascii="宋体" w:hAnsi="宋体" w:cs="宋体"/>
          <w:color w:val="auto"/>
          <w:kern w:val="0"/>
          <w:sz w:val="24"/>
          <w:highlight w:val="none"/>
        </w:rPr>
        <w:br w:type="page"/>
      </w:r>
    </w:p>
    <w:p>
      <w:pPr>
        <w:spacing w:line="360" w:lineRule="auto"/>
        <w:jc w:val="center"/>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highlight w:val="none"/>
          <w:u w:val="single"/>
        </w:rPr>
        <w:t>6%</w:t>
      </w:r>
      <w:r>
        <w:rPr>
          <w:rFonts w:hint="eastAsia" w:asciiTheme="minorEastAsia" w:hAnsiTheme="minorEastAsia" w:eastAsiaTheme="minorEastAsia" w:cstheme="minorEastAsia"/>
          <w:color w:val="auto"/>
          <w:sz w:val="24"/>
          <w:highlight w:val="none"/>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四、合同签订时限。自中标通知书发出之日起</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地址：博爱县发展大道188号机关综合办公楼主楼1213室</w:t>
      </w: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rPr>
          <w:rFonts w:ascii="宋体" w:hAnsi="宋体" w:cs="宋体"/>
          <w:color w:val="auto"/>
          <w:sz w:val="36"/>
          <w:szCs w:val="36"/>
          <w:highlight w:val="none"/>
        </w:rPr>
      </w:pPr>
    </w:p>
    <w:p>
      <w:pP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pStyle w:val="2"/>
        <w:spacing w:line="480" w:lineRule="exact"/>
        <w:rPr>
          <w:rFonts w:ascii="宋体" w:hAnsi="宋体" w:cs="宋体"/>
          <w:color w:val="auto"/>
          <w:sz w:val="36"/>
          <w:szCs w:val="36"/>
          <w:highlight w:val="none"/>
        </w:rPr>
      </w:pPr>
      <w:bookmarkStart w:id="313" w:name="_Toc7574"/>
      <w:r>
        <w:rPr>
          <w:rFonts w:hint="eastAsia" w:ascii="宋体" w:hAnsi="宋体" w:cs="宋体"/>
          <w:color w:val="auto"/>
          <w:sz w:val="36"/>
          <w:szCs w:val="36"/>
          <w:highlight w:val="none"/>
        </w:rPr>
        <w:t>河南省政府采购合同融资政策告知函</w:t>
      </w:r>
      <w:bookmarkEnd w:id="313"/>
    </w:p>
    <w:p>
      <w:pPr>
        <w:pStyle w:val="2"/>
        <w:spacing w:line="400" w:lineRule="exact"/>
        <w:jc w:val="both"/>
        <w:rPr>
          <w:rFonts w:ascii="宋体" w:hAnsi="宋体" w:cs="宋体"/>
          <w:color w:val="auto"/>
          <w:sz w:val="24"/>
          <w:highlight w:val="none"/>
        </w:rPr>
      </w:pPr>
      <w:bookmarkStart w:id="314" w:name="_Toc4905"/>
      <w:r>
        <w:rPr>
          <w:rFonts w:hint="eastAsia" w:ascii="宋体" w:hAnsi="宋体" w:cs="宋体"/>
          <w:color w:val="auto"/>
          <w:sz w:val="24"/>
          <w:highlight w:val="none"/>
        </w:rPr>
        <w:t>各供应商：</w:t>
      </w:r>
      <w:bookmarkEnd w:id="314"/>
    </w:p>
    <w:p>
      <w:pPr>
        <w:pStyle w:val="2"/>
        <w:spacing w:line="400" w:lineRule="exact"/>
        <w:jc w:val="both"/>
        <w:rPr>
          <w:rFonts w:ascii="宋体" w:hAnsi="宋体" w:cs="宋体"/>
          <w:color w:val="auto"/>
          <w:sz w:val="24"/>
          <w:highlight w:val="none"/>
        </w:rPr>
      </w:pPr>
      <w:r>
        <w:rPr>
          <w:rFonts w:hint="eastAsia" w:ascii="宋体" w:hAnsi="宋体" w:cs="宋体"/>
          <w:color w:val="auto"/>
          <w:sz w:val="24"/>
          <w:highlight w:val="none"/>
        </w:rPr>
        <w:t>欢迎贵公司参与河南省政府采购活动！</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color w:val="auto"/>
          <w:sz w:val="32"/>
          <w:szCs w:val="32"/>
          <w:highlight w:val="none"/>
        </w:rPr>
      </w:pPr>
      <w:bookmarkStart w:id="315" w:name="_Toc30161"/>
      <w:r>
        <w:rPr>
          <w:rFonts w:hint="eastAsia" w:ascii="宋体" w:hAnsi="宋体"/>
          <w:b/>
          <w:color w:val="auto"/>
          <w:sz w:val="32"/>
          <w:szCs w:val="32"/>
          <w:highlight w:val="none"/>
        </w:rPr>
        <w:t>焦作市政府采购合同融资合作企业</w:t>
      </w:r>
      <w:bookmarkEnd w:id="315"/>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8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93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689"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93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93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MediumGap" w:color="auto" w:sz="18" w:space="1"/>
      </w:pBdr>
    </w:pPr>
  </w:p>
  <w:p>
    <w:pPr>
      <w:pStyle w:val="17"/>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7"/>
                    </w:pPr>
                  </w:p>
                  <w:p>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6"/>
        <w:szCs w:val="22"/>
      </w:rPr>
    </w:pPr>
    <w:r>
      <w:rPr>
        <w:sz w:val="20"/>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C9F"/>
    <w:multiLevelType w:val="singleLevel"/>
    <w:tmpl w:val="9A726C9F"/>
    <w:lvl w:ilvl="0" w:tentative="0">
      <w:start w:val="1"/>
      <w:numFmt w:val="chineseCounting"/>
      <w:suff w:val="nothing"/>
      <w:lvlText w:val="%1、"/>
      <w:lvlJc w:val="left"/>
      <w:rPr>
        <w:rFonts w:hint="eastAsia"/>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E675402"/>
    <w:multiLevelType w:val="singleLevel"/>
    <w:tmpl w:val="2E675402"/>
    <w:lvl w:ilvl="0" w:tentative="0">
      <w:start w:val="1"/>
      <w:numFmt w:val="chineseCounting"/>
      <w:suff w:val="nothing"/>
      <w:lvlText w:val="（%1）"/>
      <w:lvlJc w:val="left"/>
      <w:rPr>
        <w:rFonts w:hint="eastAsia"/>
      </w:rPr>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3">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5"/>
  </w:num>
  <w:num w:numId="3">
    <w:abstractNumId w:val="2"/>
  </w:num>
  <w:num w:numId="4">
    <w:abstractNumId w:val="12"/>
  </w:num>
  <w:num w:numId="5">
    <w:abstractNumId w:val="6"/>
  </w:num>
  <w:num w:numId="6">
    <w:abstractNumId w:val="11"/>
  </w:num>
  <w:num w:numId="7">
    <w:abstractNumId w:val="13"/>
  </w:num>
  <w:num w:numId="8">
    <w:abstractNumId w:val="0"/>
  </w:num>
  <w:num w:numId="9">
    <w:abstractNumId w:val="8"/>
  </w:num>
  <w:num w:numId="10">
    <w:abstractNumId w:val="3"/>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F3BAF"/>
    <w:rsid w:val="00013DD1"/>
    <w:rsid w:val="000547C6"/>
    <w:rsid w:val="00081779"/>
    <w:rsid w:val="001E6661"/>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36F66"/>
    <w:rsid w:val="005542F2"/>
    <w:rsid w:val="005A2870"/>
    <w:rsid w:val="005E14C7"/>
    <w:rsid w:val="005F220F"/>
    <w:rsid w:val="00631E63"/>
    <w:rsid w:val="00651B64"/>
    <w:rsid w:val="00651BA7"/>
    <w:rsid w:val="00656FFA"/>
    <w:rsid w:val="00666E50"/>
    <w:rsid w:val="006B2CA3"/>
    <w:rsid w:val="006C7E0E"/>
    <w:rsid w:val="00712D43"/>
    <w:rsid w:val="007145D8"/>
    <w:rsid w:val="00783CF9"/>
    <w:rsid w:val="007C65BE"/>
    <w:rsid w:val="007E2B28"/>
    <w:rsid w:val="00826247"/>
    <w:rsid w:val="00850F37"/>
    <w:rsid w:val="008672C4"/>
    <w:rsid w:val="00884C5F"/>
    <w:rsid w:val="008B741E"/>
    <w:rsid w:val="008D2851"/>
    <w:rsid w:val="008D29D1"/>
    <w:rsid w:val="008D314A"/>
    <w:rsid w:val="009368F4"/>
    <w:rsid w:val="009A0E66"/>
    <w:rsid w:val="009B363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E7C62"/>
    <w:rsid w:val="00E61A34"/>
    <w:rsid w:val="00ED32EC"/>
    <w:rsid w:val="00F0232A"/>
    <w:rsid w:val="00F165F0"/>
    <w:rsid w:val="00F16816"/>
    <w:rsid w:val="00F5227C"/>
    <w:rsid w:val="00FB3E02"/>
    <w:rsid w:val="00FC0F08"/>
    <w:rsid w:val="015A0ED7"/>
    <w:rsid w:val="01930027"/>
    <w:rsid w:val="0195050E"/>
    <w:rsid w:val="019C74BD"/>
    <w:rsid w:val="01A249C3"/>
    <w:rsid w:val="01A90C02"/>
    <w:rsid w:val="01CD0413"/>
    <w:rsid w:val="0224187C"/>
    <w:rsid w:val="024768DF"/>
    <w:rsid w:val="024D2FC2"/>
    <w:rsid w:val="02534437"/>
    <w:rsid w:val="02A079AD"/>
    <w:rsid w:val="02AD7AC3"/>
    <w:rsid w:val="02B2279A"/>
    <w:rsid w:val="02C572FD"/>
    <w:rsid w:val="02D346FD"/>
    <w:rsid w:val="02DF753E"/>
    <w:rsid w:val="038F5EB4"/>
    <w:rsid w:val="03D41ED5"/>
    <w:rsid w:val="03EF01A2"/>
    <w:rsid w:val="04035DC5"/>
    <w:rsid w:val="041F1D93"/>
    <w:rsid w:val="04351B1E"/>
    <w:rsid w:val="046F0DBE"/>
    <w:rsid w:val="04730C9A"/>
    <w:rsid w:val="049A5F70"/>
    <w:rsid w:val="04B80A56"/>
    <w:rsid w:val="04F44273"/>
    <w:rsid w:val="051F15AE"/>
    <w:rsid w:val="05476DA0"/>
    <w:rsid w:val="0587053C"/>
    <w:rsid w:val="0598227A"/>
    <w:rsid w:val="05CF063D"/>
    <w:rsid w:val="061F1094"/>
    <w:rsid w:val="064662A5"/>
    <w:rsid w:val="06494301"/>
    <w:rsid w:val="064B3EA8"/>
    <w:rsid w:val="0681360C"/>
    <w:rsid w:val="06F1337E"/>
    <w:rsid w:val="06F2019A"/>
    <w:rsid w:val="07310D7F"/>
    <w:rsid w:val="074D4119"/>
    <w:rsid w:val="07997BA5"/>
    <w:rsid w:val="08161B2A"/>
    <w:rsid w:val="08355432"/>
    <w:rsid w:val="083A174E"/>
    <w:rsid w:val="083B347B"/>
    <w:rsid w:val="083D3697"/>
    <w:rsid w:val="0885658D"/>
    <w:rsid w:val="08910593"/>
    <w:rsid w:val="08B6562F"/>
    <w:rsid w:val="09102B5A"/>
    <w:rsid w:val="09217513"/>
    <w:rsid w:val="098B21E0"/>
    <w:rsid w:val="0A3D6877"/>
    <w:rsid w:val="0A645EB1"/>
    <w:rsid w:val="0A8B4CEF"/>
    <w:rsid w:val="0AFE4F5A"/>
    <w:rsid w:val="0B057D70"/>
    <w:rsid w:val="0B2D5070"/>
    <w:rsid w:val="0B440CBC"/>
    <w:rsid w:val="0B664CB3"/>
    <w:rsid w:val="0B7902B3"/>
    <w:rsid w:val="0B8C1399"/>
    <w:rsid w:val="0BE37935"/>
    <w:rsid w:val="0C051155"/>
    <w:rsid w:val="0C076843"/>
    <w:rsid w:val="0C1427EF"/>
    <w:rsid w:val="0C2D57D1"/>
    <w:rsid w:val="0C350433"/>
    <w:rsid w:val="0C732807"/>
    <w:rsid w:val="0CD05128"/>
    <w:rsid w:val="0D270828"/>
    <w:rsid w:val="0D3E11DD"/>
    <w:rsid w:val="0D792EC2"/>
    <w:rsid w:val="0D81592D"/>
    <w:rsid w:val="0D8716C8"/>
    <w:rsid w:val="0D974D65"/>
    <w:rsid w:val="0E651252"/>
    <w:rsid w:val="0E8C0D4D"/>
    <w:rsid w:val="0EA33B28"/>
    <w:rsid w:val="0EA67121"/>
    <w:rsid w:val="0EDC105C"/>
    <w:rsid w:val="0EDE6CBA"/>
    <w:rsid w:val="0EF32EFA"/>
    <w:rsid w:val="0F0410E0"/>
    <w:rsid w:val="0FAC4AEB"/>
    <w:rsid w:val="0FDE2EA6"/>
    <w:rsid w:val="0FE73EE9"/>
    <w:rsid w:val="100420C3"/>
    <w:rsid w:val="1012372A"/>
    <w:rsid w:val="10544429"/>
    <w:rsid w:val="10586A77"/>
    <w:rsid w:val="107D20E4"/>
    <w:rsid w:val="114E3064"/>
    <w:rsid w:val="11920A50"/>
    <w:rsid w:val="119A56B6"/>
    <w:rsid w:val="119B16ED"/>
    <w:rsid w:val="11A25357"/>
    <w:rsid w:val="11B34CF4"/>
    <w:rsid w:val="11F2782C"/>
    <w:rsid w:val="120C0D33"/>
    <w:rsid w:val="120F18F1"/>
    <w:rsid w:val="12253216"/>
    <w:rsid w:val="12486EC1"/>
    <w:rsid w:val="1298264D"/>
    <w:rsid w:val="12B30AE2"/>
    <w:rsid w:val="12F25439"/>
    <w:rsid w:val="12F64B6E"/>
    <w:rsid w:val="134734DE"/>
    <w:rsid w:val="13732E71"/>
    <w:rsid w:val="13767A5D"/>
    <w:rsid w:val="143C687A"/>
    <w:rsid w:val="144162BD"/>
    <w:rsid w:val="144353ED"/>
    <w:rsid w:val="14860849"/>
    <w:rsid w:val="14E629C1"/>
    <w:rsid w:val="152E231F"/>
    <w:rsid w:val="15545B7C"/>
    <w:rsid w:val="159D7523"/>
    <w:rsid w:val="16493207"/>
    <w:rsid w:val="16504596"/>
    <w:rsid w:val="165F3BC6"/>
    <w:rsid w:val="166D59E0"/>
    <w:rsid w:val="16997753"/>
    <w:rsid w:val="169D288C"/>
    <w:rsid w:val="1756611E"/>
    <w:rsid w:val="179C380B"/>
    <w:rsid w:val="17AC6DF4"/>
    <w:rsid w:val="183D74A2"/>
    <w:rsid w:val="188C4F4A"/>
    <w:rsid w:val="19142412"/>
    <w:rsid w:val="196A7BE4"/>
    <w:rsid w:val="19EE17C2"/>
    <w:rsid w:val="19EF2318"/>
    <w:rsid w:val="1A1025AF"/>
    <w:rsid w:val="1A2B26E2"/>
    <w:rsid w:val="1A3B0CC2"/>
    <w:rsid w:val="1A6B60E2"/>
    <w:rsid w:val="1A913822"/>
    <w:rsid w:val="1B0F127C"/>
    <w:rsid w:val="1B33310F"/>
    <w:rsid w:val="1B89014D"/>
    <w:rsid w:val="1BD529D4"/>
    <w:rsid w:val="1BE9127A"/>
    <w:rsid w:val="1C211654"/>
    <w:rsid w:val="1C2D32A0"/>
    <w:rsid w:val="1C69208C"/>
    <w:rsid w:val="1C753023"/>
    <w:rsid w:val="1C9363D1"/>
    <w:rsid w:val="1CC37618"/>
    <w:rsid w:val="1CD57C9C"/>
    <w:rsid w:val="1D1E6C5C"/>
    <w:rsid w:val="1D2A77A9"/>
    <w:rsid w:val="1D5A65E9"/>
    <w:rsid w:val="1DC13FCB"/>
    <w:rsid w:val="1DDA0B91"/>
    <w:rsid w:val="1DE803B4"/>
    <w:rsid w:val="1E212A6F"/>
    <w:rsid w:val="1E360353"/>
    <w:rsid w:val="1E4779B9"/>
    <w:rsid w:val="1E7C3987"/>
    <w:rsid w:val="1E921418"/>
    <w:rsid w:val="1E9D4BA7"/>
    <w:rsid w:val="1EB33136"/>
    <w:rsid w:val="1EE937D9"/>
    <w:rsid w:val="1EF55393"/>
    <w:rsid w:val="1F111512"/>
    <w:rsid w:val="1F3F59B3"/>
    <w:rsid w:val="1FA91310"/>
    <w:rsid w:val="1FBB33A3"/>
    <w:rsid w:val="1FCF0C21"/>
    <w:rsid w:val="1FD46237"/>
    <w:rsid w:val="202F637F"/>
    <w:rsid w:val="2049129F"/>
    <w:rsid w:val="20E259AF"/>
    <w:rsid w:val="218872DA"/>
    <w:rsid w:val="21935C7E"/>
    <w:rsid w:val="219C4D8C"/>
    <w:rsid w:val="21A96F53"/>
    <w:rsid w:val="21B767CB"/>
    <w:rsid w:val="22821933"/>
    <w:rsid w:val="22851F14"/>
    <w:rsid w:val="22937A29"/>
    <w:rsid w:val="22E0486C"/>
    <w:rsid w:val="22E7389D"/>
    <w:rsid w:val="2307024E"/>
    <w:rsid w:val="236C0699"/>
    <w:rsid w:val="23A75A11"/>
    <w:rsid w:val="23C21A0E"/>
    <w:rsid w:val="23F17EB7"/>
    <w:rsid w:val="24364D63"/>
    <w:rsid w:val="24581EC9"/>
    <w:rsid w:val="245D7AC3"/>
    <w:rsid w:val="246511FA"/>
    <w:rsid w:val="24845123"/>
    <w:rsid w:val="255249D2"/>
    <w:rsid w:val="26211AAB"/>
    <w:rsid w:val="264840A1"/>
    <w:rsid w:val="2671382C"/>
    <w:rsid w:val="26AB160B"/>
    <w:rsid w:val="26AF355A"/>
    <w:rsid w:val="26D40659"/>
    <w:rsid w:val="27070CA1"/>
    <w:rsid w:val="27144052"/>
    <w:rsid w:val="27301079"/>
    <w:rsid w:val="27B228CA"/>
    <w:rsid w:val="27CF39BA"/>
    <w:rsid w:val="27E6688C"/>
    <w:rsid w:val="287019A1"/>
    <w:rsid w:val="28BD1C36"/>
    <w:rsid w:val="291F753F"/>
    <w:rsid w:val="29AD1F3E"/>
    <w:rsid w:val="29B150CA"/>
    <w:rsid w:val="29FC7FCE"/>
    <w:rsid w:val="2A1118F0"/>
    <w:rsid w:val="2A334727"/>
    <w:rsid w:val="2AA84457"/>
    <w:rsid w:val="2ABE19E5"/>
    <w:rsid w:val="2B2362C5"/>
    <w:rsid w:val="2B24082E"/>
    <w:rsid w:val="2B68396E"/>
    <w:rsid w:val="2B9A5BB7"/>
    <w:rsid w:val="2C0F6119"/>
    <w:rsid w:val="2C5243EF"/>
    <w:rsid w:val="2CF34593"/>
    <w:rsid w:val="2D1E0486"/>
    <w:rsid w:val="2D4759F0"/>
    <w:rsid w:val="2D4B17C9"/>
    <w:rsid w:val="2DA17287"/>
    <w:rsid w:val="2DDF760F"/>
    <w:rsid w:val="2DEF0B6D"/>
    <w:rsid w:val="2E400AF3"/>
    <w:rsid w:val="2E7164C1"/>
    <w:rsid w:val="2ECE479A"/>
    <w:rsid w:val="2ED658FB"/>
    <w:rsid w:val="2ED80964"/>
    <w:rsid w:val="2F3D38F1"/>
    <w:rsid w:val="2F662BA9"/>
    <w:rsid w:val="2FA713A3"/>
    <w:rsid w:val="2FEE0502"/>
    <w:rsid w:val="30204B81"/>
    <w:rsid w:val="3054090C"/>
    <w:rsid w:val="305F7D9F"/>
    <w:rsid w:val="306A25F1"/>
    <w:rsid w:val="30766F52"/>
    <w:rsid w:val="308873CF"/>
    <w:rsid w:val="30A7457C"/>
    <w:rsid w:val="310034FD"/>
    <w:rsid w:val="311B58CA"/>
    <w:rsid w:val="312875A3"/>
    <w:rsid w:val="315C20A8"/>
    <w:rsid w:val="315E08FB"/>
    <w:rsid w:val="327012C3"/>
    <w:rsid w:val="32AC094E"/>
    <w:rsid w:val="32DD09B1"/>
    <w:rsid w:val="335A371D"/>
    <w:rsid w:val="336B5FF6"/>
    <w:rsid w:val="3398566D"/>
    <w:rsid w:val="339B530E"/>
    <w:rsid w:val="33B71CA0"/>
    <w:rsid w:val="34375174"/>
    <w:rsid w:val="34490FA6"/>
    <w:rsid w:val="34771645"/>
    <w:rsid w:val="34BF0E0C"/>
    <w:rsid w:val="34D4117F"/>
    <w:rsid w:val="351D2B32"/>
    <w:rsid w:val="35400F5E"/>
    <w:rsid w:val="356103C1"/>
    <w:rsid w:val="35624307"/>
    <w:rsid w:val="35EF40B4"/>
    <w:rsid w:val="36F2243E"/>
    <w:rsid w:val="37316346"/>
    <w:rsid w:val="376D0FF4"/>
    <w:rsid w:val="379522F8"/>
    <w:rsid w:val="37BB5BE3"/>
    <w:rsid w:val="37C3064D"/>
    <w:rsid w:val="37C94B02"/>
    <w:rsid w:val="37FC6202"/>
    <w:rsid w:val="385E298D"/>
    <w:rsid w:val="38C51FA1"/>
    <w:rsid w:val="38C56745"/>
    <w:rsid w:val="38ED5B17"/>
    <w:rsid w:val="391F5908"/>
    <w:rsid w:val="39EA57B0"/>
    <w:rsid w:val="3A5055FD"/>
    <w:rsid w:val="3AAA205E"/>
    <w:rsid w:val="3AC405E4"/>
    <w:rsid w:val="3B27182E"/>
    <w:rsid w:val="3B5755D8"/>
    <w:rsid w:val="3B680882"/>
    <w:rsid w:val="3C3E4D0D"/>
    <w:rsid w:val="3C5740DD"/>
    <w:rsid w:val="3C647525"/>
    <w:rsid w:val="3C806CA2"/>
    <w:rsid w:val="3C875BD5"/>
    <w:rsid w:val="3C887232"/>
    <w:rsid w:val="3CDE308C"/>
    <w:rsid w:val="3D0C551D"/>
    <w:rsid w:val="3D3F6549"/>
    <w:rsid w:val="3D6E3B32"/>
    <w:rsid w:val="3DA476DF"/>
    <w:rsid w:val="3DA9026A"/>
    <w:rsid w:val="3E007463"/>
    <w:rsid w:val="3E3D322B"/>
    <w:rsid w:val="3E8D79E9"/>
    <w:rsid w:val="3E8E1D06"/>
    <w:rsid w:val="3E9B73AF"/>
    <w:rsid w:val="3F51170A"/>
    <w:rsid w:val="3FA505CC"/>
    <w:rsid w:val="3FD66319"/>
    <w:rsid w:val="40291242"/>
    <w:rsid w:val="40507902"/>
    <w:rsid w:val="405204BF"/>
    <w:rsid w:val="407A6954"/>
    <w:rsid w:val="407C1AED"/>
    <w:rsid w:val="40AE6405"/>
    <w:rsid w:val="40E2372C"/>
    <w:rsid w:val="411F627D"/>
    <w:rsid w:val="416F7716"/>
    <w:rsid w:val="4176039B"/>
    <w:rsid w:val="417B430D"/>
    <w:rsid w:val="4190745A"/>
    <w:rsid w:val="41A82C28"/>
    <w:rsid w:val="420C4EF5"/>
    <w:rsid w:val="42181E5B"/>
    <w:rsid w:val="421F4DB9"/>
    <w:rsid w:val="42881AA6"/>
    <w:rsid w:val="42E02E33"/>
    <w:rsid w:val="42F65BA4"/>
    <w:rsid w:val="434C47FE"/>
    <w:rsid w:val="436355A7"/>
    <w:rsid w:val="4364501E"/>
    <w:rsid w:val="43B40E65"/>
    <w:rsid w:val="43D4281E"/>
    <w:rsid w:val="4453447A"/>
    <w:rsid w:val="44E855CD"/>
    <w:rsid w:val="44F64D49"/>
    <w:rsid w:val="459B770E"/>
    <w:rsid w:val="45D313A6"/>
    <w:rsid w:val="45D94A67"/>
    <w:rsid w:val="45E375FE"/>
    <w:rsid w:val="462E1DF2"/>
    <w:rsid w:val="46307118"/>
    <w:rsid w:val="46316751"/>
    <w:rsid w:val="46642C04"/>
    <w:rsid w:val="46880C8C"/>
    <w:rsid w:val="46C978C9"/>
    <w:rsid w:val="46FF153C"/>
    <w:rsid w:val="47195F8F"/>
    <w:rsid w:val="471C20EE"/>
    <w:rsid w:val="472509CB"/>
    <w:rsid w:val="472D2551"/>
    <w:rsid w:val="473C24B5"/>
    <w:rsid w:val="476C725B"/>
    <w:rsid w:val="478A2A55"/>
    <w:rsid w:val="479E38D8"/>
    <w:rsid w:val="47EB734B"/>
    <w:rsid w:val="486E372E"/>
    <w:rsid w:val="48934AEB"/>
    <w:rsid w:val="48C93BB0"/>
    <w:rsid w:val="490377B4"/>
    <w:rsid w:val="492E33C0"/>
    <w:rsid w:val="495261A3"/>
    <w:rsid w:val="495D6F47"/>
    <w:rsid w:val="498A0C86"/>
    <w:rsid w:val="499A379E"/>
    <w:rsid w:val="4A0550BC"/>
    <w:rsid w:val="4A0B4816"/>
    <w:rsid w:val="4A107CDA"/>
    <w:rsid w:val="4A79782A"/>
    <w:rsid w:val="4AA303C5"/>
    <w:rsid w:val="4AE901CC"/>
    <w:rsid w:val="4AF33166"/>
    <w:rsid w:val="4B36226E"/>
    <w:rsid w:val="4BD54C5B"/>
    <w:rsid w:val="4C4814B5"/>
    <w:rsid w:val="4CD16F98"/>
    <w:rsid w:val="4CD722EC"/>
    <w:rsid w:val="4D8C494F"/>
    <w:rsid w:val="4DAB6BDA"/>
    <w:rsid w:val="4E4C44BA"/>
    <w:rsid w:val="4E7C3AE4"/>
    <w:rsid w:val="4EB6646D"/>
    <w:rsid w:val="4F2A2BCF"/>
    <w:rsid w:val="4F4B71E8"/>
    <w:rsid w:val="4F5E692A"/>
    <w:rsid w:val="4FA766A8"/>
    <w:rsid w:val="4FDA48F5"/>
    <w:rsid w:val="50414974"/>
    <w:rsid w:val="504413AB"/>
    <w:rsid w:val="50964CC0"/>
    <w:rsid w:val="51171D45"/>
    <w:rsid w:val="51404F43"/>
    <w:rsid w:val="519805C3"/>
    <w:rsid w:val="51B11685"/>
    <w:rsid w:val="51F82BBB"/>
    <w:rsid w:val="522B7DE8"/>
    <w:rsid w:val="522D3402"/>
    <w:rsid w:val="527728CF"/>
    <w:rsid w:val="52DC6BD6"/>
    <w:rsid w:val="52DD21C1"/>
    <w:rsid w:val="52EB6588"/>
    <w:rsid w:val="53157C48"/>
    <w:rsid w:val="53AC11E6"/>
    <w:rsid w:val="542D2B1D"/>
    <w:rsid w:val="5472334E"/>
    <w:rsid w:val="54CE480A"/>
    <w:rsid w:val="54D77655"/>
    <w:rsid w:val="551C7980"/>
    <w:rsid w:val="5549056E"/>
    <w:rsid w:val="55C81AB9"/>
    <w:rsid w:val="55FF6EF7"/>
    <w:rsid w:val="56325CFA"/>
    <w:rsid w:val="5664557C"/>
    <w:rsid w:val="568D6675"/>
    <w:rsid w:val="56BB3C75"/>
    <w:rsid w:val="56C3089C"/>
    <w:rsid w:val="56DE7067"/>
    <w:rsid w:val="570955B4"/>
    <w:rsid w:val="5725657E"/>
    <w:rsid w:val="57527C3E"/>
    <w:rsid w:val="5783793E"/>
    <w:rsid w:val="57CC2BA0"/>
    <w:rsid w:val="580956C4"/>
    <w:rsid w:val="587B1836"/>
    <w:rsid w:val="58DC41BC"/>
    <w:rsid w:val="58DC7930"/>
    <w:rsid w:val="58DF3A45"/>
    <w:rsid w:val="59257C80"/>
    <w:rsid w:val="597C73A7"/>
    <w:rsid w:val="598D26AC"/>
    <w:rsid w:val="599F77C9"/>
    <w:rsid w:val="59C95F43"/>
    <w:rsid w:val="59DE214B"/>
    <w:rsid w:val="59F53571"/>
    <w:rsid w:val="5A0045B8"/>
    <w:rsid w:val="5A772767"/>
    <w:rsid w:val="5A93268F"/>
    <w:rsid w:val="5AB2046A"/>
    <w:rsid w:val="5AC82B93"/>
    <w:rsid w:val="5AE14D89"/>
    <w:rsid w:val="5AE6318E"/>
    <w:rsid w:val="5AFB13A2"/>
    <w:rsid w:val="5B540305"/>
    <w:rsid w:val="5BFF13ED"/>
    <w:rsid w:val="5C8E651C"/>
    <w:rsid w:val="5CD33E9F"/>
    <w:rsid w:val="5CF914BA"/>
    <w:rsid w:val="5D120EE1"/>
    <w:rsid w:val="5D3A5D7E"/>
    <w:rsid w:val="5D7C6FEB"/>
    <w:rsid w:val="5DB443B5"/>
    <w:rsid w:val="5DC012A8"/>
    <w:rsid w:val="5DCA7D57"/>
    <w:rsid w:val="5E1A7EE8"/>
    <w:rsid w:val="5E313880"/>
    <w:rsid w:val="5E803BCC"/>
    <w:rsid w:val="5E8A187A"/>
    <w:rsid w:val="5EAE4FD3"/>
    <w:rsid w:val="5F09244A"/>
    <w:rsid w:val="5F6E0C40"/>
    <w:rsid w:val="5F9177D9"/>
    <w:rsid w:val="5FD41D53"/>
    <w:rsid w:val="5FFB5C83"/>
    <w:rsid w:val="600C2AB9"/>
    <w:rsid w:val="600F02EA"/>
    <w:rsid w:val="602A334A"/>
    <w:rsid w:val="60B25AEA"/>
    <w:rsid w:val="60CC0704"/>
    <w:rsid w:val="6116564E"/>
    <w:rsid w:val="615C6151"/>
    <w:rsid w:val="61626B32"/>
    <w:rsid w:val="61BD2A1D"/>
    <w:rsid w:val="62047871"/>
    <w:rsid w:val="622B3906"/>
    <w:rsid w:val="62494283"/>
    <w:rsid w:val="628428BC"/>
    <w:rsid w:val="62EF46F3"/>
    <w:rsid w:val="63213A50"/>
    <w:rsid w:val="6330370E"/>
    <w:rsid w:val="64102296"/>
    <w:rsid w:val="642B7DAF"/>
    <w:rsid w:val="646D3E65"/>
    <w:rsid w:val="64914748"/>
    <w:rsid w:val="64AB754F"/>
    <w:rsid w:val="64C104A9"/>
    <w:rsid w:val="64C53799"/>
    <w:rsid w:val="64C93ECA"/>
    <w:rsid w:val="64CA3CB4"/>
    <w:rsid w:val="64CB0731"/>
    <w:rsid w:val="64EC0669"/>
    <w:rsid w:val="64F61535"/>
    <w:rsid w:val="65044496"/>
    <w:rsid w:val="65693C54"/>
    <w:rsid w:val="65714A10"/>
    <w:rsid w:val="65776156"/>
    <w:rsid w:val="65811558"/>
    <w:rsid w:val="65B705EA"/>
    <w:rsid w:val="65EF7DA6"/>
    <w:rsid w:val="6653420D"/>
    <w:rsid w:val="66B77D63"/>
    <w:rsid w:val="66BA6E26"/>
    <w:rsid w:val="66F10A4A"/>
    <w:rsid w:val="67477DD7"/>
    <w:rsid w:val="67895BD4"/>
    <w:rsid w:val="67923FAF"/>
    <w:rsid w:val="67997816"/>
    <w:rsid w:val="67A856DC"/>
    <w:rsid w:val="67AB689B"/>
    <w:rsid w:val="682E6AFE"/>
    <w:rsid w:val="6843464A"/>
    <w:rsid w:val="68A501F9"/>
    <w:rsid w:val="68AF4719"/>
    <w:rsid w:val="68B476C6"/>
    <w:rsid w:val="69194288"/>
    <w:rsid w:val="69676C0C"/>
    <w:rsid w:val="698D10CC"/>
    <w:rsid w:val="69AE1092"/>
    <w:rsid w:val="69C959DF"/>
    <w:rsid w:val="6A334D67"/>
    <w:rsid w:val="6A576495"/>
    <w:rsid w:val="6A753B41"/>
    <w:rsid w:val="6A8433D5"/>
    <w:rsid w:val="6AC00E8A"/>
    <w:rsid w:val="6AC515DC"/>
    <w:rsid w:val="6AD36995"/>
    <w:rsid w:val="6BA30B8B"/>
    <w:rsid w:val="6BB205D7"/>
    <w:rsid w:val="6BC664F4"/>
    <w:rsid w:val="6BD36CF4"/>
    <w:rsid w:val="6BF57693"/>
    <w:rsid w:val="6C046B2A"/>
    <w:rsid w:val="6CDE2D6D"/>
    <w:rsid w:val="6D0A63C2"/>
    <w:rsid w:val="6D163809"/>
    <w:rsid w:val="6D2120C6"/>
    <w:rsid w:val="6D2917A9"/>
    <w:rsid w:val="6D2C01D4"/>
    <w:rsid w:val="6D4E6E2B"/>
    <w:rsid w:val="6D514B1A"/>
    <w:rsid w:val="6DAF2C40"/>
    <w:rsid w:val="6DCD6F00"/>
    <w:rsid w:val="6DD70987"/>
    <w:rsid w:val="6DD85753"/>
    <w:rsid w:val="6DDE05B9"/>
    <w:rsid w:val="6E6C0E13"/>
    <w:rsid w:val="6E8615C7"/>
    <w:rsid w:val="6E886FBB"/>
    <w:rsid w:val="6EA23ED2"/>
    <w:rsid w:val="6EA4707E"/>
    <w:rsid w:val="6EDD1581"/>
    <w:rsid w:val="6EE37D9F"/>
    <w:rsid w:val="6F33431F"/>
    <w:rsid w:val="6F627C19"/>
    <w:rsid w:val="6F64384D"/>
    <w:rsid w:val="6FD71E92"/>
    <w:rsid w:val="6FE0340A"/>
    <w:rsid w:val="70227EC6"/>
    <w:rsid w:val="703F60A8"/>
    <w:rsid w:val="70822713"/>
    <w:rsid w:val="70B46F74"/>
    <w:rsid w:val="70E02081"/>
    <w:rsid w:val="714E772A"/>
    <w:rsid w:val="71FB028A"/>
    <w:rsid w:val="724B5262"/>
    <w:rsid w:val="72875C50"/>
    <w:rsid w:val="729130E1"/>
    <w:rsid w:val="729539BC"/>
    <w:rsid w:val="72D134DE"/>
    <w:rsid w:val="72FD1EE3"/>
    <w:rsid w:val="732A3CF3"/>
    <w:rsid w:val="73900C02"/>
    <w:rsid w:val="73940F35"/>
    <w:rsid w:val="73BE334D"/>
    <w:rsid w:val="73D253BE"/>
    <w:rsid w:val="746C5BB4"/>
    <w:rsid w:val="74E538AA"/>
    <w:rsid w:val="74EB0EC0"/>
    <w:rsid w:val="74EB26E9"/>
    <w:rsid w:val="74F6102E"/>
    <w:rsid w:val="7529519B"/>
    <w:rsid w:val="75360D61"/>
    <w:rsid w:val="75AB44BA"/>
    <w:rsid w:val="75CC203F"/>
    <w:rsid w:val="75F6021B"/>
    <w:rsid w:val="76263B40"/>
    <w:rsid w:val="767D2702"/>
    <w:rsid w:val="76A52F33"/>
    <w:rsid w:val="76AD3EE0"/>
    <w:rsid w:val="76B40FB3"/>
    <w:rsid w:val="772B05F4"/>
    <w:rsid w:val="77463913"/>
    <w:rsid w:val="778154D2"/>
    <w:rsid w:val="77B3710F"/>
    <w:rsid w:val="77F14B39"/>
    <w:rsid w:val="784E6FD5"/>
    <w:rsid w:val="7982320E"/>
    <w:rsid w:val="79992F3A"/>
    <w:rsid w:val="79AE33E5"/>
    <w:rsid w:val="79EC68CF"/>
    <w:rsid w:val="7A3E3951"/>
    <w:rsid w:val="7A921700"/>
    <w:rsid w:val="7A9D7487"/>
    <w:rsid w:val="7ADF7850"/>
    <w:rsid w:val="7B2C0F5F"/>
    <w:rsid w:val="7B447C52"/>
    <w:rsid w:val="7B5641A4"/>
    <w:rsid w:val="7BBF4CC5"/>
    <w:rsid w:val="7BC167E5"/>
    <w:rsid w:val="7BE44282"/>
    <w:rsid w:val="7BEB23A7"/>
    <w:rsid w:val="7C1A207B"/>
    <w:rsid w:val="7C30076C"/>
    <w:rsid w:val="7C452B24"/>
    <w:rsid w:val="7C4E0379"/>
    <w:rsid w:val="7C537629"/>
    <w:rsid w:val="7C601C17"/>
    <w:rsid w:val="7C9712F4"/>
    <w:rsid w:val="7CC04CEF"/>
    <w:rsid w:val="7CC83F86"/>
    <w:rsid w:val="7CCA3711"/>
    <w:rsid w:val="7D1F193A"/>
    <w:rsid w:val="7D2E5A63"/>
    <w:rsid w:val="7D86745E"/>
    <w:rsid w:val="7D9A12A0"/>
    <w:rsid w:val="7DE00C30"/>
    <w:rsid w:val="7DEE4676"/>
    <w:rsid w:val="7DFE187A"/>
    <w:rsid w:val="7E0706D0"/>
    <w:rsid w:val="7E331077"/>
    <w:rsid w:val="7E6D055E"/>
    <w:rsid w:val="7E8A7362"/>
    <w:rsid w:val="7ED25A6D"/>
    <w:rsid w:val="7EF95A5A"/>
    <w:rsid w:val="7F2E09F5"/>
    <w:rsid w:val="7F531E4A"/>
    <w:rsid w:val="7F6F10F3"/>
    <w:rsid w:val="7FBC4125"/>
    <w:rsid w:val="7FCA3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Calibri" w:hAnsi="Calibri"/>
      <w:szCs w:val="20"/>
    </w:rPr>
  </w:style>
  <w:style w:type="paragraph" w:styleId="6">
    <w:name w:val="caption"/>
    <w:basedOn w:val="1"/>
    <w:next w:val="1"/>
    <w:qFormat/>
    <w:uiPriority w:val="0"/>
    <w:rPr>
      <w:rFonts w:ascii="Arial" w:hAnsi="Arial" w:eastAsia="黑体" w:cstheme="minorBidi"/>
      <w:sz w:val="20"/>
    </w:rPr>
  </w:style>
  <w:style w:type="paragraph" w:styleId="7">
    <w:name w:val="toa heading"/>
    <w:basedOn w:val="1"/>
    <w:next w:val="1"/>
    <w:unhideWhenUsed/>
    <w:qFormat/>
    <w:uiPriority w:val="99"/>
    <w:pPr>
      <w:spacing w:before="120"/>
    </w:pPr>
    <w:rPr>
      <w:rFonts w:ascii="Arial" w:hAnsi="Arial" w:cs="Arial"/>
      <w:sz w:val="24"/>
    </w:rPr>
  </w:style>
  <w:style w:type="paragraph" w:styleId="8">
    <w:name w:val="annotation text"/>
    <w:basedOn w:val="1"/>
    <w:link w:val="59"/>
    <w:qFormat/>
    <w:uiPriority w:val="0"/>
    <w:pPr>
      <w:jc w:val="left"/>
    </w:pPr>
  </w:style>
  <w:style w:type="paragraph" w:styleId="9">
    <w:name w:val="Body Text 3"/>
    <w:basedOn w:val="1"/>
    <w:unhideWhenUsed/>
    <w:qFormat/>
    <w:uiPriority w:val="0"/>
    <w:pPr>
      <w:spacing w:after="120"/>
    </w:pPr>
    <w:rPr>
      <w:rFonts w:ascii="Times New Roman" w:hAnsi="Times New Roman"/>
      <w:sz w:val="16"/>
      <w:szCs w:val="16"/>
    </w:rPr>
  </w:style>
  <w:style w:type="paragraph" w:styleId="10">
    <w:name w:val="Body Text"/>
    <w:basedOn w:val="1"/>
    <w:next w:val="11"/>
    <w:qFormat/>
    <w:uiPriority w:val="0"/>
    <w:rPr>
      <w:rFonts w:ascii="Times New Roman" w:hAnsi="Times New Roman"/>
    </w:rPr>
  </w:style>
  <w:style w:type="paragraph" w:styleId="11">
    <w:name w:val="Body Text 2"/>
    <w:basedOn w:val="1"/>
    <w:next w:val="10"/>
    <w:unhideWhenUsed/>
    <w:qFormat/>
    <w:uiPriority w:val="0"/>
    <w:pPr>
      <w:spacing w:after="120" w:line="480" w:lineRule="auto"/>
    </w:pPr>
    <w:rPr>
      <w:rFonts w:ascii="Times New Roman" w:hAnsi="Times New Roman"/>
    </w:rPr>
  </w:style>
  <w:style w:type="paragraph" w:styleId="12">
    <w:name w:val="Body Text Indent"/>
    <w:basedOn w:val="1"/>
    <w:next w:val="13"/>
    <w:qFormat/>
    <w:uiPriority w:val="0"/>
    <w:pPr>
      <w:ind w:firstLine="560" w:firstLineChars="200"/>
    </w:pPr>
    <w:rPr>
      <w:rFonts w:ascii="Times New Roman" w:hAnsi="Times New Roman"/>
    </w:rPr>
  </w:style>
  <w:style w:type="paragraph" w:styleId="13">
    <w:name w:val="envelope return"/>
    <w:basedOn w:val="1"/>
    <w:qFormat/>
    <w:uiPriority w:val="99"/>
    <w:pPr>
      <w:snapToGrid w:val="0"/>
    </w:pPr>
    <w:rPr>
      <w:rFonts w:ascii="Arial" w:hAnsi="Arial" w:cs="Arial"/>
    </w:rPr>
  </w:style>
  <w:style w:type="paragraph" w:styleId="14">
    <w:name w:val="toc 3"/>
    <w:basedOn w:val="1"/>
    <w:next w:val="1"/>
    <w:qFormat/>
    <w:uiPriority w:val="0"/>
    <w:pPr>
      <w:ind w:left="840" w:leftChars="400"/>
    </w:pPr>
  </w:style>
  <w:style w:type="paragraph" w:styleId="15">
    <w:name w:val="Plain Text"/>
    <w:basedOn w:val="1"/>
    <w:qFormat/>
    <w:uiPriority w:val="0"/>
    <w:rPr>
      <w:rFonts w:hint="eastAsia" w:ascii="宋体" w:hAnsi="Courier New"/>
      <w:szCs w:val="21"/>
    </w:rPr>
  </w:style>
  <w:style w:type="paragraph" w:styleId="16">
    <w:name w:val="Balloon Text"/>
    <w:basedOn w:val="1"/>
    <w:link w:val="61"/>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9">
    <w:name w:val="toc 1"/>
    <w:basedOn w:val="1"/>
    <w:next w:val="1"/>
    <w:qFormat/>
    <w:uiPriority w:val="0"/>
    <w:rPr>
      <w:rFonts w:ascii="Times New Roman" w:hAnsi="Times New Roman"/>
    </w:rPr>
  </w:style>
  <w:style w:type="paragraph" w:styleId="20">
    <w:name w:val="toc 2"/>
    <w:basedOn w:val="1"/>
    <w:next w:val="1"/>
    <w:qFormat/>
    <w:uiPriority w:val="0"/>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3">
    <w:name w:val="annotation subject"/>
    <w:basedOn w:val="8"/>
    <w:next w:val="8"/>
    <w:link w:val="60"/>
    <w:qFormat/>
    <w:uiPriority w:val="0"/>
    <w:rPr>
      <w:b/>
      <w:bCs/>
    </w:rPr>
  </w:style>
  <w:style w:type="paragraph" w:styleId="24">
    <w:name w:val="Body Text First Indent"/>
    <w:basedOn w:val="10"/>
    <w:next w:val="25"/>
    <w:unhideWhenUsed/>
    <w:qFormat/>
    <w:uiPriority w:val="0"/>
    <w:pPr>
      <w:ind w:firstLine="420" w:firstLineChars="100"/>
    </w:pPr>
    <w:rPr>
      <w:rFonts w:hint="eastAsia" w:ascii="楷体_GB2312" w:eastAsia="楷体_GB2312"/>
      <w:sz w:val="32"/>
    </w:rPr>
  </w:style>
  <w:style w:type="paragraph" w:styleId="25">
    <w:name w:val="Body Text First Indent 2"/>
    <w:basedOn w:val="12"/>
    <w:next w:val="1"/>
    <w:qFormat/>
    <w:uiPriority w:val="0"/>
    <w:pPr>
      <w:ind w:firstLine="42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rFonts w:cs="Times New Roman"/>
      <w:color w:val="0000FF"/>
      <w:u w:val="single"/>
    </w:rPr>
  </w:style>
  <w:style w:type="character" w:styleId="30">
    <w:name w:val="annotation reference"/>
    <w:basedOn w:val="28"/>
    <w:qFormat/>
    <w:uiPriority w:val="0"/>
    <w:rPr>
      <w:sz w:val="21"/>
      <w:szCs w:val="21"/>
    </w:rPr>
  </w:style>
  <w:style w:type="paragraph" w:customStyle="1" w:styleId="31">
    <w:name w:val="Default"/>
    <w:basedOn w:val="1"/>
    <w:next w:val="32"/>
    <w:qFormat/>
    <w:uiPriority w:val="0"/>
    <w:pPr>
      <w:autoSpaceDE w:val="0"/>
      <w:autoSpaceDN w:val="0"/>
      <w:adjustRightInd w:val="0"/>
      <w:jc w:val="left"/>
    </w:pPr>
    <w:rPr>
      <w:rFonts w:hint="eastAsia" w:ascii="宋体" w:hAnsi="Calibri"/>
      <w:color w:val="000000"/>
      <w:kern w:val="0"/>
      <w:sz w:val="24"/>
    </w:rPr>
  </w:style>
  <w:style w:type="paragraph" w:customStyle="1" w:styleId="32">
    <w:name w:val="正文 A"/>
    <w:next w:val="31"/>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33">
    <w:name w:val="无间隔1"/>
    <w:basedOn w:val="1"/>
    <w:next w:val="34"/>
    <w:qFormat/>
    <w:uiPriority w:val="0"/>
    <w:pPr>
      <w:spacing w:line="400" w:lineRule="exact"/>
    </w:pPr>
    <w:rPr>
      <w:sz w:val="24"/>
    </w:rPr>
  </w:style>
  <w:style w:type="paragraph" w:customStyle="1" w:styleId="34">
    <w:name w:val="正文（首行缩进） Char"/>
    <w:basedOn w:val="1"/>
    <w:next w:val="35"/>
    <w:qFormat/>
    <w:uiPriority w:val="0"/>
    <w:pPr>
      <w:spacing w:line="360" w:lineRule="auto"/>
      <w:ind w:firstLine="480"/>
    </w:pPr>
    <w:rPr>
      <w:rFonts w:ascii="Arial" w:eastAsia="宋体"/>
      <w:color w:val="000000"/>
      <w:sz w:val="24"/>
    </w:rPr>
  </w:style>
  <w:style w:type="paragraph" w:customStyle="1" w:styleId="35">
    <w:name w:val="2号黑体加粗"/>
    <w:basedOn w:val="1"/>
    <w:next w:val="36"/>
    <w:qFormat/>
    <w:uiPriority w:val="0"/>
    <w:pPr>
      <w:jc w:val="center"/>
    </w:pPr>
    <w:rPr>
      <w:rFonts w:ascii="Calibri" w:eastAsia="黑体"/>
      <w:b/>
      <w:sz w:val="44"/>
    </w:rPr>
  </w:style>
  <w:style w:type="paragraph" w:customStyle="1" w:styleId="36">
    <w:name w:val="表格文字"/>
    <w:basedOn w:val="1"/>
    <w:next w:val="1"/>
    <w:qFormat/>
    <w:uiPriority w:val="0"/>
    <w:pPr>
      <w:adjustRightInd w:val="0"/>
      <w:spacing w:line="420" w:lineRule="atLeast"/>
      <w:jc w:val="left"/>
      <w:textAlignment w:val="baseline"/>
    </w:pPr>
    <w:rPr>
      <w:kern w:val="0"/>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0"/>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p0"/>
    <w:basedOn w:val="45"/>
    <w:qFormat/>
    <w:uiPriority w:val="0"/>
    <w:pPr>
      <w:widowControl/>
    </w:pPr>
    <w:rPr>
      <w:kern w:val="0"/>
      <w:szCs w:val="21"/>
    </w:rPr>
  </w:style>
  <w:style w:type="paragraph" w:customStyle="1" w:styleId="45">
    <w:name w:val="正文1"/>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1"/>
    <w:basedOn w:val="45"/>
    <w:qFormat/>
    <w:uiPriority w:val="99"/>
    <w:rPr>
      <w:rFonts w:eastAsia="楷体_GB2312"/>
      <w:sz w:val="28"/>
    </w:rPr>
  </w:style>
  <w:style w:type="character" w:customStyle="1" w:styleId="47">
    <w:name w:val="NormalCharacter"/>
    <w:qFormat/>
    <w:uiPriority w:val="0"/>
    <w:rPr>
      <w:rFonts w:ascii="Book Antiqua" w:hAnsi="Book Antiqua" w:eastAsia="宋体" w:cs="Times New Roman"/>
      <w:kern w:val="2"/>
      <w:sz w:val="21"/>
      <w:szCs w:val="24"/>
      <w:lang w:val="en-US" w:eastAsia="zh-CN" w:bidi="ar-SA"/>
    </w:rPr>
  </w:style>
  <w:style w:type="paragraph" w:customStyle="1" w:styleId="48">
    <w:name w:val="BodyText1I"/>
    <w:basedOn w:val="49"/>
    <w:next w:val="51"/>
    <w:qFormat/>
    <w:uiPriority w:val="0"/>
    <w:pPr>
      <w:ind w:firstLine="420" w:firstLineChars="100"/>
    </w:pPr>
    <w:rPr>
      <w:rFonts w:ascii="楷体_GB2312"/>
      <w:sz w:val="32"/>
    </w:rPr>
  </w:style>
  <w:style w:type="paragraph" w:customStyle="1" w:styleId="49">
    <w:name w:val="BodyText"/>
    <w:basedOn w:val="1"/>
    <w:next w:val="50"/>
    <w:qFormat/>
    <w:uiPriority w:val="0"/>
    <w:pPr>
      <w:textAlignment w:val="baseline"/>
    </w:pPr>
    <w:rPr>
      <w:rFonts w:ascii="Calibri" w:hAnsi="Calibri" w:eastAsia="楷体_GB2312"/>
      <w:kern w:val="0"/>
      <w:sz w:val="28"/>
    </w:rPr>
  </w:style>
  <w:style w:type="paragraph" w:customStyle="1" w:styleId="50">
    <w:name w:val="BodyText2"/>
    <w:basedOn w:val="1"/>
    <w:next w:val="49"/>
    <w:qFormat/>
    <w:uiPriority w:val="0"/>
    <w:pPr>
      <w:spacing w:after="120" w:line="480" w:lineRule="auto"/>
      <w:textAlignment w:val="baseline"/>
    </w:pPr>
  </w:style>
  <w:style w:type="paragraph" w:customStyle="1" w:styleId="51">
    <w:name w:val="BodyText1I2"/>
    <w:basedOn w:val="52"/>
    <w:qFormat/>
    <w:uiPriority w:val="0"/>
    <w:pPr>
      <w:ind w:firstLine="420" w:firstLineChars="200"/>
    </w:pPr>
  </w:style>
  <w:style w:type="paragraph" w:customStyle="1" w:styleId="52">
    <w:name w:val="BodyTextIndent"/>
    <w:basedOn w:val="1"/>
    <w:qFormat/>
    <w:uiPriority w:val="0"/>
    <w:pPr>
      <w:spacing w:after="120"/>
      <w:ind w:left="420" w:leftChars="200"/>
      <w:textAlignment w:val="baseline"/>
    </w:pPr>
  </w:style>
  <w:style w:type="paragraph" w:customStyle="1" w:styleId="53">
    <w:name w:val="TOAHeading"/>
    <w:basedOn w:val="1"/>
    <w:next w:val="1"/>
    <w:qFormat/>
    <w:uiPriority w:val="0"/>
    <w:pPr>
      <w:spacing w:before="120"/>
      <w:textAlignment w:val="baseline"/>
    </w:pPr>
    <w:rPr>
      <w:rFonts w:ascii="Arial" w:hAnsi="Arial"/>
      <w:sz w:val="24"/>
      <w:szCs w:val="22"/>
    </w:rPr>
  </w:style>
  <w:style w:type="paragraph" w:customStyle="1" w:styleId="54">
    <w:name w:val="Table Paragraph"/>
    <w:basedOn w:val="45"/>
    <w:qFormat/>
    <w:uiPriority w:val="1"/>
    <w:rPr>
      <w:rFonts w:ascii="宋体" w:hAnsi="宋体" w:cs="宋体"/>
      <w:lang w:val="zh-CN" w:bidi="zh-CN"/>
    </w:rPr>
  </w:style>
  <w:style w:type="paragraph" w:styleId="55">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6">
    <w:name w:val="_Style 41"/>
    <w:basedOn w:val="1"/>
    <w:next w:val="55"/>
    <w:qFormat/>
    <w:uiPriority w:val="34"/>
    <w:pPr>
      <w:ind w:firstLine="420" w:firstLineChars="200"/>
    </w:pPr>
    <w:rPr>
      <w:rFonts w:ascii="等线" w:hAnsi="等线" w:eastAsia="等线"/>
      <w:szCs w:val="22"/>
    </w:rPr>
  </w:style>
  <w:style w:type="paragraph" w:customStyle="1" w:styleId="5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批注文字 字符"/>
    <w:basedOn w:val="28"/>
    <w:link w:val="8"/>
    <w:qFormat/>
    <w:uiPriority w:val="0"/>
    <w:rPr>
      <w:rFonts w:ascii="Book Antiqua" w:hAnsi="Book Antiqua"/>
      <w:kern w:val="2"/>
      <w:sz w:val="21"/>
      <w:szCs w:val="24"/>
    </w:rPr>
  </w:style>
  <w:style w:type="character" w:customStyle="1" w:styleId="60">
    <w:name w:val="批注主题 字符"/>
    <w:basedOn w:val="59"/>
    <w:link w:val="23"/>
    <w:qFormat/>
    <w:uiPriority w:val="0"/>
    <w:rPr>
      <w:rFonts w:ascii="Book Antiqua" w:hAnsi="Book Antiqua"/>
      <w:b/>
      <w:bCs/>
      <w:kern w:val="2"/>
      <w:sz w:val="21"/>
      <w:szCs w:val="24"/>
    </w:rPr>
  </w:style>
  <w:style w:type="character" w:customStyle="1" w:styleId="61">
    <w:name w:val="批注框文本 字符"/>
    <w:basedOn w:val="28"/>
    <w:link w:val="16"/>
    <w:qFormat/>
    <w:uiPriority w:val="0"/>
    <w:rPr>
      <w:rFonts w:ascii="Book Antiqua" w:hAnsi="Book Antiqua"/>
      <w:kern w:val="2"/>
      <w:sz w:val="18"/>
      <w:szCs w:val="18"/>
    </w:rPr>
  </w:style>
  <w:style w:type="paragraph" w:customStyle="1" w:styleId="62">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3">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正文文本首行缩进 21"/>
    <w:basedOn w:val="66"/>
    <w:qFormat/>
    <w:uiPriority w:val="0"/>
    <w:pPr>
      <w:ind w:firstLine="420" w:firstLineChars="200"/>
    </w:pPr>
  </w:style>
  <w:style w:type="paragraph" w:customStyle="1" w:styleId="66">
    <w:name w:val="正文文本缩进1"/>
    <w:basedOn w:val="1"/>
    <w:qFormat/>
    <w:uiPriority w:val="0"/>
    <w:pPr>
      <w:spacing w:after="120"/>
      <w:ind w:left="420" w:leftChars="200"/>
    </w:pPr>
  </w:style>
  <w:style w:type="character" w:customStyle="1" w:styleId="67">
    <w:name w:val="font41"/>
    <w:basedOn w:val="28"/>
    <w:qFormat/>
    <w:uiPriority w:val="0"/>
    <w:rPr>
      <w:rFonts w:hint="eastAsia" w:ascii="微软雅黑" w:hAnsi="微软雅黑" w:eastAsia="微软雅黑" w:cs="微软雅黑"/>
      <w:b/>
      <w:bCs/>
      <w:color w:val="000000"/>
      <w:sz w:val="20"/>
      <w:szCs w:val="20"/>
      <w:u w:val="none"/>
    </w:rPr>
  </w:style>
  <w:style w:type="character" w:customStyle="1" w:styleId="68">
    <w:name w:val="font31"/>
    <w:basedOn w:val="28"/>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23736</Words>
  <Characters>25659</Characters>
  <Lines>225</Lines>
  <Paragraphs>63</Paragraphs>
  <TotalTime>18</TotalTime>
  <ScaleCrop>false</ScaleCrop>
  <LinksUpToDate>false</LinksUpToDate>
  <CharactersWithSpaces>28108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2023-03-01T00:37:00Z</dcterms:created>
  <dc:creator>DELL</dc:creator>
  <cp:lastModifiedBy>张琰</cp:lastModifiedBy>
  <cp:lastPrinted>2023-04-18T07:16:00Z</cp:lastPrinted>
  <dcterms:modified xsi:type="dcterms:W3CDTF">2023-10-08T02:04:21Z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7FA9A2D596B14F6081A66E2C47FE23DF</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