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heme="minorEastAsia" w:hAnsiTheme="minorEastAsia" w:eastAsiaTheme="minorEastAsia" w:cstheme="minorEastAsia"/>
        </w:rPr>
      </w:pPr>
      <w:bookmarkStart w:id="0" w:name="_Toc281574833"/>
    </w:p>
    <w:p>
      <w:pPr>
        <w:pStyle w:val="4"/>
        <w:rPr>
          <w:rFonts w:asciiTheme="minorEastAsia" w:hAnsiTheme="minorEastAsia" w:eastAsiaTheme="minorEastAsia" w:cstheme="minorEastAsia"/>
        </w:rPr>
      </w:pPr>
    </w:p>
    <w:p>
      <w:pPr>
        <w:spacing w:line="360" w:lineRule="auto"/>
        <w:jc w:val="center"/>
        <w:outlineLvl w:val="0"/>
        <w:rPr>
          <w:rFonts w:hint="eastAsia" w:asciiTheme="majorEastAsia" w:hAnsiTheme="majorEastAsia" w:eastAsiaTheme="majorEastAsia" w:cstheme="majorEastAsia"/>
          <w:b/>
          <w:bCs/>
          <w:sz w:val="56"/>
          <w:szCs w:val="56"/>
          <w:lang w:eastAsia="zh-CN"/>
        </w:rPr>
      </w:pPr>
      <w:r>
        <w:rPr>
          <w:rFonts w:hint="eastAsia" w:asciiTheme="majorEastAsia" w:hAnsiTheme="majorEastAsia" w:eastAsiaTheme="majorEastAsia" w:cstheme="majorEastAsia"/>
          <w:b/>
          <w:bCs/>
          <w:sz w:val="56"/>
          <w:szCs w:val="56"/>
          <w:lang w:eastAsia="zh-CN"/>
        </w:rPr>
        <w:t>博爱县机关综合办公楼改造中央空调机组采购项目</w:t>
      </w:r>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3"/>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采购编号：</w:t>
      </w:r>
      <w:r>
        <w:rPr>
          <w:rFonts w:hint="eastAsia" w:asciiTheme="minorEastAsia" w:hAnsiTheme="minorEastAsia" w:eastAsiaTheme="minorEastAsia" w:cstheme="minorEastAsia"/>
          <w:b/>
          <w:bCs/>
          <w:sz w:val="32"/>
          <w:szCs w:val="32"/>
        </w:rPr>
        <w:t>博政采购（202</w:t>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号</w:t>
      </w: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4"/>
        <w:rPr>
          <w:rFonts w:asciiTheme="minorEastAsia" w:hAnsiTheme="minorEastAsia" w:eastAsiaTheme="minorEastAsia" w:cstheme="minorEastAsia"/>
        </w:rPr>
      </w:pPr>
    </w:p>
    <w:p>
      <w:pPr>
        <w:pStyle w:val="3"/>
      </w:pPr>
    </w:p>
    <w:p>
      <w:pPr>
        <w:ind w:firstLine="1928" w:firstLineChars="600"/>
        <w:outlineLvl w:val="0"/>
        <w:rPr>
          <w:rFonts w:hint="eastAsia" w:asciiTheme="minorEastAsia" w:hAnsiTheme="minorEastAsia" w:eastAsiaTheme="minorEastAsia" w:cstheme="minorEastAsia"/>
          <w:b/>
          <w:bCs/>
          <w:sz w:val="32"/>
          <w:szCs w:val="32"/>
          <w:lang w:eastAsia="zh-CN"/>
        </w:rPr>
      </w:pPr>
      <w:bookmarkStart w:id="1" w:name="_Toc23769"/>
      <w:r>
        <w:rPr>
          <w:rFonts w:hint="eastAsia" w:asciiTheme="minorEastAsia" w:hAnsiTheme="minorEastAsia" w:eastAsiaTheme="minorEastAsia" w:cstheme="minorEastAsia"/>
          <w:b/>
          <w:bCs/>
          <w:sz w:val="32"/>
          <w:szCs w:val="32"/>
        </w:rPr>
        <w:t>采 购 人：</w:t>
      </w:r>
      <w:bookmarkEnd w:id="1"/>
      <w:r>
        <w:rPr>
          <w:rFonts w:hint="eastAsia" w:asciiTheme="minorEastAsia" w:hAnsiTheme="minorEastAsia" w:eastAsiaTheme="minorEastAsia" w:cstheme="minorEastAsia"/>
          <w:b/>
          <w:bCs/>
          <w:sz w:val="32"/>
          <w:szCs w:val="32"/>
          <w:lang w:eastAsia="zh-CN"/>
        </w:rPr>
        <w:t>博爱县机关事务中心</w:t>
      </w: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eastAsia="zh-CN"/>
        </w:rPr>
        <w:t>河南古基工程管理有限公司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w:t>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 xml:space="preserve"> 1 </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outlineLvl w:val="0"/>
        <w:rPr>
          <w:rFonts w:asciiTheme="minorEastAsia" w:hAnsiTheme="minorEastAsia" w:eastAsiaTheme="minorEastAsia" w:cstheme="minorEastAsia"/>
          <w:b/>
          <w:bCs/>
          <w:sz w:val="44"/>
          <w:szCs w:val="44"/>
        </w:rPr>
      </w:pPr>
      <w:bookmarkStart w:id="2" w:name="_Toc25319"/>
      <w:r>
        <w:rPr>
          <w:rFonts w:hint="eastAsia" w:asciiTheme="minorEastAsia" w:hAnsiTheme="minorEastAsia" w:eastAsiaTheme="minorEastAsia" w:cstheme="minorEastAsia"/>
          <w:b/>
          <w:bCs/>
          <w:sz w:val="44"/>
          <w:szCs w:val="44"/>
        </w:rPr>
        <w:t>目     录</w:t>
      </w:r>
      <w:bookmarkEnd w:id="2"/>
    </w:p>
    <w:sdt>
      <w:sdtPr>
        <w:rPr>
          <w:rFonts w:ascii="宋体" w:hAnsi="宋体"/>
          <w:b/>
        </w:rPr>
        <w:id w:val="147475469"/>
        <w15:color w:val="DBDBDB"/>
        <w:docPartObj>
          <w:docPartGallery w:val="Table of Contents"/>
          <w:docPartUnique/>
        </w:docPartObj>
      </w:sdtPr>
      <w:sdtEndPr>
        <w:rPr>
          <w:rFonts w:asciiTheme="minorEastAsia" w:hAnsiTheme="minorEastAsia" w:eastAsiaTheme="minorEastAsia" w:cstheme="minorEastAsia"/>
          <w:b/>
          <w:bCs/>
          <w:sz w:val="32"/>
          <w:szCs w:val="32"/>
        </w:rPr>
      </w:sdtEndPr>
      <w:sdtContent>
        <w:p>
          <w:pPr>
            <w:jc w:val="center"/>
          </w:pPr>
        </w:p>
        <w:p>
          <w:pPr>
            <w:pStyle w:val="72"/>
            <w:tabs>
              <w:tab w:val="right" w:leader="dot" w:pos="9880"/>
            </w:tabs>
          </w:pPr>
          <w:r>
            <w:rPr>
              <w:rFonts w:asciiTheme="minorEastAsia" w:hAnsiTheme="minorEastAsia" w:eastAsiaTheme="minorEastAsia" w:cstheme="minorEastAsia"/>
              <w:bCs/>
            </w:rPr>
            <w:fldChar w:fldCharType="begin"/>
          </w:r>
          <w:r>
            <w:rPr>
              <w:rFonts w:asciiTheme="minorEastAsia" w:hAnsiTheme="minorEastAsia" w:eastAsiaTheme="minorEastAsia" w:cstheme="minorEastAsia"/>
              <w:bCs/>
            </w:rPr>
            <w:instrText xml:space="preserve">TOC \o "1-1" \h \u </w:instrText>
          </w:r>
          <w:r>
            <w:rPr>
              <w:rFonts w:asciiTheme="minorEastAsia" w:hAnsiTheme="minorEastAsia" w:eastAsiaTheme="minorEastAsia" w:cstheme="minorEastAsia"/>
              <w:bCs/>
            </w:rPr>
            <w:fldChar w:fldCharType="separate"/>
          </w:r>
          <w:r>
            <w:fldChar w:fldCharType="begin"/>
          </w:r>
          <w:r>
            <w:instrText xml:space="preserve"> HYPERLINK \l "_Toc25319" </w:instrText>
          </w:r>
          <w:r>
            <w:fldChar w:fldCharType="separate"/>
          </w:r>
          <w:r>
            <w:rPr>
              <w:rFonts w:hint="eastAsia" w:asciiTheme="minorEastAsia" w:hAnsiTheme="minorEastAsia" w:eastAsiaTheme="minorEastAsia" w:cstheme="minorEastAsia"/>
              <w:bCs/>
              <w:szCs w:val="44"/>
            </w:rPr>
            <w:t>目     录</w:t>
          </w:r>
          <w:r>
            <w:tab/>
          </w:r>
          <w:r>
            <w:fldChar w:fldCharType="begin"/>
          </w:r>
          <w:r>
            <w:instrText xml:space="preserve"> PAGEREF _Toc25319 \h </w:instrText>
          </w:r>
          <w:r>
            <w:fldChar w:fldCharType="separate"/>
          </w:r>
          <w:r>
            <w:t>- 2 -</w:t>
          </w:r>
          <w:r>
            <w:fldChar w:fldCharType="end"/>
          </w:r>
          <w:r>
            <w:fldChar w:fldCharType="end"/>
          </w:r>
        </w:p>
        <w:p>
          <w:pPr>
            <w:pStyle w:val="72"/>
            <w:tabs>
              <w:tab w:val="right" w:leader="dot" w:pos="9880"/>
            </w:tabs>
          </w:pPr>
          <w:r>
            <w:fldChar w:fldCharType="begin"/>
          </w:r>
          <w:r>
            <w:instrText xml:space="preserve"> HYPERLINK \l "_Toc2173" </w:instrText>
          </w:r>
          <w:r>
            <w:fldChar w:fldCharType="separate"/>
          </w:r>
          <w:r>
            <w:rPr>
              <w:rFonts w:hint="eastAsia"/>
            </w:rPr>
            <w:t>重要事项提示</w:t>
          </w:r>
          <w:r>
            <w:tab/>
          </w:r>
          <w:r>
            <w:fldChar w:fldCharType="begin"/>
          </w:r>
          <w:r>
            <w:instrText xml:space="preserve"> PAGEREF _Toc2173 \h </w:instrText>
          </w:r>
          <w:r>
            <w:fldChar w:fldCharType="separate"/>
          </w:r>
          <w:r>
            <w:t>- 3 -</w:t>
          </w:r>
          <w:r>
            <w:fldChar w:fldCharType="end"/>
          </w:r>
          <w:r>
            <w:fldChar w:fldCharType="end"/>
          </w:r>
        </w:p>
        <w:p>
          <w:pPr>
            <w:pStyle w:val="72"/>
            <w:tabs>
              <w:tab w:val="right" w:leader="dot" w:pos="9880"/>
            </w:tabs>
          </w:pPr>
          <w:r>
            <w:fldChar w:fldCharType="begin"/>
          </w:r>
          <w:r>
            <w:instrText xml:space="preserve"> HYPERLINK \l "_Toc24751" </w:instrText>
          </w:r>
          <w:r>
            <w:fldChar w:fldCharType="separate"/>
          </w:r>
          <w:r>
            <w:rPr>
              <w:rFonts w:hint="eastAsia"/>
            </w:rPr>
            <w:t xml:space="preserve">第一章 </w:t>
          </w:r>
          <w:r>
            <w:rPr>
              <w:rFonts w:hint="eastAsia" w:asciiTheme="minorEastAsia" w:hAnsiTheme="minorEastAsia" w:eastAsiaTheme="minorEastAsia" w:cstheme="minorEastAsia"/>
              <w:bCs/>
            </w:rPr>
            <w:t>招标公告</w:t>
          </w:r>
          <w:r>
            <w:tab/>
          </w:r>
          <w:r>
            <w:fldChar w:fldCharType="begin"/>
          </w:r>
          <w:r>
            <w:instrText xml:space="preserve"> PAGEREF _Toc24751 \h </w:instrText>
          </w:r>
          <w:r>
            <w:fldChar w:fldCharType="separate"/>
          </w:r>
          <w:r>
            <w:t>- 5 -</w:t>
          </w:r>
          <w:r>
            <w:fldChar w:fldCharType="end"/>
          </w:r>
          <w:r>
            <w:fldChar w:fldCharType="end"/>
          </w:r>
        </w:p>
        <w:p>
          <w:pPr>
            <w:pStyle w:val="72"/>
            <w:tabs>
              <w:tab w:val="right" w:leader="dot" w:pos="9880"/>
            </w:tabs>
          </w:pPr>
          <w:r>
            <w:fldChar w:fldCharType="begin"/>
          </w:r>
          <w:r>
            <w:instrText xml:space="preserve"> HYPERLINK \l "_Toc27816" </w:instrText>
          </w:r>
          <w:r>
            <w:fldChar w:fldCharType="separate"/>
          </w:r>
          <w:r>
            <w:rPr>
              <w:rFonts w:hint="eastAsia" w:asciiTheme="minorEastAsia" w:hAnsiTheme="minorEastAsia" w:eastAsiaTheme="minorEastAsia" w:cstheme="minorEastAsia"/>
              <w:szCs w:val="32"/>
            </w:rPr>
            <w:t>第二章  供应商须知</w:t>
          </w:r>
          <w:r>
            <w:tab/>
          </w:r>
          <w:r>
            <w:fldChar w:fldCharType="begin"/>
          </w:r>
          <w:r>
            <w:instrText xml:space="preserve"> PAGEREF _Toc27816 \h </w:instrText>
          </w:r>
          <w:r>
            <w:fldChar w:fldCharType="separate"/>
          </w:r>
          <w:r>
            <w:t>- 8 -</w:t>
          </w:r>
          <w:r>
            <w:fldChar w:fldCharType="end"/>
          </w:r>
          <w:r>
            <w:fldChar w:fldCharType="end"/>
          </w:r>
        </w:p>
        <w:p>
          <w:pPr>
            <w:pStyle w:val="72"/>
            <w:tabs>
              <w:tab w:val="right" w:leader="dot" w:pos="9880"/>
            </w:tabs>
          </w:pPr>
          <w:r>
            <w:fldChar w:fldCharType="begin"/>
          </w:r>
          <w:r>
            <w:instrText xml:space="preserve"> HYPERLINK \l "_Toc31932" </w:instrText>
          </w:r>
          <w:r>
            <w:fldChar w:fldCharType="separate"/>
          </w:r>
          <w:r>
            <w:rPr>
              <w:rFonts w:hint="eastAsia" w:asciiTheme="minorEastAsia" w:hAnsiTheme="minorEastAsia" w:eastAsiaTheme="minorEastAsia" w:cstheme="minorEastAsia"/>
              <w:szCs w:val="30"/>
            </w:rPr>
            <w:t>供应商须知前附表</w:t>
          </w:r>
          <w:r>
            <w:tab/>
          </w:r>
          <w:r>
            <w:fldChar w:fldCharType="begin"/>
          </w:r>
          <w:r>
            <w:instrText xml:space="preserve"> PAGEREF _Toc31932 \h </w:instrText>
          </w:r>
          <w:r>
            <w:fldChar w:fldCharType="separate"/>
          </w:r>
          <w:r>
            <w:t>- 8 -</w:t>
          </w:r>
          <w:r>
            <w:fldChar w:fldCharType="end"/>
          </w:r>
          <w:r>
            <w:fldChar w:fldCharType="end"/>
          </w:r>
        </w:p>
        <w:p>
          <w:pPr>
            <w:pStyle w:val="72"/>
            <w:tabs>
              <w:tab w:val="right" w:leader="dot" w:pos="9880"/>
            </w:tabs>
          </w:pPr>
          <w:r>
            <w:fldChar w:fldCharType="begin"/>
          </w:r>
          <w:r>
            <w:instrText xml:space="preserve"> HYPERLINK \l "_Toc7029" </w:instrText>
          </w:r>
          <w:r>
            <w:fldChar w:fldCharType="separate"/>
          </w:r>
          <w:r>
            <w:rPr>
              <w:rFonts w:hint="eastAsia" w:asciiTheme="minorEastAsia" w:hAnsiTheme="minorEastAsia" w:eastAsiaTheme="minorEastAsia" w:cstheme="minorEastAsia"/>
              <w:szCs w:val="24"/>
            </w:rPr>
            <w:t>1. 总则</w:t>
          </w:r>
          <w:r>
            <w:tab/>
          </w:r>
          <w:r>
            <w:fldChar w:fldCharType="begin"/>
          </w:r>
          <w:r>
            <w:instrText xml:space="preserve"> PAGEREF _Toc7029 \h </w:instrText>
          </w:r>
          <w:r>
            <w:fldChar w:fldCharType="separate"/>
          </w:r>
          <w:r>
            <w:t>- 12 -</w:t>
          </w:r>
          <w:r>
            <w:fldChar w:fldCharType="end"/>
          </w:r>
          <w:r>
            <w:fldChar w:fldCharType="end"/>
          </w:r>
        </w:p>
        <w:p>
          <w:pPr>
            <w:pStyle w:val="72"/>
            <w:tabs>
              <w:tab w:val="right" w:leader="dot" w:pos="9880"/>
            </w:tabs>
          </w:pPr>
          <w:r>
            <w:fldChar w:fldCharType="begin"/>
          </w:r>
          <w:r>
            <w:instrText xml:space="preserve"> HYPERLINK \l "_Toc20888" </w:instrText>
          </w:r>
          <w:r>
            <w:fldChar w:fldCharType="separate"/>
          </w:r>
          <w:r>
            <w:rPr>
              <w:rFonts w:hint="eastAsia" w:asciiTheme="minorEastAsia" w:hAnsiTheme="minorEastAsia" w:eastAsiaTheme="minorEastAsia" w:cstheme="minorEastAsia"/>
              <w:szCs w:val="24"/>
            </w:rPr>
            <w:t>2. 招标文件</w:t>
          </w:r>
          <w:r>
            <w:tab/>
          </w:r>
          <w:r>
            <w:fldChar w:fldCharType="begin"/>
          </w:r>
          <w:r>
            <w:instrText xml:space="preserve"> PAGEREF _Toc20888 \h </w:instrText>
          </w:r>
          <w:r>
            <w:fldChar w:fldCharType="separate"/>
          </w:r>
          <w:r>
            <w:t>- 13 -</w:t>
          </w:r>
          <w:r>
            <w:fldChar w:fldCharType="end"/>
          </w:r>
          <w:r>
            <w:fldChar w:fldCharType="end"/>
          </w:r>
        </w:p>
        <w:p>
          <w:pPr>
            <w:pStyle w:val="72"/>
            <w:tabs>
              <w:tab w:val="right" w:leader="dot" w:pos="9880"/>
            </w:tabs>
          </w:pPr>
          <w:r>
            <w:fldChar w:fldCharType="begin"/>
          </w:r>
          <w:r>
            <w:instrText xml:space="preserve"> HYPERLINK \l "_Toc15031" </w:instrText>
          </w:r>
          <w:r>
            <w:fldChar w:fldCharType="separate"/>
          </w:r>
          <w:r>
            <w:rPr>
              <w:rFonts w:hint="eastAsia" w:asciiTheme="minorEastAsia" w:hAnsiTheme="minorEastAsia" w:eastAsiaTheme="minorEastAsia" w:cstheme="minorEastAsia"/>
              <w:szCs w:val="24"/>
            </w:rPr>
            <w:t>3. 投标文件</w:t>
          </w:r>
          <w:r>
            <w:tab/>
          </w:r>
          <w:r>
            <w:fldChar w:fldCharType="begin"/>
          </w:r>
          <w:r>
            <w:instrText xml:space="preserve"> PAGEREF _Toc15031 \h </w:instrText>
          </w:r>
          <w:r>
            <w:fldChar w:fldCharType="separate"/>
          </w:r>
          <w:r>
            <w:t>- 14 -</w:t>
          </w:r>
          <w:r>
            <w:fldChar w:fldCharType="end"/>
          </w:r>
          <w:r>
            <w:fldChar w:fldCharType="end"/>
          </w:r>
        </w:p>
        <w:p>
          <w:pPr>
            <w:pStyle w:val="72"/>
            <w:tabs>
              <w:tab w:val="right" w:leader="dot" w:pos="9880"/>
            </w:tabs>
          </w:pPr>
          <w:r>
            <w:fldChar w:fldCharType="begin"/>
          </w:r>
          <w:r>
            <w:instrText xml:space="preserve"> HYPERLINK \l "_Toc21879" </w:instrText>
          </w:r>
          <w:r>
            <w:fldChar w:fldCharType="separate"/>
          </w:r>
          <w:r>
            <w:rPr>
              <w:rFonts w:hint="eastAsia" w:asciiTheme="minorEastAsia" w:hAnsiTheme="minorEastAsia" w:eastAsiaTheme="minorEastAsia" w:cstheme="minorEastAsia"/>
              <w:szCs w:val="24"/>
            </w:rPr>
            <w:t>4. 投标</w:t>
          </w:r>
          <w:r>
            <w:tab/>
          </w:r>
          <w:r>
            <w:fldChar w:fldCharType="begin"/>
          </w:r>
          <w:r>
            <w:instrText xml:space="preserve"> PAGEREF _Toc21879 \h </w:instrText>
          </w:r>
          <w:r>
            <w:fldChar w:fldCharType="separate"/>
          </w:r>
          <w:r>
            <w:t>- 15 -</w:t>
          </w:r>
          <w:r>
            <w:fldChar w:fldCharType="end"/>
          </w:r>
          <w:r>
            <w:fldChar w:fldCharType="end"/>
          </w:r>
        </w:p>
        <w:p>
          <w:pPr>
            <w:pStyle w:val="72"/>
            <w:tabs>
              <w:tab w:val="right" w:leader="dot" w:pos="9880"/>
            </w:tabs>
          </w:pPr>
          <w:r>
            <w:fldChar w:fldCharType="begin"/>
          </w:r>
          <w:r>
            <w:instrText xml:space="preserve"> HYPERLINK \l "_Toc22737" </w:instrText>
          </w:r>
          <w:r>
            <w:fldChar w:fldCharType="separate"/>
          </w:r>
          <w:r>
            <w:rPr>
              <w:rFonts w:hint="eastAsia" w:asciiTheme="minorEastAsia" w:hAnsiTheme="minorEastAsia" w:eastAsiaTheme="minorEastAsia" w:cstheme="minorEastAsia"/>
              <w:szCs w:val="24"/>
            </w:rPr>
            <w:t>5. 开标</w:t>
          </w:r>
          <w:r>
            <w:tab/>
          </w:r>
          <w:r>
            <w:fldChar w:fldCharType="begin"/>
          </w:r>
          <w:r>
            <w:instrText xml:space="preserve"> PAGEREF _Toc22737 \h </w:instrText>
          </w:r>
          <w:r>
            <w:fldChar w:fldCharType="separate"/>
          </w:r>
          <w:r>
            <w:t>- 16 -</w:t>
          </w:r>
          <w:r>
            <w:fldChar w:fldCharType="end"/>
          </w:r>
          <w:r>
            <w:fldChar w:fldCharType="end"/>
          </w:r>
        </w:p>
        <w:p>
          <w:pPr>
            <w:pStyle w:val="72"/>
            <w:tabs>
              <w:tab w:val="right" w:leader="dot" w:pos="9880"/>
            </w:tabs>
          </w:pPr>
          <w:r>
            <w:fldChar w:fldCharType="begin"/>
          </w:r>
          <w:r>
            <w:instrText xml:space="preserve"> HYPERLINK \l "_Toc4643" </w:instrText>
          </w:r>
          <w:r>
            <w:fldChar w:fldCharType="separate"/>
          </w:r>
          <w:r>
            <w:rPr>
              <w:rFonts w:hint="eastAsia" w:asciiTheme="minorEastAsia" w:hAnsiTheme="minorEastAsia" w:eastAsiaTheme="minorEastAsia" w:cstheme="minorEastAsia"/>
              <w:szCs w:val="24"/>
            </w:rPr>
            <w:t>6. 评标</w:t>
          </w:r>
          <w:r>
            <w:tab/>
          </w:r>
          <w:r>
            <w:fldChar w:fldCharType="begin"/>
          </w:r>
          <w:r>
            <w:instrText xml:space="preserve"> PAGEREF _Toc4643 \h </w:instrText>
          </w:r>
          <w:r>
            <w:fldChar w:fldCharType="separate"/>
          </w:r>
          <w:r>
            <w:t>- 17 -</w:t>
          </w:r>
          <w:r>
            <w:fldChar w:fldCharType="end"/>
          </w:r>
          <w:r>
            <w:fldChar w:fldCharType="end"/>
          </w:r>
        </w:p>
        <w:p>
          <w:pPr>
            <w:pStyle w:val="72"/>
            <w:tabs>
              <w:tab w:val="right" w:leader="dot" w:pos="9880"/>
            </w:tabs>
          </w:pPr>
          <w:r>
            <w:fldChar w:fldCharType="begin"/>
          </w:r>
          <w:r>
            <w:instrText xml:space="preserve"> HYPERLINK \l "_Toc8566" </w:instrText>
          </w:r>
          <w:r>
            <w:fldChar w:fldCharType="separate"/>
          </w:r>
          <w:r>
            <w:rPr>
              <w:rFonts w:hint="eastAsia" w:asciiTheme="minorEastAsia" w:hAnsiTheme="minorEastAsia" w:eastAsiaTheme="minorEastAsia" w:cstheme="minorEastAsia"/>
              <w:szCs w:val="24"/>
            </w:rPr>
            <w:t>7. 合同授予</w:t>
          </w:r>
          <w:r>
            <w:tab/>
          </w:r>
          <w:r>
            <w:fldChar w:fldCharType="begin"/>
          </w:r>
          <w:r>
            <w:instrText xml:space="preserve"> PAGEREF _Toc8566 \h </w:instrText>
          </w:r>
          <w:r>
            <w:fldChar w:fldCharType="separate"/>
          </w:r>
          <w:r>
            <w:t>- 18 -</w:t>
          </w:r>
          <w:r>
            <w:fldChar w:fldCharType="end"/>
          </w:r>
          <w:r>
            <w:fldChar w:fldCharType="end"/>
          </w:r>
        </w:p>
        <w:p>
          <w:pPr>
            <w:pStyle w:val="72"/>
            <w:tabs>
              <w:tab w:val="right" w:leader="dot" w:pos="9880"/>
            </w:tabs>
          </w:pPr>
          <w:r>
            <w:fldChar w:fldCharType="begin"/>
          </w:r>
          <w:r>
            <w:instrText xml:space="preserve"> HYPERLINK \l "_Toc29014" </w:instrText>
          </w:r>
          <w:r>
            <w:fldChar w:fldCharType="separate"/>
          </w:r>
          <w:r>
            <w:rPr>
              <w:rFonts w:hint="eastAsia" w:asciiTheme="minorEastAsia" w:hAnsiTheme="minorEastAsia" w:eastAsiaTheme="minorEastAsia" w:cstheme="minorEastAsia"/>
              <w:szCs w:val="24"/>
            </w:rPr>
            <w:t>8. 重新招标</w:t>
          </w:r>
          <w:r>
            <w:tab/>
          </w:r>
          <w:r>
            <w:fldChar w:fldCharType="begin"/>
          </w:r>
          <w:r>
            <w:instrText xml:space="preserve"> PAGEREF _Toc29014 \h </w:instrText>
          </w:r>
          <w:r>
            <w:fldChar w:fldCharType="separate"/>
          </w:r>
          <w:r>
            <w:t>- 19 -</w:t>
          </w:r>
          <w:r>
            <w:fldChar w:fldCharType="end"/>
          </w:r>
          <w:r>
            <w:fldChar w:fldCharType="end"/>
          </w:r>
        </w:p>
        <w:p>
          <w:pPr>
            <w:pStyle w:val="72"/>
            <w:tabs>
              <w:tab w:val="right" w:leader="dot" w:pos="9880"/>
            </w:tabs>
          </w:pPr>
          <w:r>
            <w:fldChar w:fldCharType="begin"/>
          </w:r>
          <w:r>
            <w:instrText xml:space="preserve"> HYPERLINK \l "_Toc14622" </w:instrText>
          </w:r>
          <w:r>
            <w:fldChar w:fldCharType="separate"/>
          </w:r>
          <w:r>
            <w:rPr>
              <w:rFonts w:hint="eastAsia" w:asciiTheme="minorEastAsia" w:hAnsiTheme="minorEastAsia" w:eastAsiaTheme="minorEastAsia" w:cstheme="minorEastAsia"/>
              <w:szCs w:val="24"/>
            </w:rPr>
            <w:t>9. 纪律和监督</w:t>
          </w:r>
          <w:r>
            <w:tab/>
          </w:r>
          <w:r>
            <w:fldChar w:fldCharType="begin"/>
          </w:r>
          <w:r>
            <w:instrText xml:space="preserve"> PAGEREF _Toc14622 \h </w:instrText>
          </w:r>
          <w:r>
            <w:fldChar w:fldCharType="separate"/>
          </w:r>
          <w:r>
            <w:t>- 19 -</w:t>
          </w:r>
          <w:r>
            <w:fldChar w:fldCharType="end"/>
          </w:r>
          <w:r>
            <w:fldChar w:fldCharType="end"/>
          </w:r>
        </w:p>
        <w:p>
          <w:pPr>
            <w:pStyle w:val="72"/>
            <w:tabs>
              <w:tab w:val="right" w:leader="dot" w:pos="9880"/>
            </w:tabs>
          </w:pPr>
          <w:r>
            <w:fldChar w:fldCharType="begin"/>
          </w:r>
          <w:r>
            <w:instrText xml:space="preserve"> HYPERLINK \l "_Toc26812" </w:instrText>
          </w:r>
          <w:r>
            <w:fldChar w:fldCharType="separate"/>
          </w:r>
          <w:r>
            <w:rPr>
              <w:rFonts w:hint="eastAsia" w:asciiTheme="minorEastAsia" w:hAnsiTheme="minorEastAsia" w:eastAsiaTheme="minorEastAsia" w:cstheme="minorEastAsia"/>
              <w:szCs w:val="24"/>
            </w:rPr>
            <w:t>10. 需要补充的其他内容</w:t>
          </w:r>
          <w:r>
            <w:tab/>
          </w:r>
          <w:r>
            <w:fldChar w:fldCharType="begin"/>
          </w:r>
          <w:r>
            <w:instrText xml:space="preserve"> PAGEREF _Toc26812 \h </w:instrText>
          </w:r>
          <w:r>
            <w:fldChar w:fldCharType="separate"/>
          </w:r>
          <w:r>
            <w:t>- 19 -</w:t>
          </w:r>
          <w:r>
            <w:fldChar w:fldCharType="end"/>
          </w:r>
          <w:r>
            <w:fldChar w:fldCharType="end"/>
          </w:r>
        </w:p>
        <w:p>
          <w:pPr>
            <w:pStyle w:val="72"/>
            <w:tabs>
              <w:tab w:val="right" w:leader="dot" w:pos="9880"/>
            </w:tabs>
          </w:pPr>
          <w:r>
            <w:fldChar w:fldCharType="begin"/>
          </w:r>
          <w:r>
            <w:instrText xml:space="preserve"> HYPERLINK \l "_Toc32119"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评标办法（综合评分法）</w:t>
          </w:r>
          <w:r>
            <w:tab/>
          </w:r>
          <w:r>
            <w:fldChar w:fldCharType="begin"/>
          </w:r>
          <w:r>
            <w:instrText xml:space="preserve"> PAGEREF _Toc32119 \h </w:instrText>
          </w:r>
          <w:r>
            <w:fldChar w:fldCharType="separate"/>
          </w:r>
          <w:r>
            <w:t>- 21 -</w:t>
          </w:r>
          <w:r>
            <w:fldChar w:fldCharType="end"/>
          </w:r>
          <w:r>
            <w:fldChar w:fldCharType="end"/>
          </w:r>
        </w:p>
        <w:p>
          <w:pPr>
            <w:pStyle w:val="72"/>
            <w:tabs>
              <w:tab w:val="right" w:leader="dot" w:pos="9880"/>
            </w:tabs>
          </w:pPr>
          <w:r>
            <w:fldChar w:fldCharType="begin"/>
          </w:r>
          <w:r>
            <w:instrText xml:space="preserve"> HYPERLINK \l "_Toc27443"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合同条款及格式</w:t>
          </w:r>
          <w:r>
            <w:tab/>
          </w:r>
          <w:r>
            <w:fldChar w:fldCharType="begin"/>
          </w:r>
          <w:r>
            <w:instrText xml:space="preserve"> PAGEREF _Toc27443 \h </w:instrText>
          </w:r>
          <w:r>
            <w:fldChar w:fldCharType="separate"/>
          </w:r>
          <w:r>
            <w:t>- 26 -</w:t>
          </w:r>
          <w:r>
            <w:fldChar w:fldCharType="end"/>
          </w:r>
          <w:r>
            <w:fldChar w:fldCharType="end"/>
          </w:r>
        </w:p>
        <w:p>
          <w:pPr>
            <w:pStyle w:val="72"/>
            <w:tabs>
              <w:tab w:val="right" w:leader="dot" w:pos="9880"/>
            </w:tabs>
          </w:pPr>
          <w:r>
            <w:fldChar w:fldCharType="begin"/>
          </w:r>
          <w:r>
            <w:instrText xml:space="preserve"> HYPERLINK \l "_Toc6692" </w:instrText>
          </w:r>
          <w:r>
            <w:fldChar w:fldCharType="separate"/>
          </w:r>
          <w:r>
            <w:rPr>
              <w:bCs/>
              <w:szCs w:val="32"/>
            </w:rPr>
            <w:t xml:space="preserve">第五章 </w:t>
          </w:r>
          <w:r>
            <w:rPr>
              <w:rFonts w:hint="eastAsia"/>
              <w:bCs/>
              <w:szCs w:val="32"/>
            </w:rPr>
            <w:t>采购内容及技术要求</w:t>
          </w:r>
          <w:r>
            <w:tab/>
          </w:r>
          <w:r>
            <w:fldChar w:fldCharType="begin"/>
          </w:r>
          <w:r>
            <w:instrText xml:space="preserve"> PAGEREF _Toc6692 \h </w:instrText>
          </w:r>
          <w:r>
            <w:fldChar w:fldCharType="separate"/>
          </w:r>
          <w:r>
            <w:t>- 28 -</w:t>
          </w:r>
          <w:r>
            <w:fldChar w:fldCharType="end"/>
          </w:r>
          <w:r>
            <w:fldChar w:fldCharType="end"/>
          </w:r>
        </w:p>
        <w:p>
          <w:pPr>
            <w:pStyle w:val="72"/>
            <w:tabs>
              <w:tab w:val="right" w:leader="dot" w:pos="9880"/>
            </w:tabs>
          </w:pPr>
          <w:r>
            <w:fldChar w:fldCharType="begin"/>
          </w:r>
          <w:r>
            <w:instrText xml:space="preserve"> HYPERLINK \l "_Toc28947" </w:instrText>
          </w:r>
          <w:r>
            <w:fldChar w:fldCharType="separate"/>
          </w:r>
          <w:r>
            <w:rPr>
              <w:rFonts w:hint="eastAsia"/>
              <w:szCs w:val="32"/>
            </w:rPr>
            <w:t>第六章 质疑与投诉</w:t>
          </w:r>
          <w:r>
            <w:tab/>
          </w:r>
          <w:r>
            <w:fldChar w:fldCharType="begin"/>
          </w:r>
          <w:r>
            <w:instrText xml:space="preserve"> PAGEREF _Toc28947 \h </w:instrText>
          </w:r>
          <w:r>
            <w:fldChar w:fldCharType="separate"/>
          </w:r>
          <w:r>
            <w:t>- 36 -</w:t>
          </w:r>
          <w:r>
            <w:fldChar w:fldCharType="end"/>
          </w:r>
          <w:r>
            <w:fldChar w:fldCharType="end"/>
          </w:r>
        </w:p>
        <w:p>
          <w:pPr>
            <w:pStyle w:val="72"/>
            <w:tabs>
              <w:tab w:val="right" w:leader="dot" w:pos="9880"/>
            </w:tabs>
          </w:pPr>
          <w:r>
            <w:fldChar w:fldCharType="begin"/>
          </w:r>
          <w:r>
            <w:instrText xml:space="preserve"> HYPERLINK \l "_Toc7285" </w:instrText>
          </w:r>
          <w:r>
            <w:fldChar w:fldCharType="separate"/>
          </w:r>
          <w:r>
            <w:rPr>
              <w:rFonts w:asciiTheme="majorEastAsia" w:hAnsiTheme="majorEastAsia" w:eastAsiaTheme="majorEastAsia" w:cstheme="majorEastAsia"/>
              <w:bCs/>
              <w:szCs w:val="32"/>
            </w:rPr>
            <w:t>第七章 履约验收</w:t>
          </w:r>
          <w:r>
            <w:tab/>
          </w:r>
          <w:r>
            <w:fldChar w:fldCharType="begin"/>
          </w:r>
          <w:r>
            <w:instrText xml:space="preserve"> PAGEREF _Toc7285 \h </w:instrText>
          </w:r>
          <w:r>
            <w:fldChar w:fldCharType="separate"/>
          </w:r>
          <w:r>
            <w:t>- 38 -</w:t>
          </w:r>
          <w:r>
            <w:fldChar w:fldCharType="end"/>
          </w:r>
          <w:r>
            <w:fldChar w:fldCharType="end"/>
          </w:r>
        </w:p>
        <w:p>
          <w:pPr>
            <w:pStyle w:val="72"/>
            <w:tabs>
              <w:tab w:val="right" w:leader="dot" w:pos="9880"/>
            </w:tabs>
          </w:pPr>
          <w:r>
            <w:fldChar w:fldCharType="begin"/>
          </w:r>
          <w:r>
            <w:instrText xml:space="preserve"> HYPERLINK \l "_Toc14191" </w:instrText>
          </w:r>
          <w:r>
            <w:fldChar w:fldCharType="separate"/>
          </w:r>
          <w:r>
            <w:rPr>
              <w:rFonts w:hint="eastAsia" w:asciiTheme="minorEastAsia" w:hAnsiTheme="minorEastAsia" w:eastAsiaTheme="minorEastAsia" w:cstheme="minorEastAsia"/>
              <w:szCs w:val="36"/>
            </w:rPr>
            <w:t>第八章  投标文件格式</w:t>
          </w:r>
          <w:r>
            <w:tab/>
          </w:r>
          <w:r>
            <w:fldChar w:fldCharType="begin"/>
          </w:r>
          <w:r>
            <w:instrText xml:space="preserve"> PAGEREF _Toc14191 \h </w:instrText>
          </w:r>
          <w:r>
            <w:fldChar w:fldCharType="separate"/>
          </w:r>
          <w:r>
            <w:t>- 39 -</w:t>
          </w:r>
          <w:r>
            <w:fldChar w:fldCharType="end"/>
          </w:r>
          <w:r>
            <w:fldChar w:fldCharType="end"/>
          </w:r>
        </w:p>
        <w:p>
          <w:pPr>
            <w:pStyle w:val="72"/>
            <w:tabs>
              <w:tab w:val="right" w:leader="dot" w:pos="9880"/>
            </w:tabs>
          </w:pPr>
          <w:r>
            <w:fldChar w:fldCharType="begin"/>
          </w:r>
          <w:r>
            <w:instrText xml:space="preserve"> HYPERLINK \l "_Toc7574" </w:instrText>
          </w:r>
          <w:r>
            <w:fldChar w:fldCharType="separate"/>
          </w:r>
          <w:r>
            <w:rPr>
              <w:rFonts w:hint="eastAsia" w:ascii="宋体" w:hAnsi="宋体" w:cs="宋体"/>
              <w:szCs w:val="36"/>
            </w:rPr>
            <w:t>河南省政府采购合同融资政策告知函</w:t>
          </w:r>
          <w:r>
            <w:tab/>
          </w:r>
          <w:r>
            <w:fldChar w:fldCharType="begin"/>
          </w:r>
          <w:r>
            <w:instrText xml:space="preserve"> PAGEREF _Toc7574 \h </w:instrText>
          </w:r>
          <w:r>
            <w:fldChar w:fldCharType="separate"/>
          </w:r>
          <w:r>
            <w:t>- 55 -</w:t>
          </w:r>
          <w:r>
            <w:fldChar w:fldCharType="end"/>
          </w:r>
          <w:r>
            <w:fldChar w:fldCharType="end"/>
          </w:r>
        </w:p>
        <w:p>
          <w:pPr>
            <w:pStyle w:val="72"/>
            <w:tabs>
              <w:tab w:val="right" w:leader="dot" w:pos="9880"/>
            </w:tabs>
          </w:pPr>
          <w:r>
            <w:fldChar w:fldCharType="begin"/>
          </w:r>
          <w:r>
            <w:instrText xml:space="preserve"> HYPERLINK \l "_Toc30161" </w:instrText>
          </w:r>
          <w:r>
            <w:fldChar w:fldCharType="separate"/>
          </w:r>
          <w:r>
            <w:rPr>
              <w:rFonts w:hint="eastAsia" w:ascii="宋体" w:hAnsi="宋体"/>
              <w:szCs w:val="32"/>
            </w:rPr>
            <w:t>焦作市政府采购合同融资合作企业</w:t>
          </w:r>
          <w:r>
            <w:tab/>
          </w:r>
          <w:r>
            <w:fldChar w:fldCharType="begin"/>
          </w:r>
          <w:r>
            <w:instrText xml:space="preserve"> PAGEREF _Toc30161 \h </w:instrText>
          </w:r>
          <w:r>
            <w:fldChar w:fldCharType="separate"/>
          </w:r>
          <w:r>
            <w:t>- 55 -</w:t>
          </w:r>
          <w:r>
            <w:fldChar w:fldCharType="end"/>
          </w:r>
          <w:r>
            <w:fldChar w:fldCharType="end"/>
          </w:r>
        </w:p>
        <w:p>
          <w:pPr>
            <w:pStyle w:val="24"/>
            <w:spacing w:line="360" w:lineRule="auto"/>
            <w:ind w:right="-63" w:rightChars="-30"/>
            <w:outlineLvl w:val="9"/>
            <w:rPr>
              <w:rFonts w:asciiTheme="minorEastAsia" w:hAnsiTheme="minorEastAsia" w:eastAsiaTheme="minorEastAsia" w:cstheme="minorEastAsia"/>
              <w:bCs/>
            </w:rPr>
          </w:pPr>
          <w:r>
            <w:rPr>
              <w:rFonts w:asciiTheme="minorEastAsia" w:hAnsiTheme="minorEastAsia" w:eastAsiaTheme="minorEastAsia" w:cstheme="minorEastAsia"/>
              <w:bCs/>
            </w:rPr>
            <w:fldChar w:fldCharType="end"/>
          </w:r>
        </w:p>
      </w:sdtContent>
    </w:sdt>
    <w:p>
      <w:pPr>
        <w:pStyle w:val="24"/>
        <w:spacing w:line="360" w:lineRule="auto"/>
        <w:ind w:right="-63" w:rightChars="-30"/>
        <w:outlineLvl w:val="9"/>
        <w:rPr>
          <w:rFonts w:asciiTheme="minorEastAsia" w:hAnsiTheme="minorEastAsia" w:eastAsiaTheme="minorEastAsia" w:cstheme="minorEastAsia"/>
          <w:bCs/>
        </w:rPr>
      </w:pPr>
    </w:p>
    <w:p>
      <w:pPr>
        <w:pStyle w:val="24"/>
        <w:spacing w:line="360" w:lineRule="auto"/>
        <w:ind w:right="-63" w:rightChars="-30"/>
        <w:outlineLvl w:val="9"/>
        <w:rPr>
          <w:rFonts w:asciiTheme="minorEastAsia" w:hAnsiTheme="minorEastAsia" w:eastAsiaTheme="minorEastAsia" w:cstheme="minorEastAsia"/>
          <w:bCs/>
        </w:rPr>
      </w:pPr>
    </w:p>
    <w:p>
      <w:pPr>
        <w:pStyle w:val="9"/>
        <w:rPr>
          <w:rFonts w:ascii="宋体" w:hAnsi="宋体" w:cs="宋体"/>
        </w:rPr>
      </w:pPr>
      <w:bookmarkStart w:id="3" w:name="_Toc2173"/>
      <w:bookmarkStart w:id="4" w:name="_Toc27735"/>
      <w:r>
        <w:rPr>
          <w:rFonts w:hint="eastAsia"/>
        </w:rPr>
        <w:t>重要事项提示</w:t>
      </w:r>
      <w:bookmarkEnd w:id="3"/>
      <w:bookmarkEnd w:id="4"/>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各潜在供应商：</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3"/>
        <w:spacing w:before="0" w:beforeAutospacing="0" w:after="0" w:afterAutospacing="0" w:line="360" w:lineRule="auto"/>
        <w:ind w:firstLine="480" w:firstLineChars="200"/>
        <w:jc w:val="both"/>
      </w:pPr>
      <w:r>
        <w:rPr>
          <w:rFonts w:hint="eastAsia"/>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3"/>
        <w:spacing w:before="0" w:beforeAutospacing="0" w:after="0" w:afterAutospacing="0" w:line="360" w:lineRule="auto"/>
        <w:ind w:firstLine="480" w:firstLineChars="200"/>
        <w:jc w:val="both"/>
      </w:pPr>
      <w:r>
        <w:rPr>
          <w:rFonts w:hint="eastAsia"/>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23"/>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pStyle w:val="23"/>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在投标文件中对同一采购项目有两个或多个报价，且未声明哪一个有效的；</w:t>
      </w:r>
    </w:p>
    <w:p>
      <w:pPr>
        <w:pStyle w:val="23"/>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响应文件的关键内容（采购报价、</w:t>
      </w:r>
      <w:r>
        <w:rPr>
          <w:rFonts w:hint="eastAsia"/>
          <w:highlight w:val="none"/>
        </w:rPr>
        <w:t>供货</w:t>
      </w:r>
      <w:r>
        <w:rPr>
          <w:rFonts w:hint="eastAsia"/>
          <w:highlight w:val="none"/>
          <w:lang w:val="en-US" w:eastAsia="zh-CN"/>
        </w:rPr>
        <w:t>安装</w:t>
      </w:r>
      <w:r>
        <w:rPr>
          <w:rFonts w:hint="eastAsia"/>
          <w:highlight w:val="none"/>
        </w:rPr>
        <w:t>期</w:t>
      </w:r>
      <w:r>
        <w:rPr>
          <w:rFonts w:hint="eastAsia" w:cs="Times New Roman"/>
        </w:rPr>
        <w:t>、质量标准、品牌、型号等）未填写或填写字迹模糊无法辨认的；</w:t>
      </w:r>
    </w:p>
    <w:p>
      <w:pPr>
        <w:pStyle w:val="23"/>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相关资格证明文件不合格的；</w:t>
      </w:r>
    </w:p>
    <w:p>
      <w:pPr>
        <w:pStyle w:val="23"/>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采购报价超出控制价的；</w:t>
      </w:r>
    </w:p>
    <w:p>
      <w:pPr>
        <w:pStyle w:val="23"/>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投标文件中附有采购人不能接受的条件的；</w:t>
      </w:r>
    </w:p>
    <w:p>
      <w:pPr>
        <w:pStyle w:val="23"/>
        <w:numPr>
          <w:ilvl w:val="0"/>
          <w:numId w:val="3"/>
        </w:numPr>
        <w:spacing w:before="0" w:beforeAutospacing="0" w:after="0" w:afterAutospacing="0" w:line="360" w:lineRule="auto"/>
        <w:ind w:left="0" w:firstLine="480" w:firstLineChars="200"/>
        <w:jc w:val="both"/>
      </w:pPr>
      <w:r>
        <w:rPr>
          <w:rFonts w:hint="eastAsia" w:cs="Times New Roman"/>
        </w:rPr>
        <w:t>投标文件有明显不符合采购文件其它要求和有关法律法规的；</w:t>
      </w:r>
    </w:p>
    <w:p>
      <w:pPr>
        <w:pStyle w:val="23"/>
        <w:numPr>
          <w:ilvl w:val="0"/>
          <w:numId w:val="3"/>
        </w:numPr>
        <w:spacing w:before="0" w:beforeAutospacing="0" w:after="0" w:afterAutospacing="0" w:line="360" w:lineRule="auto"/>
        <w:ind w:left="0" w:firstLine="480" w:firstLineChars="200"/>
        <w:jc w:val="both"/>
      </w:pPr>
      <w:r>
        <w:rPr>
          <w:rFonts w:hint="eastAsia" w:cs="Times New Roman"/>
        </w:rPr>
        <w:t>如因两个或两个以上供应商使用同一台计算或同一个IP上传响应文件，被不见面开标系统提示为“投标文件制作机器码一致”的，则视其投标无效。若经查实有《政府采购法实施条例》第七十四条情形，监管部门将依法做出处理；</w:t>
      </w:r>
    </w:p>
    <w:p>
      <w:pPr>
        <w:pStyle w:val="23"/>
        <w:numPr>
          <w:ilvl w:val="0"/>
          <w:numId w:val="3"/>
        </w:numPr>
        <w:spacing w:before="0" w:beforeAutospacing="0" w:after="0" w:afterAutospacing="0" w:line="360" w:lineRule="auto"/>
        <w:ind w:left="0" w:firstLine="480" w:firstLineChars="200"/>
        <w:jc w:val="both"/>
      </w:pPr>
      <w:r>
        <w:rPr>
          <w:rFonts w:hint="eastAsia"/>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sz w:val="32"/>
          <w:szCs w:val="32"/>
          <w:highlight w:val="yellow"/>
        </w:rPr>
      </w:pPr>
    </w:p>
    <w:p>
      <w:pPr>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4"/>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4"/>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3"/>
      </w:pPr>
    </w:p>
    <w:p>
      <w:pPr>
        <w:pStyle w:val="4"/>
      </w:pPr>
    </w:p>
    <w:p>
      <w:pPr>
        <w:pStyle w:val="4"/>
      </w:pPr>
    </w:p>
    <w:p>
      <w:pPr>
        <w:pStyle w:val="3"/>
      </w:pPr>
    </w:p>
    <w:p>
      <w:pPr>
        <w:pStyle w:val="24"/>
        <w:numPr>
          <w:ilvl w:val="0"/>
          <w:numId w:val="4"/>
        </w:numPr>
        <w:spacing w:line="360" w:lineRule="auto"/>
        <w:ind w:right="-63" w:rightChars="-30"/>
      </w:pPr>
      <w:r>
        <w:rPr>
          <w:rFonts w:hint="eastAsia" w:asciiTheme="minorEastAsia" w:hAnsiTheme="minorEastAsia" w:eastAsiaTheme="minorEastAsia" w:cstheme="minorEastAsia"/>
          <w:bCs/>
        </w:rPr>
        <w:t xml:space="preserve">  </w:t>
      </w:r>
      <w:bookmarkStart w:id="5" w:name="_Toc24751"/>
      <w:bookmarkStart w:id="6" w:name="_Toc23622"/>
      <w:r>
        <w:rPr>
          <w:rFonts w:hint="eastAsia" w:asciiTheme="minorEastAsia" w:hAnsiTheme="minorEastAsia" w:eastAsiaTheme="minorEastAsia" w:cstheme="minorEastAsia"/>
          <w:bCs/>
        </w:rPr>
        <w:t>招标公告</w:t>
      </w:r>
      <w:bookmarkEnd w:id="5"/>
      <w:bookmarkEnd w:id="6"/>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博爱县机关综合办公楼改造中央空调机组采购项目</w:t>
      </w:r>
    </w:p>
    <w:tbl>
      <w:tblPr>
        <w:tblStyle w:val="26"/>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5"/>
              <w:spacing w:line="440" w:lineRule="exact"/>
              <w:ind w:firstLine="480"/>
              <w:rPr>
                <w:rFonts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博爱县机关综合办公楼改造中央空调机组采购项目</w:t>
            </w:r>
            <w:r>
              <w:rPr>
                <w:rFonts w:hint="eastAsia" w:ascii="宋体" w:hAnsi="宋体" w:cs="宋体"/>
                <w:sz w:val="24"/>
                <w:highlight w:val="none"/>
              </w:rPr>
              <w:t>的潜在供应商应在焦作市公共资源交易中心网站获取采购文件，并于</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u w:val="single"/>
              </w:rPr>
              <w:t>日上午</w:t>
            </w:r>
            <w:r>
              <w:rPr>
                <w:rFonts w:hint="eastAsia" w:ascii="宋体" w:hAnsi="宋体" w:cs="宋体"/>
                <w:kern w:val="0"/>
                <w:sz w:val="24"/>
                <w:highlight w:val="none"/>
                <w:u w:val="single"/>
                <w:lang w:val="en-US" w:eastAsia="zh-CN"/>
              </w:rPr>
              <w:t>9</w:t>
            </w:r>
            <w:r>
              <w:rPr>
                <w:rFonts w:hint="eastAsia" w:ascii="宋体" w:hAnsi="宋体" w:cs="宋体"/>
                <w:kern w:val="0"/>
                <w:sz w:val="24"/>
                <w:highlight w:val="none"/>
                <w:u w:val="single"/>
              </w:rPr>
              <w:t>点00分</w:t>
            </w:r>
            <w:r>
              <w:rPr>
                <w:rFonts w:hint="eastAsia" w:ascii="宋体" w:hAnsi="宋体" w:cs="宋体"/>
                <w:sz w:val="24"/>
                <w:highlight w:val="none"/>
                <w:u w:val="single"/>
              </w:rPr>
              <w:t>（北京时间）</w:t>
            </w:r>
            <w:r>
              <w:rPr>
                <w:rFonts w:hint="eastAsia" w:ascii="宋体" w:hAnsi="宋体" w:cs="宋体"/>
                <w:sz w:val="24"/>
                <w:highlight w:val="none"/>
              </w:rPr>
              <w:t>前提交响应文件。</w:t>
            </w:r>
          </w:p>
        </w:tc>
      </w:tr>
    </w:tbl>
    <w:p>
      <w:pPr>
        <w:pStyle w:val="50"/>
        <w:spacing w:line="440" w:lineRule="exact"/>
        <w:ind w:left="0" w:firstLine="0"/>
        <w:rPr>
          <w:b/>
          <w:bCs/>
          <w:sz w:val="24"/>
          <w:highlight w:val="none"/>
          <w:lang w:eastAsia="zh-CN"/>
        </w:rPr>
      </w:pPr>
      <w:r>
        <w:rPr>
          <w:rFonts w:hint="eastAsia"/>
          <w:b/>
          <w:bCs/>
          <w:sz w:val="24"/>
          <w:highlight w:val="none"/>
          <w:lang w:eastAsia="zh-CN"/>
        </w:rPr>
        <w:t>一、项目基本情况</w:t>
      </w:r>
    </w:p>
    <w:p>
      <w:pPr>
        <w:pStyle w:val="50"/>
        <w:spacing w:line="440" w:lineRule="exact"/>
        <w:ind w:left="0" w:firstLine="480" w:firstLineChars="200"/>
        <w:rPr>
          <w:rFonts w:hint="default"/>
          <w:sz w:val="24"/>
          <w:highlight w:val="none"/>
          <w:lang w:val="en-US" w:eastAsia="zh-CN"/>
        </w:rPr>
      </w:pPr>
      <w:r>
        <w:rPr>
          <w:rFonts w:hint="eastAsia"/>
          <w:sz w:val="24"/>
          <w:highlight w:val="none"/>
          <w:lang w:val="en-US" w:eastAsia="zh-CN"/>
        </w:rPr>
        <w:t>1.采购编号：</w:t>
      </w:r>
      <w:r>
        <w:rPr>
          <w:rFonts w:hint="eastAsia" w:asciiTheme="minorEastAsia" w:hAnsiTheme="minorEastAsia" w:eastAsiaTheme="minorEastAsia" w:cstheme="minorEastAsia"/>
          <w:sz w:val="24"/>
          <w:szCs w:val="24"/>
          <w:highlight w:val="none"/>
        </w:rPr>
        <w:t>博政采购（202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号</w:t>
      </w:r>
    </w:p>
    <w:p>
      <w:pPr>
        <w:pStyle w:val="50"/>
        <w:spacing w:line="440" w:lineRule="exact"/>
        <w:ind w:left="0" w:firstLine="480" w:firstLineChars="200"/>
        <w:rPr>
          <w:sz w:val="24"/>
          <w:highlight w:val="none"/>
          <w:lang w:eastAsia="zh-CN"/>
        </w:rPr>
      </w:pPr>
      <w:r>
        <w:rPr>
          <w:rFonts w:hint="eastAsia"/>
          <w:sz w:val="24"/>
          <w:highlight w:val="none"/>
          <w:lang w:val="en-US" w:eastAsia="zh-CN"/>
        </w:rPr>
        <w:t>2.</w:t>
      </w:r>
      <w:r>
        <w:rPr>
          <w:rFonts w:hint="eastAsia"/>
          <w:sz w:val="24"/>
          <w:highlight w:val="none"/>
          <w:lang w:eastAsia="zh-CN"/>
        </w:rPr>
        <w:t>项目名称：博爱县机关综合办公楼改造中央空调机组采购项目</w:t>
      </w:r>
    </w:p>
    <w:p>
      <w:pPr>
        <w:pStyle w:val="50"/>
        <w:spacing w:line="440" w:lineRule="exact"/>
        <w:ind w:left="0" w:firstLine="480" w:firstLineChars="200"/>
        <w:rPr>
          <w:sz w:val="24"/>
          <w:highlight w:val="none"/>
          <w:lang w:eastAsia="zh-CN"/>
        </w:rPr>
      </w:pPr>
      <w:r>
        <w:rPr>
          <w:rFonts w:hint="eastAsia"/>
          <w:sz w:val="24"/>
          <w:highlight w:val="none"/>
          <w:lang w:val="en-US" w:eastAsia="zh-CN"/>
        </w:rPr>
        <w:t>3.</w:t>
      </w:r>
      <w:r>
        <w:rPr>
          <w:rFonts w:hint="eastAsia"/>
          <w:sz w:val="24"/>
          <w:highlight w:val="none"/>
          <w:lang w:eastAsia="zh-CN"/>
        </w:rPr>
        <w:t>采购方式：公开招标</w:t>
      </w:r>
    </w:p>
    <w:p>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预算金额：</w:t>
      </w:r>
      <w:r>
        <w:rPr>
          <w:rFonts w:hint="eastAsia" w:ascii="宋体" w:hAnsi="宋体" w:cs="宋体"/>
          <w:kern w:val="0"/>
          <w:sz w:val="24"/>
          <w:highlight w:val="none"/>
          <w:lang w:val="en-US" w:eastAsia="zh-CN"/>
        </w:rPr>
        <w:t>3180000.00</w:t>
      </w:r>
      <w:r>
        <w:rPr>
          <w:rFonts w:hint="eastAsia" w:ascii="宋体" w:hAnsi="宋体" w:cs="宋体"/>
          <w:kern w:val="0"/>
          <w:sz w:val="24"/>
          <w:highlight w:val="none"/>
        </w:rPr>
        <w:t>元。</w:t>
      </w:r>
    </w:p>
    <w:p>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最高限价：</w:t>
      </w:r>
      <w:r>
        <w:rPr>
          <w:rFonts w:hint="eastAsia" w:ascii="宋体" w:hAnsi="宋体" w:cs="宋体"/>
          <w:kern w:val="0"/>
          <w:sz w:val="24"/>
          <w:highlight w:val="none"/>
          <w:lang w:val="en-US" w:eastAsia="zh-CN"/>
        </w:rPr>
        <w:t>3180000.00</w:t>
      </w:r>
      <w:r>
        <w:rPr>
          <w:rFonts w:hint="eastAsia" w:ascii="宋体" w:hAnsi="宋体" w:cs="宋体"/>
          <w:kern w:val="0"/>
          <w:sz w:val="24"/>
          <w:highlight w:val="none"/>
        </w:rPr>
        <w:t>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019"/>
        <w:gridCol w:w="2546"/>
        <w:gridCol w:w="178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019" w:type="dxa"/>
          </w:tcPr>
          <w:p>
            <w:pPr>
              <w:widowControl/>
              <w:spacing w:line="44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包号</w:t>
            </w:r>
          </w:p>
        </w:tc>
        <w:tc>
          <w:tcPr>
            <w:tcW w:w="2546" w:type="dxa"/>
          </w:tcPr>
          <w:p>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包名称</w:t>
            </w:r>
          </w:p>
        </w:tc>
        <w:tc>
          <w:tcPr>
            <w:tcW w:w="1789" w:type="dxa"/>
          </w:tcPr>
          <w:p>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包预算</w:t>
            </w:r>
          </w:p>
          <w:p>
            <w:pPr>
              <w:widowControl/>
              <w:spacing w:line="440" w:lineRule="exact"/>
              <w:ind w:firstLine="480" w:firstLineChars="200"/>
              <w:jc w:val="left"/>
              <w:rPr>
                <w:rFonts w:hint="default"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（元）</w:t>
            </w:r>
          </w:p>
          <w:p>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p>
        </w:tc>
        <w:tc>
          <w:tcPr>
            <w:tcW w:w="1723" w:type="dxa"/>
          </w:tcPr>
          <w:p>
            <w:pPr>
              <w:widowControl/>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包最高限价</w:t>
            </w:r>
          </w:p>
          <w:p>
            <w:pPr>
              <w:widowControl/>
              <w:spacing w:line="440" w:lineRule="exact"/>
              <w:ind w:firstLine="480" w:firstLineChars="200"/>
              <w:jc w:val="left"/>
              <w:rPr>
                <w:rFonts w:hint="default"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（元）</w:t>
            </w:r>
          </w:p>
          <w:p>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widowControl/>
              <w:spacing w:line="44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2019" w:type="dxa"/>
          </w:tcPr>
          <w:p>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博政采购（202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号</w:t>
            </w:r>
          </w:p>
        </w:tc>
        <w:tc>
          <w:tcPr>
            <w:tcW w:w="2546" w:type="dxa"/>
          </w:tcPr>
          <w:p>
            <w:pPr>
              <w:widowControl/>
              <w:spacing w:line="440" w:lineRule="exact"/>
              <w:jc w:val="left"/>
              <w:rPr>
                <w:rFonts w:hint="eastAsia" w:asciiTheme="minorEastAsia" w:hAnsiTheme="minorEastAsia" w:eastAsiaTheme="minorEastAsia" w:cstheme="minorEastAsia"/>
                <w:sz w:val="24"/>
                <w:szCs w:val="24"/>
                <w:highlight w:val="none"/>
              </w:rPr>
            </w:pPr>
            <w:r>
              <w:rPr>
                <w:rFonts w:hint="eastAsia"/>
                <w:sz w:val="24"/>
                <w:highlight w:val="none"/>
                <w:lang w:eastAsia="zh-CN"/>
              </w:rPr>
              <w:t>博爱县机关综合办公楼改造中央空调机组采购项目</w:t>
            </w:r>
          </w:p>
        </w:tc>
        <w:tc>
          <w:tcPr>
            <w:tcW w:w="1789" w:type="dxa"/>
          </w:tcPr>
          <w:p>
            <w:pPr>
              <w:widowControl/>
              <w:spacing w:line="440" w:lineRule="exact"/>
              <w:jc w:val="left"/>
              <w:rPr>
                <w:rFonts w:hint="eastAsia" w:asciiTheme="minorEastAsia" w:hAnsiTheme="minorEastAsia" w:eastAsiaTheme="minorEastAsia" w:cstheme="minorEastAsia"/>
                <w:sz w:val="24"/>
                <w:szCs w:val="24"/>
                <w:highlight w:val="none"/>
              </w:rPr>
            </w:pPr>
            <w:r>
              <w:rPr>
                <w:rFonts w:hint="eastAsia" w:ascii="宋体" w:hAnsi="宋体" w:cs="宋体"/>
                <w:kern w:val="0"/>
                <w:sz w:val="24"/>
                <w:highlight w:val="none"/>
                <w:lang w:val="en-US" w:eastAsia="zh-CN"/>
              </w:rPr>
              <w:t>3180000.00</w:t>
            </w:r>
          </w:p>
        </w:tc>
        <w:tc>
          <w:tcPr>
            <w:tcW w:w="1723" w:type="dxa"/>
          </w:tcPr>
          <w:p>
            <w:pPr>
              <w:widowControl/>
              <w:spacing w:line="440" w:lineRule="exact"/>
              <w:jc w:val="left"/>
              <w:rPr>
                <w:rFonts w:hint="eastAsia" w:asciiTheme="minorEastAsia" w:hAnsiTheme="minorEastAsia" w:eastAsiaTheme="minorEastAsia" w:cstheme="minorEastAsia"/>
                <w:sz w:val="24"/>
                <w:szCs w:val="24"/>
                <w:highlight w:val="none"/>
              </w:rPr>
            </w:pPr>
            <w:r>
              <w:rPr>
                <w:rFonts w:hint="eastAsia" w:ascii="宋体" w:hAnsi="宋体" w:cs="宋体"/>
                <w:kern w:val="0"/>
                <w:sz w:val="24"/>
                <w:highlight w:val="none"/>
                <w:lang w:val="en-US" w:eastAsia="zh-CN"/>
              </w:rPr>
              <w:t>3180000.00</w:t>
            </w:r>
          </w:p>
        </w:tc>
      </w:tr>
    </w:tbl>
    <w:p>
      <w:pPr>
        <w:widowControl/>
        <w:spacing w:line="440" w:lineRule="exact"/>
        <w:jc w:val="left"/>
        <w:rPr>
          <w:rFonts w:hint="eastAsia" w:ascii="宋体" w:hAnsi="宋体" w:cs="宋体"/>
          <w:kern w:val="0"/>
          <w:sz w:val="24"/>
          <w:highlight w:val="none"/>
        </w:rPr>
      </w:pPr>
    </w:p>
    <w:p>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采购内容：</w:t>
      </w:r>
      <w:r>
        <w:rPr>
          <w:rFonts w:hint="eastAsia" w:asciiTheme="minorEastAsia" w:hAnsiTheme="minorEastAsia" w:eastAsiaTheme="minorEastAsia" w:cstheme="minorEastAsia"/>
          <w:sz w:val="24"/>
          <w:szCs w:val="24"/>
          <w:highlight w:val="none"/>
        </w:rPr>
        <w:t>博爱县机关综合办公楼中央空调系统冷热源采用3台直燃机，受能源价格等因素影响，现计划对其中一台进行改造，将其制冷主能源由天然气改变为用电。</w:t>
      </w:r>
      <w:r>
        <w:rPr>
          <w:rFonts w:hint="eastAsia" w:ascii="宋体" w:hAnsi="宋体" w:cs="宋体" w:eastAsiaTheme="minorEastAsia"/>
          <w:kern w:val="0"/>
          <w:sz w:val="24"/>
          <w:highlight w:val="none"/>
          <w:lang w:val="en-US" w:eastAsia="zh-CN"/>
        </w:rPr>
        <w:t>现需采购</w:t>
      </w:r>
      <w:r>
        <w:rPr>
          <w:rFonts w:hint="eastAsia" w:ascii="宋体" w:hAnsi="宋体" w:cs="宋体"/>
          <w:kern w:val="0"/>
          <w:sz w:val="24"/>
          <w:highlight w:val="none"/>
          <w:lang w:val="en-US" w:eastAsia="zh-CN"/>
        </w:rPr>
        <w:t>磁悬浮离心机空调1台，包含改造和安装等</w:t>
      </w:r>
      <w:r>
        <w:rPr>
          <w:rFonts w:hint="eastAsia" w:ascii="宋体" w:hAnsi="宋体" w:cs="宋体"/>
          <w:kern w:val="0"/>
          <w:sz w:val="24"/>
          <w:highlight w:val="none"/>
        </w:rPr>
        <w:t>（详见招标文件）。</w:t>
      </w:r>
    </w:p>
    <w:p>
      <w:pPr>
        <w:widowControl/>
        <w:spacing w:line="440" w:lineRule="exact"/>
        <w:ind w:firstLine="480" w:firstLineChars="200"/>
        <w:jc w:val="left"/>
        <w:rPr>
          <w:rFonts w:ascii="宋体" w:hAnsi="宋体" w:cs="宋体"/>
          <w:color w:val="auto"/>
          <w:kern w:val="0"/>
          <w:sz w:val="24"/>
          <w:highlight w:val="none"/>
        </w:rPr>
      </w:pPr>
      <w:r>
        <w:rPr>
          <w:rFonts w:hint="eastAsia" w:asciiTheme="minorEastAsia" w:hAnsiTheme="minorEastAsia" w:eastAsiaTheme="minorEastAsia" w:cstheme="minorEastAsia"/>
          <w:sz w:val="24"/>
          <w:szCs w:val="24"/>
          <w:highlight w:val="none"/>
          <w:lang w:val="en-US" w:eastAsia="zh-CN"/>
        </w:rPr>
        <w:t>6.合同</w:t>
      </w:r>
      <w:r>
        <w:rPr>
          <w:rFonts w:hint="eastAsia" w:cs="宋体"/>
          <w:color w:val="auto"/>
          <w:kern w:val="0"/>
          <w:sz w:val="24"/>
          <w:highlight w:val="none"/>
          <w:lang w:val="en-US" w:eastAsia="zh-CN"/>
        </w:rPr>
        <w:t>履行期限（</w:t>
      </w:r>
      <w:r>
        <w:rPr>
          <w:rFonts w:hint="eastAsia" w:cs="宋体"/>
          <w:color w:val="auto"/>
          <w:kern w:val="0"/>
          <w:sz w:val="24"/>
          <w:highlight w:val="none"/>
        </w:rPr>
        <w:t>供货</w:t>
      </w:r>
      <w:r>
        <w:rPr>
          <w:rFonts w:hint="eastAsia" w:cs="宋体"/>
          <w:color w:val="auto"/>
          <w:kern w:val="0"/>
          <w:sz w:val="24"/>
          <w:highlight w:val="none"/>
          <w:lang w:val="en-US" w:eastAsia="zh-CN"/>
        </w:rPr>
        <w:t>安装</w:t>
      </w:r>
      <w:r>
        <w:rPr>
          <w:rFonts w:hint="eastAsia" w:cs="宋体"/>
          <w:color w:val="auto"/>
          <w:kern w:val="0"/>
          <w:sz w:val="24"/>
          <w:highlight w:val="none"/>
        </w:rPr>
        <w:t>期</w:t>
      </w:r>
      <w:r>
        <w:rPr>
          <w:rFonts w:hint="eastAsia" w:cs="宋体"/>
          <w:color w:val="auto"/>
          <w:kern w:val="0"/>
          <w:sz w:val="24"/>
          <w:highlight w:val="none"/>
          <w:lang w:eastAsia="zh-CN"/>
        </w:rPr>
        <w:t>）</w:t>
      </w: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90</w:t>
      </w:r>
      <w:r>
        <w:rPr>
          <w:rFonts w:hint="eastAsia" w:ascii="宋体" w:hAnsi="宋体" w:cs="宋体"/>
          <w:color w:val="auto"/>
          <w:kern w:val="0"/>
          <w:sz w:val="24"/>
          <w:highlight w:val="none"/>
        </w:rPr>
        <w:t>日历天</w:t>
      </w:r>
    </w:p>
    <w:p>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val="en-US" w:eastAsia="zh-CN"/>
        </w:rPr>
        <w:t>.</w:t>
      </w:r>
      <w:r>
        <w:rPr>
          <w:rFonts w:hint="eastAsia" w:ascii="宋体" w:hAnsi="宋体" w:cs="宋体"/>
          <w:kern w:val="0"/>
          <w:sz w:val="24"/>
          <w:highlight w:val="none"/>
        </w:rPr>
        <w:t>本项目是否接受联合体投标：否</w:t>
      </w:r>
    </w:p>
    <w:p>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8</w:t>
      </w:r>
      <w:r>
        <w:rPr>
          <w:rFonts w:hint="eastAsia" w:ascii="宋体" w:hAnsi="宋体" w:cs="宋体"/>
          <w:kern w:val="0"/>
          <w:sz w:val="24"/>
          <w:highlight w:val="none"/>
          <w:lang w:val="en-US" w:eastAsia="zh-CN"/>
        </w:rPr>
        <w:t>.</w:t>
      </w:r>
      <w:r>
        <w:rPr>
          <w:rFonts w:hint="eastAsia" w:ascii="宋体" w:hAnsi="宋体" w:cs="宋体"/>
          <w:kern w:val="0"/>
          <w:sz w:val="24"/>
          <w:highlight w:val="none"/>
        </w:rPr>
        <w:t>是否接受进口产品：否</w:t>
      </w:r>
    </w:p>
    <w:p>
      <w:pPr>
        <w:widowControl/>
        <w:spacing w:line="440" w:lineRule="exact"/>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9</w:t>
      </w:r>
      <w:r>
        <w:rPr>
          <w:rFonts w:hint="eastAsia" w:ascii="宋体" w:hAnsi="宋体" w:cs="宋体"/>
          <w:kern w:val="0"/>
          <w:sz w:val="24"/>
          <w:highlight w:val="none"/>
          <w:lang w:val="en-US" w:eastAsia="zh-CN"/>
        </w:rPr>
        <w:t>.</w:t>
      </w:r>
      <w:r>
        <w:rPr>
          <w:rFonts w:hint="eastAsia" w:ascii="宋体" w:hAnsi="宋体" w:cs="宋体"/>
          <w:kern w:val="0"/>
          <w:sz w:val="24"/>
          <w:highlight w:val="none"/>
        </w:rPr>
        <w:t>是否专门面向中小企业：</w:t>
      </w:r>
      <w:r>
        <w:rPr>
          <w:rFonts w:hint="eastAsia" w:ascii="宋体" w:hAnsi="宋体" w:cs="宋体"/>
          <w:kern w:val="0"/>
          <w:sz w:val="24"/>
          <w:highlight w:val="none"/>
          <w:lang w:val="en-US" w:eastAsia="zh-CN"/>
        </w:rPr>
        <w:t>否</w:t>
      </w:r>
    </w:p>
    <w:p>
      <w:pPr>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1</w:t>
      </w:r>
      <w:r>
        <w:rPr>
          <w:rFonts w:hint="eastAsia" w:ascii="宋体" w:hAnsi="宋体" w:cs="宋体"/>
          <w:sz w:val="24"/>
          <w:highlight w:val="none"/>
          <w:shd w:val="clear" w:color="auto" w:fill="FFFFFF"/>
          <w:lang w:val="en-US" w:eastAsia="zh-CN"/>
        </w:rPr>
        <w:t>.</w:t>
      </w:r>
      <w:r>
        <w:rPr>
          <w:rFonts w:hint="eastAsia" w:ascii="宋体" w:hAnsi="宋体" w:cs="宋体"/>
          <w:sz w:val="24"/>
          <w:highlight w:val="none"/>
          <w:shd w:val="clear" w:color="auto" w:fill="FFFFFF"/>
        </w:rPr>
        <w:t>符合《中华人民共和国政府采购法》第二十二条之规定；</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val="en-US" w:eastAsia="zh-CN"/>
        </w:rPr>
        <w:t>.</w:t>
      </w:r>
      <w:r>
        <w:rPr>
          <w:rFonts w:hint="eastAsia" w:ascii="宋体" w:hAnsi="宋体" w:cs="宋体"/>
          <w:sz w:val="24"/>
          <w:highlight w:val="none"/>
          <w:shd w:val="clear" w:color="auto" w:fill="FFFFFF"/>
        </w:rPr>
        <w:t>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宋体"/>
          <w:sz w:val="24"/>
          <w:highlight w:val="none"/>
          <w:shd w:val="clear" w:color="auto" w:fill="FFFFFF"/>
          <w:lang w:val="en-US" w:eastAsia="zh-CN"/>
        </w:rPr>
        <w:t>.</w:t>
      </w:r>
      <w:r>
        <w:rPr>
          <w:rFonts w:hint="eastAsia" w:ascii="宋体" w:hAnsi="宋体" w:cs="宋体"/>
          <w:sz w:val="24"/>
          <w:highlight w:val="none"/>
          <w:shd w:val="clear" w:color="auto" w:fill="FFFFFF"/>
        </w:rPr>
        <w:t>本项目的特定资格要求：</w:t>
      </w:r>
    </w:p>
    <w:p>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3.1供应商须具备机电工程施工总承包三级及以上或建筑机电安装工程专业承包三级及以上资质；具备有效期范围内的企业营业执照（副本）、安全生产许可证（副本），并在人员、设备、资金等方面具有相应的施工能力；</w:t>
      </w:r>
    </w:p>
    <w:p>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3.2供应商拟派项目经理须具备机电工程专业二级及以上注册建造师资格，具有有效期内安全生产考核合格证书（B证），且未担任其他在建项目（提供项目经理近6个月社保证明；提供无在建项目承诺函，格式自拟）。</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本项目不接受联合体投标；</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宋体"/>
          <w:sz w:val="24"/>
          <w:highlight w:val="none"/>
          <w:shd w:val="clear" w:color="auto" w:fill="FFFFFF"/>
          <w:lang w:val="en-US" w:eastAsia="zh-CN"/>
        </w:rPr>
        <w:t>5</w:t>
      </w:r>
      <w:r>
        <w:rPr>
          <w:rFonts w:hint="eastAsia" w:ascii="宋体" w:hAnsi="宋体" w:cs="宋体"/>
          <w:sz w:val="24"/>
          <w:highlight w:val="none"/>
          <w:shd w:val="clear" w:color="auto" w:fill="FFFFFF"/>
        </w:rPr>
        <w:t>资格审查方式：资格后审。</w:t>
      </w:r>
    </w:p>
    <w:p>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三、获取采购文件</w:t>
      </w:r>
    </w:p>
    <w:p>
      <w:pPr>
        <w:pStyle w:val="23"/>
        <w:shd w:val="clear" w:color="auto" w:fill="FFFFFF"/>
        <w:autoSpaceDE w:val="0"/>
        <w:spacing w:before="0" w:beforeAutospacing="0" w:after="0" w:afterAutospacing="0" w:line="440" w:lineRule="atLeast"/>
        <w:ind w:firstLine="480" w:firstLineChars="200"/>
        <w:rPr>
          <w:highlight w:val="none"/>
        </w:rPr>
      </w:pPr>
      <w:r>
        <w:rPr>
          <w:rFonts w:hint="eastAsia"/>
          <w:highlight w:val="none"/>
        </w:rPr>
        <w:t>1.时间：</w:t>
      </w:r>
      <w:r>
        <w:rPr>
          <w:rFonts w:hint="eastAsia"/>
          <w:highlight w:val="none"/>
          <w:u w:val="single"/>
        </w:rPr>
        <w:t>202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u w:val="single"/>
          <w:lang w:val="en-US" w:eastAsia="zh-CN"/>
        </w:rPr>
        <w:t>24</w:t>
      </w:r>
      <w:r>
        <w:rPr>
          <w:rFonts w:hint="eastAsia"/>
          <w:highlight w:val="none"/>
          <w:u w:val="single"/>
        </w:rPr>
        <w:t>日至202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u w:val="single"/>
          <w:lang w:val="en-US" w:eastAsia="zh-CN"/>
        </w:rPr>
        <w:t>30</w:t>
      </w:r>
      <w:r>
        <w:rPr>
          <w:rFonts w:hint="eastAsia"/>
          <w:highlight w:val="none"/>
          <w:u w:val="single"/>
        </w:rPr>
        <w:t>日（北京时间）</w:t>
      </w:r>
      <w:r>
        <w:rPr>
          <w:rFonts w:hint="eastAsia"/>
          <w:highlight w:val="none"/>
        </w:rPr>
        <w:t>；</w:t>
      </w:r>
    </w:p>
    <w:p>
      <w:pPr>
        <w:pStyle w:val="23"/>
        <w:shd w:val="clear" w:color="auto" w:fill="FFFFFF"/>
        <w:autoSpaceDE w:val="0"/>
        <w:spacing w:before="0" w:beforeAutospacing="0" w:after="0" w:afterAutospacing="0" w:line="440" w:lineRule="atLeast"/>
        <w:ind w:firstLine="480" w:firstLineChars="200"/>
        <w:rPr>
          <w:highlight w:val="none"/>
        </w:rPr>
      </w:pPr>
      <w:r>
        <w:rPr>
          <w:rFonts w:hint="eastAsia"/>
          <w:highlight w:val="none"/>
        </w:rPr>
        <w:t>2.地点：</w:t>
      </w:r>
      <w:r>
        <w:rPr>
          <w:rFonts w:hint="eastAsia"/>
          <w:highlight w:val="none"/>
          <w:shd w:val="clear" w:color="auto" w:fill="FFFFFF"/>
        </w:rPr>
        <w:t>凡有意参加投标者，请登录焦作市公共资源交易中心网站会员系统进行网上下载。（联系电话：0391-3568920，QQ：232850725、361532918（群）；</w:t>
      </w:r>
    </w:p>
    <w:p>
      <w:pPr>
        <w:pStyle w:val="23"/>
        <w:shd w:val="clear" w:color="auto" w:fill="FFFFFF"/>
        <w:autoSpaceDE w:val="0"/>
        <w:spacing w:before="0" w:beforeAutospacing="0" w:after="0" w:afterAutospacing="0" w:line="440" w:lineRule="atLeast"/>
        <w:rPr>
          <w:highlight w:val="none"/>
        </w:rPr>
      </w:pPr>
      <w:r>
        <w:rPr>
          <w:rFonts w:hint="eastAsia"/>
          <w:highlight w:val="none"/>
        </w:rPr>
        <w:t>  3.方式：网上下载；</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四、响应文件提交</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1.截止时间：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u w:val="single"/>
        </w:rPr>
        <w:t>日上午</w:t>
      </w:r>
      <w:r>
        <w:rPr>
          <w:rFonts w:hint="eastAsia" w:ascii="宋体" w:hAnsi="宋体" w:cs="宋体"/>
          <w:kern w:val="0"/>
          <w:sz w:val="24"/>
          <w:highlight w:val="none"/>
          <w:u w:val="single"/>
          <w:lang w:val="en-US" w:eastAsia="zh-CN"/>
        </w:rPr>
        <w:t>9</w:t>
      </w:r>
      <w:r>
        <w:rPr>
          <w:rFonts w:hint="eastAsia" w:ascii="宋体" w:hAnsi="宋体" w:cs="宋体"/>
          <w:kern w:val="0"/>
          <w:sz w:val="24"/>
          <w:highlight w:val="none"/>
          <w:u w:val="single"/>
        </w:rPr>
        <w:t>点00分（北京时间）</w:t>
      </w:r>
      <w:r>
        <w:rPr>
          <w:rFonts w:hint="eastAsia" w:ascii="宋体" w:hAnsi="宋体" w:cs="宋体"/>
          <w:kern w:val="0"/>
          <w:sz w:val="24"/>
          <w:highlight w:val="none"/>
        </w:rPr>
        <w:t>；</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2.地点：博爱县公共资源交易中心二楼不见面开标二室；</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五、开启</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u w:val="single"/>
        </w:rPr>
        <w:t>日上午</w:t>
      </w:r>
      <w:r>
        <w:rPr>
          <w:rFonts w:hint="eastAsia" w:ascii="宋体" w:hAnsi="宋体" w:cs="宋体"/>
          <w:kern w:val="0"/>
          <w:sz w:val="24"/>
          <w:highlight w:val="none"/>
          <w:u w:val="single"/>
          <w:lang w:val="en-US" w:eastAsia="zh-CN"/>
        </w:rPr>
        <w:t>9</w:t>
      </w:r>
      <w:r>
        <w:rPr>
          <w:rFonts w:hint="eastAsia" w:ascii="宋体" w:hAnsi="宋体" w:cs="宋体"/>
          <w:kern w:val="0"/>
          <w:sz w:val="24"/>
          <w:highlight w:val="none"/>
          <w:u w:val="single"/>
        </w:rPr>
        <w:t>点00分（北京时间）</w:t>
      </w:r>
      <w:r>
        <w:rPr>
          <w:rFonts w:hint="eastAsia" w:ascii="宋体" w:hAnsi="宋体" w:cs="宋体"/>
          <w:kern w:val="0"/>
          <w:sz w:val="24"/>
          <w:highlight w:val="none"/>
        </w:rPr>
        <w:t>；</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2.地点：博爱县公共资源交易中心二楼不见面开标二室；</w:t>
      </w:r>
    </w:p>
    <w:p>
      <w:pPr>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六、公告期限</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sz w:val="24"/>
          <w:highlight w:val="none"/>
        </w:rPr>
        <w:t>自本公告发布之</w:t>
      </w:r>
      <w:r>
        <w:rPr>
          <w:rFonts w:hint="eastAsia" w:ascii="宋体" w:hAnsi="宋体" w:cs="宋体"/>
          <w:kern w:val="0"/>
          <w:sz w:val="24"/>
          <w:highlight w:val="none"/>
        </w:rPr>
        <w:t>日起5个工作日。</w:t>
      </w:r>
    </w:p>
    <w:p>
      <w:pPr>
        <w:pStyle w:val="23"/>
        <w:numPr>
          <w:ilvl w:val="0"/>
          <w:numId w:val="5"/>
        </w:numPr>
        <w:shd w:val="clear" w:color="auto" w:fill="FFFFFF"/>
        <w:autoSpaceDE w:val="0"/>
        <w:spacing w:before="0" w:beforeAutospacing="0" w:after="0" w:afterAutospacing="0" w:line="440" w:lineRule="exact"/>
        <w:rPr>
          <w:b/>
          <w:highlight w:val="none"/>
          <w:shd w:val="clear" w:color="auto" w:fill="FFFFFF"/>
        </w:rPr>
      </w:pPr>
      <w:r>
        <w:rPr>
          <w:rFonts w:hint="eastAsia"/>
          <w:b/>
          <w:highlight w:val="none"/>
          <w:shd w:val="clear" w:color="auto" w:fill="FFFFFF"/>
        </w:rPr>
        <w:t>其他补充事宜</w:t>
      </w:r>
    </w:p>
    <w:p>
      <w:pPr>
        <w:pStyle w:val="23"/>
        <w:shd w:val="clear" w:color="auto" w:fill="FFFFFF"/>
        <w:autoSpaceDE w:val="0"/>
        <w:spacing w:before="0" w:beforeAutospacing="0" w:after="0" w:afterAutospacing="0" w:line="440" w:lineRule="exact"/>
        <w:ind w:firstLine="480" w:firstLineChars="200"/>
        <w:rPr>
          <w:highlight w:val="none"/>
          <w:shd w:val="clear" w:color="auto" w:fill="FFFFFF"/>
        </w:rPr>
      </w:pPr>
      <w:r>
        <w:rPr>
          <w:rFonts w:hint="eastAsia"/>
          <w:highlight w:val="none"/>
          <w:shd w:val="clear" w:color="auto" w:fill="FFFFFF"/>
        </w:rPr>
        <w:t>1.本次本公告在《中国招标投标公共服务平台》</w:t>
      </w:r>
      <w:r>
        <w:rPr>
          <w:rFonts w:hint="eastAsia"/>
          <w:highlight w:val="none"/>
          <w:shd w:val="clear" w:color="auto" w:fill="FFFFFF"/>
          <w:lang w:eastAsia="zh-CN"/>
        </w:rPr>
        <w:t>、</w:t>
      </w:r>
      <w:r>
        <w:rPr>
          <w:rFonts w:hint="eastAsia"/>
          <w:highlight w:val="none"/>
          <w:shd w:val="clear" w:color="auto" w:fill="FFFFFF"/>
        </w:rPr>
        <w:t>《河南省政府采购网》</w:t>
      </w:r>
      <w:r>
        <w:rPr>
          <w:rFonts w:hint="eastAsia"/>
          <w:highlight w:val="none"/>
          <w:shd w:val="clear" w:color="auto" w:fill="FFFFFF"/>
          <w:lang w:eastAsia="zh-CN"/>
        </w:rPr>
        <w:t>、</w:t>
      </w:r>
      <w:r>
        <w:rPr>
          <w:rFonts w:hint="eastAsia"/>
          <w:highlight w:val="none"/>
          <w:shd w:val="clear" w:color="auto" w:fill="FFFFFF"/>
        </w:rPr>
        <w:t>《焦作市政府采购网》</w:t>
      </w:r>
      <w:r>
        <w:rPr>
          <w:rFonts w:hint="eastAsia"/>
          <w:highlight w:val="none"/>
          <w:shd w:val="clear" w:color="auto" w:fill="FFFFFF"/>
          <w:lang w:eastAsia="zh-CN"/>
        </w:rPr>
        <w:t>、</w:t>
      </w:r>
      <w:r>
        <w:rPr>
          <w:rFonts w:hint="eastAsia"/>
          <w:highlight w:val="none"/>
          <w:shd w:val="clear" w:color="auto" w:fill="FFFFFF"/>
        </w:rPr>
        <w:t>《焦作市公共资源交易中心网》</w:t>
      </w:r>
      <w:r>
        <w:rPr>
          <w:rFonts w:hint="eastAsia"/>
          <w:highlight w:val="none"/>
          <w:shd w:val="clear" w:color="auto" w:fill="FFFFFF"/>
          <w:lang w:eastAsia="zh-CN"/>
        </w:rPr>
        <w:t>、</w:t>
      </w:r>
      <w:r>
        <w:rPr>
          <w:rFonts w:hint="eastAsia"/>
          <w:highlight w:val="none"/>
          <w:shd w:val="clear" w:color="auto" w:fill="FFFFFF"/>
        </w:rPr>
        <w:t>《博爱县人民政府网》</w:t>
      </w:r>
      <w:r>
        <w:rPr>
          <w:rFonts w:hint="eastAsia"/>
          <w:highlight w:val="none"/>
          <w:shd w:val="clear" w:color="auto" w:fill="FFFFFF"/>
          <w:lang w:eastAsia="zh-CN"/>
        </w:rPr>
        <w:t>、</w:t>
      </w:r>
      <w:r>
        <w:rPr>
          <w:rFonts w:hint="eastAsia"/>
          <w:highlight w:val="none"/>
          <w:shd w:val="clear" w:color="auto" w:fill="FFFFFF"/>
        </w:rPr>
        <w:t>《博爱县公共资源交易中心网》http://www.baxggzyjyzx.cn/上发布。</w:t>
      </w:r>
    </w:p>
    <w:p>
      <w:pPr>
        <w:pStyle w:val="23"/>
        <w:spacing w:beforeAutospacing="0" w:afterAutospacing="0" w:line="440" w:lineRule="exact"/>
        <w:ind w:firstLine="468" w:firstLineChars="195"/>
        <w:jc w:val="both"/>
        <w:rPr>
          <w:highlight w:val="none"/>
        </w:rPr>
      </w:pPr>
      <w:r>
        <w:rPr>
          <w:rFonts w:hint="eastAsia"/>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3"/>
        <w:spacing w:beforeAutospacing="0" w:afterAutospacing="0" w:line="440" w:lineRule="exact"/>
        <w:ind w:firstLine="468" w:firstLineChars="195"/>
        <w:jc w:val="both"/>
        <w:rPr>
          <w:highlight w:val="none"/>
        </w:rPr>
      </w:pPr>
      <w:r>
        <w:rPr>
          <w:rFonts w:hint="eastAsia"/>
          <w:highlight w:val="none"/>
        </w:rPr>
        <w:t>3.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1.采购人信息：</w:t>
      </w:r>
    </w:p>
    <w:p>
      <w:pPr>
        <w:widowControl/>
        <w:spacing w:line="440" w:lineRule="exact"/>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采购人：</w:t>
      </w:r>
      <w:r>
        <w:rPr>
          <w:rFonts w:hint="eastAsia" w:ascii="宋体" w:hAnsi="宋体" w:cs="宋体"/>
          <w:kern w:val="0"/>
          <w:sz w:val="24"/>
          <w:highlight w:val="none"/>
          <w:lang w:eastAsia="zh-CN"/>
        </w:rPr>
        <w:t>博爱县机关事务中心</w:t>
      </w:r>
    </w:p>
    <w:p>
      <w:pPr>
        <w:adjustRightInd w:val="0"/>
        <w:snapToGrid w:val="0"/>
        <w:spacing w:line="44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地址：博爱县发展大道188号机关办公楼东配楼</w:t>
      </w:r>
      <w:r>
        <w:rPr>
          <w:rFonts w:hint="eastAsia" w:ascii="宋体" w:hAnsi="宋体" w:cs="宋体"/>
          <w:kern w:val="0"/>
          <w:sz w:val="24"/>
          <w:highlight w:val="none"/>
          <w:lang w:val="en-US" w:eastAsia="zh-CN"/>
        </w:rPr>
        <w:t xml:space="preserve"> </w:t>
      </w:r>
    </w:p>
    <w:p>
      <w:pPr>
        <w:adjustRightInd w:val="0"/>
        <w:snapToGrid w:val="0"/>
        <w:spacing w:line="440" w:lineRule="exact"/>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联系人：</w:t>
      </w:r>
      <w:r>
        <w:rPr>
          <w:rFonts w:hint="eastAsia" w:ascii="宋体" w:hAnsi="宋体" w:cs="宋体"/>
          <w:kern w:val="0"/>
          <w:sz w:val="24"/>
          <w:highlight w:val="none"/>
          <w:lang w:val="en-US" w:eastAsia="zh-CN"/>
        </w:rPr>
        <w:t>王先生</w:t>
      </w:r>
    </w:p>
    <w:p>
      <w:pPr>
        <w:adjustRightInd w:val="0"/>
        <w:snapToGrid w:val="0"/>
        <w:spacing w:line="440" w:lineRule="exact"/>
        <w:ind w:firstLine="480" w:firstLineChars="200"/>
        <w:rPr>
          <w:rFonts w:hint="default" w:ascii="宋体" w:hAnsi="宋体" w:eastAsia="宋体" w:cs="宋体"/>
          <w:sz w:val="24"/>
          <w:highlight w:val="none"/>
          <w:lang w:val="en-US" w:eastAsia="zh-CN"/>
        </w:rPr>
      </w:pPr>
      <w:r>
        <w:rPr>
          <w:rFonts w:hint="eastAsia" w:ascii="宋体" w:hAnsi="宋体" w:cs="宋体"/>
          <w:kern w:val="0"/>
          <w:sz w:val="24"/>
          <w:highlight w:val="none"/>
        </w:rPr>
        <w:t>电话：13939133219</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2.采购代理机构信息：</w:t>
      </w:r>
    </w:p>
    <w:p>
      <w:pPr>
        <w:adjustRightInd w:val="0"/>
        <w:snapToGrid w:val="0"/>
        <w:spacing w:line="44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河南古基工程管理有限公司</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地址：河南省安阳市汤阴县城关镇集贤路15号院</w:t>
      </w:r>
    </w:p>
    <w:p>
      <w:pPr>
        <w:adjustRightInd w:val="0"/>
        <w:snapToGrid w:val="0"/>
        <w:spacing w:line="44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联系人：王</w:t>
      </w:r>
      <w:r>
        <w:rPr>
          <w:rFonts w:hint="eastAsia" w:ascii="宋体" w:hAnsi="宋体" w:cs="宋体"/>
          <w:kern w:val="0"/>
          <w:sz w:val="24"/>
          <w:highlight w:val="none"/>
          <w:lang w:val="en-US" w:eastAsia="zh-CN"/>
        </w:rPr>
        <w:t>先生</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电话：13137209872</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3.项目联系方式</w:t>
      </w:r>
      <w:r>
        <w:rPr>
          <w:rFonts w:hint="eastAsia" w:ascii="宋体" w:hAnsi="宋体" w:cs="宋体"/>
          <w:sz w:val="24"/>
          <w:highlight w:val="none"/>
        </w:rPr>
        <w:tab/>
      </w:r>
    </w:p>
    <w:p>
      <w:pPr>
        <w:adjustRightInd w:val="0"/>
        <w:snapToGrid w:val="0"/>
        <w:spacing w:line="440" w:lineRule="exact"/>
        <w:ind w:firstLine="480" w:firstLineChars="200"/>
        <w:rPr>
          <w:rFonts w:hint="default" w:ascii="宋体" w:hAnsi="宋体" w:eastAsia="宋体" w:cs="宋体"/>
          <w:kern w:val="0"/>
          <w:sz w:val="24"/>
          <w:highlight w:val="none"/>
          <w:lang w:val="en-US" w:eastAsia="zh-CN"/>
        </w:rPr>
      </w:pPr>
      <w:r>
        <w:rPr>
          <w:rFonts w:hint="eastAsia" w:ascii="宋体" w:hAnsi="宋体" w:cs="宋体"/>
          <w:sz w:val="24"/>
          <w:highlight w:val="none"/>
        </w:rPr>
        <w:t>项目联系人：</w:t>
      </w:r>
      <w:r>
        <w:rPr>
          <w:rFonts w:hint="eastAsia" w:ascii="宋体" w:hAnsi="宋体" w:cs="宋体"/>
          <w:kern w:val="0"/>
          <w:sz w:val="24"/>
          <w:highlight w:val="none"/>
          <w:lang w:val="en-US" w:eastAsia="zh-CN"/>
        </w:rPr>
        <w:t>王先生</w:t>
      </w:r>
    </w:p>
    <w:p>
      <w:pPr>
        <w:adjustRightInd w:val="0"/>
        <w:snapToGrid w:val="0"/>
        <w:spacing w:line="440" w:lineRule="exact"/>
        <w:ind w:firstLine="480" w:firstLineChars="200"/>
        <w:rPr>
          <w:rFonts w:hint="default" w:ascii="宋体" w:hAnsi="宋体" w:eastAsia="宋体" w:cs="宋体"/>
          <w:sz w:val="24"/>
          <w:highlight w:val="none"/>
          <w:lang w:val="en-US" w:eastAsia="zh-CN"/>
        </w:rPr>
      </w:pPr>
      <w:r>
        <w:rPr>
          <w:rFonts w:hint="eastAsia" w:ascii="宋体" w:hAnsi="宋体" w:cs="宋体"/>
          <w:kern w:val="0"/>
          <w:sz w:val="24"/>
          <w:highlight w:val="none"/>
        </w:rPr>
        <w:t>电话：13939133219</w:t>
      </w:r>
    </w:p>
    <w:p>
      <w:pPr>
        <w:widowControl/>
        <w:spacing w:line="440" w:lineRule="exact"/>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hint="eastAsia" w:ascii="宋体" w:hAnsi="宋体" w:eastAsia="宋体" w:cs="宋体"/>
          <w:sz w:val="24"/>
          <w:shd w:val="clear" w:color="auto" w:fill="FFFFFF"/>
          <w:lang w:eastAsia="zh-CN"/>
        </w:rPr>
      </w:pPr>
      <w:r>
        <w:rPr>
          <w:rFonts w:hint="eastAsia" w:ascii="宋体" w:hAnsi="宋体" w:cs="宋体"/>
          <w:sz w:val="24"/>
        </w:rPr>
        <w:t>采购人：</w:t>
      </w:r>
      <w:r>
        <w:rPr>
          <w:rFonts w:hint="eastAsia" w:ascii="宋体" w:hAnsi="宋体" w:cs="宋体"/>
          <w:sz w:val="24"/>
          <w:shd w:val="clear" w:color="auto" w:fill="FFFFFF"/>
          <w:lang w:eastAsia="zh-CN"/>
        </w:rPr>
        <w:t>博爱县机关事务中心</w:t>
      </w:r>
    </w:p>
    <w:p>
      <w:pPr>
        <w:widowControl/>
        <w:spacing w:line="440" w:lineRule="exact"/>
        <w:ind w:left="2940" w:firstLine="420"/>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采购代理机构：</w:t>
      </w:r>
      <w:r>
        <w:rPr>
          <w:rFonts w:hint="eastAsia" w:ascii="宋体" w:hAnsi="宋体" w:cs="宋体"/>
          <w:sz w:val="24"/>
          <w:shd w:val="clear" w:color="auto" w:fill="FFFFFF"/>
          <w:lang w:eastAsia="zh-CN"/>
        </w:rPr>
        <w:t>河南古基工程管理有限公司</w:t>
      </w:r>
    </w:p>
    <w:p>
      <w:pPr>
        <w:widowControl/>
        <w:spacing w:line="440" w:lineRule="exact"/>
        <w:ind w:left="2940" w:firstLine="420"/>
      </w:pPr>
      <w:r>
        <w:rPr>
          <w:rFonts w:hint="eastAsia" w:ascii="宋体" w:hAnsi="宋体" w:cs="宋体"/>
          <w:sz w:val="24"/>
        </w:rPr>
        <w:t>发布时间：202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bookmarkStart w:id="7" w:name="_Toc21974"/>
      <w:bookmarkStart w:id="8" w:name="_Toc27816"/>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7"/>
      <w:bookmarkEnd w:id="8"/>
    </w:p>
    <w:bookmarkEnd w:id="0"/>
    <w:p>
      <w:pPr>
        <w:pStyle w:val="24"/>
        <w:spacing w:before="0" w:after="0" w:line="360" w:lineRule="auto"/>
        <w:ind w:right="-23" w:rightChars="-11"/>
        <w:outlineLvl w:val="1"/>
        <w:rPr>
          <w:rFonts w:asciiTheme="minorEastAsia" w:hAnsiTheme="minorEastAsia" w:eastAsiaTheme="minorEastAsia" w:cstheme="minorEastAsia"/>
          <w:sz w:val="30"/>
          <w:szCs w:val="30"/>
        </w:rPr>
      </w:pPr>
      <w:bookmarkStart w:id="9" w:name="_Toc9161"/>
      <w:bookmarkStart w:id="10" w:name="_Toc426369478"/>
      <w:bookmarkStart w:id="11" w:name="_Toc403122490"/>
      <w:bookmarkStart w:id="12" w:name="_Toc31932"/>
      <w:bookmarkStart w:id="13" w:name="_Toc14655"/>
      <w:bookmarkStart w:id="14" w:name="_Toc32497"/>
      <w:r>
        <w:rPr>
          <w:rFonts w:hint="eastAsia" w:asciiTheme="minorEastAsia" w:hAnsiTheme="minorEastAsia" w:eastAsiaTheme="minorEastAsia" w:cstheme="minorEastAsia"/>
          <w:sz w:val="30"/>
          <w:szCs w:val="30"/>
        </w:rPr>
        <w:t>供应商须知前附表</w:t>
      </w:r>
      <w:bookmarkEnd w:id="9"/>
      <w:bookmarkEnd w:id="10"/>
      <w:bookmarkEnd w:id="11"/>
      <w:bookmarkEnd w:id="12"/>
      <w:bookmarkEnd w:id="13"/>
      <w:bookmarkEnd w:id="14"/>
    </w:p>
    <w:tbl>
      <w:tblPr>
        <w:tblStyle w:val="2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17"/>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17"/>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17"/>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采购人：博爱县机关事务中心</w:t>
            </w:r>
          </w:p>
          <w:p>
            <w:pPr>
              <w:pStyle w:val="17"/>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地址：博爱县发展大道188号机关办公楼东配楼</w:t>
            </w:r>
            <w:r>
              <w:rPr>
                <w:rFonts w:hint="eastAsia" w:asciiTheme="minorEastAsia" w:hAnsiTheme="minorEastAsia" w:eastAsiaTheme="minorEastAsia" w:cstheme="minorEastAsia"/>
                <w:lang w:val="en-US" w:eastAsia="zh-CN"/>
              </w:rPr>
              <w:t xml:space="preserve"> </w:t>
            </w:r>
          </w:p>
          <w:p>
            <w:pPr>
              <w:pStyle w:val="17"/>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联系人：</w:t>
            </w:r>
            <w:r>
              <w:rPr>
                <w:rFonts w:hint="eastAsia" w:asciiTheme="minorEastAsia" w:hAnsiTheme="minorEastAsia" w:eastAsiaTheme="minorEastAsia" w:cstheme="minorEastAsia"/>
                <w:lang w:val="en-US" w:eastAsia="zh-CN"/>
              </w:rPr>
              <w:t>王先生</w:t>
            </w:r>
          </w:p>
          <w:p>
            <w:pPr>
              <w:pStyle w:val="17"/>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电话：13939133219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17"/>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采购代理机构：河南古基工程管理有限公司</w:t>
            </w:r>
          </w:p>
          <w:p>
            <w:pPr>
              <w:pStyle w:val="17"/>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地址：河南省安阳市汤阴县城关镇集贤路15号院</w:t>
            </w:r>
          </w:p>
          <w:p>
            <w:pPr>
              <w:pStyle w:val="17"/>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联系人：王</w:t>
            </w:r>
            <w:r>
              <w:rPr>
                <w:rFonts w:hint="eastAsia" w:asciiTheme="minorEastAsia" w:hAnsiTheme="minorEastAsia" w:eastAsiaTheme="minorEastAsia" w:cstheme="minorEastAsia"/>
                <w:lang w:val="en-US" w:eastAsia="zh-CN"/>
              </w:rPr>
              <w:t>先生</w:t>
            </w:r>
          </w:p>
          <w:p>
            <w:pPr>
              <w:pStyle w:val="17"/>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lang w:eastAsia="zh-CN"/>
              </w:rPr>
              <w:t>电话：13137209872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博爱县机关综合办公楼改造中央空调机组采购项目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17"/>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资金来源</w:t>
            </w:r>
          </w:p>
        </w:tc>
        <w:tc>
          <w:tcPr>
            <w:tcW w:w="6112" w:type="dxa"/>
            <w:vAlign w:val="center"/>
          </w:tcPr>
          <w:p>
            <w:pPr>
              <w:pStyle w:val="17"/>
              <w:spacing w:line="360" w:lineRule="exact"/>
              <w:rPr>
                <w:rFonts w:hint="default" w:asciiTheme="minorEastAsia" w:hAnsiTheme="minorEastAsia" w:eastAsiaTheme="minorEastAsia" w:cstheme="minorEastAsia"/>
                <w:i/>
                <w:iCs/>
                <w:highlight w:val="none"/>
              </w:rPr>
            </w:pPr>
            <w:r>
              <w:rPr>
                <w:rFonts w:hint="default" w:asciiTheme="minorEastAsia" w:hAnsiTheme="minorEastAsia" w:eastAsiaTheme="minorEastAsia" w:cstheme="minorEastAsia"/>
                <w:highlight w:val="none"/>
                <w:lang w:val="en-US" w:eastAsia="zh-CN"/>
              </w:rPr>
              <w:t>财政</w:t>
            </w:r>
            <w:r>
              <w:rPr>
                <w:rFonts w:hint="default" w:asciiTheme="minorEastAsia" w:hAnsiTheme="minorEastAsia" w:eastAsiaTheme="minorEastAsia" w:cstheme="minorEastAsia"/>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bCs/>
                <w:iCs/>
              </w:rPr>
              <w:t>资金落实情况</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pStyle w:val="17"/>
              <w:spacing w:line="360" w:lineRule="exact"/>
              <w:ind w:firstLine="420" w:firstLineChars="200"/>
              <w:rPr>
                <w:rFonts w:hint="default" w:asciiTheme="minorEastAsia" w:hAnsiTheme="minorEastAsia" w:eastAsiaTheme="minorEastAsia" w:cstheme="minorEastAsia"/>
              </w:rPr>
            </w:pPr>
            <w:r>
              <w:rPr>
                <w:rFonts w:asciiTheme="minorEastAsia" w:hAnsiTheme="minorEastAsia" w:eastAsiaTheme="minorEastAsia" w:cstheme="minorEastAsia"/>
                <w:bCs/>
                <w:iCs/>
              </w:rPr>
              <w:t>采购内容</w:t>
            </w:r>
          </w:p>
        </w:tc>
        <w:tc>
          <w:tcPr>
            <w:tcW w:w="6112" w:type="dxa"/>
          </w:tcPr>
          <w:p>
            <w:pPr>
              <w:pStyle w:val="17"/>
              <w:spacing w:line="360" w:lineRule="exact"/>
              <w:rPr>
                <w:rFonts w:hint="default" w:asciiTheme="minorEastAsia" w:hAnsiTheme="minorEastAsia" w:eastAsiaTheme="minorEastAsia" w:cstheme="minorEastAsia"/>
                <w:highlight w:val="yellow"/>
              </w:rPr>
            </w:pPr>
            <w:r>
              <w:rPr>
                <w:rFonts w:hint="default" w:asciiTheme="minorEastAsia" w:hAnsiTheme="minorEastAsia" w:eastAsiaTheme="minorEastAsia" w:cstheme="minorEastAsia"/>
              </w:rPr>
              <w:t>博爱县机关综合办公楼中央空调系统冷热源采用3台直燃机，受能源价格等因素影响，现计划对其中一台进行改造，将其制冷主能源由天然气改变为用电。</w:t>
            </w:r>
            <w:r>
              <w:rPr>
                <w:rFonts w:hint="default" w:asciiTheme="minorEastAsia" w:hAnsiTheme="minorEastAsia" w:eastAsiaTheme="minorEastAsia" w:cstheme="minorEastAsia"/>
                <w:lang w:val="en-US" w:eastAsia="zh-CN"/>
              </w:rPr>
              <w:t>现需采购磁悬浮离心机空调1台，包含改造和安装等</w:t>
            </w:r>
            <w:r>
              <w:rPr>
                <w:rFonts w:hint="default" w:asciiTheme="minorEastAsia" w:hAnsiTheme="minorEastAsia" w:eastAsiaTheme="minorEastAsia" w:cstheme="minorEastAsia"/>
              </w:rPr>
              <w:t>（详见</w:t>
            </w:r>
            <w:r>
              <w:rPr>
                <w:rFonts w:asciiTheme="minorEastAsia" w:hAnsiTheme="minorEastAsia" w:eastAsiaTheme="minorEastAsia" w:cstheme="minorEastAsia"/>
              </w:rPr>
              <w:t>采购内容及技术要求</w:t>
            </w:r>
            <w:r>
              <w:rPr>
                <w:rFonts w:hint="default"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17"/>
              <w:spacing w:line="360" w:lineRule="exact"/>
              <w:jc w:val="center"/>
              <w:rPr>
                <w:rFonts w:hint="eastAsia" w:cs="宋体"/>
                <w:color w:val="auto"/>
                <w:kern w:val="0"/>
                <w:sz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w:t>
            </w:r>
            <w:r>
              <w:rPr>
                <w:rFonts w:hint="eastAsia" w:cs="宋体"/>
                <w:color w:val="auto"/>
                <w:kern w:val="0"/>
                <w:sz w:val="24"/>
                <w:highlight w:val="none"/>
                <w:lang w:val="en-US" w:eastAsia="zh-CN"/>
              </w:rPr>
              <w:t>履行期限</w:t>
            </w:r>
          </w:p>
          <w:p>
            <w:pPr>
              <w:pStyle w:val="17"/>
              <w:spacing w:line="360" w:lineRule="exact"/>
              <w:jc w:val="center"/>
              <w:rPr>
                <w:rFonts w:hint="default" w:hAnsi="宋体" w:cs="宋体"/>
                <w:kern w:val="0"/>
              </w:rPr>
            </w:pPr>
            <w:r>
              <w:rPr>
                <w:rFonts w:hint="eastAsia" w:cs="宋体"/>
                <w:color w:val="auto"/>
                <w:kern w:val="0"/>
                <w:sz w:val="24"/>
                <w:highlight w:val="none"/>
                <w:lang w:val="en-US" w:eastAsia="zh-CN"/>
              </w:rPr>
              <w:t>（</w:t>
            </w:r>
            <w:r>
              <w:rPr>
                <w:rFonts w:hint="eastAsia" w:cs="宋体"/>
                <w:color w:val="auto"/>
                <w:kern w:val="0"/>
                <w:sz w:val="24"/>
                <w:highlight w:val="none"/>
              </w:rPr>
              <w:t>供货</w:t>
            </w:r>
            <w:r>
              <w:rPr>
                <w:rFonts w:hint="eastAsia" w:cs="宋体"/>
                <w:color w:val="auto"/>
                <w:kern w:val="0"/>
                <w:sz w:val="24"/>
                <w:highlight w:val="none"/>
                <w:lang w:val="en-US" w:eastAsia="zh-CN"/>
              </w:rPr>
              <w:t>安装</w:t>
            </w:r>
            <w:r>
              <w:rPr>
                <w:rFonts w:hint="eastAsia" w:cs="宋体"/>
                <w:color w:val="auto"/>
                <w:kern w:val="0"/>
                <w:sz w:val="24"/>
                <w:highlight w:val="none"/>
              </w:rPr>
              <w:t>期</w:t>
            </w:r>
            <w:r>
              <w:rPr>
                <w:rFonts w:hint="eastAsia" w:cs="宋体"/>
                <w:color w:val="auto"/>
                <w:kern w:val="0"/>
                <w:sz w:val="24"/>
                <w:highlight w:val="none"/>
                <w:lang w:eastAsia="zh-CN"/>
              </w:rPr>
              <w:t>）</w:t>
            </w:r>
          </w:p>
        </w:tc>
        <w:tc>
          <w:tcPr>
            <w:tcW w:w="6112" w:type="dxa"/>
            <w:vAlign w:val="center"/>
          </w:tcPr>
          <w:p>
            <w:pPr>
              <w:widowControl/>
              <w:spacing w:line="440" w:lineRule="exact"/>
              <w:ind w:firstLine="420" w:firstLineChars="200"/>
              <w:jc w:val="left"/>
              <w:rPr>
                <w:rFonts w:ascii="宋体" w:hAnsi="宋体" w:cs="宋体"/>
                <w:kern w:val="0"/>
                <w:szCs w:val="21"/>
              </w:rPr>
            </w:pPr>
            <w:r>
              <w:rPr>
                <w:rFonts w:hint="eastAsia" w:asciiTheme="minorEastAsia" w:hAnsiTheme="minorEastAsia" w:eastAsiaTheme="minorEastAsia" w:cstheme="minorEastAsia"/>
                <w:bCs/>
                <w:iCs/>
                <w:szCs w:val="21"/>
                <w:lang w:eastAsia="zh-CN"/>
              </w:rPr>
              <w:t>合同签订后</w:t>
            </w:r>
            <w:r>
              <w:rPr>
                <w:rFonts w:hint="eastAsia" w:asciiTheme="minorEastAsia" w:hAnsiTheme="minorEastAsia" w:eastAsiaTheme="minorEastAsia" w:cstheme="minorEastAsia"/>
                <w:bCs/>
                <w:iCs/>
                <w:szCs w:val="21"/>
                <w:lang w:val="en-US" w:eastAsia="zh-CN"/>
              </w:rPr>
              <w:t>90</w:t>
            </w:r>
            <w:r>
              <w:rPr>
                <w:rFonts w:hint="eastAsia" w:asciiTheme="minorEastAsia" w:hAnsiTheme="minorEastAsia" w:eastAsiaTheme="minorEastAsia" w:cstheme="minorEastAsia"/>
                <w:bCs/>
                <w:iCs/>
                <w:szCs w:val="21"/>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17"/>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ascii="宋体" w:hAnsi="宋体" w:cs="宋体"/>
                <w:kern w:val="0"/>
                <w:szCs w:val="21"/>
              </w:rPr>
              <w:t>合格，符合国家</w:t>
            </w:r>
            <w:r>
              <w:rPr>
                <w:rFonts w:hint="eastAsia" w:ascii="宋体" w:hAnsi="宋体" w:cs="宋体"/>
                <w:kern w:val="0"/>
                <w:szCs w:val="21"/>
              </w:rPr>
              <w:t>及</w:t>
            </w:r>
            <w:r>
              <w:rPr>
                <w:rFonts w:ascii="宋体" w:hAnsi="宋体" w:cs="宋体"/>
                <w:kern w:val="0"/>
                <w:szCs w:val="21"/>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17"/>
              <w:spacing w:line="360" w:lineRule="exact"/>
              <w:jc w:val="center"/>
              <w:rPr>
                <w:rFonts w:hint="default" w:hAnsi="宋体" w:cs="宋体"/>
                <w:kern w:val="0"/>
                <w:highlight w:val="none"/>
              </w:rPr>
            </w:pPr>
            <w:r>
              <w:rPr>
                <w:rFonts w:hAnsi="宋体" w:cs="宋体"/>
                <w:kern w:val="0"/>
                <w:highlight w:val="none"/>
              </w:rPr>
              <w:t>质保期</w:t>
            </w:r>
          </w:p>
        </w:tc>
        <w:tc>
          <w:tcPr>
            <w:tcW w:w="6112" w:type="dxa"/>
            <w:vAlign w:val="center"/>
          </w:tcPr>
          <w:p>
            <w:pPr>
              <w:spacing w:line="400" w:lineRule="exact"/>
              <w:rPr>
                <w:rFonts w:hint="default" w:ascii="宋体" w:hAnsi="宋体" w:eastAsia="宋体" w:cs="宋体"/>
                <w:kern w:val="0"/>
                <w:szCs w:val="21"/>
                <w:highlight w:val="none"/>
                <w:lang w:val="en-US" w:eastAsia="zh-CN"/>
              </w:rPr>
            </w:pPr>
            <w:r>
              <w:rPr>
                <w:rFonts w:hint="eastAsia" w:ascii="宋体" w:hAnsi="宋体" w:cs="宋体"/>
                <w:color w:val="000000"/>
                <w:szCs w:val="21"/>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1、符合《中华人民共和国政府采购法》第二十二条之规定；</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3、本项目的特定资格要求：</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3.1供应商须具备机电工程施工总承包三级及以上或建筑机电安装工程专业承包三级及以上资质；具备有效期范围内的企业营业执照（副本）、安全生产许可证（副本），并在人员、设备、资金等方面具有相应的施工能力；</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lang w:val="en-US" w:eastAsia="zh-CN"/>
              </w:rPr>
              <w:t>3.2</w:t>
            </w:r>
            <w:r>
              <w:rPr>
                <w:rFonts w:hint="eastAsia" w:asciiTheme="minorEastAsia" w:hAnsiTheme="minorEastAsia" w:eastAsiaTheme="minorEastAsia" w:cstheme="minorEastAsia"/>
                <w:lang w:val="en-US" w:eastAsia="zh-CN"/>
              </w:rPr>
              <w:t>供应商拟派项目经理须具备机电工程专业二级及以上注册建造师资格，具有有效期内安全生产考核合格证书（B证），且未担任其他在建项目（提供项目经理近6个月社保证明；提供无在建项目承诺函，格式自拟）</w:t>
            </w:r>
            <w:r>
              <w:rPr>
                <w:rFonts w:hint="default" w:asciiTheme="minorEastAsia" w:hAnsiTheme="minorEastAsia" w:eastAsiaTheme="minorEastAsia" w:cstheme="minorEastAsia"/>
              </w:rPr>
              <w:t>。</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default" w:asciiTheme="minorEastAsia" w:hAnsiTheme="minorEastAsia" w:eastAsiaTheme="minorEastAsia" w:cstheme="minorEastAsia"/>
                <w:lang w:val="en-US" w:eastAsia="zh-CN"/>
              </w:rPr>
              <w:t>3</w:t>
            </w:r>
            <w:r>
              <w:rPr>
                <w:rFonts w:hint="default" w:asciiTheme="minorEastAsia" w:hAnsiTheme="minorEastAsia" w:eastAsiaTheme="minorEastAsia" w:cstheme="minorEastAsia"/>
              </w:rPr>
              <w:t>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default" w:asciiTheme="minorEastAsia" w:hAnsiTheme="minorEastAsia" w:eastAsiaTheme="minorEastAsia" w:cstheme="minorEastAsia"/>
                <w:lang w:val="en-US" w:eastAsia="zh-CN"/>
              </w:rPr>
              <w:t>4</w:t>
            </w:r>
            <w:r>
              <w:rPr>
                <w:rFonts w:hint="default" w:asciiTheme="minorEastAsia" w:hAnsiTheme="minorEastAsia" w:eastAsiaTheme="minorEastAsia" w:cstheme="minorEastAsia"/>
              </w:rPr>
              <w:t>本项目不接受联合体投标；</w:t>
            </w:r>
          </w:p>
          <w:p>
            <w:pPr>
              <w:pStyle w:val="17"/>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default" w:asciiTheme="minorEastAsia" w:hAnsiTheme="minorEastAsia" w:eastAsiaTheme="minorEastAsia" w:cstheme="minorEastAsia"/>
                <w:lang w:val="en-US" w:eastAsia="zh-CN"/>
              </w:rPr>
              <w:t>5</w:t>
            </w:r>
            <w:r>
              <w:rPr>
                <w:rFonts w:hint="default" w:asciiTheme="minorEastAsia" w:hAnsiTheme="minorEastAsia" w:eastAsiaTheme="minorEastAsia" w:cstheme="minorEastAsia"/>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17"/>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asciiTheme="minorEastAsia" w:hAnsiTheme="minorEastAsia" w:eastAsiaTheme="minorEastAsia" w:cstheme="minorEastAsia"/>
                <w:b/>
                <w:bCs/>
              </w:rPr>
            </w:pP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26</w:t>
            </w:r>
            <w:r>
              <w:rPr>
                <w:rFonts w:hint="eastAsia" w:ascii="宋体" w:hAnsi="宋体" w:cs="宋体"/>
                <w:b/>
                <w:bCs/>
                <w:kern w:val="0"/>
                <w:szCs w:val="21"/>
                <w:highlight w:val="none"/>
              </w:rPr>
              <w:t>日上午</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 所有要求供应商加盖公章的地方都须加盖供应商单位的 CA 印章。</w:t>
            </w:r>
          </w:p>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2要求法定代表人签字或盖章的，法定代表人在签字或盖章的地方上传手写签名的扫描件或加盖法定代表人CA印章。</w:t>
            </w:r>
          </w:p>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17"/>
              <w:spacing w:line="400" w:lineRule="exact"/>
              <w:rPr>
                <w:rFonts w:hint="default" w:hAnsi="宋体"/>
              </w:rPr>
            </w:pPr>
            <w:r>
              <w:rPr>
                <w:rFonts w:hAnsi="宋体"/>
              </w:rPr>
              <w:t xml:space="preserve">本项目采用“远程不见面”开标方式，远程开标大厅网址为http://122.112.246.33/BidOpening/bidopeninghallaction/hall/login。供应商不需到开标现场参加开标会议，不需提交原件资料等。 </w:t>
            </w:r>
          </w:p>
          <w:p>
            <w:pPr>
              <w:pStyle w:val="17"/>
              <w:spacing w:line="400" w:lineRule="exact"/>
              <w:rPr>
                <w:rFonts w:hint="default" w:hAnsi="宋体"/>
              </w:rPr>
            </w:pPr>
            <w:r>
              <w:rPr>
                <w:rFonts w:hAnsi="宋体"/>
              </w:rPr>
              <w:t>（1）电子投标文件的递交</w:t>
            </w:r>
          </w:p>
          <w:p>
            <w:pPr>
              <w:pStyle w:val="17"/>
              <w:spacing w:line="400" w:lineRule="exact"/>
              <w:rPr>
                <w:rFonts w:hint="default" w:hAnsi="宋体"/>
              </w:rPr>
            </w:pPr>
            <w:r>
              <w:rPr>
                <w:rFonts w:hAnsi="宋体"/>
              </w:rPr>
              <w:t>a、各供应商应在投标截止时间前上传加密的电子投标文件</w:t>
            </w:r>
          </w:p>
          <w:p>
            <w:pPr>
              <w:pStyle w:val="17"/>
              <w:spacing w:line="400" w:lineRule="exact"/>
              <w:rPr>
                <w:rFonts w:hint="default" w:hAnsi="宋体"/>
              </w:rPr>
            </w:pPr>
            <w:r>
              <w:rPr>
                <w:rFonts w:hAnsi="宋体"/>
              </w:rPr>
              <w:t>（.jztf 格式）到会员系统的指定位置。上传时必须得到电脑“上传成功”的确认回复。请供应商在上传时认真检查上传投标文件是否完整、正确。</w:t>
            </w:r>
          </w:p>
          <w:p>
            <w:pPr>
              <w:pStyle w:val="17"/>
              <w:spacing w:line="400" w:lineRule="exact"/>
              <w:rPr>
                <w:rFonts w:hint="default"/>
              </w:rPr>
            </w:pPr>
            <w:r>
              <w:rPr>
                <w:rFonts w:hAnsi="宋体"/>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17"/>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评标委员会构成：由采购人代表1名和政府采购专家库中随机抽</w:t>
            </w:r>
          </w:p>
          <w:p>
            <w:pPr>
              <w:adjustRightInd w:val="0"/>
              <w:snapToGrid w:val="0"/>
              <w:spacing w:line="400" w:lineRule="exact"/>
              <w:rPr>
                <w:rFonts w:ascii="宋体" w:hAnsi="宋体"/>
                <w:szCs w:val="21"/>
                <w:highlight w:val="red"/>
                <w:u w:val="single"/>
              </w:rPr>
            </w:pPr>
            <w:r>
              <w:rPr>
                <w:rFonts w:hint="eastAsia" w:ascii="宋体" w:hAnsi="宋体"/>
                <w:szCs w:val="21"/>
              </w:rPr>
              <w:t>取的评审专家4名共5人组成。</w:t>
            </w:r>
            <w:r>
              <w:rPr>
                <w:rFonts w:hint="eastAsia" w:ascii="宋体" w:hAnsi="宋体"/>
                <w:b/>
                <w:bCs/>
                <w:szCs w:val="21"/>
              </w:rPr>
              <w:t>注</w:t>
            </w:r>
            <w:r>
              <w:rPr>
                <w:rFonts w:hint="eastAsia" w:ascii="宋体" w:hAnsi="宋体"/>
                <w:szCs w:val="21"/>
              </w:rPr>
              <w:t>：</w:t>
            </w:r>
            <w:r>
              <w:rPr>
                <w:rFonts w:hint="eastAsia" w:ascii="宋体" w:hAnsi="宋体"/>
                <w:b/>
                <w:bCs/>
                <w:szCs w:val="21"/>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7"/>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w:t>
            </w:r>
            <w:r>
              <w:rPr>
                <w:rFonts w:hint="eastAsia" w:asciiTheme="minorEastAsia" w:hAnsiTheme="minorEastAsia" w:eastAsiaTheme="minorEastAsia" w:cstheme="minorEastAsia"/>
                <w:szCs w:val="21"/>
                <w:lang w:val="en-US" w:eastAsia="zh-CN"/>
              </w:rPr>
              <w:t>3180000.00</w:t>
            </w:r>
            <w:r>
              <w:rPr>
                <w:rFonts w:hint="eastAsia" w:asciiTheme="minorEastAsia" w:hAnsiTheme="minorEastAsia" w:eastAsiaTheme="minorEastAsia" w:cstheme="minorEastAsia"/>
                <w:szCs w:val="21"/>
              </w:rPr>
              <w:t>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小型或微型企业（含监狱企业）</w:t>
            </w:r>
          </w:p>
        </w:tc>
        <w:tc>
          <w:tcPr>
            <w:tcW w:w="6112" w:type="dxa"/>
            <w:vAlign w:val="center"/>
          </w:tcPr>
          <w:p>
            <w:pPr>
              <w:spacing w:line="440" w:lineRule="exact"/>
              <w:rPr>
                <w:rFonts w:ascii="宋体" w:hAnsi="宋体" w:cs="宋体"/>
                <w:kern w:val="0"/>
                <w:szCs w:val="21"/>
                <w:highlight w:val="none"/>
              </w:rPr>
            </w:pPr>
            <w:r>
              <w:rPr>
                <w:rFonts w:hint="eastAsia" w:ascii="宋体" w:hAnsi="宋体" w:cs="宋体"/>
                <w:kern w:val="0"/>
                <w:szCs w:val="21"/>
                <w:highlight w:val="none"/>
              </w:rPr>
              <w:t>1对中小型或微型企业投标的扶持：</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小微企业应当提供《中小企业声明函》（见格式）。</w:t>
            </w:r>
          </w:p>
          <w:p>
            <w:pPr>
              <w:spacing w:line="440" w:lineRule="exact"/>
              <w:rPr>
                <w:rFonts w:ascii="宋体" w:hAnsi="宋体" w:cs="宋体"/>
                <w:kern w:val="0"/>
                <w:szCs w:val="21"/>
                <w:highlight w:val="none"/>
              </w:rPr>
            </w:pPr>
            <w:r>
              <w:rPr>
                <w:rFonts w:hint="eastAsia" w:ascii="宋体" w:hAnsi="宋体" w:cs="宋体"/>
                <w:kern w:val="0"/>
                <w:szCs w:val="21"/>
                <w:highlight w:val="none"/>
              </w:rPr>
              <w:t>2 按照《政府采购促进中小企业发展管理办法》有关规定，中小企业的标准为：</w:t>
            </w:r>
          </w:p>
          <w:p>
            <w:pPr>
              <w:spacing w:line="440" w:lineRule="exact"/>
              <w:rPr>
                <w:rFonts w:ascii="宋体" w:hAnsi="宋体" w:cs="宋体"/>
                <w:kern w:val="0"/>
                <w:szCs w:val="21"/>
                <w:highlight w:val="none"/>
              </w:rPr>
            </w:pPr>
            <w:r>
              <w:rPr>
                <w:rFonts w:hint="eastAsia" w:ascii="宋体" w:hAnsi="宋体" w:cs="宋体"/>
                <w:kern w:val="0"/>
                <w:szCs w:val="21"/>
                <w:highlight w:val="none"/>
              </w:rPr>
              <w:t>2.1提供本企业制造的货物、承担的工程或者服务，或者提供其他中小企业制造的货物，不包括提供或使用大型企业注册商标的货物；</w:t>
            </w:r>
          </w:p>
          <w:p>
            <w:pPr>
              <w:spacing w:line="440" w:lineRule="exact"/>
              <w:rPr>
                <w:rFonts w:ascii="宋体" w:hAnsi="宋体" w:cs="宋体"/>
                <w:kern w:val="0"/>
                <w:szCs w:val="21"/>
                <w:highlight w:val="none"/>
              </w:rPr>
            </w:pPr>
            <w:r>
              <w:rPr>
                <w:rFonts w:hint="eastAsia" w:ascii="宋体" w:hAnsi="宋体" w:cs="宋体"/>
                <w:kern w:val="0"/>
                <w:szCs w:val="21"/>
                <w:highlight w:val="none"/>
              </w:rPr>
              <w:t>2.2本规定所称中小企业划分标准，是指国务院有关部门根据企业从业人员、营业收入、资产总额等指标制定的中小企业划型标准（工信部联企业﹝2011﹞300号）；</w:t>
            </w:r>
          </w:p>
          <w:p>
            <w:pPr>
              <w:spacing w:line="440" w:lineRule="exact"/>
              <w:rPr>
                <w:rFonts w:ascii="宋体" w:hAnsi="宋体" w:cs="宋体"/>
                <w:kern w:val="0"/>
                <w:szCs w:val="21"/>
                <w:highlight w:val="none"/>
              </w:rPr>
            </w:pPr>
            <w:r>
              <w:rPr>
                <w:rFonts w:hint="eastAsia" w:ascii="宋体" w:hAnsi="宋体" w:cs="宋体"/>
                <w:kern w:val="0"/>
                <w:szCs w:val="21"/>
                <w:highlight w:val="none"/>
              </w:rPr>
              <w:t>2.3小型、微型企业提供有中型企业制造的货物的，视同为中型企业；小型、微型、中型企业提供有大型企业制造的货物的，视同为大型企业。</w:t>
            </w:r>
          </w:p>
          <w:p>
            <w:pPr>
              <w:spacing w:line="440" w:lineRule="exact"/>
              <w:rPr>
                <w:rFonts w:ascii="宋体" w:hAnsi="宋体" w:cs="宋体"/>
                <w:bCs/>
                <w:highlight w:val="none"/>
              </w:rPr>
            </w:pPr>
            <w:r>
              <w:rPr>
                <w:rFonts w:hint="eastAsia" w:ascii="宋体" w:hAnsi="宋体" w:cs="宋体"/>
                <w:kern w:val="0"/>
                <w:szCs w:val="21"/>
                <w:highlight w:val="none"/>
              </w:rPr>
              <w:t>3、根据财政部司法部《关于政府采购支持监狱企业发展有关问题的通知》（财库〔2014〕68号）和财政部民政部中国残疾人联合会《关于促进残疾人就业政府采购政策的通知》（财库〔2017〕141号）规定；</w:t>
            </w:r>
            <w:r>
              <w:rPr>
                <w:rFonts w:hint="eastAsia" w:ascii="宋体" w:hAnsi="宋体" w:cs="宋体"/>
                <w:bCs/>
                <w:highlight w:val="none"/>
              </w:rPr>
              <w:t>本项目对监狱企业、残疾人福利性企业作为投标人所提供的本企业生产的产品的价格给予20%的扣除。</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宋体" w:hAnsi="宋体" w:cs="宋体"/>
                <w:bCs/>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付款方式</w:t>
            </w:r>
          </w:p>
        </w:tc>
        <w:tc>
          <w:tcPr>
            <w:tcW w:w="6112" w:type="dxa"/>
            <w:vAlign w:val="center"/>
          </w:tcPr>
          <w:p>
            <w:pPr>
              <w:spacing w:line="440" w:lineRule="exact"/>
              <w:rPr>
                <w:rFonts w:hint="eastAsia" w:ascii="宋体" w:hAnsi="宋体" w:cs="宋体" w:eastAsiaTheme="minorEastAsia"/>
                <w:bCs/>
                <w:highlight w:val="none"/>
                <w:lang w:val="en-US" w:eastAsia="zh-CN"/>
              </w:rPr>
            </w:pPr>
            <w:r>
              <w:rPr>
                <w:rFonts w:hint="eastAsia" w:asciiTheme="minorEastAsia" w:hAnsiTheme="minorEastAsia" w:eastAsiaTheme="minorEastAsia" w:cstheme="minorEastAsia"/>
                <w:highlight w:val="none"/>
                <w:lang w:val="en-US" w:eastAsia="zh-CN"/>
              </w:rPr>
              <w:t>合同签订后预付合同金额的50%，供货安装完毕验收合格后支付至合同金额的100%。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318" w:type="dxa"/>
            <w:vAlign w:val="center"/>
          </w:tcPr>
          <w:p>
            <w:pPr>
              <w:spacing w:line="440" w:lineRule="exact"/>
              <w:jc w:val="center"/>
              <w:rPr>
                <w:rFonts w:ascii="宋体" w:hAnsi="宋体" w:cs="宋体"/>
                <w:bCs/>
              </w:rPr>
            </w:pPr>
            <w:r>
              <w:rPr>
                <w:rFonts w:hint="eastAsia" w:ascii="宋体" w:hAnsi="宋体" w:cs="宋体"/>
                <w:bCs/>
              </w:rPr>
              <w:t>供货要求</w:t>
            </w:r>
          </w:p>
        </w:tc>
        <w:tc>
          <w:tcPr>
            <w:tcW w:w="6112" w:type="dxa"/>
            <w:vAlign w:val="center"/>
          </w:tcPr>
          <w:p>
            <w:pPr>
              <w:spacing w:line="440" w:lineRule="exact"/>
              <w:rPr>
                <w:rFonts w:ascii="宋体" w:hAnsi="宋体" w:cs="宋体"/>
                <w:bCs/>
              </w:rPr>
            </w:pPr>
            <w:r>
              <w:rPr>
                <w:rFonts w:hint="eastAsia" w:ascii="宋体" w:hAnsi="宋体" w:cs="宋体"/>
                <w:bCs/>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pPr>
            <w:r>
              <w:rPr>
                <w:rFonts w:hint="eastAsia" w:ascii="宋体" w:hAnsi="宋体" w:cs="宋体"/>
                <w:bCs/>
              </w:rPr>
              <w:t>参照豫招协[2023]002号《河南省招标代理服务收费指导意见》中的标准收取，由</w:t>
            </w:r>
            <w:r>
              <w:rPr>
                <w:rFonts w:hint="eastAsia" w:ascii="宋体" w:hAnsi="宋体" w:cs="宋体"/>
                <w:bCs/>
                <w:lang w:val="en-US" w:eastAsia="zh-CN"/>
              </w:rPr>
              <w:t>中标</w:t>
            </w:r>
            <w:r>
              <w:rPr>
                <w:rFonts w:hint="eastAsia" w:ascii="宋体" w:hAnsi="宋体" w:cs="宋体"/>
                <w:bCs/>
              </w:rPr>
              <w:t>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宋体" w:hAnsi="宋体" w:cs="宋体"/>
                <w:bCs/>
              </w:rPr>
            </w:pPr>
            <w:r>
              <w:rPr>
                <w:rFonts w:hint="eastAsia" w:ascii="宋体" w:hAnsi="宋体" w:cs="宋体"/>
                <w:bCs/>
              </w:rPr>
              <w:t>认定为不响应招标文件的其它条件</w:t>
            </w:r>
          </w:p>
        </w:tc>
        <w:tc>
          <w:tcPr>
            <w:tcW w:w="6112" w:type="dxa"/>
            <w:vAlign w:val="center"/>
          </w:tcPr>
          <w:p>
            <w:pPr>
              <w:pStyle w:val="5"/>
              <w:ind w:firstLine="0" w:firstLineChars="0"/>
              <w:rPr>
                <w:rFonts w:ascii="宋体" w:hAnsi="宋体" w:cs="宋体"/>
                <w:bCs/>
                <w:highlight w:val="none"/>
              </w:rPr>
            </w:pPr>
            <w:r>
              <w:rPr>
                <w:rFonts w:hint="eastAsia" w:ascii="宋体" w:hAnsi="宋体" w:cs="宋体"/>
                <w:bCs/>
              </w:rPr>
              <w:t>1、未按招标文件明示的</w:t>
            </w:r>
            <w:r>
              <w:rPr>
                <w:rFonts w:hint="eastAsia" w:ascii="宋体" w:hAnsi="宋体" w:cs="宋体"/>
                <w:bCs/>
                <w:highlight w:val="none"/>
              </w:rPr>
              <w:t>规定签字盖章的；</w:t>
            </w:r>
          </w:p>
          <w:p>
            <w:pPr>
              <w:pStyle w:val="5"/>
              <w:ind w:firstLine="0" w:firstLineChars="0"/>
              <w:rPr>
                <w:rFonts w:ascii="宋体" w:hAnsi="宋体" w:cs="宋体"/>
                <w:bCs/>
              </w:rPr>
            </w:pPr>
            <w:r>
              <w:rPr>
                <w:rFonts w:hint="eastAsia" w:ascii="宋体" w:hAnsi="宋体" w:cs="宋体"/>
                <w:bCs/>
                <w:highlight w:val="none"/>
              </w:rPr>
              <w:t>2、投标文件的关键内容（供货</w:t>
            </w:r>
            <w:r>
              <w:rPr>
                <w:rFonts w:hint="eastAsia" w:ascii="宋体" w:hAnsi="宋体" w:cs="宋体"/>
                <w:bCs/>
                <w:highlight w:val="none"/>
                <w:lang w:val="en-US" w:eastAsia="zh-CN"/>
              </w:rPr>
              <w:t>安装</w:t>
            </w:r>
            <w:r>
              <w:rPr>
                <w:rFonts w:hint="eastAsia" w:ascii="宋体" w:hAnsi="宋体" w:cs="宋体"/>
                <w:bCs/>
                <w:highlight w:val="none"/>
              </w:rPr>
              <w:t>期、质</w:t>
            </w:r>
            <w:r>
              <w:rPr>
                <w:rFonts w:hint="eastAsia" w:ascii="宋体" w:hAnsi="宋体" w:cs="宋体"/>
                <w:bCs/>
              </w:rPr>
              <w:t>量标准、品牌、型号等）未填写或填写字迹模糊、达不到采购要求的；</w:t>
            </w:r>
          </w:p>
          <w:p>
            <w:pPr>
              <w:pStyle w:val="5"/>
              <w:ind w:firstLine="0" w:firstLineChars="0"/>
              <w:rPr>
                <w:rFonts w:ascii="宋体" w:hAnsi="宋体" w:cs="宋体"/>
                <w:bCs/>
              </w:rPr>
            </w:pPr>
            <w:r>
              <w:rPr>
                <w:rFonts w:hint="eastAsia" w:ascii="宋体" w:hAnsi="宋体" w:cs="宋体"/>
                <w:bCs/>
              </w:rPr>
              <w:t>3、投标报价超出招标控制价的；</w:t>
            </w:r>
          </w:p>
          <w:p>
            <w:pPr>
              <w:pStyle w:val="5"/>
              <w:ind w:firstLine="0" w:firstLineChars="0"/>
              <w:rPr>
                <w:rFonts w:ascii="宋体" w:hAnsi="宋体" w:cs="宋体"/>
                <w:bCs/>
              </w:rPr>
            </w:pPr>
            <w:r>
              <w:rPr>
                <w:rFonts w:hint="eastAsia" w:ascii="宋体" w:hAnsi="宋体" w:cs="宋体"/>
                <w:bCs/>
              </w:rPr>
              <w:t>4、供应商递交两份或多份内容不同的投标文件，或在一份投标文件中对同一招标项目有两个或多个报价，且未声明哪一个有效的；</w:t>
            </w:r>
          </w:p>
          <w:p>
            <w:pPr>
              <w:pStyle w:val="5"/>
              <w:ind w:firstLine="0" w:firstLineChars="0"/>
              <w:rPr>
                <w:rFonts w:ascii="宋体" w:hAnsi="宋体" w:cs="宋体"/>
                <w:bCs/>
              </w:rPr>
            </w:pPr>
            <w:r>
              <w:rPr>
                <w:rFonts w:hint="eastAsia" w:ascii="宋体" w:hAnsi="宋体" w:cs="宋体"/>
                <w:bCs/>
              </w:rPr>
              <w:t>5、相关资格证明文件不合格的；</w:t>
            </w:r>
          </w:p>
          <w:p>
            <w:pPr>
              <w:pStyle w:val="5"/>
              <w:ind w:firstLine="0" w:firstLineChars="0"/>
              <w:rPr>
                <w:rFonts w:ascii="宋体" w:hAnsi="宋体" w:cs="宋体"/>
                <w:bCs/>
              </w:rPr>
            </w:pPr>
            <w:r>
              <w:rPr>
                <w:rFonts w:hint="eastAsia" w:ascii="宋体" w:hAnsi="宋体" w:cs="宋体"/>
                <w:bCs/>
              </w:rPr>
              <w:t>6、未按要求在报价明细表中标明品牌、型号及技术参数的。</w:t>
            </w:r>
          </w:p>
          <w:p>
            <w:pPr>
              <w:pStyle w:val="5"/>
              <w:ind w:firstLine="0" w:firstLineChars="0"/>
              <w:rPr>
                <w:rFonts w:ascii="宋体" w:hAnsi="宋体" w:cs="宋体"/>
                <w:bCs/>
              </w:rPr>
            </w:pPr>
            <w:r>
              <w:rPr>
                <w:rFonts w:hint="eastAsia" w:ascii="宋体" w:hAnsi="宋体" w:cs="宋体"/>
                <w:bCs/>
              </w:rPr>
              <w:t>7、附有采购人不能接受的条件的；</w:t>
            </w:r>
          </w:p>
          <w:p>
            <w:pPr>
              <w:pStyle w:val="5"/>
              <w:ind w:firstLine="0" w:firstLineChars="0"/>
              <w:rPr>
                <w:rFonts w:ascii="宋体" w:hAnsi="宋体" w:cs="宋体"/>
                <w:bCs/>
              </w:rPr>
            </w:pPr>
            <w:r>
              <w:rPr>
                <w:rFonts w:hint="eastAsia" w:ascii="宋体" w:hAnsi="宋体" w:cs="宋体"/>
                <w:bCs/>
              </w:rPr>
              <w:t>8、评标过程中，如因两个或两个以上供应商在同一台计算或同一个IP上传响应文件，而被不见面开标系统提示为“投标文件制作机器码一致”的，则视其投标无效。</w:t>
            </w:r>
          </w:p>
          <w:p>
            <w:pPr>
              <w:pStyle w:val="5"/>
              <w:ind w:firstLine="0" w:firstLineChars="0"/>
              <w:rPr>
                <w:rFonts w:ascii="宋体" w:hAnsi="宋体" w:cs="宋体"/>
                <w:bCs/>
              </w:rPr>
            </w:pPr>
            <w:r>
              <w:rPr>
                <w:rFonts w:hint="eastAsia" w:ascii="宋体" w:hAnsi="宋体" w:cs="宋体"/>
                <w:bCs/>
              </w:rPr>
              <w:t>9、投标文件有明显不符合招标文件其它要求和有关法律法规的。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pStyle w:val="5"/>
              <w:tabs>
                <w:tab w:val="left" w:pos="1268"/>
              </w:tabs>
              <w:ind w:firstLine="0" w:firstLineChars="0"/>
              <w:rPr>
                <w:rFonts w:ascii="宋体" w:hAnsi="宋体" w:cs="宋体"/>
                <w:bCs/>
              </w:rPr>
            </w:pPr>
            <w:r>
              <w:rPr>
                <w:rFonts w:hint="eastAsia" w:asciiTheme="minorEastAsia" w:hAnsiTheme="minorEastAsia" w:eastAsiaTheme="minorEastAsia" w:cstheme="minorEastAsia"/>
                <w:szCs w:val="21"/>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5"/>
              <w:rPr>
                <w:rFonts w:ascii="宋体" w:hAnsi="宋体" w:cs="宋体"/>
                <w:bCs/>
              </w:rPr>
            </w:pPr>
            <w:r>
              <w:rPr>
                <w:rFonts w:hint="eastAsia" w:asciiTheme="minorEastAsia" w:hAnsiTheme="minorEastAsia" w:eastAsiaTheme="minorEastAsia" w:cstheme="minorEastAsia"/>
                <w:szCs w:val="21"/>
              </w:rPr>
              <w:t>本项目采购货物在质保期内属于货物质量问题的，</w:t>
            </w:r>
            <w:r>
              <w:rPr>
                <w:rFonts w:hint="eastAsia" w:asciiTheme="minorEastAsia" w:hAnsiTheme="minorEastAsia" w:eastAsiaTheme="minorEastAsia" w:cstheme="minorEastAsia"/>
                <w:szCs w:val="21"/>
                <w:lang w:val="en-US" w:eastAsia="zh-CN"/>
              </w:rPr>
              <w:t>中标</w:t>
            </w:r>
            <w:r>
              <w:rPr>
                <w:rFonts w:hint="eastAsia" w:asciiTheme="minorEastAsia" w:hAnsiTheme="minorEastAsia" w:eastAsiaTheme="minorEastAsia" w:cstheme="minorEastAsia"/>
                <w:szCs w:val="21"/>
              </w:rPr>
              <w:t>供应商应免费维修，不能维修的应及时更换新货物，供应商须针对质保期内的质量问题提供承诺函。</w:t>
            </w:r>
          </w:p>
        </w:tc>
      </w:tr>
    </w:tbl>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5" w:name="_Toc9048"/>
      <w:bookmarkStart w:id="16" w:name="_Toc403122491"/>
      <w:bookmarkStart w:id="17" w:name="_Toc23576"/>
      <w:bookmarkStart w:id="18" w:name="_Toc23082"/>
      <w:bookmarkStart w:id="19" w:name="_Toc7029"/>
      <w:bookmarkStart w:id="20" w:name="_Toc426369479"/>
      <w:bookmarkStart w:id="21" w:name="_Toc426369491"/>
      <w:bookmarkStart w:id="22" w:name="_Toc403122503"/>
      <w:bookmarkStart w:id="23" w:name="_Toc26894"/>
      <w:r>
        <w:rPr>
          <w:rFonts w:hint="eastAsia" w:asciiTheme="minorEastAsia" w:hAnsiTheme="minorEastAsia" w:eastAsiaTheme="minorEastAsia" w:cstheme="minorEastAsia"/>
          <w:sz w:val="24"/>
          <w:szCs w:val="24"/>
        </w:rPr>
        <w:t>1. 总则</w:t>
      </w:r>
      <w:bookmarkEnd w:id="15"/>
      <w:bookmarkEnd w:id="16"/>
      <w:bookmarkEnd w:id="17"/>
      <w:bookmarkEnd w:id="18"/>
      <w:bookmarkEnd w:id="19"/>
      <w:bookmarkEnd w:id="20"/>
    </w:p>
    <w:p>
      <w:pPr>
        <w:spacing w:line="500" w:lineRule="exact"/>
        <w:ind w:firstLine="482" w:firstLineChars="200"/>
        <w:rPr>
          <w:rFonts w:asciiTheme="minorEastAsia" w:hAnsiTheme="minorEastAsia" w:eastAsiaTheme="minorEastAsia" w:cstheme="minorEastAsia"/>
          <w:b/>
          <w:bCs/>
          <w:sz w:val="24"/>
        </w:rPr>
      </w:pPr>
      <w:bookmarkStart w:id="24" w:name="_Toc426369480"/>
      <w:bookmarkStart w:id="25" w:name="_Toc279599771"/>
      <w:bookmarkStart w:id="26" w:name="_Toc274249575"/>
      <w:bookmarkStart w:id="27" w:name="_Toc403122492"/>
      <w:r>
        <w:rPr>
          <w:rFonts w:hint="eastAsia" w:asciiTheme="minorEastAsia" w:hAnsiTheme="minorEastAsia" w:eastAsiaTheme="minorEastAsia" w:cstheme="minorEastAsia"/>
          <w:b/>
          <w:bCs/>
          <w:sz w:val="24"/>
        </w:rPr>
        <w:t>1.1 项目概况</w:t>
      </w:r>
      <w:bookmarkEnd w:id="24"/>
      <w:bookmarkEnd w:id="25"/>
      <w:bookmarkEnd w:id="26"/>
      <w:bookmarkEnd w:id="2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28" w:name="_Toc403122493"/>
      <w:bookmarkStart w:id="29" w:name="_Toc274249576"/>
      <w:bookmarkStart w:id="30" w:name="_Toc426369481"/>
      <w:bookmarkStart w:id="31" w:name="_Toc279599772"/>
      <w:r>
        <w:rPr>
          <w:rFonts w:hint="eastAsia" w:asciiTheme="minorEastAsia" w:hAnsiTheme="minorEastAsia" w:eastAsiaTheme="minorEastAsia" w:cstheme="minorEastAsia"/>
          <w:b/>
          <w:bCs/>
          <w:sz w:val="24"/>
        </w:rPr>
        <w:t>1.2 资金来源和落实情况</w:t>
      </w:r>
      <w:bookmarkEnd w:id="28"/>
      <w:bookmarkEnd w:id="29"/>
      <w:bookmarkEnd w:id="30"/>
      <w:bookmarkEnd w:id="3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32" w:name="_Toc403122494"/>
      <w:bookmarkStart w:id="33" w:name="_Toc274249577"/>
      <w:bookmarkStart w:id="34" w:name="_Toc426369482"/>
      <w:bookmarkStart w:id="35" w:name="_Toc279599773"/>
      <w:r>
        <w:rPr>
          <w:rFonts w:hint="eastAsia" w:asciiTheme="minorEastAsia" w:hAnsiTheme="minorEastAsia" w:eastAsiaTheme="minorEastAsia" w:cstheme="minorEastAsia"/>
          <w:b/>
          <w:bCs/>
          <w:sz w:val="24"/>
        </w:rPr>
        <w:t>1.3 采购内容、供货</w:t>
      </w:r>
      <w:r>
        <w:rPr>
          <w:rFonts w:hint="eastAsia" w:asciiTheme="minorEastAsia" w:hAnsiTheme="minorEastAsia" w:eastAsiaTheme="minorEastAsia" w:cstheme="minorEastAsia"/>
          <w:b/>
          <w:bCs/>
          <w:sz w:val="24"/>
          <w:lang w:val="en-US" w:eastAsia="zh-CN"/>
        </w:rPr>
        <w:t>安装</w:t>
      </w:r>
      <w:r>
        <w:rPr>
          <w:rFonts w:hint="eastAsia" w:asciiTheme="minorEastAsia" w:hAnsiTheme="minorEastAsia" w:eastAsiaTheme="minorEastAsia" w:cstheme="minorEastAsia"/>
          <w:b/>
          <w:bCs/>
          <w:sz w:val="24"/>
        </w:rPr>
        <w:t>期和质量</w:t>
      </w:r>
      <w:bookmarkEnd w:id="32"/>
      <w:bookmarkEnd w:id="33"/>
      <w:bookmarkEnd w:id="34"/>
      <w:bookmarkEnd w:id="35"/>
      <w:r>
        <w:rPr>
          <w:rFonts w:hint="eastAsia" w:asciiTheme="minorEastAsia" w:hAnsiTheme="minorEastAsia" w:eastAsiaTheme="minorEastAsia" w:cstheme="minorEastAsia"/>
          <w:b/>
          <w:bCs/>
          <w:sz w:val="24"/>
        </w:rPr>
        <w:t>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  本次招标的项目供货</w:t>
      </w:r>
      <w:r>
        <w:rPr>
          <w:rFonts w:hint="eastAsia" w:asciiTheme="minorEastAsia" w:hAnsiTheme="minorEastAsia" w:eastAsiaTheme="minorEastAsia" w:cstheme="minorEastAsia"/>
          <w:szCs w:val="21"/>
          <w:lang w:val="en-US" w:eastAsia="zh-CN"/>
        </w:rPr>
        <w:t>安装</w:t>
      </w:r>
      <w:r>
        <w:rPr>
          <w:rFonts w:hint="eastAsia" w:asciiTheme="minorEastAsia" w:hAnsiTheme="minorEastAsia" w:eastAsiaTheme="minorEastAsia" w:cstheme="minorEastAsia"/>
          <w:szCs w:val="21"/>
        </w:rPr>
        <w:t xml:space="preserve">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  本次招标的质量</w:t>
      </w:r>
      <w:r>
        <w:rPr>
          <w:rFonts w:hint="eastAsia" w:asciiTheme="minorEastAsia" w:hAnsiTheme="minorEastAsia" w:eastAsiaTheme="minorEastAsia" w:cstheme="minorEastAsia"/>
          <w:szCs w:val="21"/>
          <w:lang w:val="en-US" w:eastAsia="zh-CN"/>
        </w:rPr>
        <w:t>标准</w:t>
      </w:r>
      <w:r>
        <w:rPr>
          <w:rFonts w:hint="eastAsia" w:asciiTheme="minorEastAsia" w:hAnsiTheme="minorEastAsia" w:eastAsiaTheme="minorEastAsia" w:cstheme="minorEastAsia"/>
          <w:szCs w:val="21"/>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36" w:name="_Toc279599774"/>
      <w:bookmarkStart w:id="37" w:name="_Toc426369483"/>
      <w:bookmarkStart w:id="38" w:name="_Toc274249578"/>
      <w:bookmarkStart w:id="39" w:name="_Toc403122495"/>
      <w:r>
        <w:rPr>
          <w:rFonts w:hint="eastAsia" w:asciiTheme="minorEastAsia" w:hAnsiTheme="minorEastAsia" w:eastAsiaTheme="minorEastAsia" w:cstheme="minorEastAsia"/>
          <w:b/>
          <w:bCs/>
          <w:sz w:val="24"/>
        </w:rPr>
        <w:t>1.4 供应商资格要求</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40" w:name="_Toc403122496"/>
      <w:bookmarkStart w:id="41" w:name="_Toc279599775"/>
      <w:bookmarkStart w:id="42" w:name="_Toc274249579"/>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43" w:name="_Toc426369484"/>
      <w:r>
        <w:rPr>
          <w:rFonts w:hint="eastAsia" w:asciiTheme="minorEastAsia" w:hAnsiTheme="minorEastAsia" w:eastAsiaTheme="minorEastAsia" w:cstheme="minorEastAsia"/>
          <w:b/>
          <w:bCs/>
          <w:sz w:val="24"/>
        </w:rPr>
        <w:t>1.5 费用承担</w:t>
      </w:r>
      <w:bookmarkEnd w:id="40"/>
      <w:bookmarkEnd w:id="41"/>
      <w:bookmarkEnd w:id="42"/>
      <w:bookmarkEnd w:id="4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44" w:name="_Toc426369485"/>
      <w:bookmarkStart w:id="45" w:name="_Toc403122497"/>
      <w:r>
        <w:rPr>
          <w:rFonts w:hint="eastAsia" w:asciiTheme="minorEastAsia" w:hAnsiTheme="minorEastAsia" w:eastAsiaTheme="minorEastAsia" w:cstheme="minorEastAsia"/>
          <w:b/>
          <w:bCs/>
          <w:sz w:val="24"/>
        </w:rPr>
        <w:t>1.6 保密</w:t>
      </w:r>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46" w:name="_Toc279599777"/>
      <w:bookmarkStart w:id="47" w:name="_Toc426369486"/>
      <w:bookmarkStart w:id="48" w:name="_Toc274249581"/>
      <w:bookmarkStart w:id="49" w:name="_Toc403122498"/>
      <w:r>
        <w:rPr>
          <w:rFonts w:hint="eastAsia" w:asciiTheme="minorEastAsia" w:hAnsiTheme="minorEastAsia" w:eastAsiaTheme="minorEastAsia" w:cstheme="minorEastAsia"/>
          <w:b/>
          <w:bCs/>
          <w:sz w:val="24"/>
        </w:rPr>
        <w:t>1.7 语言文字</w:t>
      </w:r>
      <w:bookmarkEnd w:id="46"/>
      <w:bookmarkEnd w:id="47"/>
      <w:bookmarkEnd w:id="48"/>
      <w:bookmarkEnd w:id="4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50" w:name="_Toc426369487"/>
      <w:bookmarkStart w:id="51" w:name="_Toc403122499"/>
    </w:p>
    <w:p>
      <w:pPr>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0"/>
      <w:bookmarkEnd w:id="5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rPr>
      </w:pPr>
      <w:bookmarkStart w:id="52" w:name="_Toc274249583"/>
      <w:bookmarkStart w:id="53" w:name="_Toc426369488"/>
      <w:bookmarkStart w:id="54" w:name="_Toc279599779"/>
      <w:bookmarkStart w:id="55" w:name="_Toc403122500"/>
      <w:r>
        <w:rPr>
          <w:rFonts w:hint="eastAsia" w:asciiTheme="minorEastAsia" w:hAnsiTheme="minorEastAsia" w:eastAsiaTheme="minorEastAsia" w:cstheme="minorEastAsia"/>
          <w:b/>
          <w:bCs/>
          <w:sz w:val="24"/>
        </w:rPr>
        <w:t>1.9 踏勘现场</w:t>
      </w:r>
      <w:bookmarkEnd w:id="52"/>
      <w:bookmarkEnd w:id="53"/>
      <w:bookmarkEnd w:id="54"/>
      <w:bookmarkEnd w:id="5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56" w:name="_Toc426369489"/>
      <w:bookmarkStart w:id="57" w:name="_Toc274249584"/>
      <w:bookmarkStart w:id="58" w:name="_Toc403122501"/>
      <w:bookmarkStart w:id="59" w:name="_Toc279599780"/>
      <w:r>
        <w:rPr>
          <w:rFonts w:hint="eastAsia" w:asciiTheme="minorEastAsia" w:hAnsiTheme="minorEastAsia" w:eastAsiaTheme="minorEastAsia" w:cstheme="minorEastAsia"/>
          <w:b/>
          <w:bCs/>
          <w:sz w:val="24"/>
        </w:rPr>
        <w:t>1.10 投标预备会</w:t>
      </w:r>
      <w:bookmarkEnd w:id="56"/>
      <w:bookmarkEnd w:id="57"/>
      <w:bookmarkEnd w:id="58"/>
      <w:bookmarkEnd w:id="5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60" w:name="_Toc403122502"/>
      <w:bookmarkStart w:id="61" w:name="_Toc279599781"/>
      <w:bookmarkStart w:id="62" w:name="_Toc426369490"/>
      <w:bookmarkStart w:id="63" w:name="_Toc274249585"/>
      <w:r>
        <w:rPr>
          <w:rFonts w:hint="eastAsia" w:asciiTheme="minorEastAsia" w:hAnsiTheme="minorEastAsia" w:eastAsiaTheme="minorEastAsia" w:cstheme="minorEastAsia"/>
          <w:b/>
          <w:bCs/>
          <w:sz w:val="24"/>
        </w:rPr>
        <w:t>1.11 分包</w:t>
      </w:r>
      <w:bookmarkEnd w:id="60"/>
      <w:bookmarkEnd w:id="61"/>
      <w:bookmarkEnd w:id="62"/>
      <w:bookmarkEnd w:id="6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64" w:name="_Toc9121"/>
      <w:bookmarkStart w:id="65" w:name="_Toc28663"/>
      <w:bookmarkStart w:id="66" w:name="_Toc20888"/>
      <w:r>
        <w:rPr>
          <w:rFonts w:hint="eastAsia" w:asciiTheme="minorEastAsia" w:hAnsiTheme="minorEastAsia" w:eastAsiaTheme="minorEastAsia" w:cstheme="minorEastAsia"/>
          <w:sz w:val="24"/>
          <w:szCs w:val="24"/>
        </w:rPr>
        <w:t>2. 招标文件</w:t>
      </w:r>
      <w:bookmarkEnd w:id="21"/>
      <w:bookmarkEnd w:id="22"/>
      <w:bookmarkEnd w:id="23"/>
      <w:bookmarkEnd w:id="64"/>
      <w:bookmarkEnd w:id="65"/>
      <w:bookmarkEnd w:id="66"/>
    </w:p>
    <w:p>
      <w:pPr>
        <w:spacing w:line="500" w:lineRule="exact"/>
        <w:ind w:firstLine="482" w:firstLineChars="200"/>
        <w:rPr>
          <w:rFonts w:asciiTheme="minorEastAsia" w:hAnsiTheme="minorEastAsia" w:eastAsiaTheme="minorEastAsia" w:cstheme="minorEastAsia"/>
          <w:b/>
          <w:bCs/>
          <w:sz w:val="24"/>
        </w:rPr>
      </w:pPr>
      <w:bookmarkStart w:id="67" w:name="_Toc403122504"/>
      <w:bookmarkStart w:id="68" w:name="_Toc279599783"/>
      <w:bookmarkStart w:id="69" w:name="_Toc274249587"/>
      <w:bookmarkStart w:id="70" w:name="_Toc426369492"/>
      <w:r>
        <w:rPr>
          <w:rFonts w:hint="eastAsia" w:asciiTheme="minorEastAsia" w:hAnsiTheme="minorEastAsia" w:eastAsiaTheme="minorEastAsia" w:cstheme="minorEastAsia"/>
          <w:b/>
          <w:bCs/>
          <w:sz w:val="24"/>
        </w:rPr>
        <w:t>2.1 招标文件的组成</w:t>
      </w:r>
      <w:bookmarkEnd w:id="67"/>
      <w:bookmarkEnd w:id="68"/>
      <w:bookmarkEnd w:id="69"/>
      <w:bookmarkEnd w:id="7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71" w:name="_Toc426369493"/>
      <w:bookmarkStart w:id="72" w:name="_Toc274249588"/>
      <w:bookmarkStart w:id="73" w:name="_Toc279599784"/>
      <w:bookmarkStart w:id="74" w:name="_Toc403122505"/>
      <w:r>
        <w:rPr>
          <w:rFonts w:hint="eastAsia" w:asciiTheme="minorEastAsia" w:hAnsiTheme="minorEastAsia" w:eastAsiaTheme="minorEastAsia" w:cstheme="minorEastAsia"/>
          <w:b/>
          <w:bCs/>
          <w:sz w:val="24"/>
        </w:rPr>
        <w:t>2.2 招标文件的澄清</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75" w:name="_Toc403122506"/>
      <w:bookmarkStart w:id="76" w:name="_Toc274249589"/>
      <w:bookmarkStart w:id="77" w:name="_Toc279599785"/>
      <w:bookmarkStart w:id="78" w:name="_Toc426369494"/>
      <w:r>
        <w:rPr>
          <w:rFonts w:hint="eastAsia" w:asciiTheme="minorEastAsia" w:hAnsiTheme="minorEastAsia" w:eastAsiaTheme="minorEastAsia" w:cstheme="minorEastAsia"/>
          <w:b/>
          <w:bCs/>
          <w:sz w:val="24"/>
        </w:rPr>
        <w:t>2.3 招标文件的修改</w:t>
      </w:r>
      <w:bookmarkEnd w:id="75"/>
      <w:bookmarkEnd w:id="76"/>
      <w:bookmarkEnd w:id="77"/>
      <w:bookmarkEnd w:id="7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79" w:name="_Toc403122507"/>
      <w:bookmarkStart w:id="80" w:name="_Toc23265"/>
      <w:bookmarkStart w:id="81" w:name="_Toc426369495"/>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82" w:name="_Toc22914"/>
      <w:bookmarkStart w:id="83" w:name="_Toc13865"/>
      <w:bookmarkStart w:id="84" w:name="_Toc15031"/>
      <w:r>
        <w:rPr>
          <w:rFonts w:hint="eastAsia" w:asciiTheme="minorEastAsia" w:hAnsiTheme="minorEastAsia" w:eastAsiaTheme="minorEastAsia" w:cstheme="minorEastAsia"/>
          <w:sz w:val="24"/>
          <w:szCs w:val="24"/>
        </w:rPr>
        <w:t>3. 投标文件</w:t>
      </w:r>
      <w:bookmarkEnd w:id="79"/>
      <w:bookmarkEnd w:id="80"/>
      <w:bookmarkEnd w:id="81"/>
      <w:bookmarkEnd w:id="82"/>
      <w:bookmarkEnd w:id="83"/>
      <w:bookmarkEnd w:id="84"/>
    </w:p>
    <w:p>
      <w:pPr>
        <w:spacing w:line="500" w:lineRule="exact"/>
        <w:ind w:firstLine="482" w:firstLineChars="200"/>
        <w:rPr>
          <w:rFonts w:asciiTheme="minorEastAsia" w:hAnsiTheme="minorEastAsia" w:eastAsiaTheme="minorEastAsia" w:cstheme="minorEastAsia"/>
          <w:b/>
          <w:bCs/>
          <w:sz w:val="24"/>
        </w:rPr>
      </w:pPr>
      <w:bookmarkStart w:id="85" w:name="_Toc274249591"/>
      <w:bookmarkStart w:id="86" w:name="_Toc426369496"/>
      <w:bookmarkStart w:id="87" w:name="_Toc403122508"/>
      <w:bookmarkStart w:id="88" w:name="_Toc279599787"/>
      <w:r>
        <w:rPr>
          <w:rFonts w:hint="eastAsia" w:asciiTheme="minorEastAsia" w:hAnsiTheme="minorEastAsia" w:eastAsiaTheme="minorEastAsia" w:cstheme="minorEastAsia"/>
          <w:b/>
          <w:bCs/>
          <w:sz w:val="24"/>
        </w:rPr>
        <w:t>3.1 投标文件的组成</w:t>
      </w:r>
      <w:bookmarkEnd w:id="85"/>
      <w:bookmarkEnd w:id="86"/>
      <w:bookmarkEnd w:id="87"/>
      <w:bookmarkEnd w:id="8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89" w:name="_Toc279599788"/>
      <w:bookmarkStart w:id="90" w:name="_Toc274249592"/>
      <w:bookmarkStart w:id="91" w:name="_Toc426369497"/>
      <w:bookmarkStart w:id="92" w:name="_Toc403122509"/>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szCs w:val="21"/>
        </w:rPr>
        <w:t>四、</w:t>
      </w:r>
      <w:r>
        <w:rPr>
          <w:rFonts w:hint="eastAsia" w:ascii="宋体" w:hAnsi="宋体" w:cs="宋体"/>
          <w:color w:val="auto"/>
          <w:szCs w:val="21"/>
          <w:highlight w:val="none"/>
        </w:rPr>
        <w:t>项目实施方案等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五、供应商的资格证明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w:t>
      </w:r>
    </w:p>
    <w:p>
      <w:pPr>
        <w:pStyle w:val="2"/>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六、供应商服务承诺和优惠承诺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十、招标文件要求的或供应商认为需要加以说明的其他内容。</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注：1、符合《政府采购法》第二十二条规定的资格条件，按照采购文件约定提供资格承诺，不再提供资质资料，主要包括供应商</w:t>
      </w:r>
      <w:r>
        <w:rPr>
          <w:rFonts w:hint="eastAsia" w:ascii="宋体" w:hAnsi="宋体" w:eastAsia="宋体" w:cs="宋体"/>
          <w:b/>
          <w:bCs/>
          <w:color w:val="auto"/>
          <w:sz w:val="24"/>
          <w:highlight w:val="none"/>
          <w:lang w:eastAsia="zh-CN"/>
        </w:rPr>
        <w:t>在</w:t>
      </w:r>
      <w:r>
        <w:rPr>
          <w:rFonts w:hint="eastAsia" w:ascii="宋体" w:hAnsi="宋体" w:eastAsia="宋体" w:cs="宋体"/>
          <w:b/>
          <w:bCs/>
          <w:color w:val="auto"/>
          <w:sz w:val="24"/>
          <w:highlight w:val="none"/>
        </w:rPr>
        <w:t>响应文件中无需再提供营业执照、财务状况报告、依法缴纳税收和社会保障资金、具有履行合同所必须的设备和专业技术能力、参加政府采购活动前三年内再经营活动中没有重大违法</w:t>
      </w:r>
      <w:r>
        <w:rPr>
          <w:rFonts w:hint="eastAsia" w:ascii="宋体" w:hAnsi="宋体" w:cs="宋体"/>
          <w:b/>
          <w:bCs/>
          <w:color w:val="auto"/>
          <w:sz w:val="24"/>
          <w:highlight w:val="none"/>
          <w:lang w:eastAsia="zh-CN"/>
        </w:rPr>
        <w:t>记录</w:t>
      </w:r>
      <w:r>
        <w:rPr>
          <w:rFonts w:hint="eastAsia" w:ascii="宋体" w:hAnsi="宋体" w:eastAsia="宋体" w:cs="宋体"/>
          <w:b/>
          <w:bCs/>
          <w:color w:val="auto"/>
          <w:sz w:val="24"/>
          <w:highlight w:val="none"/>
        </w:rPr>
        <w:t>相关证明材料。</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中标</w:t>
      </w:r>
      <w:r>
        <w:rPr>
          <w:rFonts w:hint="eastAsia" w:ascii="宋体" w:hAnsi="宋体" w:eastAsia="宋体" w:cs="宋体"/>
          <w:b/>
          <w:bCs/>
          <w:color w:val="auto"/>
          <w:sz w:val="24"/>
          <w:highlight w:val="none"/>
        </w:rPr>
        <w:t>人在签订合同前需向采购人提供资格证明材料，资格证明材料包括： 营业执照、财务状况报告、依法缴纳税收和社会保障资金、具有履行合同所必须的设备和专业技术能力、参加政府采购活动前三年内在经营活动中没有重大违法纪律相关证明材料；</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9"/>
      <w:bookmarkEnd w:id="90"/>
      <w:bookmarkEnd w:id="91"/>
      <w:bookmarkEnd w:id="9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highlight w:val="none"/>
        </w:rPr>
        <w:t>3.2.1投标报价包括：供应商的投标报价应包括货物本身的费用、</w:t>
      </w:r>
      <w:r>
        <w:rPr>
          <w:rFonts w:hint="eastAsia" w:asciiTheme="minorEastAsia" w:hAnsiTheme="minorEastAsia" w:eastAsiaTheme="minorEastAsia" w:cstheme="minorEastAsia"/>
          <w:color w:val="auto"/>
          <w:szCs w:val="21"/>
          <w:highlight w:val="none"/>
          <w:lang w:val="en-US" w:eastAsia="zh-CN"/>
        </w:rPr>
        <w:t>改造费、</w:t>
      </w:r>
      <w:r>
        <w:rPr>
          <w:rFonts w:hint="eastAsia" w:asciiTheme="minorEastAsia" w:hAnsiTheme="minorEastAsia" w:eastAsiaTheme="minorEastAsia" w:cstheme="minorEastAsia"/>
          <w:color w:val="auto"/>
          <w:szCs w:val="21"/>
          <w:highlight w:val="none"/>
        </w:rPr>
        <w:t>包装费、运输费、装卸</w:t>
      </w:r>
      <w:r>
        <w:rPr>
          <w:rFonts w:hint="eastAsia" w:asciiTheme="minorEastAsia" w:hAnsiTheme="minorEastAsia" w:eastAsiaTheme="minorEastAsia" w:cstheme="minorEastAsia"/>
          <w:szCs w:val="21"/>
        </w:rPr>
        <w:t>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3" w:name="_Toc426369498"/>
      <w:bookmarkStart w:id="94" w:name="_Toc274249593"/>
      <w:bookmarkStart w:id="95" w:name="_Toc279599789"/>
      <w:bookmarkStart w:id="96" w:name="_Toc403122510"/>
      <w:r>
        <w:rPr>
          <w:rFonts w:hint="eastAsia" w:asciiTheme="minorEastAsia" w:hAnsiTheme="minorEastAsia" w:eastAsiaTheme="minorEastAsia" w:cstheme="minorEastAsia"/>
          <w:b/>
          <w:bCs/>
          <w:sz w:val="24"/>
        </w:rPr>
        <w:t>3.3 投标有效期</w:t>
      </w:r>
      <w:bookmarkEnd w:id="93"/>
      <w:bookmarkEnd w:id="94"/>
      <w:bookmarkEnd w:id="95"/>
      <w:bookmarkEnd w:id="9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97" w:name="_Toc274249595"/>
      <w:bookmarkStart w:id="98" w:name="_Toc279599791"/>
      <w:bookmarkStart w:id="99" w:name="_Toc426369501"/>
      <w:bookmarkStart w:id="100" w:name="_Toc403122512"/>
      <w:r>
        <w:rPr>
          <w:rFonts w:hint="eastAsia" w:asciiTheme="minorEastAsia" w:hAnsiTheme="minorEastAsia" w:eastAsiaTheme="minorEastAsia" w:cstheme="minorEastAsia"/>
          <w:b/>
          <w:bCs/>
          <w:sz w:val="24"/>
        </w:rPr>
        <w:t>3.5 资格审查资料</w:t>
      </w:r>
      <w:bookmarkEnd w:id="97"/>
      <w:bookmarkEnd w:id="98"/>
      <w:bookmarkEnd w:id="99"/>
      <w:bookmarkEnd w:id="100"/>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101" w:name="_Toc274249596"/>
      <w:bookmarkStart w:id="102" w:name="_Toc426369502"/>
      <w:bookmarkStart w:id="103" w:name="_Toc279599792"/>
      <w:bookmarkStart w:id="104" w:name="_Toc403122513"/>
      <w:r>
        <w:rPr>
          <w:rFonts w:hint="eastAsia" w:asciiTheme="minorEastAsia" w:hAnsiTheme="minorEastAsia" w:eastAsiaTheme="minorEastAsia" w:cstheme="minorEastAsia"/>
          <w:b/>
          <w:bCs/>
          <w:sz w:val="24"/>
        </w:rPr>
        <w:t>3.6 备选投标方案</w:t>
      </w:r>
      <w:bookmarkEnd w:id="101"/>
      <w:bookmarkEnd w:id="102"/>
      <w:bookmarkEnd w:id="103"/>
      <w:bookmarkEnd w:id="104"/>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5" w:name="_Toc279599793"/>
      <w:bookmarkStart w:id="106" w:name="_Toc274249597"/>
      <w:bookmarkStart w:id="107" w:name="_Toc426369503"/>
      <w:bookmarkStart w:id="108" w:name="_Toc403122514"/>
      <w:r>
        <w:rPr>
          <w:rFonts w:hint="eastAsia" w:asciiTheme="minorEastAsia" w:hAnsiTheme="minorEastAsia" w:eastAsiaTheme="minorEastAsia" w:cstheme="minorEastAsia"/>
          <w:b/>
          <w:bCs/>
          <w:sz w:val="24"/>
        </w:rPr>
        <w:t>3.7 投标文件的编制</w:t>
      </w:r>
      <w:bookmarkEnd w:id="105"/>
      <w:bookmarkEnd w:id="106"/>
      <w:bookmarkEnd w:id="107"/>
      <w:bookmarkEnd w:id="10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投标文件应当对招标文件有关供货</w:t>
      </w:r>
      <w:r>
        <w:rPr>
          <w:rFonts w:hint="eastAsia" w:asciiTheme="minorEastAsia" w:hAnsiTheme="minorEastAsia" w:eastAsiaTheme="minorEastAsia" w:cstheme="minorEastAsia"/>
          <w:szCs w:val="21"/>
          <w:lang w:val="en-US" w:eastAsia="zh-CN"/>
        </w:rPr>
        <w:t>安装</w:t>
      </w:r>
      <w:r>
        <w:rPr>
          <w:rFonts w:hint="eastAsia" w:asciiTheme="minorEastAsia" w:hAnsiTheme="minorEastAsia" w:eastAsiaTheme="minorEastAsia" w:cstheme="minorEastAsia"/>
          <w:szCs w:val="21"/>
        </w:rPr>
        <w:t>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09" w:name="_Toc403122515"/>
      <w:bookmarkStart w:id="110" w:name="_Toc21879"/>
      <w:bookmarkStart w:id="111" w:name="_Toc30100"/>
      <w:bookmarkStart w:id="112" w:name="_Toc31809"/>
      <w:bookmarkStart w:id="113" w:name="_Toc426369504"/>
      <w:bookmarkStart w:id="114" w:name="_Toc26998"/>
      <w:r>
        <w:rPr>
          <w:rFonts w:hint="eastAsia" w:asciiTheme="minorEastAsia" w:hAnsiTheme="minorEastAsia" w:eastAsiaTheme="minorEastAsia" w:cstheme="minorEastAsia"/>
          <w:sz w:val="24"/>
          <w:szCs w:val="24"/>
        </w:rPr>
        <w:t>4. 投标</w:t>
      </w:r>
      <w:bookmarkEnd w:id="109"/>
      <w:bookmarkEnd w:id="110"/>
      <w:bookmarkEnd w:id="111"/>
      <w:bookmarkEnd w:id="112"/>
      <w:bookmarkEnd w:id="113"/>
      <w:bookmarkEnd w:id="114"/>
    </w:p>
    <w:p>
      <w:pPr>
        <w:spacing w:line="500" w:lineRule="exact"/>
        <w:ind w:firstLine="482" w:firstLineChars="200"/>
        <w:rPr>
          <w:rFonts w:asciiTheme="minorEastAsia" w:hAnsiTheme="minorEastAsia" w:eastAsiaTheme="minorEastAsia" w:cstheme="minorEastAsia"/>
          <w:b/>
          <w:bCs/>
          <w:sz w:val="24"/>
        </w:rPr>
      </w:pPr>
      <w:bookmarkStart w:id="115" w:name="_Toc274249599"/>
      <w:bookmarkStart w:id="116" w:name="_Toc403122516"/>
      <w:bookmarkStart w:id="117" w:name="_Toc279599795"/>
      <w:bookmarkStart w:id="118" w:name="_Toc426369505"/>
      <w:r>
        <w:rPr>
          <w:rFonts w:hint="eastAsia" w:asciiTheme="minorEastAsia" w:hAnsiTheme="minorEastAsia" w:eastAsiaTheme="minorEastAsia" w:cstheme="minorEastAsia"/>
          <w:b/>
          <w:bCs/>
          <w:sz w:val="24"/>
        </w:rPr>
        <w:t>4.1 投标文件的密封和标记</w:t>
      </w:r>
      <w:bookmarkEnd w:id="115"/>
      <w:bookmarkEnd w:id="116"/>
      <w:bookmarkEnd w:id="117"/>
      <w:bookmarkEnd w:id="118"/>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19" w:name="_Toc279599796"/>
      <w:bookmarkStart w:id="120" w:name="_Toc426369506"/>
      <w:bookmarkStart w:id="121" w:name="_Toc403122517"/>
      <w:bookmarkStart w:id="122" w:name="_Toc274249600"/>
      <w:r>
        <w:rPr>
          <w:rFonts w:hint="eastAsia" w:asciiTheme="minorEastAsia" w:hAnsiTheme="minorEastAsia" w:eastAsiaTheme="minorEastAsia" w:cstheme="minorEastAsia"/>
          <w:b/>
          <w:bCs/>
          <w:sz w:val="24"/>
        </w:rPr>
        <w:t>4.2 投标文件的递交</w:t>
      </w:r>
      <w:bookmarkEnd w:id="119"/>
      <w:bookmarkEnd w:id="120"/>
      <w:bookmarkEnd w:id="121"/>
      <w:bookmarkEnd w:id="122"/>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3" w:name="_Hlt26954754"/>
      <w:bookmarkEnd w:id="123"/>
      <w:bookmarkStart w:id="124" w:name="_Hlt26954862"/>
      <w:bookmarkEnd w:id="124"/>
    </w:p>
    <w:p>
      <w:pPr>
        <w:spacing w:line="500" w:lineRule="exact"/>
        <w:ind w:firstLine="482" w:firstLineChars="200"/>
        <w:rPr>
          <w:rFonts w:asciiTheme="minorEastAsia" w:hAnsiTheme="minorEastAsia" w:eastAsiaTheme="minorEastAsia" w:cstheme="minorEastAsia"/>
          <w:b/>
          <w:bCs/>
          <w:sz w:val="24"/>
        </w:rPr>
      </w:pPr>
      <w:bookmarkStart w:id="125" w:name="_Toc426369507"/>
      <w:bookmarkStart w:id="126" w:name="_Toc279599797"/>
      <w:bookmarkStart w:id="127" w:name="_Toc403122518"/>
      <w:bookmarkStart w:id="128" w:name="_Toc274249601"/>
      <w:r>
        <w:rPr>
          <w:rFonts w:hint="eastAsia" w:asciiTheme="minorEastAsia" w:hAnsiTheme="minorEastAsia" w:eastAsiaTheme="minorEastAsia" w:cstheme="minorEastAsia"/>
          <w:b/>
          <w:bCs/>
          <w:sz w:val="24"/>
        </w:rPr>
        <w:t>4.3 投标文件的修改与撤回</w:t>
      </w:r>
      <w:bookmarkEnd w:id="125"/>
      <w:bookmarkEnd w:id="126"/>
      <w:bookmarkEnd w:id="127"/>
      <w:bookmarkEnd w:id="12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24"/>
        <w:spacing w:before="120" w:after="120" w:line="500" w:lineRule="exact"/>
        <w:ind w:right="-1029" w:rightChars="-490" w:firstLine="482" w:firstLineChars="200"/>
        <w:jc w:val="left"/>
        <w:outlineLvl w:val="1"/>
        <w:rPr>
          <w:rFonts w:asciiTheme="minorEastAsia" w:hAnsiTheme="minorEastAsia" w:eastAsiaTheme="minorEastAsia" w:cstheme="minorEastAsia"/>
          <w:sz w:val="24"/>
          <w:szCs w:val="24"/>
        </w:rPr>
      </w:pPr>
      <w:bookmarkStart w:id="129" w:name="_Toc22737"/>
      <w:bookmarkStart w:id="130" w:name="_Toc5457"/>
      <w:bookmarkStart w:id="131" w:name="_Toc32449"/>
      <w:bookmarkStart w:id="132" w:name="_Toc426369508"/>
      <w:bookmarkStart w:id="133" w:name="_Toc18170"/>
      <w:bookmarkStart w:id="134" w:name="_Toc403122519"/>
      <w:r>
        <w:rPr>
          <w:rFonts w:hint="eastAsia" w:asciiTheme="minorEastAsia" w:hAnsiTheme="minorEastAsia" w:eastAsiaTheme="minorEastAsia" w:cstheme="minorEastAsia"/>
          <w:sz w:val="24"/>
          <w:szCs w:val="24"/>
        </w:rPr>
        <w:t>5. 开标</w:t>
      </w:r>
      <w:bookmarkEnd w:id="129"/>
      <w:bookmarkEnd w:id="130"/>
      <w:bookmarkEnd w:id="131"/>
      <w:bookmarkEnd w:id="132"/>
      <w:bookmarkEnd w:id="133"/>
      <w:bookmarkEnd w:id="13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5.1.2供应商不足3家的，不得开标。  </w:t>
      </w:r>
    </w:p>
    <w:p>
      <w:pPr>
        <w:spacing w:line="500" w:lineRule="exact"/>
        <w:ind w:firstLine="482" w:firstLineChars="200"/>
        <w:rPr>
          <w:rFonts w:asciiTheme="minorEastAsia" w:hAnsiTheme="minorEastAsia" w:eastAsiaTheme="minorEastAsia" w:cstheme="minorEastAsia"/>
          <w:b/>
          <w:bCs/>
          <w:sz w:val="24"/>
        </w:rPr>
      </w:pPr>
      <w:bookmarkStart w:id="135" w:name="_Toc426369509"/>
      <w:bookmarkStart w:id="136" w:name="_Toc279599799"/>
      <w:bookmarkStart w:id="137" w:name="_Toc403122520"/>
      <w:bookmarkStart w:id="138" w:name="_Toc274249603"/>
      <w:r>
        <w:rPr>
          <w:rFonts w:hint="eastAsia" w:asciiTheme="minorEastAsia" w:hAnsiTheme="minorEastAsia" w:eastAsiaTheme="minorEastAsia" w:cstheme="minorEastAsia"/>
          <w:b/>
          <w:bCs/>
          <w:sz w:val="24"/>
        </w:rPr>
        <w:t>5.2 开标时间和地点</w:t>
      </w:r>
      <w:bookmarkEnd w:id="135"/>
      <w:bookmarkEnd w:id="136"/>
      <w:bookmarkEnd w:id="137"/>
      <w:bookmarkEnd w:id="13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39" w:name="_Toc279599800"/>
      <w:bookmarkStart w:id="140" w:name="_Toc403122521"/>
      <w:bookmarkStart w:id="141" w:name="_Toc274249604"/>
      <w:bookmarkStart w:id="142" w:name="_Toc426369510"/>
      <w:r>
        <w:rPr>
          <w:rFonts w:hint="eastAsia" w:asciiTheme="minorEastAsia" w:hAnsiTheme="minorEastAsia" w:eastAsiaTheme="minorEastAsia" w:cstheme="minorEastAsia"/>
          <w:b/>
          <w:bCs/>
          <w:sz w:val="24"/>
        </w:rPr>
        <w:t>5.3开标程序</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lang w:val="zh-CN"/>
        </w:rPr>
      </w:pPr>
      <w:bookmarkStart w:id="143"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630" w:firstLineChars="3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5.3.</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3"/>
    </w:p>
    <w:p>
      <w:pPr>
        <w:spacing w:line="400" w:lineRule="exact"/>
        <w:ind w:firstLine="420" w:firstLineChars="200"/>
        <w:rPr>
          <w:rFonts w:asciiTheme="minorEastAsia" w:hAnsiTheme="minorEastAsia" w:eastAsiaTheme="minorEastAsia" w:cstheme="minorEastAsia"/>
          <w:szCs w:val="21"/>
          <w:lang w:val="zh-CN"/>
        </w:rPr>
      </w:pPr>
      <w:bookmarkStart w:id="144" w:name="_Toc403122522"/>
      <w:bookmarkStart w:id="145" w:name="_Toc21662"/>
      <w:bookmarkStart w:id="146" w:name="_Toc12881"/>
      <w:bookmarkStart w:id="147" w:name="_Toc426369512"/>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供应商对开标有异议的，应当在开标现场提出（</w:t>
      </w:r>
      <w:bookmarkStart w:id="148" w:name="_Toc12998"/>
      <w:r>
        <w:rPr>
          <w:rFonts w:hint="eastAsia" w:asciiTheme="minorEastAsia" w:hAnsiTheme="minorEastAsia" w:eastAsiaTheme="minorEastAsia" w:cstheme="minorEastAsia"/>
          <w:szCs w:val="21"/>
          <w:lang w:val="zh-CN"/>
        </w:rPr>
        <w:t>语音异议</w:t>
      </w:r>
      <w:bookmarkEnd w:id="148"/>
      <w:r>
        <w:rPr>
          <w:rFonts w:hint="eastAsia" w:asciiTheme="minorEastAsia" w:hAnsiTheme="minorEastAsia" w:eastAsiaTheme="minorEastAsia" w:cstheme="minorEastAsia"/>
          <w:szCs w:val="21"/>
          <w:lang w:val="zh-CN"/>
        </w:rPr>
        <w:t>、</w:t>
      </w:r>
      <w:bookmarkStart w:id="149" w:name="_Toc20745"/>
      <w:r>
        <w:rPr>
          <w:rFonts w:hint="eastAsia" w:asciiTheme="minorEastAsia" w:hAnsiTheme="minorEastAsia" w:eastAsiaTheme="minorEastAsia" w:cstheme="minorEastAsia"/>
          <w:szCs w:val="21"/>
          <w:lang w:val="zh-CN"/>
        </w:rPr>
        <w:t>文字异议</w:t>
      </w:r>
      <w:bookmarkEnd w:id="149"/>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0" w:name="_Toc13445"/>
      <w:bookmarkStart w:id="151" w:name="_Toc9927"/>
      <w:r>
        <w:rPr>
          <w:rFonts w:hint="eastAsia" w:asciiTheme="minorEastAsia" w:hAnsiTheme="minorEastAsia" w:eastAsiaTheme="minorEastAsia" w:cstheme="minorEastAsia"/>
          <w:b/>
          <w:bCs/>
          <w:szCs w:val="21"/>
        </w:rPr>
        <w:t>5.资格审查工作</w:t>
      </w:r>
      <w:bookmarkEnd w:id="150"/>
      <w:bookmarkEnd w:id="151"/>
    </w:p>
    <w:p>
      <w:pPr>
        <w:spacing w:line="400" w:lineRule="exact"/>
        <w:ind w:firstLine="420" w:firstLineChars="200"/>
        <w:rPr>
          <w:rFonts w:asciiTheme="minorEastAsia" w:hAnsiTheme="minorEastAsia" w:eastAsiaTheme="minorEastAsia" w:cstheme="minorEastAsia"/>
          <w:szCs w:val="21"/>
        </w:rPr>
      </w:pPr>
      <w:bookmarkStart w:id="152" w:name="_Toc25275"/>
      <w:bookmarkStart w:id="153" w:name="_Toc25448"/>
      <w:bookmarkStart w:id="154" w:name="_Toc18888"/>
      <w:bookmarkStart w:id="155" w:name="_Toc15919"/>
      <w:bookmarkStart w:id="156" w:name="_Toc22488"/>
      <w:bookmarkStart w:id="157" w:name="_Toc18806"/>
      <w:bookmarkStart w:id="158" w:name="_Toc18803"/>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2"/>
      <w:bookmarkEnd w:id="153"/>
      <w:bookmarkEnd w:id="154"/>
      <w:bookmarkEnd w:id="155"/>
      <w:bookmarkEnd w:id="156"/>
      <w:bookmarkEnd w:id="157"/>
      <w:bookmarkEnd w:id="158"/>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59" w:name="_Toc6889"/>
      <w:bookmarkStart w:id="160" w:name="_Toc4643"/>
      <w:r>
        <w:rPr>
          <w:rFonts w:hint="eastAsia" w:asciiTheme="minorEastAsia" w:hAnsiTheme="minorEastAsia" w:eastAsiaTheme="minorEastAsia" w:cstheme="minorEastAsia"/>
          <w:sz w:val="24"/>
          <w:szCs w:val="24"/>
        </w:rPr>
        <w:t>6. 评标</w:t>
      </w:r>
      <w:bookmarkEnd w:id="144"/>
      <w:bookmarkEnd w:id="145"/>
      <w:bookmarkEnd w:id="146"/>
      <w:bookmarkEnd w:id="147"/>
      <w:bookmarkEnd w:id="159"/>
      <w:bookmarkEnd w:id="160"/>
    </w:p>
    <w:p>
      <w:pPr>
        <w:spacing w:line="500" w:lineRule="exact"/>
        <w:ind w:firstLine="482" w:firstLineChars="200"/>
        <w:rPr>
          <w:rFonts w:asciiTheme="minorEastAsia" w:hAnsiTheme="minorEastAsia" w:eastAsiaTheme="minorEastAsia" w:cstheme="minorEastAsia"/>
          <w:b/>
          <w:bCs/>
          <w:sz w:val="24"/>
        </w:rPr>
      </w:pPr>
      <w:bookmarkStart w:id="161" w:name="_Toc279599802"/>
      <w:bookmarkStart w:id="162" w:name="_Toc403122523"/>
      <w:bookmarkStart w:id="163" w:name="_Toc426369513"/>
      <w:bookmarkStart w:id="164" w:name="_Toc274249606"/>
      <w:r>
        <w:rPr>
          <w:rFonts w:hint="eastAsia" w:asciiTheme="minorEastAsia" w:hAnsiTheme="minorEastAsia" w:eastAsiaTheme="minorEastAsia" w:cstheme="minorEastAsia"/>
          <w:b/>
          <w:bCs/>
          <w:sz w:val="24"/>
        </w:rPr>
        <w:t>6.1 评标委员会</w:t>
      </w:r>
      <w:bookmarkEnd w:id="161"/>
      <w:bookmarkEnd w:id="162"/>
      <w:bookmarkEnd w:id="163"/>
      <w:bookmarkEnd w:id="16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5" w:name="_Toc274249607"/>
      <w:bookmarkStart w:id="166" w:name="_Toc279599803"/>
      <w:bookmarkStart w:id="167" w:name="_Toc426369514"/>
      <w:bookmarkStart w:id="168" w:name="_Toc403122524"/>
      <w:r>
        <w:rPr>
          <w:rFonts w:hint="eastAsia" w:asciiTheme="minorEastAsia" w:hAnsiTheme="minorEastAsia" w:eastAsiaTheme="minorEastAsia" w:cstheme="minorEastAsia"/>
          <w:b/>
          <w:bCs/>
          <w:sz w:val="24"/>
        </w:rPr>
        <w:t>6.2 评标原则</w:t>
      </w:r>
      <w:bookmarkEnd w:id="165"/>
      <w:bookmarkEnd w:id="166"/>
      <w:bookmarkEnd w:id="167"/>
      <w:bookmarkEnd w:id="16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69" w:name="_Toc403122525"/>
      <w:bookmarkStart w:id="170" w:name="_Toc274249608"/>
      <w:bookmarkStart w:id="171" w:name="_Toc279599804"/>
      <w:bookmarkStart w:id="172" w:name="_Toc426369515"/>
      <w:r>
        <w:rPr>
          <w:rFonts w:hint="eastAsia" w:asciiTheme="minorEastAsia" w:hAnsiTheme="minorEastAsia" w:eastAsiaTheme="minorEastAsia" w:cstheme="minorEastAsia"/>
          <w:b/>
          <w:bCs/>
          <w:sz w:val="24"/>
        </w:rPr>
        <w:t>6.3 评标</w:t>
      </w:r>
      <w:bookmarkEnd w:id="169"/>
      <w:bookmarkEnd w:id="170"/>
      <w:bookmarkEnd w:id="171"/>
      <w:bookmarkEnd w:id="17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同供应商的投标文件由同一单位或者个人编制；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（2）不同供应商委托同一单位或者个人办理投标事宜；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（5）不同供应商的投标文件相互混装；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（2）要求供应商对投标文件有关事项作出澄清或者说明；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（4）因重大变故，采购任务取消的。废标后，采购人应当将废标理由通知所有供应商。</w:t>
      </w:r>
    </w:p>
    <w:p>
      <w:pPr>
        <w:pStyle w:val="24"/>
        <w:spacing w:before="120" w:after="120" w:line="500" w:lineRule="exact"/>
        <w:ind w:right="-1029" w:rightChars="-490" w:firstLine="482" w:firstLineChars="200"/>
        <w:jc w:val="both"/>
        <w:outlineLvl w:val="1"/>
      </w:pPr>
      <w:bookmarkStart w:id="173" w:name="_Toc8566"/>
      <w:bookmarkStart w:id="174" w:name="_Toc426369516"/>
      <w:bookmarkStart w:id="175" w:name="_Toc17811"/>
      <w:bookmarkStart w:id="176" w:name="_Toc26569"/>
      <w:bookmarkStart w:id="177" w:name="_Toc403122526"/>
      <w:bookmarkStart w:id="178" w:name="_Toc22968"/>
      <w:r>
        <w:rPr>
          <w:rFonts w:hint="eastAsia" w:asciiTheme="minorEastAsia" w:hAnsiTheme="minorEastAsia" w:eastAsiaTheme="minorEastAsia" w:cstheme="minorEastAsia"/>
          <w:sz w:val="24"/>
          <w:szCs w:val="24"/>
        </w:rPr>
        <w:t>7. 合同授予</w:t>
      </w:r>
      <w:bookmarkEnd w:id="173"/>
      <w:bookmarkEnd w:id="174"/>
      <w:bookmarkEnd w:id="175"/>
      <w:bookmarkEnd w:id="176"/>
      <w:bookmarkEnd w:id="177"/>
      <w:bookmarkEnd w:id="178"/>
    </w:p>
    <w:p>
      <w:pPr>
        <w:spacing w:line="500" w:lineRule="exact"/>
        <w:ind w:firstLine="482" w:firstLineChars="200"/>
        <w:rPr>
          <w:rFonts w:asciiTheme="minorEastAsia" w:hAnsiTheme="minorEastAsia" w:eastAsiaTheme="minorEastAsia" w:cstheme="minorEastAsia"/>
          <w:b/>
          <w:bCs/>
          <w:sz w:val="24"/>
        </w:rPr>
      </w:pPr>
      <w:bookmarkStart w:id="179" w:name="_Toc279599806"/>
      <w:bookmarkStart w:id="180" w:name="_Toc426369517"/>
      <w:bookmarkStart w:id="181" w:name="_Toc403122527"/>
      <w:bookmarkStart w:id="182" w:name="_Toc274249610"/>
      <w:r>
        <w:rPr>
          <w:rFonts w:hint="eastAsia" w:asciiTheme="minorEastAsia" w:hAnsiTheme="minorEastAsia" w:eastAsiaTheme="minorEastAsia" w:cstheme="minorEastAsia"/>
          <w:b/>
          <w:bCs/>
          <w:sz w:val="24"/>
        </w:rPr>
        <w:t>7.1 定标方式</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83" w:name="_Toc403122528"/>
      <w:bookmarkStart w:id="184" w:name="_Toc279599807"/>
      <w:bookmarkStart w:id="185" w:name="_Toc274249611"/>
      <w:bookmarkStart w:id="186" w:name="_Toc426369518"/>
      <w:r>
        <w:rPr>
          <w:rFonts w:hint="eastAsia" w:asciiTheme="minorEastAsia" w:hAnsiTheme="minorEastAsia" w:eastAsiaTheme="minorEastAsia" w:cstheme="minorEastAsia"/>
          <w:b/>
          <w:bCs/>
          <w:sz w:val="24"/>
        </w:rPr>
        <w:t>7.2 中标通知</w:t>
      </w:r>
      <w:bookmarkEnd w:id="183"/>
      <w:bookmarkEnd w:id="184"/>
      <w:bookmarkEnd w:id="185"/>
      <w:bookmarkEnd w:id="18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7" w:name="_Toc274249612"/>
      <w:bookmarkStart w:id="188" w:name="_Toc311550376"/>
      <w:bookmarkStart w:id="189" w:name="_Toc279599808"/>
      <w:bookmarkStart w:id="190" w:name="_Toc403122529"/>
      <w:bookmarkStart w:id="191" w:name="_Toc426369519"/>
      <w:r>
        <w:rPr>
          <w:rFonts w:hint="eastAsia" w:asciiTheme="minorEastAsia" w:hAnsiTheme="minorEastAsia" w:eastAsiaTheme="minorEastAsia" w:cstheme="minorEastAsia"/>
          <w:b/>
          <w:bCs/>
          <w:sz w:val="24"/>
        </w:rPr>
        <w:t>7.3履约</w:t>
      </w:r>
      <w:bookmarkEnd w:id="187"/>
      <w:bookmarkEnd w:id="188"/>
      <w:bookmarkEnd w:id="189"/>
      <w:r>
        <w:rPr>
          <w:rFonts w:hint="eastAsia" w:asciiTheme="minorEastAsia" w:hAnsiTheme="minorEastAsia" w:eastAsiaTheme="minorEastAsia" w:cstheme="minorEastAsia"/>
          <w:b/>
          <w:bCs/>
          <w:sz w:val="24"/>
        </w:rPr>
        <w:t>保证金</w:t>
      </w:r>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500" w:lineRule="exact"/>
        <w:ind w:firstLine="482" w:firstLineChars="200"/>
        <w:rPr>
          <w:rFonts w:asciiTheme="minorEastAsia" w:hAnsiTheme="minorEastAsia" w:eastAsiaTheme="minorEastAsia" w:cstheme="minorEastAsia"/>
          <w:b/>
          <w:bCs/>
          <w:sz w:val="24"/>
        </w:rPr>
      </w:pPr>
      <w:bookmarkStart w:id="192" w:name="_Toc274249613"/>
      <w:bookmarkStart w:id="193" w:name="_Toc426369520"/>
      <w:bookmarkStart w:id="194" w:name="_Toc279599809"/>
      <w:bookmarkStart w:id="195" w:name="_Toc403122530"/>
      <w:r>
        <w:rPr>
          <w:rFonts w:hint="eastAsia" w:asciiTheme="minorEastAsia" w:hAnsiTheme="minorEastAsia" w:eastAsiaTheme="minorEastAsia" w:cstheme="minorEastAsia"/>
          <w:b/>
          <w:bCs/>
          <w:sz w:val="24"/>
        </w:rPr>
        <w:t>7.4 签订合同</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96" w:name="_Toc10417"/>
      <w:bookmarkStart w:id="197" w:name="_Toc426369521"/>
      <w:bookmarkStart w:id="198" w:name="_Toc403122531"/>
      <w:bookmarkStart w:id="199" w:name="_Toc30009"/>
      <w:bookmarkStart w:id="200" w:name="_Toc29014"/>
      <w:bookmarkStart w:id="201" w:name="_Toc10541"/>
      <w:r>
        <w:rPr>
          <w:rFonts w:hint="eastAsia" w:asciiTheme="minorEastAsia" w:hAnsiTheme="minorEastAsia" w:eastAsiaTheme="minorEastAsia" w:cstheme="minorEastAsia"/>
          <w:sz w:val="24"/>
          <w:szCs w:val="24"/>
        </w:rPr>
        <w:t>8. 重新招标</w:t>
      </w:r>
      <w:bookmarkEnd w:id="196"/>
      <w:bookmarkEnd w:id="197"/>
      <w:bookmarkEnd w:id="198"/>
      <w:bookmarkEnd w:id="199"/>
      <w:bookmarkEnd w:id="200"/>
      <w:bookmarkEnd w:id="201"/>
    </w:p>
    <w:p>
      <w:pPr>
        <w:spacing w:line="500" w:lineRule="exact"/>
        <w:ind w:firstLine="482" w:firstLineChars="200"/>
        <w:rPr>
          <w:rFonts w:asciiTheme="minorEastAsia" w:hAnsiTheme="minorEastAsia" w:eastAsiaTheme="minorEastAsia" w:cstheme="minorEastAsia"/>
          <w:b/>
          <w:bCs/>
          <w:sz w:val="24"/>
        </w:rPr>
      </w:pPr>
      <w:bookmarkStart w:id="202" w:name="_Toc426369522"/>
      <w:bookmarkStart w:id="203" w:name="_Toc403122532"/>
      <w:bookmarkStart w:id="204" w:name="_Toc279599811"/>
      <w:bookmarkStart w:id="205" w:name="_Toc274249615"/>
      <w:r>
        <w:rPr>
          <w:rFonts w:hint="eastAsia" w:asciiTheme="minorEastAsia" w:hAnsiTheme="minorEastAsia" w:eastAsiaTheme="minorEastAsia" w:cstheme="minorEastAsia"/>
          <w:b/>
          <w:bCs/>
          <w:sz w:val="24"/>
        </w:rPr>
        <w:t>8.1 重新招标</w:t>
      </w:r>
      <w:bookmarkEnd w:id="202"/>
      <w:bookmarkEnd w:id="203"/>
      <w:bookmarkEnd w:id="204"/>
      <w:bookmarkEnd w:id="20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06" w:name="_Toc27398"/>
      <w:bookmarkStart w:id="207" w:name="_Toc14622"/>
      <w:bookmarkStart w:id="208" w:name="_Toc3760"/>
      <w:bookmarkStart w:id="209" w:name="_Toc403122533"/>
      <w:bookmarkStart w:id="210" w:name="_Toc10372"/>
      <w:bookmarkStart w:id="211" w:name="_Toc426369523"/>
      <w:r>
        <w:rPr>
          <w:rFonts w:hint="eastAsia" w:asciiTheme="minorEastAsia" w:hAnsiTheme="minorEastAsia" w:eastAsiaTheme="minorEastAsia" w:cstheme="minorEastAsia"/>
          <w:sz w:val="24"/>
          <w:szCs w:val="24"/>
        </w:rPr>
        <w:t>9. 纪律和监督</w:t>
      </w:r>
      <w:bookmarkEnd w:id="206"/>
      <w:bookmarkEnd w:id="207"/>
      <w:bookmarkEnd w:id="208"/>
      <w:bookmarkEnd w:id="209"/>
      <w:bookmarkEnd w:id="210"/>
      <w:bookmarkEnd w:id="211"/>
    </w:p>
    <w:p>
      <w:pPr>
        <w:spacing w:line="500" w:lineRule="exact"/>
        <w:ind w:firstLine="482" w:firstLineChars="200"/>
        <w:rPr>
          <w:rFonts w:asciiTheme="minorEastAsia" w:hAnsiTheme="minorEastAsia" w:eastAsiaTheme="minorEastAsia" w:cstheme="minorEastAsia"/>
          <w:b/>
          <w:bCs/>
          <w:sz w:val="24"/>
        </w:rPr>
      </w:pPr>
      <w:bookmarkStart w:id="212" w:name="_Toc403122534"/>
      <w:bookmarkStart w:id="213" w:name="_Toc274249618"/>
      <w:bookmarkStart w:id="214" w:name="_Toc426369524"/>
      <w:bookmarkStart w:id="215" w:name="_Toc279599814"/>
      <w:r>
        <w:rPr>
          <w:rFonts w:hint="eastAsia" w:asciiTheme="minorEastAsia" w:hAnsiTheme="minorEastAsia" w:eastAsiaTheme="minorEastAsia" w:cstheme="minorEastAsia"/>
          <w:b/>
          <w:bCs/>
          <w:sz w:val="24"/>
        </w:rPr>
        <w:t>9.1 对采购人的纪律要求</w:t>
      </w:r>
      <w:bookmarkEnd w:id="212"/>
      <w:bookmarkEnd w:id="213"/>
      <w:bookmarkEnd w:id="214"/>
      <w:bookmarkEnd w:id="21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6" w:name="_Toc403122535"/>
      <w:bookmarkStart w:id="217" w:name="_Toc274249619"/>
      <w:bookmarkStart w:id="218" w:name="_Toc279599815"/>
      <w:bookmarkStart w:id="219" w:name="_Toc426369525"/>
      <w:r>
        <w:rPr>
          <w:rFonts w:hint="eastAsia" w:asciiTheme="minorEastAsia" w:hAnsiTheme="minorEastAsia" w:eastAsiaTheme="minorEastAsia" w:cstheme="minorEastAsia"/>
          <w:b/>
          <w:bCs/>
          <w:sz w:val="24"/>
        </w:rPr>
        <w:t>9.2 对供应商的纪律要求</w:t>
      </w:r>
      <w:bookmarkEnd w:id="216"/>
      <w:bookmarkEnd w:id="217"/>
      <w:bookmarkEnd w:id="218"/>
      <w:bookmarkEnd w:id="21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220" w:name="_Toc426369526"/>
      <w:bookmarkStart w:id="221" w:name="_Toc279599816"/>
      <w:bookmarkStart w:id="222" w:name="_Toc274249620"/>
      <w:bookmarkStart w:id="223" w:name="_Toc403122536"/>
      <w:r>
        <w:rPr>
          <w:rFonts w:hint="eastAsia" w:asciiTheme="minorEastAsia" w:hAnsiTheme="minorEastAsia" w:eastAsiaTheme="minorEastAsia" w:cstheme="minorEastAsia"/>
          <w:b/>
          <w:bCs/>
          <w:sz w:val="24"/>
        </w:rPr>
        <w:t>9.3 对评标委员会成员的纪律要求</w:t>
      </w:r>
      <w:bookmarkEnd w:id="220"/>
      <w:bookmarkEnd w:id="221"/>
      <w:bookmarkEnd w:id="222"/>
      <w:bookmarkEnd w:id="22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24" w:name="_Toc426369527"/>
      <w:bookmarkStart w:id="225" w:name="_Toc279599817"/>
      <w:bookmarkStart w:id="226" w:name="_Toc403122537"/>
      <w:bookmarkStart w:id="227" w:name="_Toc274249621"/>
      <w:r>
        <w:rPr>
          <w:rFonts w:hint="eastAsia" w:asciiTheme="minorEastAsia" w:hAnsiTheme="minorEastAsia" w:eastAsiaTheme="minorEastAsia" w:cstheme="minorEastAsia"/>
          <w:b/>
          <w:bCs/>
          <w:sz w:val="24"/>
        </w:rPr>
        <w:t>9.4 对与评标活动有关的工作人员的纪律要求</w:t>
      </w:r>
      <w:bookmarkEnd w:id="224"/>
      <w:bookmarkEnd w:id="225"/>
      <w:bookmarkEnd w:id="226"/>
      <w:bookmarkEnd w:id="22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28" w:name="_Toc403122538"/>
      <w:bookmarkStart w:id="229" w:name="_Toc274249622"/>
      <w:bookmarkStart w:id="230" w:name="_Toc426369528"/>
      <w:bookmarkStart w:id="231" w:name="_Toc279599818"/>
      <w:r>
        <w:rPr>
          <w:rFonts w:hint="eastAsia" w:asciiTheme="minorEastAsia" w:hAnsiTheme="minorEastAsia" w:eastAsiaTheme="minorEastAsia" w:cstheme="minorEastAsia"/>
          <w:b/>
          <w:bCs/>
          <w:sz w:val="24"/>
        </w:rPr>
        <w:t>9.5 投诉</w:t>
      </w:r>
      <w:bookmarkEnd w:id="228"/>
      <w:bookmarkEnd w:id="229"/>
      <w:bookmarkEnd w:id="230"/>
      <w:bookmarkEnd w:id="23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24"/>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32" w:name="_Toc403122539"/>
      <w:bookmarkStart w:id="233" w:name="_Toc26812"/>
      <w:bookmarkStart w:id="234" w:name="_Toc13281"/>
      <w:bookmarkStart w:id="235" w:name="_Toc10880"/>
      <w:bookmarkStart w:id="236" w:name="_Toc426369529"/>
      <w:bookmarkStart w:id="237" w:name="_Toc25080"/>
      <w:r>
        <w:rPr>
          <w:rFonts w:hint="eastAsia" w:asciiTheme="minorEastAsia" w:hAnsiTheme="minorEastAsia" w:eastAsiaTheme="minorEastAsia" w:cstheme="minorEastAsia"/>
          <w:sz w:val="24"/>
          <w:szCs w:val="24"/>
        </w:rPr>
        <w:t>10. 需要补充的其他内容</w:t>
      </w:r>
      <w:bookmarkEnd w:id="232"/>
      <w:bookmarkEnd w:id="233"/>
      <w:bookmarkEnd w:id="234"/>
      <w:bookmarkEnd w:id="235"/>
      <w:bookmarkEnd w:id="236"/>
      <w:bookmarkEnd w:id="23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43"/>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4"/>
        <w:numPr>
          <w:ilvl w:val="0"/>
          <w:numId w:val="7"/>
        </w:numPr>
        <w:spacing w:line="600" w:lineRule="exact"/>
        <w:ind w:left="2520" w:leftChars="0" w:right="-63" w:rightChars="-30" w:firstLineChars="0"/>
        <w:rPr>
          <w:rFonts w:asciiTheme="minorEastAsia" w:hAnsiTheme="minorEastAsia" w:eastAsiaTheme="minorEastAsia" w:cstheme="minorEastAsia"/>
          <w:sz w:val="36"/>
          <w:szCs w:val="36"/>
        </w:rPr>
      </w:pPr>
      <w:bookmarkStart w:id="238" w:name="_Toc403122540"/>
      <w:bookmarkStart w:id="239" w:name="_Toc28433"/>
      <w:bookmarkStart w:id="240" w:name="_Toc426369530"/>
      <w:bookmarkStart w:id="241" w:name="_Toc8251"/>
      <w:bookmarkStart w:id="242" w:name="_Toc32119"/>
      <w:r>
        <w:rPr>
          <w:rFonts w:hint="eastAsia" w:asciiTheme="minorEastAsia" w:hAnsiTheme="minorEastAsia" w:eastAsiaTheme="minorEastAsia" w:cstheme="minorEastAsia"/>
          <w:sz w:val="36"/>
          <w:szCs w:val="36"/>
        </w:rPr>
        <w:t>评标办法</w:t>
      </w:r>
      <w:bookmarkEnd w:id="238"/>
      <w:bookmarkEnd w:id="239"/>
      <w:bookmarkEnd w:id="240"/>
      <w:r>
        <w:rPr>
          <w:rFonts w:hint="eastAsia" w:asciiTheme="minorEastAsia" w:hAnsiTheme="minorEastAsia" w:eastAsiaTheme="minorEastAsia" w:cstheme="minorEastAsia"/>
          <w:sz w:val="36"/>
          <w:szCs w:val="36"/>
        </w:rPr>
        <w:t>（综合评分法）</w:t>
      </w:r>
      <w:bookmarkEnd w:id="241"/>
      <w:bookmarkEnd w:id="242"/>
    </w:p>
    <w:p>
      <w:pPr>
        <w:pStyle w:val="52"/>
        <w:spacing w:line="540" w:lineRule="exact"/>
        <w:jc w:val="center"/>
        <w:outlineLvl w:val="1"/>
        <w:rPr>
          <w:rFonts w:asciiTheme="minorEastAsia" w:hAnsiTheme="minorEastAsia" w:eastAsiaTheme="minorEastAsia" w:cstheme="minorEastAsia"/>
          <w:b/>
          <w:bCs/>
          <w:sz w:val="28"/>
          <w:szCs w:val="28"/>
        </w:rPr>
      </w:pPr>
      <w:bookmarkStart w:id="243" w:name="_Toc21885"/>
      <w:bookmarkStart w:id="244" w:name="_Toc17859"/>
      <w:bookmarkStart w:id="245" w:name="_Toc29947"/>
      <w:bookmarkStart w:id="246" w:name="_Toc9561"/>
      <w:bookmarkStart w:id="247" w:name="_Toc30933"/>
      <w:bookmarkStart w:id="248" w:name="_Toc16529"/>
      <w:bookmarkStart w:id="249" w:name="_Toc2761070"/>
      <w:r>
        <w:rPr>
          <w:rFonts w:hint="eastAsia" w:asciiTheme="minorEastAsia" w:hAnsiTheme="minorEastAsia" w:eastAsiaTheme="minorEastAsia" w:cstheme="minorEastAsia"/>
          <w:b/>
          <w:bCs/>
          <w:sz w:val="28"/>
          <w:szCs w:val="28"/>
        </w:rPr>
        <w:t>评分办法前附表</w:t>
      </w:r>
      <w:bookmarkEnd w:id="243"/>
      <w:bookmarkEnd w:id="244"/>
      <w:bookmarkEnd w:id="245"/>
      <w:bookmarkEnd w:id="246"/>
      <w:bookmarkEnd w:id="247"/>
    </w:p>
    <w:bookmarkEnd w:id="248"/>
    <w:tbl>
      <w:tblPr>
        <w:tblStyle w:val="26"/>
        <w:tblpPr w:leftFromText="180" w:rightFromText="180" w:vertAnchor="text" w:horzAnchor="page" w:tblpX="1443" w:tblpY="363"/>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5"/>
        <w:gridCol w:w="2880"/>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807" w:type="dxa"/>
            <w:noWrap w:val="0"/>
            <w:vAlign w:val="center"/>
          </w:tcPr>
          <w:p>
            <w:pPr>
              <w:spacing w:line="560" w:lineRule="exact"/>
              <w:jc w:val="center"/>
              <w:rPr>
                <w:rFonts w:ascii="宋体" w:hAnsi="宋体" w:cs="宋体"/>
                <w:b/>
                <w:color w:val="000000"/>
                <w:szCs w:val="21"/>
              </w:rPr>
            </w:pPr>
            <w:bookmarkStart w:id="250" w:name="_Toc403122541"/>
            <w:bookmarkStart w:id="251" w:name="_Toc426369531"/>
            <w:bookmarkStart w:id="252" w:name="_Toc31084"/>
            <w:r>
              <w:rPr>
                <w:rFonts w:hint="eastAsia" w:ascii="宋体" w:hAnsi="宋体" w:cs="宋体"/>
                <w:b/>
                <w:bCs/>
                <w:color w:val="000000"/>
                <w:kern w:val="0"/>
                <w:szCs w:val="21"/>
              </w:rPr>
              <w:t>审查主体</w:t>
            </w:r>
          </w:p>
        </w:tc>
        <w:tc>
          <w:tcPr>
            <w:tcW w:w="3975" w:type="dxa"/>
            <w:gridSpan w:val="2"/>
            <w:noWrap w:val="0"/>
            <w:vAlign w:val="center"/>
          </w:tcPr>
          <w:p>
            <w:pPr>
              <w:spacing w:line="560" w:lineRule="exact"/>
              <w:jc w:val="center"/>
              <w:rPr>
                <w:rFonts w:ascii="宋体" w:hAnsi="宋体" w:cs="宋体"/>
                <w:b/>
                <w:color w:val="000000"/>
                <w:szCs w:val="21"/>
              </w:rPr>
            </w:pPr>
            <w:r>
              <w:rPr>
                <w:rFonts w:hint="eastAsia" w:ascii="宋体" w:hAnsi="宋体" w:cs="宋体"/>
                <w:b/>
                <w:color w:val="000000"/>
                <w:szCs w:val="21"/>
              </w:rPr>
              <w:t>评审因素</w:t>
            </w:r>
          </w:p>
        </w:tc>
        <w:tc>
          <w:tcPr>
            <w:tcW w:w="4418" w:type="dxa"/>
            <w:noWrap w:val="0"/>
            <w:vAlign w:val="center"/>
          </w:tcPr>
          <w:p>
            <w:pPr>
              <w:tabs>
                <w:tab w:val="left" w:pos="417"/>
                <w:tab w:val="center" w:pos="2999"/>
              </w:tabs>
              <w:spacing w:line="560" w:lineRule="exact"/>
              <w:jc w:val="left"/>
              <w:rPr>
                <w:rFonts w:ascii="宋体" w:hAnsi="宋体" w:cs="宋体"/>
                <w:b/>
                <w:color w:val="000000"/>
                <w:szCs w:val="21"/>
              </w:rPr>
            </w:pPr>
            <w:r>
              <w:rPr>
                <w:rFonts w:hint="eastAsia" w:ascii="宋体" w:hAnsi="宋体" w:cs="宋体"/>
                <w:b/>
                <w:color w:val="000000"/>
                <w:szCs w:val="21"/>
              </w:rPr>
              <w:tab/>
            </w:r>
            <w:r>
              <w:rPr>
                <w:rFonts w:hint="eastAsia" w:ascii="宋体" w:hAnsi="宋体" w:cs="宋体"/>
                <w:b/>
                <w:color w:val="000000"/>
                <w:szCs w:val="21"/>
              </w:rPr>
              <w:tab/>
            </w: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807" w:type="dxa"/>
            <w:vMerge w:val="restart"/>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资格审查小组</w:t>
            </w:r>
          </w:p>
        </w:tc>
        <w:tc>
          <w:tcPr>
            <w:tcW w:w="1095" w:type="dxa"/>
            <w:vMerge w:val="restart"/>
            <w:noWrap w:val="0"/>
            <w:vAlign w:val="center"/>
          </w:tcPr>
          <w:p>
            <w:pPr>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一、资格评审标准</w:t>
            </w:r>
          </w:p>
        </w:tc>
        <w:tc>
          <w:tcPr>
            <w:tcW w:w="2880" w:type="dxa"/>
            <w:noWrap w:val="0"/>
            <w:vAlign w:val="center"/>
          </w:tcPr>
          <w:p>
            <w:pPr>
              <w:spacing w:line="5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营业执照、税务登记证、组织机构代码证</w:t>
            </w:r>
          </w:p>
        </w:tc>
        <w:tc>
          <w:tcPr>
            <w:tcW w:w="4418" w:type="dxa"/>
            <w:noWrap w:val="0"/>
            <w:vAlign w:val="center"/>
          </w:tcPr>
          <w:p>
            <w:pPr>
              <w:spacing w:line="560" w:lineRule="exact"/>
              <w:rPr>
                <w:rFonts w:hint="default" w:ascii="宋体" w:hAnsi="宋体" w:eastAsia="宋体" w:cs="宋体"/>
                <w:color w:val="000000"/>
                <w:szCs w:val="21"/>
                <w:highlight w:val="none"/>
                <w:lang w:val="en-US" w:eastAsia="zh-CN"/>
              </w:rPr>
            </w:pPr>
            <w:r>
              <w:rPr>
                <w:rFonts w:hint="eastAsia" w:ascii="宋体" w:hAnsi="宋体" w:cs="宋体"/>
                <w:sz w:val="24"/>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807" w:type="dxa"/>
            <w:vMerge w:val="continue"/>
            <w:noWrap w:val="0"/>
            <w:vAlign w:val="center"/>
          </w:tcPr>
          <w:p>
            <w:pPr>
              <w:spacing w:line="560" w:lineRule="exact"/>
              <w:jc w:val="center"/>
              <w:rPr>
                <w:rFonts w:hint="eastAsia" w:ascii="宋体" w:hAnsi="宋体" w:cs="宋体"/>
                <w:color w:val="000000"/>
                <w:szCs w:val="21"/>
              </w:rPr>
            </w:pPr>
          </w:p>
        </w:tc>
        <w:tc>
          <w:tcPr>
            <w:tcW w:w="1095" w:type="dxa"/>
            <w:vMerge w:val="continue"/>
            <w:noWrap w:val="0"/>
            <w:vAlign w:val="center"/>
          </w:tcPr>
          <w:p>
            <w:pPr>
              <w:spacing w:line="560" w:lineRule="exact"/>
              <w:jc w:val="center"/>
              <w:rPr>
                <w:rFonts w:hint="eastAsia" w:ascii="宋体" w:hAnsi="宋体" w:cs="宋体"/>
                <w:color w:val="000000"/>
                <w:szCs w:val="21"/>
                <w:highlight w:val="none"/>
              </w:rPr>
            </w:pPr>
          </w:p>
        </w:tc>
        <w:tc>
          <w:tcPr>
            <w:tcW w:w="2880" w:type="dxa"/>
            <w:noWrap w:val="0"/>
            <w:vAlign w:val="center"/>
          </w:tcPr>
          <w:p>
            <w:pPr>
              <w:spacing w:line="560" w:lineRule="exact"/>
              <w:jc w:val="center"/>
              <w:rPr>
                <w:rFonts w:hint="eastAsia" w:ascii="宋体" w:hAnsi="宋体" w:eastAsia="宋体" w:cs="宋体"/>
                <w:color w:val="000000"/>
                <w:szCs w:val="21"/>
                <w:highlight w:val="none"/>
                <w:lang w:eastAsia="zh-CN"/>
              </w:rPr>
            </w:pPr>
            <w:r>
              <w:rPr>
                <w:rFonts w:hint="eastAsia" w:ascii="宋体" w:hAnsi="宋体" w:cs="宋体"/>
                <w:sz w:val="24"/>
              </w:rPr>
              <w:t>《中华人民共和国政府采购法》第二十二条规定</w:t>
            </w:r>
            <w:r>
              <w:rPr>
                <w:rFonts w:hint="eastAsia" w:ascii="宋体" w:hAnsi="宋体" w:cs="宋体"/>
                <w:sz w:val="24"/>
                <w:lang w:eastAsia="zh-CN"/>
              </w:rPr>
              <w:t>》</w:t>
            </w:r>
          </w:p>
        </w:tc>
        <w:tc>
          <w:tcPr>
            <w:tcW w:w="4418" w:type="dxa"/>
            <w:noWrap w:val="0"/>
            <w:vAlign w:val="center"/>
          </w:tcPr>
          <w:p>
            <w:pPr>
              <w:spacing w:line="560" w:lineRule="exact"/>
              <w:rPr>
                <w:rFonts w:hint="eastAsia" w:ascii="宋体" w:hAnsi="宋体" w:cs="宋体"/>
                <w:color w:val="000000"/>
                <w:szCs w:val="21"/>
                <w:highlight w:val="none"/>
                <w:lang w:val="en-US" w:eastAsia="zh-CN"/>
              </w:rPr>
            </w:pPr>
            <w:r>
              <w:rPr>
                <w:rFonts w:hint="eastAsia" w:ascii="宋体" w:hAnsi="宋体" w:cs="宋体"/>
                <w:sz w:val="24"/>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exact"/>
        </w:trPr>
        <w:tc>
          <w:tcPr>
            <w:tcW w:w="807" w:type="dxa"/>
            <w:vMerge w:val="continue"/>
            <w:noWrap w:val="0"/>
            <w:vAlign w:val="center"/>
          </w:tcPr>
          <w:p>
            <w:pPr>
              <w:spacing w:line="560" w:lineRule="exact"/>
              <w:jc w:val="center"/>
              <w:rPr>
                <w:rFonts w:hint="eastAsia" w:ascii="宋体" w:hAnsi="宋体" w:cs="宋体"/>
                <w:color w:val="000000"/>
                <w:szCs w:val="21"/>
              </w:rPr>
            </w:pPr>
          </w:p>
        </w:tc>
        <w:tc>
          <w:tcPr>
            <w:tcW w:w="1095" w:type="dxa"/>
            <w:vMerge w:val="continue"/>
            <w:noWrap w:val="0"/>
            <w:vAlign w:val="center"/>
          </w:tcPr>
          <w:p>
            <w:pPr>
              <w:spacing w:line="560" w:lineRule="exact"/>
              <w:jc w:val="center"/>
              <w:rPr>
                <w:rFonts w:hint="eastAsia" w:ascii="宋体" w:hAnsi="宋体" w:cs="宋体"/>
                <w:color w:val="000000"/>
                <w:szCs w:val="21"/>
                <w:highlight w:val="none"/>
              </w:rPr>
            </w:pPr>
          </w:p>
        </w:tc>
        <w:tc>
          <w:tcPr>
            <w:tcW w:w="2880" w:type="dxa"/>
            <w:noWrap w:val="0"/>
            <w:vAlign w:val="center"/>
          </w:tcPr>
          <w:p>
            <w:pPr>
              <w:spacing w:line="56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供应商资格要求</w:t>
            </w:r>
          </w:p>
        </w:tc>
        <w:tc>
          <w:tcPr>
            <w:tcW w:w="4418" w:type="dxa"/>
            <w:noWrap w:val="0"/>
            <w:vAlign w:val="center"/>
          </w:tcPr>
          <w:p>
            <w:pPr>
              <w:spacing w:line="560" w:lineRule="exact"/>
              <w:rPr>
                <w:rFonts w:hint="eastAsia" w:ascii="宋体" w:hAnsi="宋体" w:cs="宋体"/>
                <w:color w:val="000000"/>
                <w:szCs w:val="21"/>
                <w:highlight w:val="none"/>
                <w:lang w:val="en-US" w:eastAsia="zh-CN"/>
              </w:rPr>
            </w:pPr>
            <w:r>
              <w:rPr>
                <w:rFonts w:hint="eastAsia" w:ascii="宋体" w:hAnsi="宋体" w:cs="宋体"/>
                <w:sz w:val="24"/>
                <w:highlight w:val="none"/>
                <w:shd w:val="clear" w:color="auto" w:fill="FFFFFF"/>
              </w:rPr>
              <w:t>具备</w:t>
            </w:r>
            <w:r>
              <w:rPr>
                <w:rFonts w:hint="eastAsia" w:ascii="宋体" w:hAnsi="宋体" w:cs="宋体"/>
                <w:color w:val="000000"/>
                <w:szCs w:val="21"/>
                <w:highlight w:val="none"/>
              </w:rPr>
              <w:t>机电工程施工总承包三级及以上或建筑机电安装工程专业承包三级及以上资质；安全生产许可证（副本）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trPr>
        <w:tc>
          <w:tcPr>
            <w:tcW w:w="807" w:type="dxa"/>
            <w:vMerge w:val="continue"/>
            <w:noWrap w:val="0"/>
            <w:vAlign w:val="center"/>
          </w:tcPr>
          <w:p>
            <w:pPr>
              <w:spacing w:line="560" w:lineRule="exact"/>
              <w:jc w:val="center"/>
              <w:rPr>
                <w:rFonts w:hint="eastAsia" w:ascii="宋体" w:hAnsi="宋体" w:cs="宋体"/>
                <w:color w:val="000000"/>
                <w:szCs w:val="21"/>
              </w:rPr>
            </w:pPr>
          </w:p>
        </w:tc>
        <w:tc>
          <w:tcPr>
            <w:tcW w:w="1095" w:type="dxa"/>
            <w:vMerge w:val="continue"/>
            <w:noWrap w:val="0"/>
            <w:vAlign w:val="center"/>
          </w:tcPr>
          <w:p>
            <w:pPr>
              <w:spacing w:line="560" w:lineRule="exact"/>
              <w:jc w:val="center"/>
              <w:rPr>
                <w:rFonts w:hint="eastAsia" w:ascii="宋体" w:hAnsi="宋体" w:cs="宋体"/>
                <w:color w:val="000000"/>
                <w:szCs w:val="21"/>
                <w:highlight w:val="none"/>
              </w:rPr>
            </w:pPr>
          </w:p>
        </w:tc>
        <w:tc>
          <w:tcPr>
            <w:tcW w:w="2880" w:type="dxa"/>
            <w:noWrap w:val="0"/>
            <w:vAlign w:val="center"/>
          </w:tcPr>
          <w:p>
            <w:pPr>
              <w:spacing w:line="560" w:lineRule="exact"/>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项目经理要求</w:t>
            </w:r>
          </w:p>
        </w:tc>
        <w:tc>
          <w:tcPr>
            <w:tcW w:w="4418" w:type="dxa"/>
            <w:noWrap w:val="0"/>
            <w:vAlign w:val="center"/>
          </w:tcPr>
          <w:p>
            <w:pPr>
              <w:spacing w:line="560" w:lineRule="exact"/>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具备机电工程专业二级及以上注册建造师资格，具有有效期内安全生产考核合格证书（B证）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807" w:type="dxa"/>
            <w:vMerge w:val="continue"/>
            <w:noWrap w:val="0"/>
            <w:vAlign w:val="center"/>
          </w:tcPr>
          <w:p>
            <w:pPr>
              <w:spacing w:line="560" w:lineRule="exact"/>
              <w:jc w:val="center"/>
              <w:rPr>
                <w:rFonts w:ascii="宋体" w:hAnsi="宋体" w:cs="宋体"/>
                <w:color w:val="000000"/>
                <w:szCs w:val="21"/>
              </w:rPr>
            </w:pPr>
          </w:p>
        </w:tc>
        <w:tc>
          <w:tcPr>
            <w:tcW w:w="1095" w:type="dxa"/>
            <w:vMerge w:val="continue"/>
            <w:noWrap w:val="0"/>
            <w:vAlign w:val="center"/>
          </w:tcPr>
          <w:p>
            <w:pPr>
              <w:spacing w:line="560" w:lineRule="exact"/>
              <w:jc w:val="center"/>
              <w:rPr>
                <w:rFonts w:ascii="宋体" w:hAnsi="宋体" w:cs="宋体"/>
                <w:color w:val="000000"/>
                <w:szCs w:val="21"/>
                <w:highlight w:val="none"/>
              </w:rPr>
            </w:pPr>
          </w:p>
        </w:tc>
        <w:tc>
          <w:tcPr>
            <w:tcW w:w="2880" w:type="dxa"/>
            <w:noWrap w:val="0"/>
            <w:vAlign w:val="center"/>
          </w:tcPr>
          <w:p>
            <w:pPr>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法定代表人证明或法人授权委托书</w:t>
            </w:r>
          </w:p>
        </w:tc>
        <w:tc>
          <w:tcPr>
            <w:tcW w:w="4418" w:type="dxa"/>
            <w:noWrap w:val="0"/>
            <w:vAlign w:val="center"/>
          </w:tcPr>
          <w:p>
            <w:pPr>
              <w:spacing w:line="560" w:lineRule="exact"/>
              <w:rPr>
                <w:rFonts w:ascii="宋体" w:hAnsi="宋体" w:cs="宋体"/>
                <w:color w:val="000000"/>
                <w:szCs w:val="21"/>
                <w:highlight w:val="none"/>
              </w:rPr>
            </w:pPr>
            <w:r>
              <w:rPr>
                <w:rFonts w:hint="eastAsia" w:ascii="宋体" w:hAnsi="宋体" w:cs="宋体"/>
                <w:color w:val="000000"/>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pPr>
              <w:spacing w:line="560" w:lineRule="exact"/>
              <w:jc w:val="center"/>
              <w:rPr>
                <w:rFonts w:ascii="宋体" w:hAnsi="宋体" w:cs="宋体"/>
                <w:color w:val="000000"/>
                <w:szCs w:val="21"/>
              </w:rPr>
            </w:pPr>
          </w:p>
        </w:tc>
        <w:tc>
          <w:tcPr>
            <w:tcW w:w="1095" w:type="dxa"/>
            <w:vMerge w:val="continue"/>
            <w:noWrap w:val="0"/>
            <w:vAlign w:val="center"/>
          </w:tcPr>
          <w:p>
            <w:pPr>
              <w:spacing w:line="560" w:lineRule="exact"/>
              <w:jc w:val="center"/>
              <w:rPr>
                <w:rFonts w:ascii="宋体" w:hAnsi="宋体" w:cs="宋体"/>
                <w:color w:val="000000"/>
                <w:szCs w:val="21"/>
                <w:highlight w:val="none"/>
              </w:rPr>
            </w:pPr>
          </w:p>
        </w:tc>
        <w:tc>
          <w:tcPr>
            <w:tcW w:w="2880" w:type="dxa"/>
            <w:noWrap w:val="0"/>
            <w:vAlign w:val="center"/>
          </w:tcPr>
          <w:p>
            <w:pPr>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信誉要求</w:t>
            </w:r>
          </w:p>
        </w:tc>
        <w:tc>
          <w:tcPr>
            <w:tcW w:w="4418" w:type="dxa"/>
            <w:noWrap w:val="0"/>
            <w:vAlign w:val="center"/>
          </w:tcPr>
          <w:p>
            <w:pPr>
              <w:spacing w:line="560" w:lineRule="exact"/>
              <w:rPr>
                <w:rFonts w:ascii="宋体" w:hAnsi="宋体" w:cs="宋体"/>
                <w:color w:val="000000"/>
                <w:szCs w:val="21"/>
                <w:highlight w:val="none"/>
              </w:rPr>
            </w:pPr>
            <w:r>
              <w:rPr>
                <w:rFonts w:hint="eastAsia" w:ascii="宋体" w:hAnsi="宋体" w:cs="宋体"/>
                <w:color w:val="000000"/>
                <w:szCs w:val="21"/>
                <w:highlight w:val="none"/>
                <w:lang w:val="en-US" w:eastAsia="zh-CN"/>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bottom w:val="single" w:color="auto" w:sz="4" w:space="0"/>
            </w:tcBorders>
            <w:noWrap w:val="0"/>
            <w:vAlign w:val="center"/>
          </w:tcPr>
          <w:p>
            <w:pPr>
              <w:spacing w:line="560" w:lineRule="exact"/>
              <w:jc w:val="center"/>
              <w:rPr>
                <w:rFonts w:ascii="宋体" w:hAnsi="宋体" w:cs="宋体"/>
                <w:color w:val="000000"/>
                <w:szCs w:val="21"/>
              </w:rPr>
            </w:pPr>
          </w:p>
        </w:tc>
        <w:tc>
          <w:tcPr>
            <w:tcW w:w="1095" w:type="dxa"/>
            <w:vMerge w:val="continue"/>
            <w:tcBorders>
              <w:bottom w:val="single" w:color="auto" w:sz="4" w:space="0"/>
            </w:tcBorders>
            <w:noWrap w:val="0"/>
            <w:vAlign w:val="center"/>
          </w:tcPr>
          <w:p>
            <w:pPr>
              <w:spacing w:line="560" w:lineRule="exact"/>
              <w:jc w:val="center"/>
              <w:rPr>
                <w:rFonts w:ascii="宋体" w:hAnsi="宋体" w:cs="宋体"/>
                <w:color w:val="000000"/>
                <w:szCs w:val="21"/>
                <w:highlight w:val="none"/>
              </w:rPr>
            </w:pPr>
          </w:p>
        </w:tc>
        <w:tc>
          <w:tcPr>
            <w:tcW w:w="2880" w:type="dxa"/>
            <w:tcBorders>
              <w:bottom w:val="single" w:color="auto" w:sz="4" w:space="0"/>
            </w:tcBorders>
            <w:noWrap w:val="0"/>
            <w:vAlign w:val="center"/>
          </w:tcPr>
          <w:p>
            <w:pPr>
              <w:spacing w:line="560" w:lineRule="exact"/>
              <w:jc w:val="center"/>
              <w:rPr>
                <w:rFonts w:ascii="宋体" w:hAnsi="宋体" w:cs="宋体"/>
                <w:color w:val="000000"/>
                <w:szCs w:val="21"/>
                <w:highlight w:val="none"/>
              </w:rPr>
            </w:pPr>
            <w:r>
              <w:rPr>
                <w:rFonts w:hint="eastAsia" w:ascii="宋体" w:hAnsi="宋体" w:cs="宋体"/>
                <w:color w:val="000000"/>
                <w:szCs w:val="21"/>
                <w:highlight w:val="none"/>
              </w:rPr>
              <w:t>其他要求</w:t>
            </w:r>
          </w:p>
        </w:tc>
        <w:tc>
          <w:tcPr>
            <w:tcW w:w="4418" w:type="dxa"/>
            <w:tcBorders>
              <w:bottom w:val="single" w:color="auto" w:sz="4" w:space="0"/>
            </w:tcBorders>
            <w:noWrap w:val="0"/>
            <w:vAlign w:val="center"/>
          </w:tcPr>
          <w:p>
            <w:pPr>
              <w:spacing w:line="560" w:lineRule="exact"/>
              <w:rPr>
                <w:rFonts w:ascii="宋体" w:hAnsi="宋体" w:cs="宋体"/>
                <w:color w:val="000000"/>
                <w:szCs w:val="21"/>
                <w:highlight w:val="none"/>
              </w:rPr>
            </w:pPr>
            <w:r>
              <w:rPr>
                <w:rFonts w:hint="eastAsia" w:ascii="宋体" w:hAnsi="宋体" w:cs="宋体"/>
                <w:color w:val="000000"/>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二、形式评审标准</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投标人名称</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投标函签字盖章</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投标文件格式</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报价唯一</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restart"/>
            <w:tcBorders>
              <w:top w:val="single" w:color="auto" w:sz="4" w:space="0"/>
              <w:left w:val="single" w:color="auto" w:sz="4" w:space="0"/>
              <w:right w:val="single" w:color="auto" w:sz="4" w:space="0"/>
            </w:tcBorders>
            <w:noWrap w:val="0"/>
            <w:vAlign w:val="top"/>
          </w:tcPr>
          <w:p>
            <w:pPr>
              <w:spacing w:line="560" w:lineRule="exact"/>
              <w:rPr>
                <w:rFonts w:hint="eastAsia" w:ascii="宋体" w:hAnsi="宋体" w:cs="宋体"/>
                <w:color w:val="000000"/>
                <w:szCs w:val="21"/>
              </w:rPr>
            </w:pPr>
          </w:p>
          <w:p>
            <w:pPr>
              <w:spacing w:line="560" w:lineRule="exact"/>
              <w:rPr>
                <w:rFonts w:hint="eastAsia"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三、响应性评审标准</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bCs/>
                <w:iCs/>
                <w:color w:val="000000"/>
                <w:szCs w:val="21"/>
                <w:lang w:val="en-US" w:eastAsia="zh-CN"/>
              </w:rPr>
              <w:t>合同履行期限（</w:t>
            </w:r>
            <w:r>
              <w:rPr>
                <w:rFonts w:hint="eastAsia" w:ascii="宋体" w:hAnsi="宋体" w:cs="宋体"/>
                <w:bCs/>
                <w:iCs/>
                <w:color w:val="000000"/>
                <w:szCs w:val="21"/>
              </w:rPr>
              <w:t>供货</w:t>
            </w:r>
            <w:r>
              <w:rPr>
                <w:rFonts w:hint="eastAsia" w:ascii="宋体" w:hAnsi="宋体" w:cs="宋体"/>
                <w:bCs/>
                <w:iCs/>
                <w:color w:val="000000"/>
                <w:szCs w:val="21"/>
                <w:lang w:val="en-US" w:eastAsia="zh-CN"/>
              </w:rPr>
              <w:t>安装</w:t>
            </w:r>
            <w:r>
              <w:rPr>
                <w:rFonts w:hint="eastAsia" w:ascii="宋体" w:hAnsi="宋体" w:cs="宋体"/>
                <w:bCs/>
                <w:iCs/>
                <w:color w:val="000000"/>
                <w:szCs w:val="21"/>
              </w:rPr>
              <w:t>期</w:t>
            </w:r>
            <w:r>
              <w:rPr>
                <w:rFonts w:hint="eastAsia" w:ascii="宋体" w:hAnsi="宋体" w:cs="宋体"/>
                <w:bCs/>
                <w:iCs/>
                <w:color w:val="000000"/>
                <w:szCs w:val="21"/>
                <w:lang w:eastAsia="zh-CN"/>
              </w:rPr>
              <w:t>）</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_GB2312" w:hAnsi="宋体" w:eastAsia="仿宋_GB2312"/>
                <w:color w:val="FF0000"/>
                <w:sz w:val="32"/>
                <w:szCs w:val="32"/>
                <w:lang w:eastAsia="zh-CN"/>
              </w:rPr>
            </w:pPr>
            <w:r>
              <w:rPr>
                <w:rFonts w:hint="eastAsia" w:ascii="宋体" w:hAnsi="宋体" w:eastAsia="宋体" w:cs="宋体"/>
                <w:bCs/>
                <w:iCs/>
                <w:color w:val="000000"/>
                <w:szCs w:val="21"/>
                <w:lang w:val="en-US" w:eastAsia="zh-CN"/>
              </w:rPr>
              <w:t xml:space="preserve"> 合同签订后90日历天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000000"/>
                <w:szCs w:val="21"/>
                <w:lang w:val="en-US" w:eastAsia="zh-CN"/>
              </w:rPr>
            </w:pPr>
            <w:r>
              <w:rPr>
                <w:rFonts w:hint="eastAsia" w:ascii="宋体" w:hAnsi="宋体" w:cs="宋体"/>
                <w:color w:val="000000"/>
                <w:szCs w:val="21"/>
              </w:rPr>
              <w:t>质量</w:t>
            </w:r>
            <w:r>
              <w:rPr>
                <w:rFonts w:hint="eastAsia" w:ascii="宋体" w:hAnsi="宋体" w:cs="宋体"/>
                <w:color w:val="000000"/>
                <w:szCs w:val="21"/>
                <w:lang w:val="en-US" w:eastAsia="zh-CN"/>
              </w:rPr>
              <w:t>标准</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000000"/>
                <w:szCs w:val="21"/>
              </w:rPr>
            </w:pPr>
            <w:r>
              <w:rPr>
                <w:rFonts w:hint="eastAsia" w:ascii="宋体" w:hAnsi="宋体" w:cs="宋体"/>
                <w:color w:val="000000"/>
                <w:szCs w:val="21"/>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000000"/>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000000"/>
                <w:szCs w:val="21"/>
              </w:rPr>
            </w:pPr>
            <w:r>
              <w:rPr>
                <w:rFonts w:hint="eastAsia" w:ascii="宋体" w:hAnsi="宋体" w:cs="宋体"/>
                <w:color w:val="000000"/>
                <w:szCs w:val="21"/>
              </w:rPr>
              <w:t>质保期</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商务报价</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投标有效期</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权利义务</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技术标准和要求</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符合第五章“采购内容及技术要求”规定，若不符合第五章技术标准和要求规定，将不再进行评审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1095" w:type="dxa"/>
            <w:vMerge w:val="continue"/>
            <w:tcBorders>
              <w:left w:val="single" w:color="auto" w:sz="4" w:space="0"/>
              <w:bottom w:val="single" w:color="auto" w:sz="4" w:space="0"/>
              <w:right w:val="single" w:color="auto" w:sz="4" w:space="0"/>
            </w:tcBorders>
            <w:noWrap w:val="0"/>
            <w:vAlign w:val="top"/>
          </w:tcPr>
          <w:p>
            <w:pPr>
              <w:spacing w:line="560" w:lineRule="exact"/>
              <w:rPr>
                <w:rFonts w:ascii="宋体" w:hAnsi="宋体" w:cs="宋体"/>
                <w:color w:val="000000"/>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szCs w:val="21"/>
              </w:rPr>
            </w:pPr>
            <w:r>
              <w:rPr>
                <w:rFonts w:hint="eastAsia" w:ascii="宋体" w:hAnsi="宋体" w:cs="宋体"/>
                <w:color w:val="000000"/>
                <w:szCs w:val="21"/>
              </w:rPr>
              <w:t>投标文件的其他响应</w:t>
            </w:r>
          </w:p>
        </w:tc>
        <w:tc>
          <w:tcPr>
            <w:tcW w:w="44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000000"/>
                <w:szCs w:val="21"/>
              </w:rPr>
            </w:pPr>
            <w:r>
              <w:rPr>
                <w:rFonts w:hint="eastAsia" w:ascii="宋体" w:hAnsi="宋体" w:cs="宋体"/>
                <w:color w:val="000000"/>
                <w:szCs w:val="21"/>
              </w:rPr>
              <w:t>符合法律、法规和招标文件中规定的其他实质性要求的</w:t>
            </w:r>
          </w:p>
        </w:tc>
      </w:tr>
    </w:tbl>
    <w:p>
      <w:pPr>
        <w:widowControl/>
        <w:jc w:val="both"/>
        <w:rPr>
          <w:rFonts w:hint="eastAsia" w:ascii="宋体" w:hAnsi="宋体" w:cs="宋体"/>
          <w:b/>
          <w:color w:val="000000"/>
          <w:sz w:val="24"/>
          <w:szCs w:val="24"/>
        </w:rPr>
      </w:pPr>
    </w:p>
    <w:p>
      <w:pPr>
        <w:widowControl/>
        <w:jc w:val="center"/>
        <w:rPr>
          <w:rFonts w:ascii="宋体" w:hAnsi="宋体" w:cs="宋体"/>
          <w:b/>
          <w:color w:val="000000"/>
          <w:sz w:val="24"/>
          <w:szCs w:val="24"/>
        </w:rPr>
      </w:pPr>
      <w:r>
        <w:rPr>
          <w:rFonts w:hint="eastAsia" w:ascii="宋体" w:hAnsi="宋体" w:cs="宋体"/>
          <w:b/>
          <w:color w:val="000000"/>
          <w:sz w:val="24"/>
          <w:szCs w:val="24"/>
        </w:rPr>
        <w:t>评分标准</w:t>
      </w:r>
    </w:p>
    <w:tbl>
      <w:tblPr>
        <w:tblStyle w:val="26"/>
        <w:tblW w:w="924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111"/>
        <w:gridCol w:w="936"/>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041" w:type="dxa"/>
            <w:noWrap w:val="0"/>
            <w:vAlign w:val="top"/>
          </w:tcPr>
          <w:p>
            <w:pPr>
              <w:pStyle w:val="3"/>
              <w:spacing w:before="46" w:beforeLines="15" w:line="320" w:lineRule="exact"/>
              <w:ind w:left="0" w:right="181"/>
              <w:rPr>
                <w:rFonts w:hint="eastAsia" w:cs="宋体"/>
                <w:lang w:eastAsia="zh-CN"/>
              </w:rPr>
            </w:pPr>
            <w:r>
              <w:rPr>
                <w:rFonts w:hint="eastAsia" w:cs="宋体"/>
                <w:lang w:eastAsia="zh-CN"/>
              </w:rPr>
              <w:t>评审因素</w:t>
            </w:r>
          </w:p>
        </w:tc>
        <w:tc>
          <w:tcPr>
            <w:tcW w:w="1111" w:type="dxa"/>
            <w:noWrap w:val="0"/>
            <w:vAlign w:val="top"/>
          </w:tcPr>
          <w:p>
            <w:pPr>
              <w:pStyle w:val="3"/>
              <w:spacing w:before="46" w:beforeLines="15" w:line="320" w:lineRule="exact"/>
              <w:ind w:left="0" w:right="181"/>
              <w:rPr>
                <w:rFonts w:hint="eastAsia" w:cs="宋体"/>
                <w:lang w:eastAsia="zh-CN"/>
              </w:rPr>
            </w:pPr>
            <w:r>
              <w:rPr>
                <w:rFonts w:hint="eastAsia" w:cs="宋体"/>
                <w:lang w:eastAsia="zh-CN"/>
              </w:rPr>
              <w:t>计分</w:t>
            </w:r>
          </w:p>
          <w:p>
            <w:pPr>
              <w:pStyle w:val="3"/>
              <w:spacing w:before="46" w:beforeLines="15" w:line="320" w:lineRule="exact"/>
              <w:ind w:left="0" w:right="181"/>
              <w:rPr>
                <w:rFonts w:hint="eastAsia" w:cs="宋体"/>
                <w:lang w:eastAsia="zh-CN"/>
              </w:rPr>
            </w:pPr>
            <w:r>
              <w:rPr>
                <w:rFonts w:hint="eastAsia" w:cs="宋体"/>
                <w:lang w:eastAsia="zh-CN"/>
              </w:rPr>
              <w:t>因素</w:t>
            </w:r>
          </w:p>
        </w:tc>
        <w:tc>
          <w:tcPr>
            <w:tcW w:w="936" w:type="dxa"/>
            <w:noWrap w:val="0"/>
            <w:vAlign w:val="top"/>
          </w:tcPr>
          <w:p>
            <w:pPr>
              <w:pStyle w:val="3"/>
              <w:spacing w:before="46" w:beforeLines="15" w:line="320" w:lineRule="exact"/>
              <w:ind w:left="0" w:right="181"/>
              <w:rPr>
                <w:rFonts w:hint="eastAsia" w:cs="宋体"/>
                <w:lang w:eastAsia="zh-CN"/>
              </w:rPr>
            </w:pPr>
            <w:r>
              <w:rPr>
                <w:rFonts w:hint="eastAsia" w:cs="宋体"/>
                <w:lang w:eastAsia="zh-CN"/>
              </w:rPr>
              <w:t>分值</w:t>
            </w:r>
          </w:p>
        </w:tc>
        <w:tc>
          <w:tcPr>
            <w:tcW w:w="6159" w:type="dxa"/>
            <w:noWrap w:val="0"/>
            <w:vAlign w:val="top"/>
          </w:tcPr>
          <w:p>
            <w:pPr>
              <w:pStyle w:val="3"/>
              <w:spacing w:before="46" w:beforeLines="15" w:line="320" w:lineRule="exact"/>
              <w:ind w:right="181"/>
              <w:rPr>
                <w:rFonts w:hint="eastAsia" w:cs="宋体"/>
                <w:lang w:eastAsia="zh-CN"/>
              </w:rPr>
            </w:pPr>
            <w:r>
              <w:rPr>
                <w:rFonts w:hint="eastAsia" w:cs="宋体"/>
                <w:lang w:eastAsia="zh-CN"/>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noWrap w:val="0"/>
            <w:vAlign w:val="top"/>
          </w:tcPr>
          <w:p>
            <w:pPr>
              <w:pStyle w:val="3"/>
              <w:spacing w:before="20"/>
              <w:ind w:left="0" w:right="181"/>
              <w:rPr>
                <w:rFonts w:cs="宋体"/>
                <w:lang w:eastAsia="zh-CN"/>
              </w:rPr>
            </w:pPr>
            <w:r>
              <w:rPr>
                <w:rFonts w:hint="eastAsia" w:cs="宋体"/>
                <w:lang w:eastAsia="zh-CN"/>
              </w:rPr>
              <w:t>价格部分（30分）</w:t>
            </w:r>
          </w:p>
        </w:tc>
        <w:tc>
          <w:tcPr>
            <w:tcW w:w="1111" w:type="dxa"/>
            <w:noWrap w:val="0"/>
            <w:vAlign w:val="top"/>
          </w:tcPr>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cs="宋体"/>
                <w:lang w:eastAsia="zh-CN"/>
              </w:rPr>
            </w:pPr>
            <w:r>
              <w:rPr>
                <w:rFonts w:hint="eastAsia" w:cs="宋体"/>
                <w:lang w:eastAsia="zh-CN"/>
              </w:rPr>
              <w:t>投标报价</w:t>
            </w:r>
          </w:p>
        </w:tc>
        <w:tc>
          <w:tcPr>
            <w:tcW w:w="936" w:type="dxa"/>
            <w:noWrap w:val="0"/>
            <w:vAlign w:val="top"/>
          </w:tcPr>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cs="宋体"/>
                <w:lang w:eastAsia="zh-CN"/>
              </w:rPr>
            </w:pPr>
            <w:r>
              <w:rPr>
                <w:rFonts w:hint="eastAsia" w:cs="宋体"/>
                <w:lang w:eastAsia="zh-CN"/>
              </w:rPr>
              <w:t>30分</w:t>
            </w:r>
          </w:p>
        </w:tc>
        <w:tc>
          <w:tcPr>
            <w:tcW w:w="6159" w:type="dxa"/>
            <w:noWrap w:val="0"/>
            <w:vAlign w:val="top"/>
          </w:tcPr>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投标价格最低的投标报价为评标基准价，其价格分为满分30分。</w:t>
            </w:r>
          </w:p>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投标报价得分=（评标基准价/投标报价）×30</w:t>
            </w:r>
          </w:p>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（价格分计算保留小数点后两位</w:t>
            </w:r>
            <w:bookmarkStart w:id="335" w:name="_GoBack"/>
            <w:bookmarkEnd w:id="335"/>
            <w:r>
              <w:rPr>
                <w:rFonts w:hint="eastAsia" w:asciiTheme="minorEastAsia" w:hAnsiTheme="minorEastAsia" w:eastAsiaTheme="minorEastAsia" w:cstheme="minorEastAsia"/>
                <w:sz w:val="21"/>
                <w:szCs w:val="21"/>
                <w:lang w:val="zh-CN"/>
              </w:rPr>
              <w:t>）</w:t>
            </w:r>
          </w:p>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投标报价分采用低价优先法计算，即满足招标文件要求且投标报价最低的为评审基准价，其价格分为满分（即30分）。其他投标人的价格分统一按照下列公式计算：</w:t>
            </w:r>
          </w:p>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报价得分=(评标基准价／投标报价)×价格权值（30分）</w:t>
            </w:r>
          </w:p>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（1）价格分计算保留小数点后两位。</w:t>
            </w:r>
          </w:p>
          <w:p>
            <w:pPr>
              <w:spacing w:line="56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（2）为了促进中小企业发展，根据《中华人民共和国政府采购法实施条例》第六条和财库[2011]181 号的规定，给予小型和微型企业产品（投标人提供的所有投标产品均为小微企业生产产品）价格20%的扣除，用扣除后的价格参与评审，小微企业产品投标报价=小微企业产品报价×（1-20%）。中小企业划型标准见《关于印发中小企业划型标准规定的通知》（工信部联企业[2011]300号）。</w:t>
            </w:r>
          </w:p>
          <w:p>
            <w:pPr>
              <w:spacing w:before="109" w:beforeLines="35" w:line="400" w:lineRule="exact"/>
              <w:ind w:firstLine="411" w:firstLineChars="196"/>
              <w:jc w:val="both"/>
              <w:rPr>
                <w:rFonts w:hint="eastAsia" w:ascii="宋体" w:hAnsi="宋体" w:eastAsia="宋体" w:cs="宋体"/>
                <w:sz w:val="21"/>
                <w:szCs w:val="21"/>
                <w:lang w:eastAsia="zh-CN"/>
              </w:rPr>
            </w:pPr>
            <w:r>
              <w:rPr>
                <w:rFonts w:hint="eastAsia" w:asciiTheme="minorEastAsia" w:hAnsiTheme="minorEastAsia" w:eastAsiaTheme="minorEastAsia" w:cstheme="minorEastAsia"/>
                <w:sz w:val="21"/>
                <w:szCs w:val="21"/>
                <w:lang w:val="zh-CN"/>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restart"/>
            <w:noWrap w:val="0"/>
            <w:vAlign w:val="top"/>
          </w:tcPr>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p>
          <w:p>
            <w:pPr>
              <w:pStyle w:val="3"/>
              <w:spacing w:before="20"/>
              <w:ind w:left="0" w:right="181"/>
              <w:rPr>
                <w:rFonts w:hint="eastAsia" w:cs="宋体"/>
                <w:lang w:eastAsia="zh-CN"/>
              </w:rPr>
            </w:pPr>
            <w:r>
              <w:rPr>
                <w:rFonts w:hint="eastAsia" w:cs="宋体"/>
                <w:lang w:eastAsia="zh-CN"/>
              </w:rPr>
              <w:t>技术部分（</w:t>
            </w:r>
            <w:r>
              <w:rPr>
                <w:rFonts w:hint="eastAsia" w:cs="宋体"/>
                <w:lang w:val="en-US" w:eastAsia="zh-CN"/>
              </w:rPr>
              <w:t>45</w:t>
            </w:r>
            <w:r>
              <w:rPr>
                <w:rFonts w:hint="eastAsia" w:cs="宋体"/>
                <w:lang w:eastAsia="zh-CN"/>
              </w:rPr>
              <w:t>分）</w:t>
            </w:r>
          </w:p>
        </w:tc>
        <w:tc>
          <w:tcPr>
            <w:tcW w:w="936" w:type="dxa"/>
            <w:noWrap w:val="0"/>
            <w:vAlign w:val="top"/>
          </w:tcPr>
          <w:p>
            <w:pPr>
              <w:pStyle w:val="3"/>
              <w:spacing w:before="20"/>
              <w:ind w:left="0" w:right="181"/>
              <w:rPr>
                <w:rFonts w:hint="eastAsia" w:cs="宋体"/>
                <w:color w:val="auto"/>
                <w:lang w:eastAsia="zh-CN"/>
              </w:rPr>
            </w:pPr>
            <w:r>
              <w:rPr>
                <w:rFonts w:cs="宋体"/>
                <w:color w:val="auto"/>
                <w:lang w:eastAsia="zh-CN"/>
              </w:rPr>
              <w:t>3</w:t>
            </w:r>
            <w:r>
              <w:rPr>
                <w:rFonts w:hint="eastAsia" w:cs="宋体"/>
                <w:color w:val="auto"/>
                <w:lang w:eastAsia="zh-CN"/>
              </w:rPr>
              <w:t>分</w:t>
            </w:r>
          </w:p>
        </w:tc>
        <w:tc>
          <w:tcPr>
            <w:tcW w:w="6159" w:type="dxa"/>
            <w:noWrap w:val="0"/>
            <w:vAlign w:val="top"/>
          </w:tcPr>
          <w:p>
            <w:pPr>
              <w:pStyle w:val="3"/>
              <w:spacing w:line="320" w:lineRule="exact"/>
              <w:ind w:right="181"/>
              <w:rPr>
                <w:rFonts w:hint="eastAsia" w:ascii="宋体" w:hAnsi="宋体" w:eastAsia="宋体" w:cs="宋体"/>
                <w:color w:val="auto"/>
                <w:sz w:val="21"/>
                <w:szCs w:val="21"/>
                <w:lang w:eastAsia="zh-CN"/>
              </w:rPr>
            </w:pPr>
            <w:r>
              <w:rPr>
                <w:rFonts w:hint="eastAsia" w:cs="宋体"/>
                <w:color w:val="auto"/>
                <w:lang w:val="en-US" w:eastAsia="zh-CN"/>
              </w:rPr>
              <w:t>投标人</w:t>
            </w:r>
            <w:r>
              <w:rPr>
                <w:rFonts w:hint="eastAsia" w:cs="宋体"/>
                <w:color w:val="auto"/>
                <w:lang w:eastAsia="zh-CN"/>
              </w:rPr>
              <w:t>所投产品技术参数及配置完全符合招标文件要求的</w:t>
            </w:r>
            <w:r>
              <w:rPr>
                <w:rFonts w:hint="eastAsia" w:cs="宋体"/>
                <w:color w:val="auto"/>
                <w:lang w:val="en-US" w:eastAsia="zh-CN"/>
              </w:rPr>
              <w:t>得</w:t>
            </w:r>
            <w:r>
              <w:rPr>
                <w:rFonts w:cs="宋体"/>
                <w:color w:val="auto"/>
                <w:lang w:eastAsia="zh-CN"/>
              </w:rPr>
              <w:t>3</w:t>
            </w:r>
            <w:r>
              <w:rPr>
                <w:rFonts w:hint="eastAsia" w:cs="宋体"/>
                <w:color w:val="auto"/>
                <w:lang w:eastAsia="zh-CN"/>
              </w:rPr>
              <w:t>分，有任意一项负偏离的按废标处理。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156" w:beforeLines="50" w:line="300" w:lineRule="exact"/>
              <w:ind w:left="0" w:right="181"/>
              <w:jc w:val="both"/>
              <w:rPr>
                <w:rFonts w:hint="eastAsia" w:cs="宋体"/>
                <w:lang w:eastAsia="zh-CN"/>
              </w:rPr>
            </w:pPr>
          </w:p>
        </w:tc>
        <w:tc>
          <w:tcPr>
            <w:tcW w:w="936" w:type="dxa"/>
            <w:noWrap w:val="0"/>
            <w:vAlign w:val="top"/>
          </w:tcPr>
          <w:p>
            <w:pPr>
              <w:pStyle w:val="3"/>
              <w:spacing w:before="156" w:beforeLines="50" w:line="300" w:lineRule="exact"/>
              <w:ind w:left="0" w:right="181"/>
              <w:jc w:val="both"/>
              <w:rPr>
                <w:rFonts w:hint="eastAsia" w:cs="宋体"/>
                <w:color w:val="auto"/>
                <w:lang w:eastAsia="zh-CN"/>
              </w:rPr>
            </w:pPr>
            <w:r>
              <w:rPr>
                <w:rFonts w:hint="eastAsia" w:cs="宋体"/>
                <w:color w:val="auto"/>
                <w:lang w:eastAsia="zh-CN"/>
              </w:rPr>
              <w:t>2分</w:t>
            </w:r>
          </w:p>
        </w:tc>
        <w:tc>
          <w:tcPr>
            <w:tcW w:w="6159" w:type="dxa"/>
            <w:noWrap w:val="0"/>
            <w:vAlign w:val="top"/>
          </w:tcPr>
          <w:p>
            <w:pPr>
              <w:pStyle w:val="3"/>
              <w:spacing w:line="320" w:lineRule="exact"/>
              <w:ind w:right="181" w:rightChars="0"/>
              <w:rPr>
                <w:rFonts w:hint="eastAsia"/>
                <w:color w:val="auto"/>
                <w:lang w:eastAsia="zh-CN"/>
              </w:rPr>
            </w:pPr>
            <w:r>
              <w:rPr>
                <w:rFonts w:hint="eastAsia" w:cs="等线"/>
                <w:color w:val="auto"/>
                <w:lang w:val="en-US" w:eastAsia="zh-CN"/>
              </w:rPr>
              <w:t>投标人</w:t>
            </w:r>
            <w:r>
              <w:rPr>
                <w:rFonts w:hint="eastAsia" w:cs="等线"/>
                <w:color w:val="auto"/>
                <w:lang w:eastAsia="zh-CN"/>
              </w:rPr>
              <w:t>所投</w:t>
            </w:r>
            <w:r>
              <w:rPr>
                <w:rFonts w:cs="等线"/>
                <w:color w:val="auto"/>
                <w:lang w:eastAsia="zh-CN"/>
              </w:rPr>
              <w:t>磁悬浮</w:t>
            </w:r>
            <w:r>
              <w:rPr>
                <w:rFonts w:hint="eastAsia" w:cs="等线"/>
                <w:color w:val="auto"/>
                <w:lang w:eastAsia="zh-CN"/>
              </w:rPr>
              <w:t>离心机</w:t>
            </w:r>
            <w:r>
              <w:rPr>
                <w:rFonts w:cs="等线"/>
                <w:color w:val="auto"/>
                <w:lang w:eastAsia="zh-CN"/>
              </w:rPr>
              <w:t>具有易损件、易耗件使用寿命计时显示功能的</w:t>
            </w:r>
            <w:r>
              <w:rPr>
                <w:rFonts w:hint="eastAsia" w:cs="等线"/>
                <w:color w:val="auto"/>
                <w:lang w:val="en-US" w:eastAsia="zh-CN"/>
              </w:rPr>
              <w:t>得</w:t>
            </w:r>
            <w:r>
              <w:rPr>
                <w:rFonts w:cs="等线"/>
                <w:color w:val="auto"/>
                <w:lang w:eastAsia="zh-CN"/>
              </w:rPr>
              <w:t>2分,没有</w:t>
            </w:r>
            <w:r>
              <w:rPr>
                <w:rFonts w:hint="eastAsia" w:cs="等线"/>
                <w:color w:val="auto"/>
                <w:lang w:val="en-US" w:eastAsia="zh-CN"/>
              </w:rPr>
              <w:t>不得分</w:t>
            </w:r>
            <w:r>
              <w:rPr>
                <w:rFonts w:cs="等线"/>
                <w:color w:val="auto"/>
                <w:lang w:eastAsia="zh-CN"/>
              </w:rPr>
              <w:t>（提供</w:t>
            </w:r>
            <w:r>
              <w:rPr>
                <w:rFonts w:hint="eastAsia" w:cs="等线"/>
                <w:color w:val="auto"/>
                <w:lang w:eastAsia="zh-CN"/>
              </w:rPr>
              <w:t>同机型的</w:t>
            </w:r>
            <w:r>
              <w:rPr>
                <w:rFonts w:cs="等线"/>
                <w:color w:val="auto"/>
                <w:lang w:eastAsia="zh-CN"/>
              </w:rPr>
              <w:t>控制屏截图证明，未提供的不计分</w:t>
            </w:r>
            <w:r>
              <w:rPr>
                <w:rFonts w:hint="eastAsia" w:cs="等线"/>
                <w:color w:val="auto"/>
                <w:lang w:eastAsia="zh-CN"/>
              </w:rPr>
              <w:t>）</w:t>
            </w:r>
            <w:r>
              <w:rPr>
                <w:rFonts w:cs="等线"/>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156" w:beforeLines="50" w:line="300" w:lineRule="exact"/>
              <w:ind w:left="0" w:right="181"/>
              <w:jc w:val="both"/>
              <w:rPr>
                <w:rFonts w:hint="eastAsia" w:cs="宋体"/>
                <w:highlight w:val="none"/>
                <w:lang w:eastAsia="zh-CN"/>
              </w:rPr>
            </w:pPr>
          </w:p>
        </w:tc>
        <w:tc>
          <w:tcPr>
            <w:tcW w:w="936" w:type="dxa"/>
            <w:noWrap w:val="0"/>
            <w:vAlign w:val="top"/>
          </w:tcPr>
          <w:p>
            <w:pPr>
              <w:pStyle w:val="3"/>
              <w:spacing w:before="156" w:beforeLines="50" w:line="300" w:lineRule="exact"/>
              <w:ind w:left="0" w:right="181"/>
              <w:jc w:val="both"/>
              <w:rPr>
                <w:rFonts w:hint="eastAsia" w:cs="宋体"/>
                <w:color w:val="auto"/>
                <w:highlight w:val="none"/>
                <w:lang w:eastAsia="zh-CN"/>
              </w:rPr>
            </w:pPr>
            <w:r>
              <w:rPr>
                <w:rFonts w:cs="宋体"/>
                <w:color w:val="auto"/>
                <w:highlight w:val="none"/>
                <w:lang w:eastAsia="zh-CN"/>
              </w:rPr>
              <w:t>3</w:t>
            </w:r>
            <w:r>
              <w:rPr>
                <w:rFonts w:hint="eastAsia" w:cs="宋体"/>
                <w:color w:val="auto"/>
                <w:highlight w:val="none"/>
                <w:lang w:eastAsia="zh-CN"/>
              </w:rPr>
              <w:t>分</w:t>
            </w:r>
          </w:p>
        </w:tc>
        <w:tc>
          <w:tcPr>
            <w:tcW w:w="6159" w:type="dxa"/>
            <w:noWrap w:val="0"/>
            <w:vAlign w:val="top"/>
          </w:tcPr>
          <w:p>
            <w:pPr>
              <w:pStyle w:val="3"/>
              <w:spacing w:line="320" w:lineRule="exact"/>
              <w:ind w:right="181" w:rightChars="0"/>
              <w:rPr>
                <w:rFonts w:hint="eastAsia" w:ascii="Times New Roman" w:hAnsi="Times New Roman" w:eastAsia="宋体" w:cs="微软雅黑"/>
                <w:color w:val="auto"/>
                <w:kern w:val="2"/>
                <w:sz w:val="21"/>
                <w:szCs w:val="24"/>
                <w:highlight w:val="none"/>
                <w:lang w:val="en-US" w:eastAsia="zh-CN" w:bidi="ar-SA"/>
              </w:rPr>
            </w:pPr>
            <w:r>
              <w:rPr>
                <w:rFonts w:hint="eastAsia" w:cs="宋体"/>
                <w:color w:val="auto"/>
                <w:highlight w:val="none"/>
                <w:lang w:val="en-US" w:eastAsia="zh-CN"/>
              </w:rPr>
              <w:t>投标人</w:t>
            </w:r>
            <w:r>
              <w:rPr>
                <w:rFonts w:hint="eastAsia" w:cs="宋体"/>
                <w:color w:val="auto"/>
                <w:highlight w:val="none"/>
                <w:lang w:eastAsia="zh-CN"/>
              </w:rPr>
              <w:t>所投产品</w:t>
            </w:r>
            <w:r>
              <w:rPr>
                <w:color w:val="auto"/>
                <w:highlight w:val="none"/>
                <w:lang w:eastAsia="zh-CN"/>
              </w:rPr>
              <w:t>磁悬浮</w:t>
            </w:r>
            <w:r>
              <w:rPr>
                <w:rFonts w:hint="eastAsia"/>
                <w:color w:val="auto"/>
                <w:highlight w:val="none"/>
                <w:lang w:eastAsia="zh-CN"/>
              </w:rPr>
              <w:t>离心机</w:t>
            </w:r>
            <w:r>
              <w:rPr>
                <w:color w:val="auto"/>
                <w:highlight w:val="none"/>
                <w:lang w:eastAsia="zh-CN"/>
              </w:rPr>
              <w:t>的控制屏具有实时</w:t>
            </w:r>
            <w:r>
              <w:rPr>
                <w:rFonts w:hint="eastAsia"/>
                <w:color w:val="auto"/>
                <w:highlight w:val="none"/>
                <w:lang w:eastAsia="zh-CN"/>
              </w:rPr>
              <w:t>工况及瞬时</w:t>
            </w:r>
            <w:r>
              <w:rPr>
                <w:color w:val="auto"/>
                <w:highlight w:val="none"/>
                <w:lang w:eastAsia="zh-CN"/>
              </w:rPr>
              <w:t>能效</w:t>
            </w:r>
            <w:r>
              <w:rPr>
                <w:rFonts w:hint="eastAsia"/>
                <w:color w:val="auto"/>
                <w:highlight w:val="none"/>
                <w:lang w:eastAsia="zh-CN"/>
              </w:rPr>
              <w:t>、日均能效</w:t>
            </w:r>
            <w:r>
              <w:rPr>
                <w:color w:val="auto"/>
                <w:highlight w:val="none"/>
                <w:lang w:eastAsia="zh-CN"/>
              </w:rPr>
              <w:t>显示功能的，</w:t>
            </w:r>
            <w:r>
              <w:rPr>
                <w:rFonts w:hint="eastAsia"/>
                <w:color w:val="auto"/>
                <w:highlight w:val="none"/>
              </w:rPr>
              <w:t>每</w:t>
            </w:r>
            <w:r>
              <w:rPr>
                <w:rFonts w:hint="eastAsia"/>
                <w:color w:val="auto"/>
                <w:highlight w:val="none"/>
                <w:lang w:val="en-US" w:eastAsia="zh-CN"/>
              </w:rPr>
              <w:t>提供</w:t>
            </w:r>
            <w:r>
              <w:rPr>
                <w:rFonts w:hint="eastAsia"/>
                <w:color w:val="auto"/>
                <w:highlight w:val="none"/>
              </w:rPr>
              <w:t>一项得1分，满分3分。</w:t>
            </w:r>
            <w:r>
              <w:rPr>
                <w:rFonts w:cs="微软雅黑"/>
                <w:color w:val="auto"/>
                <w:highlight w:val="none"/>
              </w:rPr>
              <w:t>（提供同机型的设备控制屏截图，提供两张以上截图</w:t>
            </w:r>
            <w:r>
              <w:rPr>
                <w:rFonts w:hint="eastAsia" w:cs="微软雅黑"/>
                <w:color w:val="auto"/>
                <w:highlight w:val="none"/>
              </w:rPr>
              <w:t>以</w:t>
            </w:r>
            <w:r>
              <w:rPr>
                <w:rFonts w:cs="微软雅黑"/>
                <w:color w:val="auto"/>
                <w:highlight w:val="none"/>
              </w:rPr>
              <w:t>证明其能效为动态变化，未提供的不</w:t>
            </w:r>
            <w:r>
              <w:rPr>
                <w:rFonts w:hint="eastAsia" w:cs="微软雅黑"/>
                <w:color w:val="auto"/>
                <w:highlight w:val="none"/>
              </w:rPr>
              <w:t>得</w:t>
            </w:r>
            <w:r>
              <w:rPr>
                <w:rFonts w:cs="微软雅黑"/>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color w:val="auto"/>
                <w:lang w:eastAsia="zh-CN"/>
              </w:rPr>
            </w:pPr>
            <w:r>
              <w:rPr>
                <w:rFonts w:hint="eastAsia" w:cs="宋体"/>
                <w:color w:val="auto"/>
                <w:lang w:eastAsia="zh-CN"/>
              </w:rPr>
              <w:t>6分</w:t>
            </w:r>
          </w:p>
        </w:tc>
        <w:tc>
          <w:tcPr>
            <w:tcW w:w="6159" w:type="dxa"/>
            <w:noWrap w:val="0"/>
            <w:vAlign w:val="top"/>
          </w:tcPr>
          <w:p>
            <w:pPr>
              <w:pStyle w:val="3"/>
              <w:spacing w:before="156" w:beforeLines="50" w:line="300" w:lineRule="exact"/>
              <w:ind w:right="113"/>
              <w:rPr>
                <w:rFonts w:hint="eastAsia" w:cs="宋体"/>
                <w:color w:val="auto"/>
                <w:spacing w:val="-3"/>
              </w:rPr>
            </w:pPr>
            <w:r>
              <w:rPr>
                <w:color w:val="auto"/>
              </w:rPr>
              <w:t>投标人</w:t>
            </w:r>
            <w:r>
              <w:rPr>
                <w:rFonts w:hint="eastAsia"/>
                <w:color w:val="auto"/>
              </w:rPr>
              <w:t>可为磁悬浮离心机组</w:t>
            </w:r>
            <w:r>
              <w:rPr>
                <w:color w:val="auto"/>
              </w:rPr>
              <w:t>建立</w:t>
            </w:r>
            <w:r>
              <w:rPr>
                <w:color w:val="auto"/>
                <w:spacing w:val="-35"/>
              </w:rPr>
              <w:t xml:space="preserve"> </w:t>
            </w:r>
            <w:r>
              <w:rPr>
                <w:rFonts w:cs="宋体"/>
                <w:color w:val="auto"/>
              </w:rPr>
              <w:t>24</w:t>
            </w:r>
            <w:r>
              <w:rPr>
                <w:rFonts w:cs="宋体"/>
                <w:color w:val="auto"/>
                <w:spacing w:val="-41"/>
              </w:rPr>
              <w:t xml:space="preserve"> </w:t>
            </w:r>
            <w:r>
              <w:rPr>
                <w:color w:val="auto"/>
                <w:spacing w:val="-4"/>
              </w:rPr>
              <w:t>小时远程联网监控系统</w:t>
            </w:r>
            <w:r>
              <w:rPr>
                <w:rFonts w:cs="宋体"/>
                <w:color w:val="auto"/>
                <w:spacing w:val="-4"/>
              </w:rPr>
              <w:t>,</w:t>
            </w:r>
            <w:r>
              <w:rPr>
                <w:color w:val="auto"/>
                <w:spacing w:val="-4"/>
              </w:rPr>
              <w:t>实现远程开关机、远程信息</w:t>
            </w:r>
            <w:r>
              <w:rPr>
                <w:color w:val="auto"/>
                <w:spacing w:val="-88"/>
              </w:rPr>
              <w:t xml:space="preserve"> </w:t>
            </w:r>
            <w:r>
              <w:rPr>
                <w:color w:val="auto"/>
                <w:spacing w:val="-3"/>
              </w:rPr>
              <w:t>显示、远程工况设置、故障远程报警功能、故障报警信息可</w:t>
            </w:r>
            <w:r>
              <w:rPr>
                <w:rFonts w:hint="eastAsia"/>
                <w:color w:val="auto"/>
                <w:spacing w:val="-3"/>
              </w:rPr>
              <w:t>同步</w:t>
            </w:r>
            <w:r>
              <w:rPr>
                <w:color w:val="auto"/>
                <w:spacing w:val="-3"/>
              </w:rPr>
              <w:t>发送到售</w:t>
            </w:r>
            <w:r>
              <w:rPr>
                <w:color w:val="auto"/>
                <w:spacing w:val="-39"/>
              </w:rPr>
              <w:t xml:space="preserve"> </w:t>
            </w:r>
            <w:r>
              <w:rPr>
                <w:color w:val="auto"/>
                <w:spacing w:val="-2"/>
              </w:rPr>
              <w:t>后服务工程师手机</w:t>
            </w:r>
            <w:r>
              <w:rPr>
                <w:color w:val="auto"/>
                <w:spacing w:val="-3"/>
              </w:rPr>
              <w:t>、</w:t>
            </w:r>
            <w:r>
              <w:rPr>
                <w:color w:val="auto"/>
                <w:spacing w:val="-2"/>
              </w:rPr>
              <w:t>投标人承诺该联网监控服务功能在设备生命周期内终身免费</w:t>
            </w:r>
            <w:r>
              <w:rPr>
                <w:rFonts w:hint="eastAsia"/>
                <w:color w:val="auto"/>
                <w:spacing w:val="-2"/>
              </w:rPr>
              <w:t>的，每</w:t>
            </w:r>
            <w:r>
              <w:rPr>
                <w:rFonts w:hint="eastAsia"/>
                <w:color w:val="auto"/>
                <w:spacing w:val="-2"/>
                <w:lang w:val="en-US" w:eastAsia="zh-CN"/>
              </w:rPr>
              <w:t>提供</w:t>
            </w:r>
            <w:r>
              <w:rPr>
                <w:rFonts w:hint="eastAsia"/>
                <w:color w:val="auto"/>
                <w:spacing w:val="-2"/>
              </w:rPr>
              <w:t>一项得1分，满分6分</w:t>
            </w:r>
            <w:r>
              <w:rPr>
                <w:rFonts w:cs="宋体"/>
                <w:color w:val="auto"/>
                <w:spacing w:val="-3"/>
              </w:rPr>
              <w:t>。</w:t>
            </w:r>
            <w:r>
              <w:rPr>
                <w:rFonts w:hint="eastAsia" w:cs="宋体"/>
                <w:color w:val="auto"/>
                <w:spacing w:val="-3"/>
              </w:rPr>
              <w:t>没有远程联网监控功能不得分。</w:t>
            </w:r>
          </w:p>
          <w:p>
            <w:pPr>
              <w:spacing w:line="400" w:lineRule="exact"/>
              <w:ind w:firstLine="204" w:firstLineChars="100"/>
              <w:jc w:val="both"/>
              <w:rPr>
                <w:rFonts w:hint="eastAsia" w:ascii="宋体" w:hAnsi="宋体" w:eastAsia="宋体" w:cs="宋体"/>
                <w:color w:val="auto"/>
                <w:sz w:val="21"/>
                <w:szCs w:val="21"/>
                <w:lang w:eastAsia="zh-CN"/>
              </w:rPr>
            </w:pPr>
            <w:r>
              <w:rPr>
                <w:rFonts w:ascii="宋体" w:hAnsi="宋体" w:eastAsia="宋体" w:cs="微软雅黑"/>
                <w:color w:val="auto"/>
                <w:spacing w:val="-3"/>
                <w:sz w:val="21"/>
                <w:szCs w:val="21"/>
                <w:lang w:eastAsia="zh-CN"/>
              </w:rPr>
              <w:t>（提供功能截图，要求显示用户网络监控平台操作界面及以上功能界面，显示分别发送至网络、手机两个平台的故障报警</w:t>
            </w:r>
            <w:r>
              <w:rPr>
                <w:rFonts w:ascii="宋体" w:hAnsi="宋体" w:eastAsia="宋体" w:cs="微软雅黑"/>
                <w:color w:val="auto"/>
                <w:sz w:val="21"/>
                <w:szCs w:val="21"/>
                <w:lang w:eastAsia="zh-CN"/>
              </w:rPr>
              <w:t>信息，未提供的不计分）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hint="eastAsia" w:cs="宋体"/>
                <w:lang w:eastAsia="zh-CN"/>
              </w:rPr>
              <w:t>4分</w:t>
            </w:r>
          </w:p>
        </w:tc>
        <w:tc>
          <w:tcPr>
            <w:tcW w:w="6159" w:type="dxa"/>
            <w:noWrap w:val="0"/>
            <w:vAlign w:val="top"/>
          </w:tcPr>
          <w:p>
            <w:pPr>
              <w:pStyle w:val="3"/>
              <w:spacing w:before="156" w:beforeLines="50" w:line="300" w:lineRule="exact"/>
              <w:rPr>
                <w:lang w:eastAsia="zh-CN"/>
              </w:rPr>
            </w:pPr>
            <w:r>
              <w:rPr>
                <w:rFonts w:hint="eastAsia" w:cs="宋体"/>
                <w:lang w:val="en-US" w:eastAsia="zh-CN"/>
              </w:rPr>
              <w:t>投标人</w:t>
            </w:r>
            <w:r>
              <w:rPr>
                <w:rFonts w:hint="eastAsia" w:cs="宋体"/>
                <w:lang w:eastAsia="zh-CN"/>
              </w:rPr>
              <w:t>所投产品</w:t>
            </w:r>
            <w:r>
              <w:rPr>
                <w:lang w:eastAsia="zh-CN"/>
              </w:rPr>
              <w:t>磁悬浮离心机组的</w:t>
            </w:r>
            <w:r>
              <w:rPr>
                <w:spacing w:val="-46"/>
                <w:lang w:eastAsia="zh-CN"/>
              </w:rPr>
              <w:t xml:space="preserve"> </w:t>
            </w:r>
            <w:r>
              <w:rPr>
                <w:rFonts w:cs="宋体"/>
                <w:lang w:eastAsia="zh-CN"/>
              </w:rPr>
              <w:t>IPLV</w:t>
            </w:r>
            <w:r>
              <w:rPr>
                <w:rFonts w:cs="宋体"/>
                <w:spacing w:val="-47"/>
                <w:lang w:eastAsia="zh-CN"/>
              </w:rPr>
              <w:t xml:space="preserve"> </w:t>
            </w:r>
            <w:r>
              <w:rPr>
                <w:spacing w:val="-4"/>
                <w:lang w:eastAsia="zh-CN"/>
              </w:rPr>
              <w:t>值</w:t>
            </w:r>
            <w:r>
              <w:rPr>
                <w:rFonts w:cs="宋体"/>
                <w:spacing w:val="-4"/>
                <w:lang w:eastAsia="zh-CN"/>
              </w:rPr>
              <w:t>(</w:t>
            </w:r>
            <w:r>
              <w:rPr>
                <w:spacing w:val="-4"/>
                <w:lang w:eastAsia="zh-CN"/>
              </w:rPr>
              <w:t>综合部分负荷性能系数）≥</w:t>
            </w:r>
            <w:r>
              <w:rPr>
                <w:rFonts w:cs="宋体"/>
                <w:spacing w:val="-4"/>
                <w:lang w:eastAsia="zh-CN"/>
              </w:rPr>
              <w:t>9.2</w:t>
            </w:r>
            <w:r>
              <w:rPr>
                <w:rFonts w:cs="宋体"/>
                <w:spacing w:val="-47"/>
                <w:lang w:eastAsia="zh-CN"/>
              </w:rPr>
              <w:t xml:space="preserve"> </w:t>
            </w:r>
            <w:r>
              <w:rPr>
                <w:spacing w:val="-18"/>
                <w:lang w:eastAsia="zh-CN"/>
              </w:rPr>
              <w:t>的</w:t>
            </w:r>
            <w:r>
              <w:rPr>
                <w:rFonts w:hint="eastAsia"/>
                <w:spacing w:val="-18"/>
                <w:lang w:val="en-US" w:eastAsia="zh-CN"/>
              </w:rPr>
              <w:t>得</w:t>
            </w:r>
            <w:r>
              <w:rPr>
                <w:rFonts w:cs="宋体"/>
                <w:lang w:eastAsia="zh-CN"/>
              </w:rPr>
              <w:t>2</w:t>
            </w:r>
            <w:r>
              <w:rPr>
                <w:rFonts w:cs="宋体"/>
                <w:spacing w:val="-47"/>
                <w:lang w:eastAsia="zh-CN"/>
              </w:rPr>
              <w:t xml:space="preserve"> </w:t>
            </w:r>
            <w:r>
              <w:rPr>
                <w:spacing w:val="-10"/>
                <w:lang w:eastAsia="zh-CN"/>
              </w:rPr>
              <w:t>分，</w:t>
            </w:r>
            <w:r>
              <w:rPr>
                <w:rFonts w:cs="宋体"/>
                <w:spacing w:val="-10"/>
                <w:lang w:eastAsia="zh-CN"/>
              </w:rPr>
              <w:t>IPLV</w:t>
            </w:r>
            <w:r>
              <w:rPr>
                <w:rFonts w:cs="宋体"/>
                <w:spacing w:val="-47"/>
                <w:lang w:eastAsia="zh-CN"/>
              </w:rPr>
              <w:t xml:space="preserve"> </w:t>
            </w:r>
            <w:r>
              <w:rPr>
                <w:lang w:eastAsia="zh-CN"/>
              </w:rPr>
              <w:t>值</w:t>
            </w:r>
            <w:r>
              <w:rPr>
                <w:rFonts w:cs="宋体"/>
                <w:lang w:eastAsia="zh-CN"/>
              </w:rPr>
              <w:t>(</w:t>
            </w:r>
            <w:r>
              <w:rPr>
                <w:lang w:eastAsia="zh-CN"/>
              </w:rPr>
              <w:t>综</w:t>
            </w:r>
            <w:r>
              <w:rPr>
                <w:rFonts w:cs="宋体"/>
                <w:lang w:eastAsia="zh-CN"/>
              </w:rPr>
              <w:t>合部分负荷性能系数）≥9.7</w:t>
            </w:r>
            <w:r>
              <w:rPr>
                <w:rFonts w:cs="宋体"/>
                <w:spacing w:val="-50"/>
                <w:lang w:eastAsia="zh-CN"/>
              </w:rPr>
              <w:t xml:space="preserve"> </w:t>
            </w:r>
            <w:r>
              <w:rPr>
                <w:rFonts w:cs="宋体"/>
                <w:lang w:eastAsia="zh-CN"/>
              </w:rPr>
              <w:t>的</w:t>
            </w:r>
            <w:r>
              <w:rPr>
                <w:rFonts w:hint="eastAsia" w:cs="宋体"/>
                <w:lang w:val="en-US" w:eastAsia="zh-CN"/>
              </w:rPr>
              <w:t>得</w:t>
            </w:r>
            <w:r>
              <w:rPr>
                <w:rFonts w:cs="宋体"/>
                <w:lang w:eastAsia="zh-CN"/>
              </w:rPr>
              <w:t>4</w:t>
            </w:r>
            <w:r>
              <w:rPr>
                <w:rFonts w:cs="宋体"/>
                <w:spacing w:val="-51"/>
                <w:lang w:eastAsia="zh-CN"/>
              </w:rPr>
              <w:t xml:space="preserve"> </w:t>
            </w:r>
            <w:r>
              <w:rPr>
                <w:rFonts w:cs="宋体"/>
                <w:lang w:eastAsia="zh-CN"/>
              </w:rPr>
              <w:t>分。</w:t>
            </w:r>
            <w:r>
              <w:rPr>
                <w:rFonts w:cs="微软雅黑"/>
                <w:lang w:eastAsia="zh-CN"/>
              </w:rPr>
              <w:t>（提供</w:t>
            </w:r>
            <w:r>
              <w:rPr>
                <w:rFonts w:hint="eastAsia" w:cs="微软雅黑"/>
                <w:lang w:eastAsia="zh-CN"/>
              </w:rPr>
              <w:t>设备制造商公开对外发行的样本扫描</w:t>
            </w:r>
            <w:r>
              <w:rPr>
                <w:rFonts w:cs="微软雅黑"/>
                <w:lang w:eastAsia="zh-CN"/>
              </w:rPr>
              <w:t>件</w:t>
            </w:r>
            <w:r>
              <w:rPr>
                <w:rFonts w:hint="eastAsia" w:cs="微软雅黑"/>
                <w:lang w:val="en-US" w:eastAsia="zh-CN"/>
              </w:rPr>
              <w:t>或</w:t>
            </w:r>
            <w:r>
              <w:rPr>
                <w:rFonts w:cs="微软雅黑"/>
                <w:lang w:eastAsia="zh-CN"/>
              </w:rPr>
              <w:t>第三方检测报告扫描件</w:t>
            </w:r>
            <w:r>
              <w:rPr>
                <w:rFonts w:hint="eastAsia" w:cs="微软雅黑"/>
                <w:lang w:eastAsia="zh-CN"/>
              </w:rPr>
              <w:t>证明</w:t>
            </w:r>
            <w:r>
              <w:rPr>
                <w:rFonts w:cs="微软雅黑"/>
                <w:lang w:eastAsia="zh-CN"/>
              </w:rPr>
              <w:t>，</w:t>
            </w:r>
            <w:r>
              <w:rPr>
                <w:rFonts w:ascii="宋体" w:hAnsi="宋体" w:eastAsia="宋体" w:cs="微软雅黑"/>
                <w:sz w:val="21"/>
                <w:szCs w:val="21"/>
                <w:lang w:eastAsia="zh-CN"/>
              </w:rPr>
              <w:t>未提供的不计分</w:t>
            </w:r>
            <w:r>
              <w:rPr>
                <w:rFonts w:cs="微软雅黑"/>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highlight w:val="none"/>
                <w:lang w:eastAsia="zh-CN"/>
              </w:rPr>
            </w:pPr>
          </w:p>
        </w:tc>
        <w:tc>
          <w:tcPr>
            <w:tcW w:w="936" w:type="dxa"/>
            <w:noWrap w:val="0"/>
            <w:vAlign w:val="top"/>
          </w:tcPr>
          <w:p>
            <w:pPr>
              <w:pStyle w:val="3"/>
              <w:spacing w:before="20"/>
              <w:ind w:left="0" w:right="181"/>
              <w:rPr>
                <w:rFonts w:hint="eastAsia" w:cs="宋体"/>
                <w:highlight w:val="none"/>
                <w:lang w:eastAsia="zh-CN"/>
              </w:rPr>
            </w:pPr>
            <w:r>
              <w:rPr>
                <w:rFonts w:hint="eastAsia" w:cs="宋体"/>
                <w:highlight w:val="none"/>
                <w:lang w:val="en-US" w:eastAsia="zh-CN"/>
              </w:rPr>
              <w:t>3</w:t>
            </w:r>
            <w:r>
              <w:rPr>
                <w:rFonts w:hint="eastAsia" w:cs="宋体"/>
                <w:highlight w:val="none"/>
                <w:lang w:eastAsia="zh-CN"/>
              </w:rPr>
              <w:t>分</w:t>
            </w:r>
          </w:p>
        </w:tc>
        <w:tc>
          <w:tcPr>
            <w:tcW w:w="6159" w:type="dxa"/>
            <w:noWrap w:val="0"/>
            <w:vAlign w:val="top"/>
          </w:tcPr>
          <w:p>
            <w:pPr>
              <w:pStyle w:val="3"/>
              <w:spacing w:before="156" w:beforeLines="50" w:line="300" w:lineRule="exact"/>
              <w:rPr>
                <w:rFonts w:hint="eastAsia"/>
                <w:highlight w:val="none"/>
                <w:lang w:eastAsia="zh-CN"/>
              </w:rPr>
            </w:pPr>
            <w:r>
              <w:rPr>
                <w:rFonts w:hint="eastAsia" w:cs="宋体"/>
                <w:highlight w:val="none"/>
              </w:rPr>
              <w:t>投标人</w:t>
            </w:r>
            <w:r>
              <w:rPr>
                <w:rFonts w:hint="eastAsia"/>
                <w:spacing w:val="-3"/>
                <w:highlight w:val="none"/>
              </w:rPr>
              <w:t>为提高设备兼容性</w:t>
            </w:r>
            <w:r>
              <w:rPr>
                <w:spacing w:val="-3"/>
                <w:highlight w:val="none"/>
              </w:rPr>
              <w:t>和方便售后服务管理，所投磁悬浮离心机组</w:t>
            </w:r>
            <w:r>
              <w:rPr>
                <w:rFonts w:hint="eastAsia"/>
                <w:spacing w:val="-3"/>
                <w:highlight w:val="none"/>
              </w:rPr>
              <w:t>可与原直燃机高发共同控制</w:t>
            </w:r>
            <w:r>
              <w:rPr>
                <w:spacing w:val="-3"/>
                <w:highlight w:val="none"/>
              </w:rPr>
              <w:t>、</w:t>
            </w:r>
            <w:r>
              <w:rPr>
                <w:rFonts w:hint="eastAsia"/>
                <w:spacing w:val="-3"/>
                <w:highlight w:val="none"/>
              </w:rPr>
              <w:t>制冷采暖均可一键开关机的得</w:t>
            </w:r>
            <w:r>
              <w:rPr>
                <w:rFonts w:hint="eastAsia"/>
                <w:spacing w:val="-3"/>
                <w:highlight w:val="none"/>
                <w:lang w:val="en-US" w:eastAsia="zh-CN"/>
              </w:rPr>
              <w:t>3</w:t>
            </w:r>
            <w:r>
              <w:rPr>
                <w:rFonts w:hint="eastAsia"/>
                <w:spacing w:val="-3"/>
                <w:highlight w:val="none"/>
              </w:rPr>
              <w:t>分。(提供正在运行的同项目机组照片、操作界面照片为证，每提供1</w:t>
            </w:r>
            <w:r>
              <w:rPr>
                <w:rFonts w:hint="eastAsia"/>
                <w:spacing w:val="-3"/>
                <w:highlight w:val="none"/>
                <w:lang w:val="en-US" w:eastAsia="zh-CN"/>
              </w:rPr>
              <w:t>一项</w:t>
            </w:r>
            <w:r>
              <w:rPr>
                <w:rFonts w:hint="eastAsia"/>
                <w:spacing w:val="-3"/>
                <w:highlight w:val="none"/>
              </w:rPr>
              <w:t>得1分，没有或不符合要求不得分)。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cs="宋体"/>
                <w:lang w:eastAsia="zh-CN"/>
              </w:rPr>
              <w:t>5</w:t>
            </w:r>
            <w:r>
              <w:rPr>
                <w:rFonts w:hint="eastAsia" w:cs="宋体"/>
                <w:lang w:eastAsia="zh-CN"/>
              </w:rPr>
              <w:t>分</w:t>
            </w:r>
          </w:p>
        </w:tc>
        <w:tc>
          <w:tcPr>
            <w:tcW w:w="6159" w:type="dxa"/>
            <w:noWrap w:val="0"/>
            <w:vAlign w:val="top"/>
          </w:tcPr>
          <w:p>
            <w:pPr>
              <w:pStyle w:val="3"/>
              <w:spacing w:before="156" w:beforeLines="50" w:line="300" w:lineRule="exact"/>
              <w:rPr>
                <w:rFonts w:hint="eastAsia" w:cs="宋体"/>
              </w:rPr>
            </w:pPr>
            <w:r>
              <w:rPr>
                <w:rFonts w:hint="eastAsia" w:cs="宋体"/>
              </w:rPr>
              <w:t>投标人需提供具体的施工方案，施工工艺先进，工程进度计划及保证措施、质量管理 体系与保证措施、安全管理体系与保证措施完善，资源配备计划进行比较得分：现场调研充分、方案详细、施工计划和各项措施完善、完全满足项目需求的得</w:t>
            </w:r>
            <w:r>
              <w:rPr>
                <w:rFonts w:hint="eastAsia" w:cs="宋体"/>
                <w:lang w:val="en-US" w:eastAsia="zh-CN"/>
              </w:rPr>
              <w:t>5</w:t>
            </w:r>
            <w:r>
              <w:rPr>
                <w:rFonts w:hint="eastAsia" w:cs="宋体"/>
              </w:rPr>
              <w:t>分，</w:t>
            </w:r>
            <w:r>
              <w:rPr>
                <w:rFonts w:hint="eastAsia" w:cs="宋体"/>
                <w:highlight w:val="none"/>
              </w:rPr>
              <w:t>方案</w:t>
            </w:r>
            <w:r>
              <w:rPr>
                <w:rFonts w:hint="eastAsia" w:cs="宋体"/>
                <w:highlight w:val="none"/>
                <w:lang w:val="en-US" w:eastAsia="zh-CN"/>
              </w:rPr>
              <w:t>较</w:t>
            </w:r>
            <w:r>
              <w:rPr>
                <w:rFonts w:hint="eastAsia" w:cs="宋体"/>
                <w:highlight w:val="none"/>
              </w:rPr>
              <w:t>完善</w:t>
            </w:r>
            <w:r>
              <w:rPr>
                <w:rFonts w:hint="eastAsia" w:cs="宋体"/>
                <w:highlight w:val="none"/>
                <w:lang w:val="en-US" w:eastAsia="zh-CN"/>
              </w:rPr>
              <w:t>,</w:t>
            </w:r>
            <w:r>
              <w:rPr>
                <w:rFonts w:hint="eastAsia" w:cs="宋体"/>
                <w:highlight w:val="none"/>
              </w:rPr>
              <w:t>基本能满足项目需求的得</w:t>
            </w:r>
            <w:r>
              <w:rPr>
                <w:rFonts w:hint="eastAsia" w:cs="宋体"/>
                <w:highlight w:val="none"/>
                <w:lang w:val="en-US" w:eastAsia="zh-CN"/>
              </w:rPr>
              <w:t>3</w:t>
            </w:r>
            <w:r>
              <w:rPr>
                <w:rFonts w:hint="eastAsia" w:cs="宋体"/>
                <w:highlight w:val="none"/>
              </w:rPr>
              <w:t>分。不满足项目需求或未提</w:t>
            </w:r>
            <w:r>
              <w:rPr>
                <w:rFonts w:hint="eastAsia" w:cs="宋体"/>
              </w:rPr>
              <w:t>供施工方案不得分。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hint="eastAsia" w:cs="宋体"/>
                <w:lang w:eastAsia="zh-CN"/>
              </w:rPr>
              <w:t>2分</w:t>
            </w:r>
          </w:p>
        </w:tc>
        <w:tc>
          <w:tcPr>
            <w:tcW w:w="6159" w:type="dxa"/>
            <w:noWrap w:val="0"/>
            <w:vAlign w:val="top"/>
          </w:tcPr>
          <w:p>
            <w:pPr>
              <w:pStyle w:val="3"/>
              <w:spacing w:before="156" w:beforeLines="50" w:line="300" w:lineRule="exact"/>
              <w:rPr>
                <w:lang w:eastAsia="zh-CN"/>
              </w:rPr>
            </w:pPr>
            <w:r>
              <w:rPr>
                <w:rFonts w:hint="eastAsia" w:cs="宋体"/>
                <w:lang w:val="en-US" w:eastAsia="zh-CN"/>
              </w:rPr>
              <w:t>1、投标人</w:t>
            </w:r>
            <w:r>
              <w:rPr>
                <w:rFonts w:hint="eastAsia"/>
                <w:lang w:eastAsia="zh-CN"/>
              </w:rPr>
              <w:t>所投</w:t>
            </w:r>
            <w:r>
              <w:rPr>
                <w:lang w:eastAsia="zh-CN"/>
              </w:rPr>
              <w:t>磁悬浮离心机组具有智能抗喘振功能的</w:t>
            </w:r>
            <w:r>
              <w:rPr>
                <w:rFonts w:hint="eastAsia"/>
                <w:lang w:val="en-US" w:eastAsia="zh-CN"/>
              </w:rPr>
              <w:t>得</w:t>
            </w:r>
            <w:r>
              <w:rPr>
                <w:spacing w:val="-51"/>
                <w:lang w:eastAsia="zh-CN"/>
              </w:rPr>
              <w:t xml:space="preserve"> </w:t>
            </w:r>
            <w:r>
              <w:rPr>
                <w:rFonts w:cs="宋体"/>
                <w:lang w:eastAsia="zh-CN"/>
              </w:rPr>
              <w:t>1</w:t>
            </w:r>
            <w:r>
              <w:rPr>
                <w:rFonts w:cs="宋体"/>
                <w:spacing w:val="-53"/>
                <w:lang w:eastAsia="zh-CN"/>
              </w:rPr>
              <w:t xml:space="preserve"> </w:t>
            </w:r>
            <w:r>
              <w:rPr>
                <w:lang w:eastAsia="zh-CN"/>
              </w:rPr>
              <w:t>分；没有的</w:t>
            </w:r>
            <w:r>
              <w:rPr>
                <w:rFonts w:hint="eastAsia"/>
                <w:lang w:val="en-US" w:eastAsia="zh-CN"/>
              </w:rPr>
              <w:t>不得</w:t>
            </w:r>
            <w:r>
              <w:rPr>
                <w:lang w:eastAsia="zh-CN"/>
              </w:rPr>
              <w:t>分。</w:t>
            </w:r>
          </w:p>
          <w:p>
            <w:pPr>
              <w:pStyle w:val="3"/>
              <w:spacing w:before="156" w:beforeLines="50" w:line="300" w:lineRule="exact"/>
              <w:rPr>
                <w:lang w:eastAsia="zh-CN"/>
              </w:rPr>
            </w:pPr>
            <w:r>
              <w:rPr>
                <w:rFonts w:hint="eastAsia" w:cs="宋体"/>
                <w:lang w:val="en-US" w:eastAsia="zh-CN"/>
              </w:rPr>
              <w:t>2、</w:t>
            </w:r>
            <w:r>
              <w:rPr>
                <w:rFonts w:hint="eastAsia" w:cs="宋体"/>
              </w:rPr>
              <w:t>投标人</w:t>
            </w:r>
            <w:r>
              <w:rPr>
                <w:rFonts w:hint="eastAsia"/>
              </w:rPr>
              <w:t>所投磁悬浮离心机安装后能够与水泵</w:t>
            </w:r>
            <w:r>
              <w:rPr>
                <w:spacing w:val="-3"/>
              </w:rPr>
              <w:t>、</w:t>
            </w:r>
            <w:r>
              <w:rPr>
                <w:rFonts w:hint="eastAsia"/>
                <w:spacing w:val="-3"/>
              </w:rPr>
              <w:t>冷却塔</w:t>
            </w:r>
            <w:r>
              <w:rPr>
                <w:rFonts w:hint="eastAsia"/>
              </w:rPr>
              <w:t>联动控制并能实现一键开关机的得1分，否则不得分。</w:t>
            </w:r>
          </w:p>
          <w:p>
            <w:pPr>
              <w:pStyle w:val="3"/>
              <w:spacing w:before="156" w:beforeLines="50" w:line="300" w:lineRule="exact"/>
              <w:rPr>
                <w:rFonts w:hint="eastAsia"/>
                <w:lang w:eastAsia="zh-CN"/>
              </w:rPr>
            </w:pPr>
            <w:r>
              <w:rPr>
                <w:rFonts w:hint="eastAsia"/>
                <w:lang w:eastAsia="zh-CN"/>
              </w:rPr>
              <w:t>以上均需提供详细技术说明，否则不得分。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highlight w:val="none"/>
                <w:lang w:eastAsia="zh-CN"/>
              </w:rPr>
            </w:pPr>
            <w:r>
              <w:rPr>
                <w:rFonts w:hint="eastAsia" w:cs="宋体"/>
                <w:highlight w:val="none"/>
                <w:lang w:eastAsia="zh-CN"/>
              </w:rPr>
              <w:t>3分</w:t>
            </w:r>
          </w:p>
        </w:tc>
        <w:tc>
          <w:tcPr>
            <w:tcW w:w="6159" w:type="dxa"/>
            <w:noWrap w:val="0"/>
            <w:vAlign w:val="top"/>
          </w:tcPr>
          <w:p>
            <w:pPr>
              <w:pStyle w:val="3"/>
              <w:spacing w:before="156" w:beforeLines="50" w:line="300" w:lineRule="exact"/>
              <w:rPr>
                <w:rFonts w:hint="eastAsia"/>
                <w:highlight w:val="none"/>
                <w:lang w:eastAsia="zh-CN"/>
              </w:rPr>
            </w:pPr>
            <w:r>
              <w:rPr>
                <w:rFonts w:hint="eastAsia"/>
                <w:highlight w:val="none"/>
                <w:lang w:val="en-US" w:eastAsia="zh-CN"/>
              </w:rPr>
              <w:t>投标人</w:t>
            </w:r>
            <w:r>
              <w:rPr>
                <w:rFonts w:hint="eastAsia" w:ascii="宋体" w:hAnsi="宋体" w:cs="方正仿宋_GBK"/>
                <w:color w:val="000000"/>
                <w:szCs w:val="21"/>
                <w:highlight w:val="none"/>
              </w:rPr>
              <w:t>所投磁悬浮离心机组设计使用寿命≥30年的得</w:t>
            </w:r>
            <w:r>
              <w:rPr>
                <w:rFonts w:ascii="宋体" w:hAnsi="宋体" w:cs="方正仿宋_GBK"/>
                <w:color w:val="000000"/>
                <w:szCs w:val="21"/>
                <w:highlight w:val="none"/>
              </w:rPr>
              <w:t>3</w:t>
            </w:r>
            <w:r>
              <w:rPr>
                <w:rFonts w:hint="eastAsia" w:ascii="宋体" w:hAnsi="宋体" w:cs="方正仿宋_GBK"/>
                <w:color w:val="000000"/>
                <w:szCs w:val="21"/>
                <w:highlight w:val="none"/>
              </w:rPr>
              <w:t>分，≥25年的得</w:t>
            </w:r>
            <w:r>
              <w:rPr>
                <w:rFonts w:ascii="宋体" w:hAnsi="宋体" w:cs="方正仿宋_GBK"/>
                <w:color w:val="000000"/>
                <w:szCs w:val="21"/>
                <w:highlight w:val="none"/>
              </w:rPr>
              <w:t>2</w:t>
            </w:r>
            <w:r>
              <w:rPr>
                <w:rFonts w:hint="eastAsia" w:ascii="宋体" w:hAnsi="宋体" w:cs="方正仿宋_GBK"/>
                <w:color w:val="000000"/>
                <w:szCs w:val="21"/>
                <w:highlight w:val="none"/>
              </w:rPr>
              <w:t>分，其余情况不得分。以设备制造商公开对外发行的样本扫描件为准。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highlight w:val="none"/>
                <w:lang w:eastAsia="zh-CN"/>
              </w:rPr>
            </w:pPr>
            <w:r>
              <w:rPr>
                <w:rFonts w:cs="宋体"/>
                <w:highlight w:val="none"/>
                <w:lang w:eastAsia="zh-CN"/>
              </w:rPr>
              <w:t>4</w:t>
            </w:r>
            <w:r>
              <w:rPr>
                <w:rFonts w:hint="eastAsia" w:cs="宋体"/>
                <w:highlight w:val="none"/>
                <w:lang w:eastAsia="zh-CN"/>
              </w:rPr>
              <w:t>分</w:t>
            </w:r>
          </w:p>
        </w:tc>
        <w:tc>
          <w:tcPr>
            <w:tcW w:w="6159" w:type="dxa"/>
            <w:noWrap w:val="0"/>
            <w:vAlign w:val="top"/>
          </w:tcPr>
          <w:p>
            <w:pPr>
              <w:pStyle w:val="3"/>
              <w:spacing w:before="156" w:beforeLines="50" w:line="300" w:lineRule="exact"/>
              <w:rPr>
                <w:rFonts w:hint="eastAsia"/>
                <w:highlight w:val="none"/>
                <w:lang w:eastAsia="zh-CN"/>
              </w:rPr>
            </w:pPr>
            <w:r>
              <w:rPr>
                <w:rFonts w:hint="eastAsia" w:ascii="宋体" w:hAnsi="宋体" w:cs="宋体"/>
                <w:spacing w:val="-3"/>
                <w:szCs w:val="21"/>
                <w:highlight w:val="none"/>
              </w:rPr>
              <w:t>投标人所投</w:t>
            </w:r>
            <w:r>
              <w:rPr>
                <w:rFonts w:ascii="宋体" w:hAnsi="宋体" w:cs="宋体"/>
                <w:spacing w:val="-3"/>
                <w:szCs w:val="21"/>
                <w:highlight w:val="none"/>
              </w:rPr>
              <w:t>空调主机制造商</w:t>
            </w:r>
            <w:r>
              <w:rPr>
                <w:rFonts w:hint="eastAsia" w:ascii="宋体" w:hAnsi="宋体" w:cs="宋体"/>
                <w:spacing w:val="-3"/>
                <w:szCs w:val="21"/>
                <w:highlight w:val="none"/>
              </w:rPr>
              <w:t>对所服务用户免费提供年度设备运行分析及服务情况总结报告的，每提供一家得1分，满分4分</w:t>
            </w:r>
            <w:r>
              <w:rPr>
                <w:rFonts w:ascii="宋体" w:hAnsi="宋体" w:cs="宋体"/>
                <w:spacing w:val="-4"/>
                <w:szCs w:val="21"/>
                <w:highlight w:val="none"/>
              </w:rPr>
              <w:t>。</w:t>
            </w:r>
            <w:r>
              <w:rPr>
                <w:rFonts w:ascii="宋体" w:hAnsi="宋体" w:cs="微软雅黑"/>
                <w:spacing w:val="-4"/>
                <w:szCs w:val="21"/>
                <w:highlight w:val="none"/>
              </w:rPr>
              <w:t>（提供</w:t>
            </w:r>
            <w:r>
              <w:rPr>
                <w:rFonts w:ascii="宋体" w:hAnsi="宋体" w:cs="微软雅黑"/>
                <w:szCs w:val="21"/>
                <w:highlight w:val="none"/>
              </w:rPr>
              <w:t>用户</w:t>
            </w:r>
            <w:r>
              <w:rPr>
                <w:rFonts w:hint="eastAsia" w:ascii="宋体" w:hAnsi="宋体" w:cs="微软雅黑"/>
                <w:szCs w:val="21"/>
                <w:highlight w:val="none"/>
              </w:rPr>
              <w:t>近三年的</w:t>
            </w:r>
            <w:r>
              <w:rPr>
                <w:rFonts w:hint="eastAsia" w:ascii="宋体" w:hAnsi="宋体" w:cs="宋体"/>
                <w:szCs w:val="21"/>
                <w:highlight w:val="none"/>
              </w:rPr>
              <w:t>年度服务报告以及加盖用户章的签收回执</w:t>
            </w:r>
            <w:r>
              <w:rPr>
                <w:rFonts w:ascii="宋体" w:hAnsi="宋体" w:cs="微软雅黑"/>
                <w:szCs w:val="21"/>
                <w:highlight w:val="none"/>
              </w:rPr>
              <w:t>作为证明材料，</w:t>
            </w:r>
            <w:r>
              <w:rPr>
                <w:rFonts w:hint="eastAsia" w:ascii="宋体" w:hAnsi="宋体" w:cs="微软雅黑"/>
                <w:szCs w:val="21"/>
                <w:highlight w:val="none"/>
              </w:rPr>
              <w:t>并提供用户联系人和电话号码，</w:t>
            </w:r>
            <w:r>
              <w:rPr>
                <w:rFonts w:ascii="宋体" w:hAnsi="宋体" w:cs="微软雅黑"/>
                <w:szCs w:val="21"/>
                <w:highlight w:val="none"/>
              </w:rPr>
              <w:t>未提供</w:t>
            </w:r>
            <w:r>
              <w:rPr>
                <w:rFonts w:hint="eastAsia" w:ascii="宋体" w:hAnsi="宋体" w:cs="宋体"/>
                <w:szCs w:val="21"/>
                <w:highlight w:val="none"/>
              </w:rPr>
              <w:t>或资料不全</w:t>
            </w:r>
            <w:r>
              <w:rPr>
                <w:rFonts w:ascii="宋体" w:hAnsi="宋体" w:cs="微软雅黑"/>
                <w:szCs w:val="21"/>
                <w:highlight w:val="none"/>
              </w:rPr>
              <w:t>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hint="eastAsia" w:cs="宋体"/>
                <w:lang w:eastAsia="zh-CN"/>
              </w:rPr>
              <w:t>2分</w:t>
            </w:r>
          </w:p>
        </w:tc>
        <w:tc>
          <w:tcPr>
            <w:tcW w:w="6159" w:type="dxa"/>
            <w:noWrap w:val="0"/>
            <w:vAlign w:val="top"/>
          </w:tcPr>
          <w:p>
            <w:pPr>
              <w:pStyle w:val="3"/>
              <w:spacing w:before="156" w:beforeLines="50" w:line="300" w:lineRule="exact"/>
              <w:rPr>
                <w:lang w:eastAsia="zh-CN"/>
              </w:rPr>
            </w:pPr>
            <w:r>
              <w:rPr>
                <w:rFonts w:hint="eastAsia" w:cs="宋体"/>
                <w:lang w:val="en-US" w:eastAsia="zh-CN"/>
              </w:rPr>
              <w:t>投标人</w:t>
            </w:r>
            <w:r>
              <w:rPr>
                <w:rFonts w:hint="eastAsia"/>
                <w:lang w:eastAsia="zh-CN"/>
              </w:rPr>
              <w:t>所投磁悬浮离心机型号获得中国能效标识网上备案等级的，1级</w:t>
            </w:r>
            <w:r>
              <w:rPr>
                <w:rFonts w:hint="eastAsia"/>
                <w:lang w:val="en-US" w:eastAsia="zh-CN"/>
              </w:rPr>
              <w:t>的</w:t>
            </w:r>
            <w:r>
              <w:rPr>
                <w:rFonts w:hint="eastAsia"/>
                <w:lang w:eastAsia="zh-CN"/>
              </w:rPr>
              <w:t>得2分，2级</w:t>
            </w:r>
            <w:r>
              <w:rPr>
                <w:rFonts w:hint="eastAsia"/>
                <w:lang w:val="en-US" w:eastAsia="zh-CN"/>
              </w:rPr>
              <w:t>的</w:t>
            </w:r>
            <w:r>
              <w:rPr>
                <w:rFonts w:hint="eastAsia"/>
                <w:lang w:eastAsia="zh-CN"/>
              </w:rPr>
              <w:t>得1分，2级以下不得分。（需在投标文件中提供网页截图）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hint="eastAsia" w:cs="宋体"/>
                <w:lang w:eastAsia="zh-CN"/>
              </w:rPr>
              <w:t>3分</w:t>
            </w:r>
          </w:p>
        </w:tc>
        <w:tc>
          <w:tcPr>
            <w:tcW w:w="6159" w:type="dxa"/>
            <w:noWrap w:val="0"/>
            <w:vAlign w:val="top"/>
          </w:tcPr>
          <w:p>
            <w:pPr>
              <w:pStyle w:val="3"/>
              <w:spacing w:before="156" w:beforeLines="50" w:line="300" w:lineRule="exact"/>
              <w:rPr>
                <w:rFonts w:hint="eastAsia"/>
                <w:lang w:eastAsia="zh-CN"/>
              </w:rPr>
            </w:pPr>
            <w:r>
              <w:rPr>
                <w:rFonts w:hint="eastAsia" w:cs="宋体"/>
                <w:lang w:val="en-US" w:eastAsia="zh-CN"/>
              </w:rPr>
              <w:t>投标人</w:t>
            </w:r>
            <w:r>
              <w:rPr>
                <w:rFonts w:hint="eastAsia"/>
                <w:lang w:eastAsia="zh-CN"/>
              </w:rPr>
              <w:t>所投磁悬浮离心机组可按每天、每周（可选每周几）等模式进行定时开关机设置，根据设定时间自动开关机得</w:t>
            </w:r>
            <w:r>
              <w:rPr>
                <w:lang w:eastAsia="zh-CN"/>
              </w:rPr>
              <w:t>3</w:t>
            </w:r>
            <w:r>
              <w:rPr>
                <w:rFonts w:hint="eastAsia"/>
                <w:lang w:eastAsia="zh-CN"/>
              </w:rPr>
              <w:t>分，需提供操作屏相关界面照片为证，没有或功能不全不得分。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hint="eastAsia" w:cs="宋体"/>
                <w:lang w:eastAsia="zh-CN"/>
              </w:rPr>
              <w:t>3分</w:t>
            </w:r>
          </w:p>
        </w:tc>
        <w:tc>
          <w:tcPr>
            <w:tcW w:w="6159" w:type="dxa"/>
            <w:noWrap w:val="0"/>
            <w:vAlign w:val="top"/>
          </w:tcPr>
          <w:p>
            <w:pPr>
              <w:pStyle w:val="3"/>
              <w:spacing w:before="156" w:beforeLines="50" w:line="300" w:lineRule="exact"/>
              <w:rPr>
                <w:rFonts w:hint="eastAsia"/>
                <w:lang w:eastAsia="zh-CN"/>
              </w:rPr>
            </w:pPr>
            <w:r>
              <w:rPr>
                <w:rFonts w:hint="eastAsia" w:cs="宋体"/>
                <w:lang w:val="en-US" w:eastAsia="zh-CN"/>
              </w:rPr>
              <w:t>投标人</w:t>
            </w:r>
            <w:r>
              <w:rPr>
                <w:rFonts w:hint="eastAsia"/>
                <w:lang w:eastAsia="zh-CN"/>
              </w:rPr>
              <w:t>所投磁悬浮离心机组具备节能设置功能，可根据外界气温自动调节冷水出口目标温度、</w:t>
            </w:r>
            <w:r>
              <w:rPr>
                <w:rFonts w:hint="eastAsia"/>
              </w:rPr>
              <w:t>自动开关机</w:t>
            </w:r>
            <w:r>
              <w:rPr>
                <w:rFonts w:hint="eastAsia"/>
                <w:lang w:eastAsia="zh-CN"/>
              </w:rPr>
              <w:t>、分时段节能控制的得3分，以上功能需提供操作屏相关界面照片为证，每有一项得1分，没有不得分。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hint="eastAsia" w:cs="宋体"/>
                <w:lang w:eastAsia="zh-CN"/>
              </w:rPr>
            </w:pPr>
            <w:r>
              <w:rPr>
                <w:rFonts w:cs="宋体"/>
                <w:lang w:eastAsia="zh-CN"/>
              </w:rPr>
              <w:t>1</w:t>
            </w:r>
            <w:r>
              <w:rPr>
                <w:rFonts w:hint="eastAsia" w:cs="宋体"/>
                <w:lang w:eastAsia="zh-CN"/>
              </w:rPr>
              <w:t>分</w:t>
            </w:r>
          </w:p>
        </w:tc>
        <w:tc>
          <w:tcPr>
            <w:tcW w:w="6159" w:type="dxa"/>
            <w:noWrap w:val="0"/>
            <w:vAlign w:val="top"/>
          </w:tcPr>
          <w:p>
            <w:pPr>
              <w:pStyle w:val="3"/>
              <w:spacing w:before="156" w:beforeLines="50" w:line="300" w:lineRule="exact"/>
              <w:rPr>
                <w:rFonts w:hint="eastAsia"/>
                <w:lang w:eastAsia="zh-CN"/>
              </w:rPr>
            </w:pPr>
            <w:r>
              <w:rPr>
                <w:rFonts w:hint="eastAsia" w:cs="宋体"/>
              </w:rPr>
              <w:t>投标人</w:t>
            </w:r>
            <w:r>
              <w:rPr>
                <w:rFonts w:hint="eastAsia"/>
              </w:rPr>
              <w:t>所投磁悬浮离心机的蒸发器在出厂前做好保温保冷的，计</w:t>
            </w:r>
            <w:r>
              <w:t>1</w:t>
            </w:r>
            <w:r>
              <w:rPr>
                <w:rFonts w:hint="eastAsia"/>
              </w:rPr>
              <w:t>分；</w:t>
            </w:r>
            <w:r>
              <w:rPr>
                <w:rFonts w:hint="eastAsia"/>
                <w:lang w:eastAsia="zh-CN"/>
              </w:rPr>
              <w:t>没有不得分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continue"/>
            <w:noWrap w:val="0"/>
            <w:vAlign w:val="top"/>
          </w:tcPr>
          <w:p>
            <w:pPr>
              <w:pStyle w:val="3"/>
              <w:spacing w:before="20"/>
              <w:ind w:left="0" w:right="181"/>
              <w:rPr>
                <w:rFonts w:hint="eastAsia" w:cs="宋体"/>
                <w:lang w:eastAsia="zh-CN"/>
              </w:rPr>
            </w:pPr>
          </w:p>
        </w:tc>
        <w:tc>
          <w:tcPr>
            <w:tcW w:w="936" w:type="dxa"/>
            <w:noWrap w:val="0"/>
            <w:vAlign w:val="top"/>
          </w:tcPr>
          <w:p>
            <w:pPr>
              <w:pStyle w:val="3"/>
              <w:spacing w:before="20"/>
              <w:ind w:left="0" w:right="181"/>
              <w:rPr>
                <w:rFonts w:cs="宋体"/>
                <w:lang w:eastAsia="zh-CN"/>
              </w:rPr>
            </w:pPr>
            <w:r>
              <w:rPr>
                <w:rFonts w:cs="宋体"/>
                <w:lang w:eastAsia="zh-CN"/>
              </w:rPr>
              <w:t>1</w:t>
            </w:r>
            <w:r>
              <w:rPr>
                <w:rFonts w:hint="eastAsia" w:cs="宋体"/>
                <w:lang w:eastAsia="zh-CN"/>
              </w:rPr>
              <w:t>分</w:t>
            </w:r>
          </w:p>
        </w:tc>
        <w:tc>
          <w:tcPr>
            <w:tcW w:w="6159" w:type="dxa"/>
            <w:noWrap w:val="0"/>
            <w:vAlign w:val="top"/>
          </w:tcPr>
          <w:p>
            <w:pPr>
              <w:pStyle w:val="3"/>
              <w:spacing w:before="156" w:beforeLines="50" w:line="300" w:lineRule="exact"/>
              <w:rPr>
                <w:rFonts w:hint="eastAsia"/>
                <w:lang w:eastAsia="zh-CN"/>
              </w:rPr>
            </w:pPr>
            <w:r>
              <w:rPr>
                <w:rFonts w:hint="eastAsia" w:cs="宋体"/>
                <w:lang w:val="en-US" w:eastAsia="zh-CN"/>
              </w:rPr>
              <w:t>投标人所投产品</w:t>
            </w:r>
            <w:r>
              <w:rPr>
                <w:rFonts w:hint="eastAsia"/>
                <w:lang w:eastAsia="zh-CN"/>
              </w:rPr>
              <w:t>制造商具备全系列</w:t>
            </w:r>
            <w:r>
              <w:rPr>
                <w:rFonts w:hint="eastAsia" w:cs="宋体"/>
                <w:lang w:eastAsia="zh-CN"/>
              </w:rPr>
              <w:t>产品</w:t>
            </w:r>
            <w:r>
              <w:rPr>
                <w:rFonts w:hint="eastAsia"/>
                <w:lang w:eastAsia="zh-CN"/>
              </w:rPr>
              <w:t>整机试验台的得1分，需提供整机试验台照片相关认证证书，没有或资料不完整的不得分。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gridSpan w:val="2"/>
            <w:vMerge w:val="restart"/>
            <w:noWrap w:val="0"/>
            <w:vAlign w:val="top"/>
          </w:tcPr>
          <w:p>
            <w:pPr>
              <w:pStyle w:val="3"/>
              <w:spacing w:before="20"/>
              <w:ind w:left="0" w:right="181"/>
              <w:rPr>
                <w:rFonts w:hint="eastAsia" w:cs="宋体"/>
                <w:highlight w:val="none"/>
                <w:lang w:eastAsia="zh-CN"/>
              </w:rPr>
            </w:pPr>
            <w:r>
              <w:rPr>
                <w:rFonts w:hint="eastAsia" w:cs="宋体"/>
                <w:highlight w:val="none"/>
                <w:lang w:val="en-US" w:eastAsia="zh-CN"/>
              </w:rPr>
              <w:t>综合部分</w:t>
            </w:r>
            <w:r>
              <w:rPr>
                <w:rFonts w:hint="eastAsia" w:cs="宋体"/>
                <w:highlight w:val="none"/>
                <w:lang w:eastAsia="zh-CN"/>
              </w:rPr>
              <w:t>（</w:t>
            </w:r>
            <w:r>
              <w:rPr>
                <w:rFonts w:hint="eastAsia" w:cs="宋体"/>
                <w:highlight w:val="none"/>
                <w:lang w:val="en-US" w:eastAsia="zh-CN"/>
              </w:rPr>
              <w:t>25</w:t>
            </w:r>
            <w:r>
              <w:rPr>
                <w:rFonts w:hint="eastAsia" w:cs="宋体"/>
                <w:highlight w:val="none"/>
                <w:lang w:eastAsia="zh-CN"/>
              </w:rPr>
              <w:t>分）</w:t>
            </w:r>
          </w:p>
          <w:p>
            <w:pPr>
              <w:pStyle w:val="3"/>
              <w:spacing w:before="20"/>
              <w:ind w:right="181"/>
              <w:rPr>
                <w:rFonts w:cs="宋体"/>
                <w:highlight w:val="none"/>
                <w:lang w:eastAsia="zh-CN"/>
              </w:rPr>
            </w:pPr>
          </w:p>
          <w:p>
            <w:pPr>
              <w:bidi w:val="0"/>
              <w:rPr>
                <w:highlight w:val="none"/>
                <w:lang w:eastAsia="zh-CN"/>
              </w:rPr>
            </w:pPr>
          </w:p>
          <w:p>
            <w:pPr>
              <w:bidi w:val="0"/>
              <w:rPr>
                <w:highlight w:val="none"/>
                <w:lang w:eastAsia="zh-CN"/>
              </w:rPr>
            </w:pPr>
          </w:p>
          <w:p>
            <w:pPr>
              <w:bidi w:val="0"/>
              <w:rPr>
                <w:highlight w:val="none"/>
                <w:lang w:eastAsia="zh-CN"/>
              </w:rPr>
            </w:pPr>
          </w:p>
          <w:p>
            <w:pPr>
              <w:bidi w:val="0"/>
              <w:rPr>
                <w:highlight w:val="none"/>
                <w:lang w:eastAsia="zh-CN"/>
              </w:rPr>
            </w:pPr>
          </w:p>
          <w:p>
            <w:pPr>
              <w:bidi w:val="0"/>
              <w:rPr>
                <w:highlight w:val="none"/>
                <w:lang w:eastAsia="zh-CN"/>
              </w:rPr>
            </w:pPr>
          </w:p>
          <w:p>
            <w:pPr>
              <w:bidi w:val="0"/>
              <w:rPr>
                <w:highlight w:val="none"/>
                <w:lang w:eastAsia="zh-CN"/>
              </w:rPr>
            </w:pPr>
          </w:p>
          <w:p>
            <w:pPr>
              <w:bidi w:val="0"/>
              <w:rPr>
                <w:highlight w:val="none"/>
                <w:lang w:eastAsia="zh-CN"/>
              </w:rPr>
            </w:pPr>
          </w:p>
          <w:p>
            <w:pPr>
              <w:bidi w:val="0"/>
              <w:rPr>
                <w:highlight w:val="none"/>
                <w:lang w:eastAsia="zh-CN"/>
              </w:rPr>
            </w:pPr>
          </w:p>
          <w:p>
            <w:pPr>
              <w:pStyle w:val="3"/>
              <w:spacing w:before="20"/>
              <w:ind w:left="0" w:right="181"/>
              <w:rPr>
                <w:rFonts w:cs="宋体"/>
                <w:highlight w:val="none"/>
                <w:lang w:eastAsia="zh-CN"/>
              </w:rPr>
            </w:pPr>
          </w:p>
          <w:p>
            <w:pPr>
              <w:pStyle w:val="3"/>
              <w:spacing w:before="20"/>
              <w:ind w:right="181"/>
              <w:rPr>
                <w:rFonts w:hint="eastAsia" w:cs="宋体"/>
                <w:highlight w:val="none"/>
                <w:lang w:eastAsia="zh-CN"/>
              </w:rPr>
            </w:pPr>
          </w:p>
        </w:tc>
        <w:tc>
          <w:tcPr>
            <w:tcW w:w="936" w:type="dxa"/>
            <w:noWrap w:val="0"/>
            <w:vAlign w:val="top"/>
          </w:tcPr>
          <w:p>
            <w:pPr>
              <w:pStyle w:val="3"/>
              <w:spacing w:before="20"/>
              <w:ind w:left="0" w:right="181"/>
              <w:rPr>
                <w:rFonts w:cs="宋体"/>
                <w:highlight w:val="none"/>
                <w:lang w:eastAsia="zh-CN"/>
              </w:rPr>
            </w:pPr>
            <w:r>
              <w:rPr>
                <w:rFonts w:hint="eastAsia" w:cs="宋体"/>
                <w:highlight w:val="none"/>
                <w:lang w:eastAsia="zh-CN"/>
              </w:rPr>
              <w:t>2分</w:t>
            </w:r>
          </w:p>
        </w:tc>
        <w:tc>
          <w:tcPr>
            <w:tcW w:w="6159" w:type="dxa"/>
            <w:noWrap w:val="0"/>
            <w:vAlign w:val="top"/>
          </w:tcPr>
          <w:p>
            <w:pPr>
              <w:pStyle w:val="3"/>
              <w:spacing w:line="320" w:lineRule="exact"/>
              <w:ind w:right="181"/>
              <w:rPr>
                <w:highlight w:val="none"/>
                <w:lang w:eastAsia="zh-CN"/>
              </w:rPr>
            </w:pPr>
            <w:r>
              <w:rPr>
                <w:rFonts w:hint="eastAsia"/>
                <w:highlight w:val="none"/>
              </w:rPr>
              <w:t>投标人所投产品制造商获得过</w:t>
            </w:r>
            <w:r>
              <w:rPr>
                <w:rFonts w:hint="eastAsia"/>
                <w:highlight w:val="none"/>
                <w:lang w:val="en-US" w:eastAsia="zh-CN"/>
              </w:rPr>
              <w:t>省级及以上奖项</w:t>
            </w:r>
            <w:r>
              <w:rPr>
                <w:rFonts w:hint="eastAsia"/>
                <w:highlight w:val="none"/>
              </w:rPr>
              <w:t>的，每</w:t>
            </w:r>
            <w:r>
              <w:rPr>
                <w:highlight w:val="none"/>
              </w:rPr>
              <w:t>有一项</w:t>
            </w:r>
            <w:r>
              <w:rPr>
                <w:rFonts w:hint="eastAsia"/>
                <w:highlight w:val="none"/>
              </w:rPr>
              <w:t>得0.5分</w:t>
            </w:r>
            <w:r>
              <w:rPr>
                <w:highlight w:val="none"/>
              </w:rPr>
              <w:t>，</w:t>
            </w:r>
            <w:r>
              <w:rPr>
                <w:rFonts w:hint="eastAsia"/>
                <w:highlight w:val="none"/>
              </w:rPr>
              <w:t>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52" w:type="dxa"/>
            <w:gridSpan w:val="2"/>
            <w:vMerge w:val="continue"/>
            <w:noWrap w:val="0"/>
            <w:vAlign w:val="top"/>
          </w:tcPr>
          <w:p>
            <w:pPr>
              <w:pStyle w:val="3"/>
              <w:spacing w:before="20"/>
              <w:ind w:left="0" w:right="181"/>
              <w:rPr>
                <w:rFonts w:hint="eastAsia" w:eastAsia="宋体" w:cs="宋体"/>
                <w:highlight w:val="none"/>
                <w:lang w:val="en-US" w:eastAsia="zh-CN"/>
              </w:rPr>
            </w:pPr>
          </w:p>
        </w:tc>
        <w:tc>
          <w:tcPr>
            <w:tcW w:w="936" w:type="dxa"/>
            <w:noWrap w:val="0"/>
            <w:vAlign w:val="top"/>
          </w:tcPr>
          <w:p>
            <w:pPr>
              <w:pStyle w:val="3"/>
              <w:spacing w:before="20"/>
              <w:ind w:left="0" w:right="181"/>
              <w:rPr>
                <w:rFonts w:hint="eastAsia" w:eastAsia="宋体" w:cs="宋体"/>
                <w:highlight w:val="none"/>
                <w:lang w:eastAsia="zh-CN"/>
              </w:rPr>
            </w:pPr>
            <w:r>
              <w:rPr>
                <w:highlight w:val="none"/>
              </w:rPr>
              <w:t>3</w:t>
            </w:r>
            <w:r>
              <w:rPr>
                <w:rFonts w:hint="eastAsia"/>
                <w:highlight w:val="none"/>
              </w:rPr>
              <w:t>分</w:t>
            </w:r>
          </w:p>
        </w:tc>
        <w:tc>
          <w:tcPr>
            <w:tcW w:w="6159" w:type="dxa"/>
            <w:noWrap w:val="0"/>
            <w:vAlign w:val="top"/>
          </w:tcPr>
          <w:p>
            <w:pPr>
              <w:spacing w:line="400" w:lineRule="exact"/>
              <w:ind w:right="181"/>
              <w:rPr>
                <w:rFonts w:hint="eastAsia" w:ascii="宋体" w:hAnsi="宋体" w:eastAsia="宋体" w:cs="宋体"/>
                <w:sz w:val="21"/>
                <w:szCs w:val="21"/>
                <w:highlight w:val="none"/>
                <w:lang w:eastAsia="zh-CN"/>
              </w:rPr>
            </w:pPr>
            <w:r>
              <w:rPr>
                <w:rFonts w:hint="eastAsia"/>
                <w:highlight w:val="none"/>
                <w:lang w:val="en-US" w:eastAsia="zh-CN"/>
              </w:rPr>
              <w:t>投标人</w:t>
            </w:r>
            <w:r>
              <w:rPr>
                <w:rFonts w:hint="eastAsia" w:ascii="宋体" w:hAnsi="宋体" w:eastAsia="宋体" w:cs="宋体"/>
                <w:sz w:val="21"/>
                <w:szCs w:val="21"/>
                <w:highlight w:val="none"/>
                <w:lang w:eastAsia="zh-CN"/>
              </w:rPr>
              <w:t>所投磁悬浮离心机制造商通过</w:t>
            </w:r>
            <w:r>
              <w:rPr>
                <w:rFonts w:ascii="宋体" w:hAnsi="宋体" w:eastAsia="宋体"/>
                <w:sz w:val="21"/>
                <w:szCs w:val="21"/>
                <w:highlight w:val="none"/>
                <w:lang w:eastAsia="zh-CN"/>
              </w:rPr>
              <w:t>ISO9001</w:t>
            </w:r>
            <w:r>
              <w:rPr>
                <w:rFonts w:hint="eastAsia" w:ascii="宋体" w:hAnsi="宋体" w:eastAsia="宋体" w:cs="宋体"/>
                <w:sz w:val="21"/>
                <w:szCs w:val="21"/>
                <w:highlight w:val="none"/>
                <w:lang w:eastAsia="zh-CN"/>
              </w:rPr>
              <w:t>认证、</w:t>
            </w:r>
            <w:r>
              <w:rPr>
                <w:rFonts w:ascii="宋体" w:hAnsi="宋体" w:eastAsia="宋体"/>
                <w:sz w:val="21"/>
                <w:szCs w:val="21"/>
                <w:highlight w:val="none"/>
                <w:lang w:eastAsia="zh-CN"/>
              </w:rPr>
              <w:t>IS014001</w:t>
            </w:r>
            <w:r>
              <w:rPr>
                <w:rFonts w:hint="eastAsia" w:ascii="宋体" w:hAnsi="宋体" w:eastAsia="宋体" w:cs="宋体"/>
                <w:sz w:val="21"/>
                <w:szCs w:val="21"/>
                <w:highlight w:val="none"/>
                <w:lang w:eastAsia="zh-CN"/>
              </w:rPr>
              <w:t>认证、</w:t>
            </w:r>
            <w:r>
              <w:rPr>
                <w:rFonts w:ascii="宋体" w:hAnsi="宋体" w:eastAsia="宋体"/>
                <w:sz w:val="21"/>
                <w:szCs w:val="21"/>
                <w:highlight w:val="none"/>
                <w:lang w:eastAsia="zh-CN"/>
              </w:rPr>
              <w:t>ISO45001</w:t>
            </w:r>
            <w:r>
              <w:rPr>
                <w:rFonts w:hint="eastAsia" w:ascii="宋体" w:hAnsi="宋体" w:eastAsia="宋体" w:cs="宋体"/>
                <w:sz w:val="21"/>
                <w:szCs w:val="21"/>
                <w:highlight w:val="none"/>
                <w:lang w:eastAsia="zh-CN"/>
              </w:rPr>
              <w:t>认证，证书齐全且在有效期内的，每</w:t>
            </w:r>
            <w:r>
              <w:rPr>
                <w:rFonts w:hint="eastAsia" w:ascii="宋体" w:hAnsi="宋体" w:cs="宋体"/>
                <w:sz w:val="21"/>
                <w:szCs w:val="21"/>
                <w:highlight w:val="none"/>
                <w:lang w:val="en-US" w:eastAsia="zh-CN"/>
              </w:rPr>
              <w:t>提供一项</w:t>
            </w:r>
            <w:r>
              <w:rPr>
                <w:rFonts w:hint="eastAsia" w:ascii="宋体" w:hAnsi="宋体" w:eastAsia="宋体" w:cs="宋体"/>
                <w:sz w:val="21"/>
                <w:szCs w:val="21"/>
                <w:highlight w:val="none"/>
                <w:lang w:eastAsia="zh-CN"/>
              </w:rPr>
              <w:t>得</w:t>
            </w:r>
            <w:r>
              <w:rPr>
                <w:rFonts w:ascii="宋体" w:hAnsi="宋体" w:eastAsia="宋体"/>
                <w:sz w:val="21"/>
                <w:szCs w:val="21"/>
                <w:highlight w:val="none"/>
                <w:lang w:eastAsia="zh-CN"/>
              </w:rPr>
              <w:t>1</w:t>
            </w:r>
            <w:r>
              <w:rPr>
                <w:rFonts w:hint="eastAsia" w:ascii="宋体" w:hAnsi="宋体" w:eastAsia="宋体" w:cs="宋体"/>
                <w:sz w:val="21"/>
                <w:szCs w:val="21"/>
                <w:highlight w:val="none"/>
                <w:lang w:eastAsia="zh-CN"/>
              </w:rPr>
              <w:t>分，满分</w:t>
            </w:r>
            <w:r>
              <w:rPr>
                <w:rFonts w:ascii="宋体" w:hAnsi="宋体" w:eastAsia="宋体"/>
                <w:sz w:val="21"/>
                <w:szCs w:val="21"/>
                <w:highlight w:val="none"/>
                <w:lang w:eastAsia="zh-CN"/>
              </w:rPr>
              <w:t>3</w:t>
            </w:r>
            <w:r>
              <w:rPr>
                <w:rFonts w:hint="eastAsia" w:ascii="宋体" w:hAnsi="宋体" w:eastAsia="宋体" w:cs="宋体"/>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52" w:type="dxa"/>
            <w:gridSpan w:val="2"/>
            <w:vMerge w:val="continue"/>
            <w:noWrap w:val="0"/>
            <w:vAlign w:val="top"/>
          </w:tcPr>
          <w:p>
            <w:pPr>
              <w:pStyle w:val="3"/>
              <w:spacing w:before="20"/>
              <w:ind w:left="0" w:right="181"/>
              <w:rPr>
                <w:rFonts w:hint="eastAsia" w:cs="宋体"/>
                <w:highlight w:val="none"/>
                <w:lang w:eastAsia="zh-CN"/>
              </w:rPr>
            </w:pPr>
          </w:p>
        </w:tc>
        <w:tc>
          <w:tcPr>
            <w:tcW w:w="936" w:type="dxa"/>
            <w:noWrap w:val="0"/>
            <w:vAlign w:val="top"/>
          </w:tcPr>
          <w:p>
            <w:pPr>
              <w:pStyle w:val="3"/>
              <w:spacing w:before="20"/>
              <w:ind w:left="0" w:right="181"/>
              <w:rPr>
                <w:rFonts w:hint="eastAsia" w:cs="宋体"/>
                <w:highlight w:val="none"/>
                <w:lang w:eastAsia="zh-CN"/>
              </w:rPr>
            </w:pPr>
            <w:r>
              <w:rPr>
                <w:rFonts w:cs="宋体"/>
                <w:highlight w:val="none"/>
                <w:lang w:eastAsia="zh-CN"/>
              </w:rPr>
              <w:t>5</w:t>
            </w:r>
            <w:r>
              <w:rPr>
                <w:rFonts w:hint="eastAsia" w:cs="宋体"/>
                <w:highlight w:val="none"/>
                <w:lang w:eastAsia="zh-CN"/>
              </w:rPr>
              <w:t>分</w:t>
            </w:r>
          </w:p>
        </w:tc>
        <w:tc>
          <w:tcPr>
            <w:tcW w:w="6159" w:type="dxa"/>
            <w:noWrap w:val="0"/>
            <w:vAlign w:val="top"/>
          </w:tcPr>
          <w:p>
            <w:pPr>
              <w:spacing w:line="400" w:lineRule="exact"/>
              <w:ind w:right="181"/>
              <w:rPr>
                <w:rFonts w:ascii="宋体" w:hAnsi="宋体"/>
                <w:spacing w:val="-8"/>
                <w:szCs w:val="21"/>
                <w:highlight w:val="none"/>
              </w:rPr>
            </w:pPr>
            <w:r>
              <w:rPr>
                <w:rFonts w:hint="eastAsia" w:ascii="宋体" w:hAnsi="宋体"/>
                <w:spacing w:val="-2"/>
                <w:szCs w:val="21"/>
                <w:highlight w:val="none"/>
                <w:lang w:val="en-US" w:eastAsia="zh-CN"/>
              </w:rPr>
              <w:t>投标人</w:t>
            </w:r>
            <w:r>
              <w:rPr>
                <w:rFonts w:ascii="宋体" w:hAnsi="宋体"/>
                <w:spacing w:val="-2"/>
                <w:szCs w:val="21"/>
                <w:highlight w:val="none"/>
              </w:rPr>
              <w:t>所投磁悬浮离心式冷水机组</w:t>
            </w:r>
            <w:r>
              <w:rPr>
                <w:rFonts w:hint="eastAsia" w:ascii="宋体" w:hAnsi="宋体"/>
                <w:spacing w:val="-2"/>
                <w:szCs w:val="21"/>
                <w:highlight w:val="none"/>
              </w:rPr>
              <w:t>同类型</w:t>
            </w:r>
            <w:r>
              <w:rPr>
                <w:rFonts w:ascii="宋体" w:hAnsi="宋体"/>
                <w:spacing w:val="-2"/>
                <w:szCs w:val="21"/>
                <w:highlight w:val="none"/>
              </w:rPr>
              <w:t>产品拥有省级及以上检测机构出具的中央</w:t>
            </w:r>
            <w:r>
              <w:rPr>
                <w:rFonts w:ascii="宋体" w:hAnsi="宋体"/>
                <w:spacing w:val="-6"/>
                <w:szCs w:val="21"/>
                <w:highlight w:val="none"/>
              </w:rPr>
              <w:t xml:space="preserve">空调系统节能工程在役跟踪检查合格证书的， </w:t>
            </w:r>
            <w:r>
              <w:rPr>
                <w:rFonts w:hint="eastAsia" w:ascii="宋体" w:hAnsi="宋体" w:eastAsia="宋体" w:cs="宋体"/>
                <w:sz w:val="21"/>
                <w:szCs w:val="21"/>
                <w:highlight w:val="none"/>
                <w:lang w:eastAsia="zh-CN"/>
              </w:rPr>
              <w:t>每</w:t>
            </w:r>
            <w:r>
              <w:rPr>
                <w:rFonts w:hint="eastAsia" w:ascii="宋体" w:hAnsi="宋体" w:cs="宋体"/>
                <w:sz w:val="21"/>
                <w:szCs w:val="21"/>
                <w:highlight w:val="none"/>
                <w:lang w:val="en-US" w:eastAsia="zh-CN"/>
              </w:rPr>
              <w:t>提供一项</w:t>
            </w:r>
            <w:r>
              <w:rPr>
                <w:rFonts w:hint="eastAsia" w:ascii="宋体" w:hAnsi="宋体" w:eastAsia="宋体" w:cs="宋体"/>
                <w:sz w:val="21"/>
                <w:szCs w:val="21"/>
                <w:highlight w:val="none"/>
                <w:lang w:eastAsia="zh-CN"/>
              </w:rPr>
              <w:t>得</w:t>
            </w:r>
            <w:r>
              <w:rPr>
                <w:rFonts w:ascii="宋体" w:hAnsi="宋体" w:eastAsia="宋体"/>
                <w:sz w:val="21"/>
                <w:szCs w:val="21"/>
                <w:highlight w:val="none"/>
                <w:lang w:eastAsia="zh-CN"/>
              </w:rPr>
              <w:t>1</w:t>
            </w:r>
            <w:r>
              <w:rPr>
                <w:rFonts w:hint="eastAsia" w:ascii="宋体" w:hAnsi="宋体" w:eastAsia="宋体" w:cs="宋体"/>
                <w:sz w:val="21"/>
                <w:szCs w:val="21"/>
                <w:highlight w:val="none"/>
                <w:lang w:eastAsia="zh-CN"/>
              </w:rPr>
              <w:t>分，满分</w:t>
            </w:r>
            <w:r>
              <w:rPr>
                <w:rFonts w:hint="eastAsia" w:ascii="宋体" w:hAnsi="宋体"/>
                <w:sz w:val="21"/>
                <w:szCs w:val="21"/>
                <w:highlight w:val="none"/>
                <w:lang w:val="en-US" w:eastAsia="zh-CN"/>
              </w:rPr>
              <w:t>5</w:t>
            </w:r>
            <w:r>
              <w:rPr>
                <w:rFonts w:hint="eastAsia" w:ascii="宋体" w:hAnsi="宋体" w:eastAsia="宋体" w:cs="宋体"/>
                <w:sz w:val="21"/>
                <w:szCs w:val="21"/>
                <w:highlight w:val="none"/>
                <w:lang w:eastAsia="zh-CN"/>
              </w:rPr>
              <w:t>分。</w:t>
            </w:r>
          </w:p>
          <w:p>
            <w:pPr>
              <w:spacing w:line="400" w:lineRule="exact"/>
              <w:ind w:right="181"/>
              <w:rPr>
                <w:rFonts w:hint="eastAsia" w:ascii="宋体" w:hAnsi="宋体" w:eastAsia="宋体"/>
                <w:sz w:val="21"/>
                <w:szCs w:val="21"/>
                <w:highlight w:val="none"/>
                <w:lang w:eastAsia="zh-CN"/>
              </w:rPr>
            </w:pPr>
            <w:r>
              <w:rPr>
                <w:rFonts w:hint="eastAsia" w:ascii="宋体" w:hAnsi="宋体" w:cs="宋体"/>
                <w:bCs/>
                <w:szCs w:val="21"/>
                <w:highlight w:val="none"/>
              </w:rPr>
              <w:t>提供省级</w:t>
            </w:r>
            <w:r>
              <w:rPr>
                <w:rFonts w:hint="eastAsia" w:ascii="宋体" w:hAnsi="宋体" w:cs="宋体"/>
                <w:bCs/>
                <w:szCs w:val="21"/>
                <w:highlight w:val="none"/>
                <w:lang w:eastAsia="zh-CN"/>
              </w:rPr>
              <w:t>或</w:t>
            </w:r>
            <w:r>
              <w:rPr>
                <w:rFonts w:hint="eastAsia" w:ascii="宋体" w:hAnsi="宋体" w:cs="宋体"/>
                <w:bCs/>
                <w:szCs w:val="21"/>
                <w:highlight w:val="none"/>
              </w:rPr>
              <w:t>以上检测机构出具的中央空调系统节能工程在役跟踪检查合格证书</w:t>
            </w:r>
            <w:r>
              <w:rPr>
                <w:rFonts w:hint="eastAsia" w:ascii="宋体" w:hAnsi="宋体" w:cs="宋体"/>
                <w:bCs/>
                <w:szCs w:val="21"/>
                <w:highlight w:val="none"/>
                <w:lang w:eastAsia="zh-CN"/>
              </w:rPr>
              <w:t>扫描件</w:t>
            </w:r>
            <w:r>
              <w:rPr>
                <w:rFonts w:hint="eastAsia" w:ascii="宋体" w:hAnsi="宋体" w:cs="宋体"/>
                <w:bCs/>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152" w:type="dxa"/>
            <w:gridSpan w:val="2"/>
            <w:vMerge w:val="continue"/>
            <w:noWrap w:val="0"/>
            <w:vAlign w:val="top"/>
          </w:tcPr>
          <w:p>
            <w:pPr>
              <w:pStyle w:val="3"/>
              <w:spacing w:before="20" w:line="400" w:lineRule="exact"/>
              <w:ind w:left="0" w:right="181"/>
              <w:rPr>
                <w:rFonts w:hint="eastAsia" w:cs="宋体"/>
                <w:highlight w:val="none"/>
                <w:lang w:eastAsia="zh-CN"/>
              </w:rPr>
            </w:pPr>
          </w:p>
        </w:tc>
        <w:tc>
          <w:tcPr>
            <w:tcW w:w="936" w:type="dxa"/>
            <w:noWrap w:val="0"/>
            <w:vAlign w:val="top"/>
          </w:tcPr>
          <w:p>
            <w:pPr>
              <w:pStyle w:val="3"/>
              <w:spacing w:line="360" w:lineRule="exact"/>
              <w:ind w:left="0" w:right="181"/>
              <w:rPr>
                <w:rFonts w:hint="eastAsia" w:cs="宋体"/>
                <w:highlight w:val="none"/>
                <w:lang w:eastAsia="zh-CN"/>
              </w:rPr>
            </w:pPr>
            <w:r>
              <w:rPr>
                <w:rFonts w:hint="eastAsia" w:cs="宋体"/>
                <w:highlight w:val="none"/>
                <w:lang w:val="en-US" w:eastAsia="zh-CN"/>
              </w:rPr>
              <w:t>5</w:t>
            </w:r>
            <w:r>
              <w:rPr>
                <w:rFonts w:hint="eastAsia" w:cs="宋体"/>
                <w:highlight w:val="none"/>
                <w:lang w:eastAsia="zh-CN"/>
              </w:rPr>
              <w:t>分</w:t>
            </w:r>
          </w:p>
        </w:tc>
        <w:tc>
          <w:tcPr>
            <w:tcW w:w="6159" w:type="dxa"/>
            <w:noWrap w:val="0"/>
            <w:vAlign w:val="top"/>
          </w:tcPr>
          <w:p>
            <w:pPr>
              <w:widowControl/>
              <w:autoSpaceDE w:val="0"/>
              <w:autoSpaceDN w:val="0"/>
              <w:snapToGrid w:val="0"/>
              <w:spacing w:line="360" w:lineRule="exact"/>
              <w:rPr>
                <w:rFonts w:hint="eastAsia" w:ascii="宋体" w:hAnsi="宋体" w:eastAsia="宋体" w:cs="方正仿宋_GBK"/>
                <w:sz w:val="21"/>
                <w:szCs w:val="21"/>
                <w:highlight w:val="none"/>
                <w:lang w:eastAsia="zh-CN" w:bidi="zh-CN"/>
              </w:rPr>
            </w:pPr>
            <w:r>
              <w:rPr>
                <w:rFonts w:ascii="宋体" w:hAnsi="宋体" w:eastAsia="宋体" w:cs="方正仿宋_GBK"/>
                <w:color w:val="000000"/>
                <w:sz w:val="21"/>
                <w:szCs w:val="21"/>
                <w:highlight w:val="none"/>
                <w:lang w:eastAsia="zh-CN"/>
              </w:rPr>
              <w:t>2021</w:t>
            </w:r>
            <w:r>
              <w:rPr>
                <w:rFonts w:hint="eastAsia" w:ascii="宋体" w:hAnsi="宋体" w:eastAsia="宋体" w:cs="方正仿宋_GBK"/>
                <w:color w:val="000000"/>
                <w:sz w:val="21"/>
                <w:szCs w:val="21"/>
                <w:highlight w:val="none"/>
                <w:lang w:eastAsia="zh-CN"/>
              </w:rPr>
              <w:t>年</w:t>
            </w:r>
            <w:r>
              <w:rPr>
                <w:rFonts w:hint="eastAsia" w:ascii="宋体" w:hAnsi="宋体" w:eastAsia="宋体" w:cs="方正仿宋_GBK"/>
                <w:color w:val="000000"/>
                <w:sz w:val="21"/>
                <w:szCs w:val="21"/>
                <w:highlight w:val="none"/>
                <w:lang w:val="en-US" w:eastAsia="zh-CN"/>
              </w:rPr>
              <w:t>以来具有类似项目</w:t>
            </w:r>
            <w:r>
              <w:rPr>
                <w:rFonts w:hint="eastAsia" w:ascii="宋体" w:hAnsi="宋体" w:eastAsia="宋体" w:cs="方正仿宋_GBK"/>
                <w:color w:val="000000"/>
                <w:sz w:val="21"/>
                <w:szCs w:val="21"/>
                <w:highlight w:val="none"/>
                <w:lang w:eastAsia="zh-CN"/>
              </w:rPr>
              <w:t>业绩的，每有一</w:t>
            </w:r>
            <w:r>
              <w:rPr>
                <w:rFonts w:hint="eastAsia" w:ascii="宋体" w:hAnsi="宋体" w:cs="方正仿宋_GBK"/>
                <w:color w:val="000000"/>
                <w:sz w:val="21"/>
                <w:szCs w:val="21"/>
                <w:highlight w:val="none"/>
                <w:lang w:val="en-US" w:eastAsia="zh-CN"/>
              </w:rPr>
              <w:t>项</w:t>
            </w:r>
            <w:r>
              <w:rPr>
                <w:rFonts w:hint="eastAsia" w:ascii="宋体" w:hAnsi="宋体" w:eastAsia="宋体" w:cs="方正仿宋_GBK"/>
                <w:color w:val="000000"/>
                <w:sz w:val="21"/>
                <w:szCs w:val="21"/>
                <w:highlight w:val="none"/>
                <w:lang w:eastAsia="zh-CN"/>
              </w:rPr>
              <w:t>得</w:t>
            </w:r>
            <w:r>
              <w:rPr>
                <w:rFonts w:ascii="宋体" w:hAnsi="宋体" w:eastAsia="宋体" w:cs="方正仿宋_GBK"/>
                <w:color w:val="000000"/>
                <w:sz w:val="21"/>
                <w:szCs w:val="21"/>
                <w:highlight w:val="none"/>
                <w:lang w:eastAsia="zh-CN"/>
              </w:rPr>
              <w:t>1</w:t>
            </w:r>
            <w:r>
              <w:rPr>
                <w:rFonts w:hint="eastAsia" w:ascii="宋体" w:hAnsi="宋体" w:eastAsia="宋体" w:cs="方正仿宋_GBK"/>
                <w:color w:val="000000"/>
                <w:sz w:val="21"/>
                <w:szCs w:val="21"/>
                <w:highlight w:val="none"/>
                <w:lang w:eastAsia="zh-CN"/>
              </w:rPr>
              <w:t>分，最多得</w:t>
            </w:r>
            <w:r>
              <w:rPr>
                <w:rFonts w:hint="eastAsia" w:ascii="宋体" w:hAnsi="宋体" w:cs="方正仿宋_GBK"/>
                <w:color w:val="000000"/>
                <w:sz w:val="21"/>
                <w:szCs w:val="21"/>
                <w:highlight w:val="none"/>
                <w:lang w:val="en-US" w:eastAsia="zh-CN"/>
              </w:rPr>
              <w:t>5</w:t>
            </w:r>
            <w:r>
              <w:rPr>
                <w:rFonts w:hint="eastAsia" w:ascii="宋体" w:hAnsi="宋体" w:eastAsia="宋体" w:cs="方正仿宋_GBK"/>
                <w:color w:val="000000"/>
                <w:sz w:val="21"/>
                <w:szCs w:val="21"/>
                <w:highlight w:val="none"/>
                <w:lang w:eastAsia="zh-CN"/>
              </w:rPr>
              <w:t>分。投标人须提供该业绩的合同复印件加盖投标人公章。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52" w:type="dxa"/>
            <w:gridSpan w:val="2"/>
            <w:vMerge w:val="continue"/>
            <w:noWrap w:val="0"/>
            <w:vAlign w:val="top"/>
          </w:tcPr>
          <w:p>
            <w:pPr>
              <w:pStyle w:val="3"/>
              <w:spacing w:before="20"/>
              <w:ind w:right="181"/>
              <w:rPr>
                <w:rFonts w:hint="eastAsia" w:cs="宋体"/>
                <w:highlight w:val="none"/>
                <w:lang w:eastAsia="zh-CN"/>
              </w:rPr>
            </w:pPr>
          </w:p>
        </w:tc>
        <w:tc>
          <w:tcPr>
            <w:tcW w:w="936" w:type="dxa"/>
            <w:noWrap w:val="0"/>
            <w:vAlign w:val="top"/>
          </w:tcPr>
          <w:p>
            <w:pPr>
              <w:pStyle w:val="3"/>
              <w:spacing w:line="360" w:lineRule="exact"/>
              <w:ind w:left="0" w:right="181"/>
              <w:rPr>
                <w:rFonts w:cs="宋体"/>
                <w:highlight w:val="none"/>
                <w:lang w:eastAsia="zh-CN"/>
              </w:rPr>
            </w:pPr>
            <w:r>
              <w:rPr>
                <w:rFonts w:hint="eastAsia" w:cs="宋体"/>
                <w:highlight w:val="none"/>
                <w:lang w:val="en-US" w:eastAsia="zh-CN"/>
              </w:rPr>
              <w:t>3</w:t>
            </w:r>
            <w:r>
              <w:rPr>
                <w:rFonts w:hint="eastAsia" w:cs="宋体"/>
                <w:highlight w:val="none"/>
                <w:lang w:eastAsia="zh-CN"/>
              </w:rPr>
              <w:t>分</w:t>
            </w:r>
          </w:p>
        </w:tc>
        <w:tc>
          <w:tcPr>
            <w:tcW w:w="6159" w:type="dxa"/>
            <w:noWrap w:val="0"/>
            <w:vAlign w:val="top"/>
          </w:tcPr>
          <w:p>
            <w:pPr>
              <w:widowControl/>
              <w:autoSpaceDE w:val="0"/>
              <w:autoSpaceDN w:val="0"/>
              <w:snapToGrid w:val="0"/>
              <w:spacing w:line="360" w:lineRule="exact"/>
              <w:rPr>
                <w:rFonts w:hint="eastAsia" w:ascii="宋体" w:hAnsi="宋体" w:cs="宋体"/>
                <w:spacing w:val="-3"/>
                <w:szCs w:val="21"/>
                <w:highlight w:val="none"/>
              </w:rPr>
            </w:pPr>
            <w:r>
              <w:rPr>
                <w:rFonts w:hint="eastAsia"/>
                <w:highlight w:val="none"/>
                <w:lang w:val="en-US" w:eastAsia="zh-CN"/>
              </w:rPr>
              <w:t>投标人</w:t>
            </w:r>
            <w:r>
              <w:rPr>
                <w:rFonts w:hint="eastAsia" w:ascii="宋体" w:hAnsi="宋体" w:eastAsia="宋体" w:cs="宋体"/>
                <w:sz w:val="21"/>
                <w:szCs w:val="21"/>
                <w:highlight w:val="none"/>
                <w:lang w:eastAsia="zh-CN"/>
              </w:rPr>
              <w:t>所投主机设备需</w:t>
            </w:r>
            <w:r>
              <w:rPr>
                <w:rFonts w:hint="eastAsia" w:ascii="宋体" w:hAnsi="宋体" w:eastAsia="宋体" w:cs="宋体"/>
                <w:sz w:val="21"/>
                <w:szCs w:val="21"/>
                <w:highlight w:val="none"/>
                <w:lang w:val="en-US" w:eastAsia="zh-CN"/>
              </w:rPr>
              <w:t>由</w:t>
            </w:r>
            <w:r>
              <w:rPr>
                <w:rFonts w:hint="eastAsia" w:ascii="宋体" w:hAnsi="宋体" w:eastAsia="宋体" w:cs="宋体"/>
                <w:sz w:val="21"/>
                <w:szCs w:val="21"/>
                <w:highlight w:val="none"/>
                <w:lang w:eastAsia="zh-CN"/>
              </w:rPr>
              <w:t>厂家进行维保，设备厂家在省内设有服务机构并有</w:t>
            </w:r>
            <w:r>
              <w:rPr>
                <w:rFonts w:hint="eastAsia" w:ascii="宋体" w:hAnsi="宋体" w:eastAsia="宋体" w:cs="宋体"/>
                <w:color w:val="auto"/>
                <w:sz w:val="21"/>
                <w:szCs w:val="21"/>
                <w:highlight w:val="none"/>
                <w:shd w:val="clear"/>
                <w:lang w:eastAsia="zh-CN"/>
              </w:rPr>
              <w:t>常驻技术服务人员≥10人的，得</w:t>
            </w:r>
            <w:r>
              <w:rPr>
                <w:rFonts w:hint="eastAsia" w:ascii="宋体" w:hAnsi="宋体" w:cs="宋体"/>
                <w:color w:val="auto"/>
                <w:sz w:val="21"/>
                <w:szCs w:val="21"/>
                <w:highlight w:val="none"/>
                <w:shd w:val="clear"/>
                <w:lang w:val="en-US" w:eastAsia="zh-CN"/>
              </w:rPr>
              <w:t>3</w:t>
            </w:r>
            <w:r>
              <w:rPr>
                <w:rFonts w:hint="eastAsia" w:ascii="宋体" w:hAnsi="宋体" w:eastAsia="宋体" w:cs="宋体"/>
                <w:color w:val="auto"/>
                <w:sz w:val="21"/>
                <w:szCs w:val="21"/>
                <w:highlight w:val="none"/>
                <w:shd w:val="clear"/>
                <w:lang w:eastAsia="zh-CN"/>
              </w:rPr>
              <w:t>分；不足10人而≥5人得</w:t>
            </w:r>
            <w:r>
              <w:rPr>
                <w:rFonts w:hint="eastAsia" w:ascii="宋体" w:hAnsi="宋体" w:cs="宋体"/>
                <w:color w:val="auto"/>
                <w:sz w:val="21"/>
                <w:szCs w:val="21"/>
                <w:highlight w:val="none"/>
                <w:shd w:val="clear"/>
                <w:lang w:val="en-US" w:eastAsia="zh-CN"/>
              </w:rPr>
              <w:t>1</w:t>
            </w:r>
            <w:r>
              <w:rPr>
                <w:rFonts w:hint="eastAsia" w:ascii="宋体" w:hAnsi="宋体" w:eastAsia="宋体" w:cs="宋体"/>
                <w:color w:val="auto"/>
                <w:sz w:val="21"/>
                <w:szCs w:val="21"/>
                <w:highlight w:val="none"/>
                <w:shd w:val="clear"/>
                <w:lang w:eastAsia="zh-CN"/>
              </w:rPr>
              <w:t>分，少于5人不得分</w:t>
            </w:r>
            <w:r>
              <w:rPr>
                <w:rFonts w:hint="eastAsia" w:ascii="宋体" w:hAnsi="宋体" w:cs="宋体"/>
                <w:color w:val="auto"/>
                <w:sz w:val="21"/>
                <w:szCs w:val="21"/>
                <w:highlight w:val="none"/>
                <w:shd w:val="clear"/>
                <w:lang w:eastAsia="zh-CN"/>
              </w:rPr>
              <w:t>（</w:t>
            </w:r>
            <w:r>
              <w:rPr>
                <w:rFonts w:hint="eastAsia" w:ascii="宋体" w:hAnsi="宋体" w:cs="宋体"/>
                <w:color w:val="auto"/>
                <w:sz w:val="21"/>
                <w:szCs w:val="21"/>
                <w:highlight w:val="none"/>
                <w:shd w:val="clear"/>
                <w:lang w:val="en-US" w:eastAsia="zh-CN"/>
              </w:rPr>
              <w:t>提供</w:t>
            </w:r>
            <w:r>
              <w:rPr>
                <w:rFonts w:hint="eastAsia" w:ascii="宋体" w:hAnsi="宋体" w:eastAsia="宋体" w:cs="宋体"/>
                <w:color w:val="auto"/>
                <w:sz w:val="21"/>
                <w:szCs w:val="21"/>
                <w:highlight w:val="none"/>
                <w:shd w:val="clear"/>
                <w:lang w:eastAsia="zh-CN"/>
              </w:rPr>
              <w:t>营业执照</w:t>
            </w:r>
            <w:r>
              <w:rPr>
                <w:rFonts w:hint="eastAsia" w:ascii="宋体" w:hAnsi="宋体" w:cs="宋体"/>
                <w:color w:val="auto"/>
                <w:sz w:val="21"/>
                <w:szCs w:val="21"/>
                <w:highlight w:val="none"/>
                <w:shd w:val="clear"/>
                <w:lang w:eastAsia="zh-CN"/>
              </w:rPr>
              <w:t>或</w:t>
            </w:r>
            <w:r>
              <w:rPr>
                <w:rFonts w:hint="eastAsia" w:ascii="宋体" w:hAnsi="宋体" w:eastAsia="宋体" w:cs="宋体"/>
                <w:color w:val="auto"/>
                <w:sz w:val="21"/>
                <w:szCs w:val="21"/>
                <w:highlight w:val="none"/>
                <w:shd w:val="clear"/>
                <w:lang w:eastAsia="zh-CN"/>
              </w:rPr>
              <w:t>租赁合同</w:t>
            </w:r>
            <w:r>
              <w:rPr>
                <w:rFonts w:hint="eastAsia" w:ascii="宋体" w:hAnsi="宋体" w:cs="宋体"/>
                <w:color w:val="auto"/>
                <w:sz w:val="21"/>
                <w:szCs w:val="21"/>
                <w:highlight w:val="none"/>
                <w:shd w:val="clear"/>
                <w:lang w:val="en-US" w:eastAsia="zh-CN"/>
              </w:rPr>
              <w:t>或房产证</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eastAsia="zh-CN"/>
              </w:rPr>
              <w:t>服务机构人员构成、组织架构等</w:t>
            </w:r>
            <w:r>
              <w:rPr>
                <w:rFonts w:hint="eastAsia" w:ascii="宋体" w:hAnsi="宋体" w:cs="宋体"/>
                <w:color w:val="auto"/>
                <w:sz w:val="21"/>
                <w:szCs w:val="21"/>
                <w:highlight w:val="none"/>
                <w:shd w:val="clear"/>
                <w:lang w:val="en-US" w:eastAsia="zh-CN"/>
              </w:rPr>
              <w:t>证明材料</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152" w:type="dxa"/>
            <w:gridSpan w:val="2"/>
            <w:vMerge w:val="continue"/>
            <w:noWrap w:val="0"/>
            <w:vAlign w:val="top"/>
          </w:tcPr>
          <w:p>
            <w:pPr>
              <w:pStyle w:val="3"/>
              <w:spacing w:before="20" w:line="400" w:lineRule="exact"/>
              <w:ind w:left="0" w:right="181"/>
              <w:rPr>
                <w:rFonts w:hint="eastAsia" w:cs="宋体"/>
                <w:highlight w:val="none"/>
                <w:lang w:eastAsia="zh-CN"/>
              </w:rPr>
            </w:pPr>
          </w:p>
        </w:tc>
        <w:tc>
          <w:tcPr>
            <w:tcW w:w="936" w:type="dxa"/>
            <w:noWrap w:val="0"/>
            <w:vAlign w:val="top"/>
          </w:tcPr>
          <w:p>
            <w:pPr>
              <w:pStyle w:val="3"/>
              <w:spacing w:line="360" w:lineRule="exact"/>
              <w:ind w:left="0" w:right="181"/>
              <w:rPr>
                <w:rFonts w:cs="宋体"/>
                <w:highlight w:val="none"/>
                <w:lang w:eastAsia="zh-CN"/>
              </w:rPr>
            </w:pPr>
            <w:r>
              <w:rPr>
                <w:rFonts w:hint="eastAsia" w:cs="宋体"/>
                <w:highlight w:val="none"/>
                <w:lang w:eastAsia="zh-CN"/>
              </w:rPr>
              <w:t>2分</w:t>
            </w:r>
          </w:p>
        </w:tc>
        <w:tc>
          <w:tcPr>
            <w:tcW w:w="6159" w:type="dxa"/>
            <w:noWrap w:val="0"/>
            <w:vAlign w:val="top"/>
          </w:tcPr>
          <w:p>
            <w:pPr>
              <w:widowControl/>
              <w:autoSpaceDE w:val="0"/>
              <w:autoSpaceDN w:val="0"/>
              <w:snapToGrid w:val="0"/>
              <w:spacing w:line="360" w:lineRule="exact"/>
              <w:rPr>
                <w:rFonts w:hint="eastAsia"/>
                <w:highlight w:val="none"/>
                <w:lang w:val="en-US" w:eastAsia="zh-CN"/>
              </w:rPr>
            </w:pPr>
            <w:r>
              <w:rPr>
                <w:rFonts w:hint="eastAsia"/>
                <w:highlight w:val="none"/>
                <w:lang w:val="en-US" w:eastAsia="zh-CN"/>
              </w:rPr>
              <w:t>投标人所投产品</w:t>
            </w:r>
            <w:r>
              <w:rPr>
                <w:rFonts w:hint="eastAsia" w:ascii="宋体" w:hAnsi="宋体" w:eastAsia="宋体" w:cs="宋体"/>
                <w:sz w:val="21"/>
                <w:szCs w:val="21"/>
                <w:highlight w:val="none"/>
                <w:lang w:eastAsia="zh-CN"/>
              </w:rPr>
              <w:t>可通过手机app完整上传和记录设备维保情况及照片、用户可在app上查看维保内容并进行评价的得2分。（需提供手机app保养记录界面截屏、用户评价界面截屏，没有或缺项则不得分）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152" w:type="dxa"/>
            <w:gridSpan w:val="2"/>
            <w:vMerge w:val="continue"/>
            <w:noWrap w:val="0"/>
            <w:vAlign w:val="top"/>
          </w:tcPr>
          <w:p>
            <w:pPr>
              <w:pStyle w:val="3"/>
              <w:spacing w:before="20" w:line="400" w:lineRule="exact"/>
              <w:ind w:left="0" w:right="181"/>
              <w:rPr>
                <w:rFonts w:hint="eastAsia" w:cs="宋体"/>
                <w:highlight w:val="none"/>
                <w:lang w:eastAsia="zh-CN"/>
              </w:rPr>
            </w:pPr>
          </w:p>
        </w:tc>
        <w:tc>
          <w:tcPr>
            <w:tcW w:w="936" w:type="dxa"/>
            <w:noWrap w:val="0"/>
            <w:vAlign w:val="top"/>
          </w:tcPr>
          <w:p>
            <w:pPr>
              <w:pStyle w:val="3"/>
              <w:spacing w:line="360" w:lineRule="exact"/>
              <w:ind w:left="0" w:right="181"/>
              <w:rPr>
                <w:rFonts w:hint="eastAsia" w:cs="宋体"/>
                <w:highlight w:val="none"/>
                <w:lang w:eastAsia="zh-CN"/>
              </w:rPr>
            </w:pPr>
            <w:r>
              <w:rPr>
                <w:rFonts w:hint="eastAsia" w:cs="宋体"/>
                <w:highlight w:val="none"/>
                <w:lang w:eastAsia="zh-CN"/>
              </w:rPr>
              <w:t>5分</w:t>
            </w:r>
          </w:p>
        </w:tc>
        <w:tc>
          <w:tcPr>
            <w:tcW w:w="6159" w:type="dxa"/>
            <w:noWrap w:val="0"/>
            <w:vAlign w:val="top"/>
          </w:tcPr>
          <w:p>
            <w:pPr>
              <w:widowControl/>
              <w:autoSpaceDE w:val="0"/>
              <w:autoSpaceDN w:val="0"/>
              <w:snapToGrid w:val="0"/>
              <w:spacing w:line="360" w:lineRule="exact"/>
              <w:rPr>
                <w:rFonts w:hint="eastAsia" w:eastAsia="宋体"/>
                <w:highlight w:val="none"/>
                <w:lang w:val="en-US" w:eastAsia="zh-CN"/>
              </w:rPr>
            </w:pPr>
            <w:r>
              <w:rPr>
                <w:rFonts w:hint="eastAsia" w:cs="宋体"/>
                <w:highlight w:val="none"/>
                <w:lang w:val="en-US" w:eastAsia="zh-CN"/>
              </w:rPr>
              <w:t>投标人</w:t>
            </w:r>
            <w:r>
              <w:rPr>
                <w:rFonts w:hint="eastAsia" w:cs="宋体"/>
                <w:highlight w:val="none"/>
              </w:rPr>
              <w:t>所投</w:t>
            </w:r>
            <w:r>
              <w:rPr>
                <w:rFonts w:cs="宋体"/>
                <w:spacing w:val="-3"/>
                <w:highlight w:val="none"/>
              </w:rPr>
              <w:t>空调主机制造商</w:t>
            </w:r>
            <w:r>
              <w:rPr>
                <w:rFonts w:hint="eastAsia" w:cs="宋体"/>
                <w:spacing w:val="-3"/>
                <w:highlight w:val="none"/>
              </w:rPr>
              <w:t>的售后服务部门可</w:t>
            </w:r>
            <w:r>
              <w:rPr>
                <w:rFonts w:cs="宋体"/>
                <w:spacing w:val="-3"/>
                <w:highlight w:val="none"/>
              </w:rPr>
              <w:t>在设备生命周期内每年免费为用户提供空调系</w:t>
            </w:r>
            <w:r>
              <w:rPr>
                <w:rFonts w:hint="eastAsia"/>
                <w:highlight w:val="none"/>
                <w:lang w:val="en-US" w:eastAsia="zh-CN"/>
              </w:rPr>
              <w:t>统详细能耗统计的（需包含空调面积、主机和泵组参数、天然气和电能消耗情</w:t>
            </w:r>
            <w:r>
              <w:rPr>
                <w:rFonts w:hint="eastAsia" w:ascii="宋体" w:hAnsi="宋体" w:eastAsia="宋体" w:cs="宋体"/>
                <w:sz w:val="21"/>
                <w:szCs w:val="21"/>
                <w:highlight w:val="none"/>
                <w:lang w:val="en-US" w:eastAsia="zh-CN"/>
              </w:rPr>
              <w:t>况等数据），得5分。（</w:t>
            </w:r>
            <w:r>
              <w:rPr>
                <w:rFonts w:hint="eastAsia"/>
                <w:highlight w:val="none"/>
                <w:lang w:val="en-US" w:eastAsia="zh-CN"/>
              </w:rPr>
              <w:t>提供</w:t>
            </w:r>
            <w:r>
              <w:rPr>
                <w:rFonts w:hint="eastAsia" w:ascii="宋体" w:hAnsi="宋体" w:eastAsia="宋体" w:cs="宋体"/>
                <w:sz w:val="21"/>
                <w:szCs w:val="21"/>
                <w:highlight w:val="none"/>
                <w:lang w:val="en-US" w:eastAsia="zh-CN"/>
              </w:rPr>
              <w:t>5家以</w:t>
            </w:r>
            <w:r>
              <w:rPr>
                <w:rFonts w:hint="eastAsia"/>
                <w:highlight w:val="none"/>
                <w:lang w:val="en-US" w:eastAsia="zh-CN"/>
              </w:rPr>
              <w:t>上用户连续三年的能耗统计表加盖用户章的扫描件作</w:t>
            </w:r>
            <w:r>
              <w:rPr>
                <w:rFonts w:cs="微软雅黑"/>
                <w:highlight w:val="none"/>
              </w:rPr>
              <w:t>为证明材料，</w:t>
            </w:r>
            <w:r>
              <w:rPr>
                <w:rFonts w:hint="eastAsia" w:cs="微软雅黑"/>
                <w:highlight w:val="none"/>
              </w:rPr>
              <w:t>并提供用户联系人和电话号码，</w:t>
            </w:r>
            <w:r>
              <w:rPr>
                <w:rFonts w:cs="微软雅黑"/>
                <w:highlight w:val="none"/>
              </w:rPr>
              <w:t>未提供的不计分）</w:t>
            </w:r>
            <w:r>
              <w:rPr>
                <w:rFonts w:hint="eastAsia" w:cs="微软雅黑"/>
                <w:highlight w:val="none"/>
                <w:lang w:eastAsia="zh-CN"/>
              </w:rPr>
              <w:t>。</w:t>
            </w:r>
          </w:p>
        </w:tc>
      </w:tr>
    </w:tbl>
    <w:p>
      <w:pPr>
        <w:pStyle w:val="40"/>
        <w:spacing w:line="560" w:lineRule="exact"/>
        <w:rPr>
          <w:rFonts w:hint="eastAsia"/>
          <w:highlight w:val="none"/>
        </w:rPr>
      </w:pPr>
    </w:p>
    <w:p>
      <w:pPr>
        <w:tabs>
          <w:tab w:val="left" w:pos="170"/>
          <w:tab w:val="left" w:pos="303"/>
          <w:tab w:val="left" w:pos="420"/>
        </w:tabs>
        <w:adjustRightInd w:val="0"/>
        <w:snapToGrid w:val="0"/>
        <w:spacing w:line="480" w:lineRule="exact"/>
        <w:ind w:firstLine="482" w:firstLineChars="200"/>
        <w:outlineLvl w:val="1"/>
        <w:rPr>
          <w:rFonts w:ascii="宋体" w:hAnsi="宋体" w:cs="宋体"/>
          <w:b/>
          <w:sz w:val="24"/>
          <w:highlight w:val="none"/>
        </w:rPr>
      </w:pPr>
      <w:r>
        <w:rPr>
          <w:rFonts w:hint="eastAsia" w:ascii="宋体" w:hAnsi="宋体" w:cs="宋体"/>
          <w:b/>
          <w:sz w:val="24"/>
          <w:highlight w:val="none"/>
        </w:rPr>
        <w:t xml:space="preserve">1. </w:t>
      </w:r>
      <w:bookmarkStart w:id="253" w:name="_Toc6843"/>
      <w:r>
        <w:rPr>
          <w:rFonts w:hint="eastAsia" w:ascii="宋体" w:hAnsi="宋体" w:cs="宋体"/>
          <w:b/>
          <w:sz w:val="24"/>
          <w:highlight w:val="none"/>
        </w:rPr>
        <w:t>评标准则和评标方法</w:t>
      </w:r>
      <w:bookmarkEnd w:id="253"/>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1.1 评标过程将遵循“公平、公正、科学、择优”的原则进行。</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1.2 评标将严格按照招标文件的要求和条件进行。</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1.3 本次评标采用综合评分法。</w:t>
      </w:r>
    </w:p>
    <w:p>
      <w:pPr>
        <w:tabs>
          <w:tab w:val="left" w:pos="170"/>
          <w:tab w:val="left" w:pos="303"/>
          <w:tab w:val="left" w:pos="420"/>
        </w:tabs>
        <w:adjustRightInd w:val="0"/>
        <w:snapToGrid w:val="0"/>
        <w:spacing w:line="480" w:lineRule="exact"/>
        <w:ind w:firstLine="482" w:firstLineChars="200"/>
        <w:outlineLvl w:val="1"/>
        <w:rPr>
          <w:rFonts w:ascii="宋体" w:hAnsi="宋体" w:cs="宋体"/>
          <w:b/>
          <w:sz w:val="24"/>
          <w:highlight w:val="none"/>
        </w:rPr>
      </w:pPr>
      <w:bookmarkStart w:id="254" w:name="_Toc15449"/>
      <w:bookmarkStart w:id="255" w:name="_Toc466017208"/>
      <w:bookmarkStart w:id="256" w:name="_Toc454147539"/>
      <w:bookmarkStart w:id="257" w:name="_Toc13195"/>
      <w:bookmarkStart w:id="258" w:name="_Toc7951"/>
      <w:bookmarkStart w:id="259" w:name="_Toc465502580"/>
      <w:r>
        <w:rPr>
          <w:rFonts w:hint="eastAsia" w:ascii="宋体" w:hAnsi="宋体" w:cs="宋体"/>
          <w:b/>
          <w:sz w:val="24"/>
          <w:highlight w:val="none"/>
        </w:rPr>
        <w:t>2.评审标准</w:t>
      </w:r>
      <w:bookmarkEnd w:id="254"/>
      <w:bookmarkEnd w:id="255"/>
      <w:bookmarkEnd w:id="256"/>
      <w:bookmarkEnd w:id="257"/>
      <w:bookmarkEnd w:id="258"/>
      <w:bookmarkEnd w:id="259"/>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2.1 资格评审标准：详见《评分办法前附表》中资格评审标准。</w:t>
      </w:r>
    </w:p>
    <w:p>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2.2 详细评审标准：详见《评分办法前附表》报价部分、技术部分、商务部分评审因素。</w:t>
      </w:r>
    </w:p>
    <w:p>
      <w:pPr>
        <w:numPr>
          <w:ilvl w:val="0"/>
          <w:numId w:val="0"/>
        </w:numPr>
        <w:tabs>
          <w:tab w:val="left" w:pos="170"/>
          <w:tab w:val="left" w:pos="303"/>
          <w:tab w:val="left" w:pos="420"/>
        </w:tabs>
        <w:adjustRightInd w:val="0"/>
        <w:snapToGrid w:val="0"/>
        <w:spacing w:line="480" w:lineRule="exact"/>
        <w:ind w:leftChars="0" w:firstLine="482" w:firstLineChars="200"/>
        <w:outlineLvl w:val="1"/>
        <w:rPr>
          <w:rFonts w:ascii="宋体" w:hAnsi="宋体" w:cs="宋体"/>
          <w:b/>
          <w:sz w:val="24"/>
          <w:highlight w:val="none"/>
        </w:rPr>
      </w:pPr>
      <w:bookmarkStart w:id="260" w:name="_Toc19609"/>
      <w:bookmarkStart w:id="261" w:name="_Toc11065"/>
      <w:r>
        <w:rPr>
          <w:rFonts w:hint="eastAsia" w:ascii="宋体" w:hAnsi="宋体" w:cs="宋体"/>
          <w:b/>
          <w:sz w:val="24"/>
          <w:highlight w:val="none"/>
          <w:lang w:val="en-US" w:eastAsia="zh-CN"/>
        </w:rPr>
        <w:t>3.</w:t>
      </w:r>
      <w:r>
        <w:rPr>
          <w:rFonts w:hint="eastAsia" w:ascii="宋体" w:hAnsi="宋体" w:cs="宋体"/>
          <w:b/>
          <w:sz w:val="24"/>
          <w:highlight w:val="none"/>
        </w:rPr>
        <w:t>评标程序</w:t>
      </w:r>
      <w:bookmarkEnd w:id="260"/>
      <w:bookmarkEnd w:id="261"/>
    </w:p>
    <w:p>
      <w:pPr>
        <w:adjustRightInd w:val="0"/>
        <w:snapToGrid w:val="0"/>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3.1初步评审</w:t>
      </w:r>
    </w:p>
    <w:p>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rPr>
        <w:t xml:space="preserve">3.1.1 </w:t>
      </w:r>
      <w:r>
        <w:rPr>
          <w:rFonts w:hint="eastAsia" w:ascii="宋体" w:hAnsi="宋体" w:cs="宋体"/>
          <w:sz w:val="24"/>
          <w:highlight w:val="none"/>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rPr>
        <w:t xml:space="preserve">3.1.2 </w:t>
      </w:r>
      <w:r>
        <w:rPr>
          <w:rFonts w:hint="eastAsia" w:ascii="宋体" w:hAnsi="宋体" w:cs="宋体"/>
          <w:sz w:val="24"/>
          <w:highlight w:val="none"/>
          <w:lang w:val="zh-CN"/>
        </w:rPr>
        <w:t>投标文件属下列情况之一的，应当在资格性、符合性检查时按照无效投标处理：</w:t>
      </w:r>
    </w:p>
    <w:p>
      <w:pPr>
        <w:numPr>
          <w:ilvl w:val="0"/>
          <w:numId w:val="8"/>
        </w:numPr>
        <w:autoSpaceDE w:val="0"/>
        <w:autoSpaceDN w:val="0"/>
        <w:adjustRightInd w:val="0"/>
        <w:snapToGrid w:val="0"/>
        <w:spacing w:line="480" w:lineRule="exact"/>
        <w:ind w:left="420" w:leftChars="0" w:firstLineChars="0"/>
        <w:jc w:val="left"/>
        <w:rPr>
          <w:rFonts w:ascii="宋体" w:hAnsi="宋体" w:cs="宋体"/>
          <w:sz w:val="24"/>
          <w:highlight w:val="none"/>
        </w:rPr>
      </w:pPr>
      <w:r>
        <w:rPr>
          <w:rFonts w:hint="eastAsia" w:ascii="宋体" w:hAnsi="宋体" w:cs="宋体"/>
          <w:sz w:val="24"/>
          <w:highlight w:val="none"/>
        </w:rPr>
        <w:t>未按照招标文件规定要求签署、盖章的；</w:t>
      </w:r>
    </w:p>
    <w:p>
      <w:pPr>
        <w:numPr>
          <w:ilvl w:val="0"/>
          <w:numId w:val="8"/>
        </w:numPr>
        <w:autoSpaceDE w:val="0"/>
        <w:autoSpaceDN w:val="0"/>
        <w:adjustRightInd w:val="0"/>
        <w:snapToGrid w:val="0"/>
        <w:spacing w:line="480" w:lineRule="exact"/>
        <w:ind w:left="420" w:leftChars="0" w:firstLineChars="0"/>
        <w:jc w:val="left"/>
        <w:rPr>
          <w:rFonts w:ascii="宋体" w:hAnsi="宋体" w:cs="宋体"/>
          <w:sz w:val="24"/>
          <w:highlight w:val="none"/>
        </w:rPr>
      </w:pPr>
      <w:r>
        <w:rPr>
          <w:rFonts w:hint="eastAsia" w:ascii="宋体" w:hAnsi="宋体" w:cs="宋体"/>
          <w:sz w:val="24"/>
          <w:highlight w:val="none"/>
        </w:rPr>
        <w:t>不具备招标文件中规定资格要求的；</w:t>
      </w:r>
    </w:p>
    <w:p>
      <w:pPr>
        <w:numPr>
          <w:ilvl w:val="0"/>
          <w:numId w:val="8"/>
        </w:numPr>
        <w:autoSpaceDE w:val="0"/>
        <w:autoSpaceDN w:val="0"/>
        <w:adjustRightInd w:val="0"/>
        <w:snapToGrid w:val="0"/>
        <w:spacing w:line="480" w:lineRule="exact"/>
        <w:ind w:left="420" w:leftChars="0" w:firstLineChars="0"/>
        <w:jc w:val="left"/>
        <w:rPr>
          <w:rFonts w:ascii="宋体" w:hAnsi="宋体" w:cs="宋体"/>
          <w:sz w:val="24"/>
          <w:highlight w:val="none"/>
        </w:rPr>
      </w:pPr>
      <w:r>
        <w:rPr>
          <w:rFonts w:hint="eastAsia" w:ascii="宋体" w:hAnsi="宋体" w:cs="宋体"/>
          <w:sz w:val="24"/>
          <w:highlight w:val="none"/>
        </w:rPr>
        <w:t>不符合法律、法规和招标文件中规定的其他实质性要求的。</w:t>
      </w:r>
    </w:p>
    <w:p>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rPr>
        <w:t xml:space="preserve">3.1.3 </w:t>
      </w:r>
      <w:r>
        <w:rPr>
          <w:rFonts w:hint="eastAsia" w:ascii="宋体" w:hAnsi="宋体" w:cs="宋体"/>
          <w:sz w:val="24"/>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9"/>
        </w:numPr>
        <w:autoSpaceDE w:val="0"/>
        <w:autoSpaceDN w:val="0"/>
        <w:adjustRightInd w:val="0"/>
        <w:snapToGrid w:val="0"/>
        <w:spacing w:line="480" w:lineRule="exact"/>
        <w:ind w:left="420" w:leftChars="0" w:firstLineChars="0"/>
        <w:jc w:val="left"/>
        <w:rPr>
          <w:rFonts w:ascii="宋体" w:hAnsi="宋体" w:cs="宋体"/>
          <w:sz w:val="24"/>
          <w:highlight w:val="none"/>
        </w:rPr>
      </w:pPr>
      <w:r>
        <w:rPr>
          <w:rFonts w:hint="eastAsia" w:ascii="宋体" w:hAnsi="宋体" w:cs="宋体"/>
          <w:sz w:val="24"/>
          <w:highlight w:val="none"/>
        </w:rPr>
        <w:t>投标文件中的大写金额与小写金额不一致的，以大写金额为准；</w:t>
      </w:r>
    </w:p>
    <w:p>
      <w:pPr>
        <w:numPr>
          <w:ilvl w:val="0"/>
          <w:numId w:val="9"/>
        </w:numPr>
        <w:autoSpaceDE w:val="0"/>
        <w:autoSpaceDN w:val="0"/>
        <w:adjustRightInd w:val="0"/>
        <w:snapToGrid w:val="0"/>
        <w:spacing w:line="480" w:lineRule="exact"/>
        <w:ind w:left="420" w:leftChars="0" w:firstLineChars="0"/>
        <w:jc w:val="left"/>
        <w:rPr>
          <w:rFonts w:ascii="宋体" w:hAnsi="宋体" w:cs="宋体"/>
          <w:sz w:val="24"/>
          <w:highlight w:val="none"/>
        </w:rPr>
      </w:pPr>
      <w:r>
        <w:rPr>
          <w:rFonts w:hint="eastAsia" w:ascii="宋体" w:hAnsi="宋体" w:cs="宋体"/>
          <w:sz w:val="24"/>
          <w:highlight w:val="none"/>
        </w:rPr>
        <w:t>投标文件中开标一览表内容与投标文件中明细表内容不一致的，以开标一览表为准。</w:t>
      </w:r>
    </w:p>
    <w:p>
      <w:pPr>
        <w:adjustRightInd w:val="0"/>
        <w:snapToGrid w:val="0"/>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3.2 详细评审</w:t>
      </w:r>
    </w:p>
    <w:p>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rPr>
        <w:t xml:space="preserve">3.2.1 </w:t>
      </w:r>
      <w:r>
        <w:rPr>
          <w:rFonts w:hint="eastAsia" w:ascii="宋体" w:hAnsi="宋体" w:cs="宋体"/>
          <w:sz w:val="24"/>
          <w:highlight w:val="none"/>
          <w:lang w:val="zh-CN"/>
        </w:rPr>
        <w:t>评标委员会按本章</w:t>
      </w:r>
      <w:r>
        <w:rPr>
          <w:rFonts w:hint="eastAsia" w:ascii="宋体" w:hAnsi="宋体" w:cs="宋体"/>
          <w:sz w:val="24"/>
          <w:highlight w:val="none"/>
        </w:rPr>
        <w:t>的</w:t>
      </w:r>
      <w:r>
        <w:rPr>
          <w:rFonts w:hint="eastAsia" w:ascii="宋体" w:hAnsi="宋体" w:cs="宋体"/>
          <w:sz w:val="24"/>
          <w:highlight w:val="none"/>
          <w:lang w:val="zh-CN"/>
        </w:rPr>
        <w:t>评分标准进行打分，并计算出综合评审得分。</w:t>
      </w:r>
    </w:p>
    <w:p>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rPr>
        <w:t xml:space="preserve">3.2.2 </w:t>
      </w:r>
      <w:r>
        <w:rPr>
          <w:rFonts w:hint="eastAsia" w:ascii="宋体" w:hAnsi="宋体" w:cs="宋体"/>
          <w:sz w:val="24"/>
          <w:highlight w:val="none"/>
          <w:lang w:val="zh-CN"/>
        </w:rPr>
        <w:t>评标委员会发现投标人的投标总报价</w:t>
      </w:r>
      <w:r>
        <w:rPr>
          <w:rFonts w:hint="eastAsia" w:ascii="宋体" w:hAnsi="宋体" w:cs="宋体"/>
          <w:sz w:val="24"/>
          <w:highlight w:val="none"/>
        </w:rPr>
        <w:t>高</w:t>
      </w:r>
      <w:r>
        <w:rPr>
          <w:rFonts w:hint="eastAsia" w:ascii="宋体" w:hAnsi="宋体" w:cs="宋体"/>
          <w:sz w:val="24"/>
          <w:highlight w:val="none"/>
          <w:lang w:val="zh-CN"/>
        </w:rPr>
        <w:t>于</w:t>
      </w:r>
      <w:r>
        <w:rPr>
          <w:rFonts w:hint="eastAsia" w:ascii="宋体" w:hAnsi="宋体" w:cs="宋体"/>
          <w:sz w:val="24"/>
          <w:highlight w:val="none"/>
        </w:rPr>
        <w:t>招标文件规定的控制价</w:t>
      </w:r>
      <w:r>
        <w:rPr>
          <w:rFonts w:hint="eastAsia" w:ascii="宋体" w:hAnsi="宋体" w:cs="宋体"/>
          <w:sz w:val="24"/>
          <w:highlight w:val="none"/>
          <w:lang w:val="zh-CN"/>
        </w:rPr>
        <w:t>，评标委员会应按无效投标处理。</w:t>
      </w:r>
    </w:p>
    <w:p>
      <w:pPr>
        <w:adjustRightInd w:val="0"/>
        <w:snapToGrid w:val="0"/>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3.3 投标文件的澄清和补正</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highlight w:val="none"/>
        </w:rPr>
        <w:t xml:space="preserve">3.3.1 </w:t>
      </w:r>
      <w:r>
        <w:rPr>
          <w:rFonts w:hint="eastAsia" w:ascii="宋体" w:hAnsi="宋体" w:cs="宋体"/>
          <w:sz w:val="24"/>
          <w:highlight w:val="none"/>
          <w:lang w:val="zh-CN"/>
        </w:rPr>
        <w:t>在评标过程中，评标委员会可以书面形式要求投标人对所提交投标文件中不明确的</w:t>
      </w:r>
      <w:r>
        <w:rPr>
          <w:rFonts w:hint="eastAsia" w:ascii="宋体" w:hAnsi="宋体" w:cs="宋体"/>
          <w:sz w:val="24"/>
          <w:lang w:val="zh-CN"/>
        </w:rPr>
        <w:t>内容进行书面澄清或说明，或者对细微偏差进行补正。</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3.3.2 </w:t>
      </w:r>
      <w:r>
        <w:rPr>
          <w:rFonts w:hint="eastAsia" w:ascii="宋体" w:hAnsi="宋体" w:cs="宋体"/>
          <w:sz w:val="24"/>
          <w:lang w:val="zh-CN"/>
        </w:rPr>
        <w:t>澄清、说明和补正不得改变投标文件的实质性内容（算术性错误修正的除外）。投标人的书面澄清、说明和补正属于投标文件的组成部分。</w:t>
      </w:r>
    </w:p>
    <w:p>
      <w:pPr>
        <w:adjustRightInd w:val="0"/>
        <w:snapToGrid w:val="0"/>
        <w:spacing w:line="480" w:lineRule="exact"/>
        <w:ind w:firstLine="482" w:firstLineChars="200"/>
        <w:rPr>
          <w:rFonts w:ascii="宋体" w:hAnsi="宋体" w:cs="宋体"/>
          <w:b/>
          <w:bCs/>
          <w:sz w:val="24"/>
        </w:rPr>
      </w:pPr>
      <w:r>
        <w:rPr>
          <w:rFonts w:hint="eastAsia" w:ascii="宋体" w:hAnsi="宋体" w:cs="宋体"/>
          <w:b/>
          <w:bCs/>
          <w:sz w:val="24"/>
        </w:rPr>
        <w:t>3.4 评标结果</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3.4.1 </w:t>
      </w:r>
      <w:r>
        <w:rPr>
          <w:rFonts w:hint="eastAsia" w:ascii="宋体" w:hAnsi="宋体" w:cs="宋体"/>
          <w:sz w:val="24"/>
          <w:lang w:val="zh-CN"/>
        </w:rPr>
        <w:t>投标人得分=投标报价得分+技术部分得分</w:t>
      </w:r>
      <w:r>
        <w:rPr>
          <w:rFonts w:hint="eastAsia" w:ascii="宋体" w:hAnsi="宋体" w:cs="宋体"/>
          <w:sz w:val="24"/>
          <w:lang w:val="en-US" w:eastAsia="zh-CN"/>
        </w:rPr>
        <w:t>＋综合</w:t>
      </w:r>
      <w:r>
        <w:rPr>
          <w:rFonts w:hint="eastAsia" w:ascii="宋体" w:hAnsi="宋体" w:cs="宋体"/>
          <w:sz w:val="24"/>
          <w:lang w:val="zh-CN"/>
        </w:rPr>
        <w:t>部分得分</w:t>
      </w:r>
      <w:r>
        <w:rPr>
          <w:rFonts w:hint="eastAsia" w:ascii="宋体" w:hAnsi="宋体" w:cs="宋体"/>
          <w:sz w:val="24"/>
          <w:lang w:val="en-US" w:eastAsia="zh-CN"/>
        </w:rPr>
        <w:t xml:space="preserve"> </w:t>
      </w:r>
      <w:r>
        <w:rPr>
          <w:rFonts w:hint="eastAsia" w:ascii="宋体" w:hAnsi="宋体" w:cs="宋体"/>
          <w:sz w:val="24"/>
          <w:lang w:val="zh-CN"/>
        </w:rPr>
        <w:t>。</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3.4.2</w:t>
      </w:r>
      <w:r>
        <w:rPr>
          <w:rFonts w:hint="eastAsia" w:ascii="宋体" w:hAnsi="宋体" w:cs="宋体"/>
          <w:sz w:val="24"/>
          <w:lang w:val="zh-CN"/>
        </w:rPr>
        <w:t>投标人最终得分为评标委员会完成评审后所有评分的算术平均值，作为该投标人最终得分。</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3.4.3 </w:t>
      </w:r>
      <w:r>
        <w:rPr>
          <w:rFonts w:hint="eastAsia" w:ascii="宋体" w:hAnsi="宋体" w:cs="宋体"/>
          <w:sz w:val="24"/>
          <w:lang w:val="zh-CN"/>
        </w:rPr>
        <w:t>投标人最终得分相同的，投标报价</w:t>
      </w:r>
      <w:r>
        <w:rPr>
          <w:rFonts w:hint="eastAsia" w:ascii="宋体" w:hAnsi="宋体" w:cs="宋体"/>
          <w:sz w:val="24"/>
        </w:rPr>
        <w:t>低</w:t>
      </w:r>
      <w:r>
        <w:rPr>
          <w:rFonts w:hint="eastAsia" w:ascii="宋体" w:hAnsi="宋体" w:cs="宋体"/>
          <w:sz w:val="24"/>
          <w:lang w:val="zh-CN"/>
        </w:rPr>
        <w:t>的优先，</w:t>
      </w:r>
      <w:r>
        <w:rPr>
          <w:rFonts w:hint="eastAsia" w:ascii="宋体" w:hAnsi="宋体" w:cs="宋体"/>
          <w:sz w:val="24"/>
        </w:rPr>
        <w:t>投标报价也相同的以技术得分高的优先，技术得分也相同的由采购人自行确定</w:t>
      </w:r>
      <w:r>
        <w:rPr>
          <w:rFonts w:hint="eastAsia" w:ascii="宋体" w:hAnsi="宋体" w:cs="宋体"/>
          <w:sz w:val="24"/>
          <w:lang w:val="zh-CN"/>
        </w:rPr>
        <w:t>。</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3.4.4 </w:t>
      </w:r>
      <w:r>
        <w:rPr>
          <w:rFonts w:hint="eastAsia" w:ascii="宋体" w:hAnsi="宋体" w:cs="宋体"/>
          <w:sz w:val="24"/>
          <w:lang w:val="zh-CN"/>
        </w:rPr>
        <w:t>计分过程中按四舍五入的法则，最终结果取至小数点后两位。</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3.4.5 </w:t>
      </w:r>
      <w:r>
        <w:rPr>
          <w:rFonts w:hint="eastAsia" w:ascii="宋体" w:hAnsi="宋体" w:cs="宋体"/>
          <w:sz w:val="24"/>
          <w:lang w:val="zh-CN"/>
        </w:rPr>
        <w:t>评标委员会按照得分由高到低的顺序推荐</w:t>
      </w:r>
      <w:r>
        <w:rPr>
          <w:rFonts w:hint="eastAsia" w:ascii="宋体" w:hAnsi="宋体" w:cs="宋体"/>
          <w:sz w:val="24"/>
        </w:rPr>
        <w:t>1-3名</w:t>
      </w:r>
      <w:r>
        <w:rPr>
          <w:rFonts w:hint="eastAsia" w:ascii="宋体" w:hAnsi="宋体" w:cs="宋体"/>
          <w:sz w:val="24"/>
          <w:lang w:val="zh-CN"/>
        </w:rPr>
        <w:t>中标候选人。</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3.4.6 </w:t>
      </w:r>
      <w:r>
        <w:rPr>
          <w:rFonts w:hint="eastAsia" w:ascii="宋体" w:hAnsi="宋体" w:cs="宋体"/>
          <w:sz w:val="24"/>
          <w:lang w:val="zh-CN"/>
        </w:rPr>
        <w:t>评标委员会完成评标后，应当向采购人提交书面评标报告。</w:t>
      </w:r>
    </w:p>
    <w:p>
      <w:pPr>
        <w:adjustRightInd w:val="0"/>
        <w:snapToGrid w:val="0"/>
        <w:spacing w:line="480" w:lineRule="exact"/>
        <w:ind w:firstLine="482" w:firstLineChars="200"/>
        <w:rPr>
          <w:rFonts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lang w:val="zh-CN"/>
        </w:rPr>
        <w:t>中标人因不可抗力不能履行政府采购合同的，采购人可以与排位在中标人之后第一位的中标候选人签订政府采购合同，或者重新采购。</w:t>
      </w:r>
    </w:p>
    <w:p>
      <w:pPr>
        <w:adjustRightInd w:val="0"/>
        <w:snapToGrid w:val="0"/>
        <w:spacing w:line="480" w:lineRule="exact"/>
        <w:ind w:firstLine="482" w:firstLineChars="200"/>
        <w:rPr>
          <w:rFonts w:ascii="宋体" w:hAnsi="宋体" w:cs="宋体"/>
          <w:b/>
          <w:bCs/>
          <w:sz w:val="24"/>
        </w:rPr>
      </w:pPr>
      <w:bookmarkStart w:id="262" w:name="_Toc54"/>
      <w:bookmarkStart w:id="263" w:name="_Toc16293"/>
      <w:bookmarkStart w:id="264" w:name="_Toc7468"/>
      <w:bookmarkStart w:id="265" w:name="_Toc11630"/>
      <w:bookmarkStart w:id="266" w:name="_Toc17922"/>
      <w:bookmarkStart w:id="267" w:name="_Toc19590"/>
      <w:bookmarkStart w:id="268" w:name="_Toc28863"/>
      <w:r>
        <w:rPr>
          <w:rFonts w:hint="eastAsia" w:ascii="宋体" w:hAnsi="宋体" w:cs="宋体"/>
          <w:b/>
          <w:bCs/>
          <w:sz w:val="24"/>
        </w:rPr>
        <w:t>3.6 保密及其他注意事项</w:t>
      </w:r>
      <w:bookmarkEnd w:id="262"/>
      <w:bookmarkEnd w:id="263"/>
      <w:bookmarkEnd w:id="264"/>
      <w:bookmarkEnd w:id="265"/>
      <w:bookmarkEnd w:id="266"/>
      <w:bookmarkEnd w:id="267"/>
      <w:bookmarkEnd w:id="268"/>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3.6.1 </w:t>
      </w:r>
      <w:r>
        <w:rPr>
          <w:rFonts w:hint="eastAsia" w:ascii="宋体" w:hAnsi="宋体" w:cs="宋体"/>
          <w:sz w:val="24"/>
          <w:lang w:val="zh-CN"/>
        </w:rPr>
        <w:t>在评标期间，投标企业不得向评标委员会成员询问评标情况，不得进行旨在影响中标结果的活动。</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 xml:space="preserve">3.6.2 </w:t>
      </w:r>
      <w:r>
        <w:rPr>
          <w:rFonts w:hint="eastAsia" w:ascii="宋体" w:hAnsi="宋体" w:cs="宋体"/>
          <w:sz w:val="24"/>
          <w:lang w:val="zh-CN"/>
        </w:rPr>
        <w:t>在评标结束后，凡与评标情况有接触的任何人不得也不应将评标情况扩散出评标委员会成员之外。</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3.6.3</w:t>
      </w:r>
      <w:r>
        <w:rPr>
          <w:rFonts w:hint="eastAsia" w:ascii="宋体" w:hAnsi="宋体" w:cs="宋体"/>
          <w:sz w:val="24"/>
          <w:lang w:val="zh-CN"/>
        </w:rPr>
        <w:t>招标代理机构不向落标方解释落标原因，不退还投标文件。</w:t>
      </w:r>
    </w:p>
    <w:p>
      <w:pPr>
        <w:tabs>
          <w:tab w:val="left" w:pos="720"/>
        </w:tabs>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24"/>
        <w:numPr>
          <w:ilvl w:val="0"/>
          <w:numId w:val="7"/>
        </w:numPr>
        <w:spacing w:line="600" w:lineRule="exact"/>
        <w:ind w:left="2520" w:leftChars="0" w:right="-63" w:rightChars="-30" w:firstLineChars="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bookmarkStart w:id="269" w:name="_Toc27443"/>
      <w:bookmarkStart w:id="270" w:name="_Toc7325"/>
      <w:r>
        <w:rPr>
          <w:rFonts w:hint="eastAsia" w:asciiTheme="minorEastAsia" w:hAnsiTheme="minorEastAsia" w:eastAsiaTheme="minorEastAsia" w:cstheme="minorEastAsia"/>
          <w:sz w:val="36"/>
          <w:szCs w:val="36"/>
        </w:rPr>
        <w:t>合同条款及格式</w:t>
      </w:r>
      <w:bookmarkEnd w:id="250"/>
      <w:bookmarkEnd w:id="251"/>
      <w:bookmarkEnd w:id="252"/>
      <w:bookmarkEnd w:id="269"/>
      <w:bookmarkEnd w:id="270"/>
    </w:p>
    <w:p>
      <w:r>
        <w:rPr>
          <w:rFonts w:hint="eastAsia"/>
        </w:rPr>
        <w:t xml:space="preserve">                             </w:t>
      </w:r>
      <w:r>
        <w:rPr>
          <w:rFonts w:hint="eastAsia"/>
          <w:sz w:val="28"/>
          <w:szCs w:val="28"/>
        </w:rPr>
        <w:t xml:space="preserve">    </w:t>
      </w:r>
      <w:r>
        <w:rPr>
          <w:rFonts w:hint="eastAsia"/>
          <w:b/>
          <w:bCs/>
          <w:sz w:val="28"/>
          <w:szCs w:val="28"/>
        </w:rPr>
        <w:t xml:space="preserve">  （仅供参考）</w:t>
      </w:r>
    </w:p>
    <w:p>
      <w:pPr>
        <w:adjustRightInd w:val="0"/>
        <w:spacing w:line="360" w:lineRule="auto"/>
        <w:ind w:firstLine="480" w:firstLineChars="200"/>
        <w:textAlignment w:val="baseline"/>
        <w:rPr>
          <w:rFonts w:ascii="宋体" w:hAnsi="宋体" w:cs="宋体"/>
          <w:sz w:val="24"/>
        </w:rPr>
      </w:pPr>
      <w:bookmarkStart w:id="271" w:name="_Toc12807"/>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甲方：（采购单位）</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乙方：（供应商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甲、乙双方持采购人、采购代理公司签发的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一、本合同所指货物为此次采购的货物（注明品名、规格、数量、单价等技术要求），合同总价款为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乙方提供的货物达到乙方响应文件及澄清中的技术标准。（售后服务要求按采购文件及响应性文件相应条款制订）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乙方应于202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 月 日前按甲方要求在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（甲方指定地点）将货物运送达到验收条件。货物运送产生的费用由乙方负责。由甲方组织相关人员进行验收。</w:t>
      </w:r>
    </w:p>
    <w:p>
      <w:pPr>
        <w:numPr>
          <w:ilvl w:val="0"/>
          <w:numId w:val="10"/>
        </w:numPr>
        <w:adjustRightInd w:val="0"/>
        <w:spacing w:line="360" w:lineRule="auto"/>
        <w:ind w:firstLine="48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付款方式：</w:t>
      </w:r>
      <w:r>
        <w:rPr>
          <w:rFonts w:hint="eastAsia" w:asciiTheme="minorEastAsia" w:hAnsiTheme="minorEastAsia" w:eastAsiaTheme="minorEastAsia" w:cstheme="minorEastAsia"/>
          <w:highlight w:val="none"/>
          <w:lang w:val="en-US" w:eastAsia="zh-CN"/>
        </w:rPr>
        <w:t xml:space="preserve">合同签订后预付合同金额的50%，供货安装完毕验收合格后支付至合同金额的100%。 </w:t>
      </w:r>
    </w:p>
    <w:p>
      <w:pPr>
        <w:numPr>
          <w:ilvl w:val="0"/>
          <w:numId w:val="10"/>
        </w:numPr>
        <w:adjustRightInd w:val="0"/>
        <w:spacing w:line="360" w:lineRule="auto"/>
        <w:ind w:firstLine="48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重要提示：以上合同文本作为签订合同的重要依据，涉及付款方式、供应商名称等实质性内容不得变更。</w:t>
      </w: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rFonts w:asciiTheme="minorEastAsia" w:hAnsiTheme="minorEastAsia" w:eastAsiaTheme="minorEastAsia" w:cstheme="minorEastAsia"/>
          <w:b/>
          <w:bCs/>
          <w:sz w:val="21"/>
          <w:szCs w:val="21"/>
        </w:rPr>
      </w:pPr>
    </w:p>
    <w:p>
      <w:pPr>
        <w:pStyle w:val="15"/>
        <w:jc w:val="center"/>
        <w:rPr>
          <w:b/>
          <w:bCs/>
          <w:sz w:val="32"/>
          <w:szCs w:val="32"/>
        </w:rPr>
      </w:pPr>
    </w:p>
    <w:p>
      <w:pPr>
        <w:pStyle w:val="15"/>
        <w:numPr>
          <w:ilvl w:val="0"/>
          <w:numId w:val="7"/>
        </w:numPr>
        <w:ind w:left="2520" w:leftChars="0" w:firstLineChars="0"/>
        <w:jc w:val="center"/>
        <w:outlineLvl w:val="0"/>
        <w:rPr>
          <w:b/>
          <w:bCs/>
          <w:sz w:val="32"/>
          <w:szCs w:val="32"/>
        </w:rPr>
      </w:pPr>
      <w:r>
        <w:rPr>
          <w:rFonts w:hint="eastAsia"/>
          <w:b/>
          <w:bCs/>
          <w:sz w:val="32"/>
          <w:szCs w:val="32"/>
        </w:rPr>
        <w:t xml:space="preserve">  </w:t>
      </w:r>
      <w:bookmarkStart w:id="272" w:name="_Toc6692"/>
      <w:r>
        <w:rPr>
          <w:rFonts w:hint="eastAsia"/>
          <w:b/>
          <w:bCs/>
          <w:sz w:val="32"/>
          <w:szCs w:val="32"/>
        </w:rPr>
        <w:t>采购内容及技术要求</w:t>
      </w:r>
      <w:bookmarkEnd w:id="272"/>
    </w:p>
    <w:p>
      <w:pPr>
        <w:pStyle w:val="63"/>
        <w:numPr>
          <w:ilvl w:val="0"/>
          <w:numId w:val="11"/>
        </w:numPr>
        <w:spacing w:before="156" w:beforeLines="50" w:line="300" w:lineRule="exact"/>
        <w:ind w:firstLineChars="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采购内容：博爱县机关综合办公楼中央空调系统冷热源采用3台直燃机，受能源价格等因素影响，现计划对其中一台进行改造，将其制冷主能源由天然气改变为用电。</w:t>
      </w:r>
      <w:r>
        <w:rPr>
          <w:rFonts w:hint="eastAsia" w:asciiTheme="minorEastAsia" w:hAnsiTheme="minorEastAsia" w:eastAsiaTheme="minorEastAsia" w:cstheme="minorEastAsia"/>
          <w:sz w:val="24"/>
          <w:szCs w:val="24"/>
          <w:lang w:val="en-US" w:eastAsia="zh-CN"/>
        </w:rPr>
        <w:t>现需采购磁悬浮离心机空调1台，包含改造和安装等</w:t>
      </w:r>
      <w:r>
        <w:rPr>
          <w:rFonts w:hint="eastAsia" w:asciiTheme="minorEastAsia" w:hAnsiTheme="minorEastAsia" w:eastAsiaTheme="minorEastAsia" w:cstheme="minorEastAsia"/>
          <w:sz w:val="24"/>
          <w:szCs w:val="24"/>
        </w:rPr>
        <w:t>。</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2.合同履行期限（</w:t>
      </w:r>
      <w:r>
        <w:rPr>
          <w:rFonts w:hint="eastAsia" w:asciiTheme="minorEastAsia" w:hAnsiTheme="minorEastAsia" w:eastAsiaTheme="minorEastAsia" w:cstheme="minorEastAsia"/>
          <w:sz w:val="24"/>
          <w:szCs w:val="24"/>
        </w:rPr>
        <w:t>供货</w:t>
      </w:r>
      <w:r>
        <w:rPr>
          <w:rFonts w:hint="eastAsia" w:asciiTheme="minorEastAsia" w:hAnsiTheme="minorEastAsia" w:eastAsiaTheme="minorEastAsia" w:cstheme="minorEastAsia"/>
          <w:sz w:val="24"/>
          <w:szCs w:val="24"/>
          <w:lang w:val="en-US" w:eastAsia="zh-CN"/>
        </w:rPr>
        <w:t>安装</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日历天</w:t>
      </w:r>
    </w:p>
    <w:p>
      <w:pPr>
        <w:spacing w:before="156" w:beforeLines="50" w:line="400" w:lineRule="exact"/>
        <w:ind w:firstLine="480" w:firstLineChars="200"/>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val="en-US" w:eastAsia="zh-CN" w:bidi="ar-SA"/>
        </w:rPr>
        <w:t>质量标准：合格，符合国家及行业规范标准。</w:t>
      </w:r>
    </w:p>
    <w:p>
      <w:pPr>
        <w:spacing w:before="156" w:beforeLines="50" w:line="400" w:lineRule="exact"/>
        <w:ind w:firstLine="480" w:firstLineChars="200"/>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4.质保期</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t>2年</w:t>
      </w:r>
    </w:p>
    <w:p>
      <w:pPr>
        <w:spacing w:before="156" w:beforeLines="50" w:line="400" w:lineRule="exac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二、招标范围：</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计划改造的直燃机单台制冷量3489kw、制热量2690kW，需将其制冷方式变更为磁悬浮离心机：移除机组主体、在原主体位置加装一台磁悬浮离心机，</w:t>
      </w:r>
      <w:r>
        <w:rPr>
          <w:rFonts w:hint="eastAsia" w:asciiTheme="minorEastAsia" w:hAnsiTheme="minorEastAsia" w:eastAsiaTheme="minorEastAsia" w:cstheme="minorEastAsia"/>
          <w:sz w:val="24"/>
          <w:szCs w:val="24"/>
          <w:highlight w:val="none"/>
        </w:rPr>
        <w:t>保留高发</w:t>
      </w:r>
      <w:r>
        <w:rPr>
          <w:rFonts w:hint="eastAsia" w:asciiTheme="minorEastAsia" w:hAnsiTheme="minorEastAsia" w:eastAsiaTheme="minorEastAsia" w:cstheme="minorEastAsia"/>
          <w:sz w:val="24"/>
          <w:szCs w:val="24"/>
        </w:rPr>
        <w:t>用于采暖需求。</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直燃机主体拆解回收及新机组的现场搬运及安装、就位、调试；配电房到磁悬浮离心机的电缆铺设与安装。</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新机组与原输配系统的冷冻水管、冷却水管、配电系统连接及优化；投标人自行对中央空调机房水系统管路及设备布置进行优化设计，并提供机房改造部分的设计图。 </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完整保留直燃机的高发部分及其采暖功能，施工过程不得对其造成破坏，如需短暂移动，在施工完成后需将其恢复至原来位置、恢复管道和线路并调试至正常运行。</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旧设备拆除以及新设备安装过程中如有局部的管道、土建拆除，改造完成后需予以恢复。 </w:t>
      </w:r>
    </w:p>
    <w:p>
      <w:pPr>
        <w:spacing w:before="156" w:beforeLines="50" w:line="40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涉及的设计、施工及配套改造等为总承包交钥匙工程。</w:t>
      </w:r>
    </w:p>
    <w:p>
      <w:pPr>
        <w:widowControl/>
        <w:spacing w:before="156" w:beforeLines="5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改造后的磁悬浮离心机组技术参数及性能要求</w:t>
      </w:r>
    </w:p>
    <w:p>
      <w:pPr>
        <w:widowControl/>
        <w:spacing w:before="156" w:beforeLines="50" w:line="400" w:lineRule="exact"/>
        <w:ind w:firstLine="480" w:firstLineChars="200"/>
        <w:jc w:val="left"/>
        <w:rPr>
          <w:rFonts w:hint="eastAsia" w:asciiTheme="minorEastAsia" w:hAnsiTheme="minorEastAsia" w:eastAsiaTheme="minorEastAsia" w:cstheme="minorEastAsia"/>
          <w:sz w:val="24"/>
          <w:szCs w:val="24"/>
        </w:rPr>
      </w:pPr>
    </w:p>
    <w:tbl>
      <w:tblPr>
        <w:tblStyle w:val="26"/>
        <w:tblW w:w="6799" w:type="dxa"/>
        <w:jc w:val="center"/>
        <w:tblLayout w:type="fixed"/>
        <w:tblCellMar>
          <w:top w:w="0" w:type="dxa"/>
          <w:left w:w="108" w:type="dxa"/>
          <w:bottom w:w="0" w:type="dxa"/>
          <w:right w:w="108" w:type="dxa"/>
        </w:tblCellMar>
      </w:tblPr>
      <w:tblGrid>
        <w:gridCol w:w="3378"/>
        <w:gridCol w:w="3421"/>
      </w:tblGrid>
      <w:tr>
        <w:tblPrEx>
          <w:tblCellMar>
            <w:top w:w="0" w:type="dxa"/>
            <w:left w:w="108" w:type="dxa"/>
            <w:bottom w:w="0" w:type="dxa"/>
            <w:right w:w="108" w:type="dxa"/>
          </w:tblCellMar>
        </w:tblPrEx>
        <w:trPr>
          <w:trHeight w:val="646" w:hRule="exact"/>
          <w:jc w:val="center"/>
        </w:trPr>
        <w:tc>
          <w:tcPr>
            <w:tcW w:w="3378" w:type="dxa"/>
            <w:tcBorders>
              <w:top w:val="single" w:color="auto" w:sz="4" w:space="0"/>
              <w:left w:val="single" w:color="auto" w:sz="4" w:space="0"/>
              <w:bottom w:val="single" w:color="auto" w:sz="4" w:space="0"/>
              <w:right w:val="single" w:color="auto" w:sz="4" w:space="0"/>
            </w:tcBorders>
            <w:vAlign w:val="bottom"/>
          </w:tcPr>
          <w:p>
            <w:pPr>
              <w:widowControl/>
              <w:spacing w:before="156" w:beforeLines="50" w:line="300" w:lineRule="exact"/>
              <w:jc w:val="center"/>
              <w:rPr>
                <w:rFonts w:ascii="宋体" w:hAnsi="宋体" w:cs="方正仿宋_GBK"/>
                <w:b/>
                <w:bCs/>
                <w:kern w:val="0"/>
                <w:sz w:val="21"/>
                <w:szCs w:val="21"/>
              </w:rPr>
            </w:pPr>
            <w:r>
              <w:rPr>
                <w:rFonts w:hint="eastAsia" w:ascii="宋体" w:hAnsi="宋体" w:cs="方正仿宋_GBK"/>
                <w:b/>
                <w:bCs/>
                <w:kern w:val="0"/>
                <w:sz w:val="21"/>
                <w:szCs w:val="21"/>
              </w:rPr>
              <w:t>项目名称</w:t>
            </w:r>
          </w:p>
        </w:tc>
        <w:tc>
          <w:tcPr>
            <w:tcW w:w="3421" w:type="dxa"/>
            <w:tcBorders>
              <w:top w:val="single" w:color="auto" w:sz="4" w:space="0"/>
              <w:left w:val="nil"/>
              <w:bottom w:val="single" w:color="auto" w:sz="4" w:space="0"/>
              <w:right w:val="single" w:color="auto" w:sz="4" w:space="0"/>
            </w:tcBorders>
            <w:vAlign w:val="bottom"/>
          </w:tcPr>
          <w:p>
            <w:pPr>
              <w:widowControl/>
              <w:spacing w:before="156" w:beforeLines="50" w:line="300" w:lineRule="exact"/>
              <w:jc w:val="center"/>
              <w:rPr>
                <w:rFonts w:ascii="宋体" w:hAnsi="宋体" w:cs="方正仿宋_GBK"/>
                <w:b/>
                <w:bCs/>
                <w:kern w:val="0"/>
                <w:sz w:val="21"/>
                <w:szCs w:val="21"/>
              </w:rPr>
            </w:pPr>
            <w:r>
              <w:rPr>
                <w:rFonts w:hint="eastAsia" w:ascii="宋体" w:hAnsi="宋体" w:cs="方正仿宋_GBK"/>
                <w:b/>
                <w:bCs/>
                <w:kern w:val="0"/>
                <w:sz w:val="21"/>
                <w:szCs w:val="21"/>
              </w:rPr>
              <w:t>参数要求</w:t>
            </w:r>
          </w:p>
        </w:tc>
      </w:tr>
      <w:tr>
        <w:tblPrEx>
          <w:tblCellMar>
            <w:top w:w="0" w:type="dxa"/>
            <w:left w:w="108" w:type="dxa"/>
            <w:bottom w:w="0" w:type="dxa"/>
            <w:right w:w="108" w:type="dxa"/>
          </w:tblCellMar>
        </w:tblPrEx>
        <w:trPr>
          <w:trHeight w:val="850"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额定制冷量</w:t>
            </w:r>
          </w:p>
        </w:tc>
        <w:tc>
          <w:tcPr>
            <w:tcW w:w="3421" w:type="dxa"/>
            <w:tcBorders>
              <w:top w:val="nil"/>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≥2</w:t>
            </w:r>
            <w:r>
              <w:rPr>
                <w:rFonts w:ascii="宋体" w:hAnsi="宋体" w:cs="方正仿宋_GBK"/>
                <w:kern w:val="0"/>
                <w:sz w:val="21"/>
                <w:szCs w:val="21"/>
              </w:rPr>
              <w:t>800</w:t>
            </w:r>
            <w:r>
              <w:rPr>
                <w:rFonts w:hint="eastAsia" w:ascii="宋体" w:hAnsi="宋体" w:cs="方正仿宋_GBK"/>
                <w:kern w:val="0"/>
                <w:sz w:val="21"/>
                <w:szCs w:val="21"/>
              </w:rPr>
              <w:t>kW</w:t>
            </w:r>
          </w:p>
        </w:tc>
      </w:tr>
      <w:tr>
        <w:tblPrEx>
          <w:tblCellMar>
            <w:top w:w="0" w:type="dxa"/>
            <w:left w:w="108" w:type="dxa"/>
            <w:bottom w:w="0" w:type="dxa"/>
            <w:right w:w="108" w:type="dxa"/>
          </w:tblCellMar>
        </w:tblPrEx>
        <w:trPr>
          <w:trHeight w:val="744"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制冷输入电功率</w:t>
            </w:r>
          </w:p>
        </w:tc>
        <w:tc>
          <w:tcPr>
            <w:tcW w:w="3421" w:type="dxa"/>
            <w:tcBorders>
              <w:top w:val="nil"/>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w:t>
            </w:r>
            <w:r>
              <w:rPr>
                <w:rFonts w:ascii="宋体" w:hAnsi="宋体" w:cs="方正仿宋_GBK"/>
                <w:kern w:val="0"/>
                <w:sz w:val="21"/>
                <w:szCs w:val="21"/>
              </w:rPr>
              <w:t>435</w:t>
            </w:r>
            <w:r>
              <w:rPr>
                <w:rFonts w:hint="eastAsia" w:ascii="宋体" w:hAnsi="宋体" w:cs="方正仿宋_GBK"/>
                <w:kern w:val="0"/>
                <w:sz w:val="21"/>
                <w:szCs w:val="21"/>
              </w:rPr>
              <w:t>kW</w:t>
            </w:r>
          </w:p>
        </w:tc>
      </w:tr>
      <w:tr>
        <w:tblPrEx>
          <w:tblCellMar>
            <w:top w:w="0" w:type="dxa"/>
            <w:left w:w="108" w:type="dxa"/>
            <w:bottom w:w="0" w:type="dxa"/>
            <w:right w:w="108" w:type="dxa"/>
          </w:tblCellMar>
        </w:tblPrEx>
        <w:trPr>
          <w:trHeight w:val="762"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制冷压缩方式</w:t>
            </w:r>
          </w:p>
        </w:tc>
        <w:tc>
          <w:tcPr>
            <w:tcW w:w="3421" w:type="dxa"/>
            <w:tcBorders>
              <w:top w:val="nil"/>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磁悬浮压缩</w:t>
            </w:r>
          </w:p>
        </w:tc>
      </w:tr>
      <w:tr>
        <w:tblPrEx>
          <w:tblCellMar>
            <w:top w:w="0" w:type="dxa"/>
            <w:left w:w="108" w:type="dxa"/>
            <w:bottom w:w="0" w:type="dxa"/>
            <w:right w:w="108" w:type="dxa"/>
          </w:tblCellMar>
        </w:tblPrEx>
        <w:trPr>
          <w:trHeight w:val="751"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噪音</w:t>
            </w:r>
          </w:p>
        </w:tc>
        <w:tc>
          <w:tcPr>
            <w:tcW w:w="3421" w:type="dxa"/>
            <w:tcBorders>
              <w:top w:val="single" w:color="auto" w:sz="4" w:space="0"/>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w:t>
            </w:r>
            <w:r>
              <w:rPr>
                <w:rFonts w:ascii="宋体" w:hAnsi="宋体" w:cs="方正仿宋_GBK"/>
                <w:kern w:val="0"/>
                <w:sz w:val="21"/>
                <w:szCs w:val="21"/>
              </w:rPr>
              <w:t>75</w:t>
            </w:r>
            <w:r>
              <w:rPr>
                <w:rFonts w:hint="eastAsia" w:ascii="宋体" w:hAnsi="宋体" w:cs="方正仿宋_GBK"/>
                <w:kern w:val="0"/>
                <w:sz w:val="21"/>
                <w:szCs w:val="21"/>
              </w:rPr>
              <w:t>dB(A)</w:t>
            </w:r>
          </w:p>
        </w:tc>
      </w:tr>
      <w:tr>
        <w:tblPrEx>
          <w:tblCellMar>
            <w:top w:w="0" w:type="dxa"/>
            <w:left w:w="108" w:type="dxa"/>
            <w:bottom w:w="0" w:type="dxa"/>
            <w:right w:w="108" w:type="dxa"/>
          </w:tblCellMar>
        </w:tblPrEx>
        <w:trPr>
          <w:trHeight w:val="656"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冷水、冷却水承压额定承压</w:t>
            </w:r>
          </w:p>
        </w:tc>
        <w:tc>
          <w:tcPr>
            <w:tcW w:w="3421" w:type="dxa"/>
            <w:tcBorders>
              <w:top w:val="nil"/>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1.0MP</w:t>
            </w:r>
          </w:p>
        </w:tc>
      </w:tr>
      <w:tr>
        <w:tblPrEx>
          <w:tblCellMar>
            <w:top w:w="0" w:type="dxa"/>
            <w:left w:w="108" w:type="dxa"/>
            <w:bottom w:w="0" w:type="dxa"/>
            <w:right w:w="108" w:type="dxa"/>
          </w:tblCellMar>
        </w:tblPrEx>
        <w:trPr>
          <w:trHeight w:val="833"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冷水额定出口温度</w:t>
            </w:r>
          </w:p>
        </w:tc>
        <w:tc>
          <w:tcPr>
            <w:tcW w:w="3421" w:type="dxa"/>
            <w:tcBorders>
              <w:top w:val="nil"/>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7℃</w:t>
            </w:r>
          </w:p>
        </w:tc>
      </w:tr>
      <w:tr>
        <w:tblPrEx>
          <w:tblCellMar>
            <w:top w:w="0" w:type="dxa"/>
            <w:left w:w="108" w:type="dxa"/>
            <w:bottom w:w="0" w:type="dxa"/>
            <w:right w:w="108" w:type="dxa"/>
          </w:tblCellMar>
        </w:tblPrEx>
        <w:trPr>
          <w:trHeight w:val="517"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冷却水额定入口温度</w:t>
            </w:r>
          </w:p>
        </w:tc>
        <w:tc>
          <w:tcPr>
            <w:tcW w:w="3421" w:type="dxa"/>
            <w:tcBorders>
              <w:top w:val="nil"/>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ascii="宋体" w:hAnsi="宋体" w:cs="方正仿宋_GBK"/>
                <w:kern w:val="0"/>
                <w:sz w:val="21"/>
                <w:szCs w:val="21"/>
              </w:rPr>
              <w:t>30</w:t>
            </w:r>
            <w:r>
              <w:rPr>
                <w:rFonts w:hint="eastAsia" w:ascii="宋体" w:hAnsi="宋体" w:cs="方正仿宋_GBK"/>
                <w:kern w:val="0"/>
                <w:sz w:val="21"/>
                <w:szCs w:val="21"/>
              </w:rPr>
              <w:t>℃</w:t>
            </w:r>
          </w:p>
        </w:tc>
      </w:tr>
      <w:tr>
        <w:tblPrEx>
          <w:tblCellMar>
            <w:top w:w="0" w:type="dxa"/>
            <w:left w:w="108" w:type="dxa"/>
            <w:bottom w:w="0" w:type="dxa"/>
            <w:right w:w="108" w:type="dxa"/>
          </w:tblCellMar>
        </w:tblPrEx>
        <w:trPr>
          <w:trHeight w:val="663" w:hRule="exact"/>
          <w:jc w:val="center"/>
        </w:trPr>
        <w:tc>
          <w:tcPr>
            <w:tcW w:w="337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负荷调节范围</w:t>
            </w:r>
          </w:p>
        </w:tc>
        <w:tc>
          <w:tcPr>
            <w:tcW w:w="3421" w:type="dxa"/>
            <w:tcBorders>
              <w:top w:val="single" w:color="auto" w:sz="4" w:space="0"/>
              <w:left w:val="nil"/>
              <w:bottom w:val="single" w:color="auto" w:sz="4" w:space="0"/>
              <w:right w:val="single" w:color="auto" w:sz="4" w:space="0"/>
            </w:tcBorders>
            <w:vAlign w:val="center"/>
          </w:tcPr>
          <w:p>
            <w:pPr>
              <w:widowControl/>
              <w:spacing w:before="156" w:beforeLines="50" w:line="300" w:lineRule="exact"/>
              <w:jc w:val="center"/>
              <w:rPr>
                <w:rFonts w:ascii="宋体" w:hAnsi="宋体" w:cs="方正仿宋_GBK"/>
                <w:kern w:val="0"/>
                <w:sz w:val="21"/>
                <w:szCs w:val="21"/>
              </w:rPr>
            </w:pPr>
            <w:r>
              <w:rPr>
                <w:rFonts w:hint="eastAsia" w:ascii="宋体" w:hAnsi="宋体" w:cs="方正仿宋_GBK"/>
                <w:kern w:val="0"/>
                <w:sz w:val="21"/>
                <w:szCs w:val="21"/>
              </w:rPr>
              <w:t>10%~100%</w:t>
            </w:r>
          </w:p>
        </w:tc>
      </w:tr>
      <w:tr>
        <w:tblPrEx>
          <w:tblCellMar>
            <w:top w:w="0" w:type="dxa"/>
            <w:left w:w="108" w:type="dxa"/>
            <w:bottom w:w="0" w:type="dxa"/>
            <w:right w:w="108" w:type="dxa"/>
          </w:tblCellMar>
        </w:tblPrEx>
        <w:trPr>
          <w:trHeight w:val="610" w:hRule="exact"/>
          <w:jc w:val="center"/>
        </w:trPr>
        <w:tc>
          <w:tcPr>
            <w:tcW w:w="3378" w:type="dxa"/>
            <w:tcBorders>
              <w:top w:val="single" w:color="auto" w:sz="4" w:space="0"/>
              <w:left w:val="single" w:color="auto" w:sz="4" w:space="0"/>
              <w:bottom w:val="single" w:color="auto" w:sz="4" w:space="0"/>
              <w:right w:val="single" w:color="auto" w:sz="4" w:space="0"/>
            </w:tcBorders>
          </w:tcPr>
          <w:p>
            <w:pPr>
              <w:widowControl/>
              <w:spacing w:before="156" w:beforeLines="50" w:line="300" w:lineRule="exact"/>
              <w:jc w:val="center"/>
              <w:rPr>
                <w:rFonts w:ascii="宋体" w:hAnsi="宋体" w:cs="方正仿宋_GBK"/>
                <w:kern w:val="0"/>
                <w:sz w:val="21"/>
                <w:szCs w:val="21"/>
              </w:rPr>
            </w:pPr>
            <w:r>
              <w:rPr>
                <w:rFonts w:ascii="宋体" w:hAnsi="宋体" w:cs="宋体"/>
                <w:sz w:val="21"/>
                <w:szCs w:val="21"/>
              </w:rPr>
              <w:t xml:space="preserve">设计寿命 </w:t>
            </w:r>
          </w:p>
        </w:tc>
        <w:tc>
          <w:tcPr>
            <w:tcW w:w="3421" w:type="dxa"/>
            <w:tcBorders>
              <w:top w:val="single" w:color="auto" w:sz="4" w:space="0"/>
              <w:left w:val="nil"/>
              <w:bottom w:val="single" w:color="auto" w:sz="4" w:space="0"/>
              <w:right w:val="single" w:color="auto" w:sz="4" w:space="0"/>
            </w:tcBorders>
          </w:tcPr>
          <w:p>
            <w:pPr>
              <w:widowControl/>
              <w:spacing w:before="156" w:beforeLines="50" w:line="300" w:lineRule="exact"/>
              <w:jc w:val="center"/>
              <w:rPr>
                <w:rFonts w:ascii="宋体" w:hAnsi="宋体" w:cs="方正仿宋_GBK"/>
                <w:kern w:val="0"/>
                <w:sz w:val="21"/>
                <w:szCs w:val="21"/>
              </w:rPr>
            </w:pPr>
            <w:r>
              <w:rPr>
                <w:rFonts w:ascii="宋体" w:hAnsi="宋体" w:cs="宋体"/>
                <w:sz w:val="21"/>
                <w:szCs w:val="21"/>
              </w:rPr>
              <w:t>≥20</w:t>
            </w:r>
            <w:r>
              <w:rPr>
                <w:rFonts w:ascii="宋体" w:hAnsi="宋体" w:cs="宋体"/>
                <w:spacing w:val="-50"/>
                <w:sz w:val="21"/>
                <w:szCs w:val="21"/>
              </w:rPr>
              <w:t xml:space="preserve"> </w:t>
            </w:r>
            <w:r>
              <w:rPr>
                <w:rFonts w:ascii="宋体" w:hAnsi="宋体" w:cs="宋体"/>
                <w:spacing w:val="-5"/>
                <w:sz w:val="21"/>
                <w:szCs w:val="21"/>
              </w:rPr>
              <w:t>年</w:t>
            </w:r>
            <w:r>
              <w:rPr>
                <w:rFonts w:ascii="宋体" w:hAnsi="宋体" w:cs="宋体"/>
                <w:sz w:val="21"/>
                <w:szCs w:val="21"/>
              </w:rPr>
              <w:t xml:space="preserve"> </w:t>
            </w:r>
          </w:p>
        </w:tc>
      </w:tr>
      <w:tr>
        <w:tblPrEx>
          <w:tblCellMar>
            <w:top w:w="0" w:type="dxa"/>
            <w:left w:w="108" w:type="dxa"/>
            <w:bottom w:w="0" w:type="dxa"/>
            <w:right w:w="108" w:type="dxa"/>
          </w:tblCellMar>
        </w:tblPrEx>
        <w:trPr>
          <w:trHeight w:val="593" w:hRule="exact"/>
          <w:jc w:val="center"/>
        </w:trPr>
        <w:tc>
          <w:tcPr>
            <w:tcW w:w="3378" w:type="dxa"/>
            <w:tcBorders>
              <w:top w:val="single" w:color="auto" w:sz="4" w:space="0"/>
              <w:left w:val="single" w:color="auto" w:sz="4" w:space="0"/>
              <w:bottom w:val="single" w:color="auto" w:sz="4" w:space="0"/>
              <w:right w:val="single" w:color="auto" w:sz="4" w:space="0"/>
            </w:tcBorders>
          </w:tcPr>
          <w:p>
            <w:pPr>
              <w:widowControl/>
              <w:spacing w:before="156" w:beforeLines="50" w:line="300" w:lineRule="exact"/>
              <w:jc w:val="center"/>
              <w:rPr>
                <w:rFonts w:ascii="宋体" w:hAnsi="宋体" w:cs="方正仿宋_GBK"/>
                <w:kern w:val="0"/>
                <w:sz w:val="21"/>
                <w:szCs w:val="21"/>
              </w:rPr>
            </w:pPr>
            <w:r>
              <w:rPr>
                <w:rFonts w:ascii="宋体" w:hAnsi="宋体" w:cs="宋体"/>
                <w:spacing w:val="-3"/>
                <w:sz w:val="21"/>
                <w:szCs w:val="21"/>
              </w:rPr>
              <w:t>电源</w:t>
            </w:r>
            <w:r>
              <w:rPr>
                <w:rFonts w:ascii="宋体" w:hAnsi="宋体" w:cs="宋体"/>
                <w:sz w:val="21"/>
                <w:szCs w:val="21"/>
              </w:rPr>
              <w:t xml:space="preserve"> </w:t>
            </w:r>
          </w:p>
        </w:tc>
        <w:tc>
          <w:tcPr>
            <w:tcW w:w="3421" w:type="dxa"/>
            <w:tcBorders>
              <w:top w:val="single" w:color="auto" w:sz="4" w:space="0"/>
              <w:left w:val="nil"/>
              <w:bottom w:val="single" w:color="auto" w:sz="4" w:space="0"/>
              <w:right w:val="single" w:color="auto" w:sz="4" w:space="0"/>
            </w:tcBorders>
          </w:tcPr>
          <w:p>
            <w:pPr>
              <w:widowControl/>
              <w:spacing w:before="156" w:beforeLines="50" w:line="300" w:lineRule="exact"/>
              <w:jc w:val="center"/>
              <w:rPr>
                <w:rFonts w:ascii="宋体" w:hAnsi="宋体" w:cs="方正仿宋_GBK"/>
                <w:kern w:val="0"/>
                <w:sz w:val="21"/>
                <w:szCs w:val="21"/>
              </w:rPr>
            </w:pPr>
            <w:r>
              <w:rPr>
                <w:rFonts w:ascii="宋体" w:hAnsi="宋体" w:cs="宋体"/>
                <w:sz w:val="21"/>
                <w:szCs w:val="21"/>
              </w:rPr>
              <w:t>三相</w:t>
            </w:r>
            <w:r>
              <w:rPr>
                <w:rFonts w:ascii="宋体" w:hAnsi="宋体" w:cs="宋体"/>
                <w:spacing w:val="-56"/>
                <w:sz w:val="21"/>
                <w:szCs w:val="21"/>
              </w:rPr>
              <w:t xml:space="preserve"> </w:t>
            </w:r>
            <w:r>
              <w:rPr>
                <w:rFonts w:ascii="宋体" w:hAnsi="宋体" w:cs="宋体"/>
                <w:sz w:val="21"/>
                <w:szCs w:val="21"/>
              </w:rPr>
              <w:t xml:space="preserve">380V/50HZ </w:t>
            </w:r>
          </w:p>
        </w:tc>
      </w:tr>
      <w:tr>
        <w:tblPrEx>
          <w:tblCellMar>
            <w:top w:w="0" w:type="dxa"/>
            <w:left w:w="108" w:type="dxa"/>
            <w:bottom w:w="0" w:type="dxa"/>
            <w:right w:w="108" w:type="dxa"/>
          </w:tblCellMar>
        </w:tblPrEx>
        <w:trPr>
          <w:trHeight w:val="655" w:hRule="exact"/>
          <w:jc w:val="center"/>
        </w:trPr>
        <w:tc>
          <w:tcPr>
            <w:tcW w:w="3378" w:type="dxa"/>
            <w:tcBorders>
              <w:top w:val="single" w:color="auto" w:sz="4" w:space="0"/>
              <w:left w:val="single" w:color="auto" w:sz="4" w:space="0"/>
              <w:bottom w:val="single" w:color="auto" w:sz="4" w:space="0"/>
              <w:right w:val="single" w:color="auto" w:sz="4" w:space="0"/>
            </w:tcBorders>
          </w:tcPr>
          <w:p>
            <w:pPr>
              <w:widowControl/>
              <w:spacing w:before="156" w:beforeLines="50" w:line="300" w:lineRule="exact"/>
              <w:jc w:val="center"/>
              <w:rPr>
                <w:rFonts w:ascii="宋体" w:hAnsi="宋体" w:cs="方正仿宋_GBK"/>
                <w:kern w:val="0"/>
                <w:sz w:val="21"/>
                <w:szCs w:val="21"/>
              </w:rPr>
            </w:pPr>
            <w:r>
              <w:rPr>
                <w:rFonts w:ascii="宋体" w:hAnsi="宋体" w:cs="宋体"/>
                <w:spacing w:val="-3"/>
                <w:sz w:val="21"/>
                <w:szCs w:val="21"/>
              </w:rPr>
              <w:t>其他</w:t>
            </w:r>
            <w:r>
              <w:rPr>
                <w:rFonts w:ascii="宋体" w:hAnsi="宋体" w:cs="宋体"/>
                <w:sz w:val="21"/>
                <w:szCs w:val="21"/>
              </w:rPr>
              <w:t xml:space="preserve"> </w:t>
            </w:r>
          </w:p>
        </w:tc>
        <w:tc>
          <w:tcPr>
            <w:tcW w:w="3421" w:type="dxa"/>
            <w:tcBorders>
              <w:top w:val="single" w:color="auto" w:sz="4" w:space="0"/>
              <w:left w:val="nil"/>
              <w:bottom w:val="single" w:color="auto" w:sz="4" w:space="0"/>
              <w:right w:val="single" w:color="auto" w:sz="4" w:space="0"/>
            </w:tcBorders>
          </w:tcPr>
          <w:p>
            <w:pPr>
              <w:widowControl/>
              <w:spacing w:before="156" w:beforeLines="50" w:line="300" w:lineRule="exact"/>
              <w:jc w:val="center"/>
              <w:rPr>
                <w:rFonts w:ascii="宋体" w:hAnsi="宋体" w:cs="方正仿宋_GBK"/>
                <w:kern w:val="0"/>
                <w:sz w:val="21"/>
                <w:szCs w:val="21"/>
              </w:rPr>
            </w:pPr>
            <w:r>
              <w:rPr>
                <w:rFonts w:ascii="宋体" w:hAnsi="宋体" w:cs="宋体"/>
                <w:sz w:val="21"/>
                <w:szCs w:val="21"/>
              </w:rPr>
              <w:t xml:space="preserve">随机配置控制柜和启动柜 </w:t>
            </w:r>
          </w:p>
        </w:tc>
      </w:tr>
    </w:tbl>
    <w:p>
      <w:pPr>
        <w:adjustRightInd w:val="0"/>
        <w:snapToGrid w:val="0"/>
        <w:spacing w:before="156" w:beforeLines="50" w:line="400" w:lineRule="exact"/>
        <w:ind w:firstLine="480" w:firstLineChars="200"/>
        <w:rPr>
          <w:rFonts w:hint="eastAsia" w:ascii="宋体" w:hAnsi="宋体" w:cs="方正仿宋_GBK"/>
          <w:sz w:val="24"/>
          <w:szCs w:val="24"/>
        </w:rPr>
      </w:pPr>
      <w:r>
        <w:rPr>
          <w:rFonts w:ascii="宋体" w:hAnsi="宋体" w:cs="方正仿宋_GBK"/>
          <w:sz w:val="24"/>
          <w:szCs w:val="24"/>
        </w:rPr>
        <w:t>投标设备必须符合国家相关技术规范及</w:t>
      </w:r>
      <w:r>
        <w:rPr>
          <w:rFonts w:ascii="宋体" w:hAnsi="宋体" w:cs="方正仿宋_GBK"/>
          <w:sz w:val="24"/>
          <w:szCs w:val="24"/>
          <w:highlight w:val="none"/>
        </w:rPr>
        <w:t>标准以及</w:t>
      </w:r>
      <w:r>
        <w:rPr>
          <w:rFonts w:hint="eastAsia" w:ascii="宋体" w:hAnsi="宋体" w:cs="方正仿宋_GBK"/>
          <w:sz w:val="24"/>
          <w:szCs w:val="24"/>
          <w:highlight w:val="none"/>
          <w:lang w:val="en-US" w:eastAsia="zh-CN"/>
        </w:rPr>
        <w:t>采购人</w:t>
      </w:r>
      <w:r>
        <w:rPr>
          <w:rFonts w:ascii="宋体" w:hAnsi="宋体" w:cs="方正仿宋_GBK"/>
          <w:sz w:val="24"/>
          <w:szCs w:val="24"/>
          <w:highlight w:val="none"/>
        </w:rPr>
        <w:t>要</w:t>
      </w:r>
      <w:r>
        <w:rPr>
          <w:rFonts w:ascii="宋体" w:hAnsi="宋体" w:cs="方正仿宋_GBK"/>
          <w:sz w:val="24"/>
          <w:szCs w:val="24"/>
        </w:rPr>
        <w:t xml:space="preserve">求； </w:t>
      </w:r>
      <w:bookmarkStart w:id="273" w:name="所投设备必须为成熟、先进、稳定产品，不接受试验机"/>
      <w:bookmarkEnd w:id="273"/>
      <w:r>
        <w:rPr>
          <w:rFonts w:ascii="宋体" w:hAnsi="宋体" w:cs="方正仿宋_GBK"/>
          <w:sz w:val="24"/>
          <w:szCs w:val="24"/>
        </w:rPr>
        <w:t>所投设备必须为成熟、先进、稳定产品，不接受试验机</w:t>
      </w:r>
      <w:r>
        <w:rPr>
          <w:rFonts w:hint="eastAsia" w:ascii="宋体" w:hAnsi="宋体" w:cs="方正仿宋_GBK"/>
          <w:sz w:val="24"/>
          <w:szCs w:val="24"/>
        </w:rPr>
        <w:t>。</w:t>
      </w:r>
    </w:p>
    <w:p>
      <w:pPr>
        <w:adjustRightInd w:val="0"/>
        <w:snapToGrid w:val="0"/>
        <w:spacing w:before="156" w:beforeLines="50" w:line="400" w:lineRule="exact"/>
        <w:ind w:firstLine="480" w:firstLineChars="200"/>
        <w:rPr>
          <w:rFonts w:ascii="宋体" w:hAnsi="宋体" w:cs="方正仿宋_GBK"/>
          <w:sz w:val="24"/>
          <w:szCs w:val="24"/>
        </w:rPr>
      </w:pPr>
      <w:r>
        <w:rPr>
          <w:rFonts w:hint="eastAsia" w:ascii="宋体" w:hAnsi="宋体" w:cs="方正仿宋_GBK"/>
          <w:sz w:val="24"/>
          <w:szCs w:val="24"/>
        </w:rPr>
        <w:t>（1）移除原直燃机主体，将其改造为磁悬浮离心机组；原高温发生器保留用于采暖需求。</w:t>
      </w:r>
    </w:p>
    <w:p>
      <w:pPr>
        <w:adjustRightInd w:val="0"/>
        <w:snapToGrid w:val="0"/>
        <w:spacing w:before="156" w:beforeLines="50" w:line="400" w:lineRule="exact"/>
        <w:ind w:firstLine="480" w:firstLineChars="200"/>
        <w:rPr>
          <w:rFonts w:ascii="宋体" w:hAnsi="宋体" w:cs="方正仿宋_GBK"/>
          <w:sz w:val="24"/>
          <w:szCs w:val="24"/>
        </w:rPr>
      </w:pPr>
      <w:r>
        <w:rPr>
          <w:rFonts w:hint="eastAsia" w:ascii="宋体" w:hAnsi="宋体" w:cs="方正仿宋_GBK"/>
          <w:sz w:val="24"/>
          <w:szCs w:val="24"/>
        </w:rPr>
        <w:t>（2）将原直燃机电气控制系统进行升级改造，改造后的制冷机与高温发生器可共用一套集成的电气控制系统。</w:t>
      </w:r>
    </w:p>
    <w:p>
      <w:pPr>
        <w:widowControl/>
        <w:spacing w:before="156" w:beforeLines="50" w:line="400" w:lineRule="exact"/>
        <w:ind w:firstLine="480" w:firstLineChars="200"/>
        <w:rPr>
          <w:rFonts w:ascii="宋体" w:hAnsi="宋体" w:cs="方正仿宋_GBK"/>
          <w:sz w:val="24"/>
          <w:szCs w:val="24"/>
        </w:rPr>
      </w:pPr>
      <w:r>
        <w:rPr>
          <w:rFonts w:hint="eastAsia" w:ascii="宋体" w:hAnsi="宋体" w:cs="方正仿宋_GBK"/>
          <w:sz w:val="24"/>
          <w:szCs w:val="24"/>
        </w:rPr>
        <w:t>（3）新机组需具备联网监控功能，基于对本项目运行可靠性和售后服务及时性，改造后空调机房必须建立完善的远程智能监控系统。</w:t>
      </w:r>
      <w:r>
        <w:rPr>
          <w:rFonts w:hint="eastAsia" w:ascii="宋体" w:hAnsi="宋体" w:cs="方正仿宋_GBK"/>
          <w:kern w:val="0"/>
          <w:sz w:val="24"/>
          <w:szCs w:val="24"/>
          <w:lang w:bidi="ar"/>
        </w:rPr>
        <w:t>实现对改造后的空调主机、泵组、冷却塔实施远程监控，除采购人提供可连通的internet网络进机房外，上述监控系统的所有实施费用和运行期间的所有监控服务费用均应含在投标报价中。</w:t>
      </w:r>
    </w:p>
    <w:p>
      <w:pPr>
        <w:widowControl/>
        <w:spacing w:before="156" w:beforeLines="50" w:line="400" w:lineRule="exact"/>
        <w:ind w:firstLine="720" w:firstLineChars="300"/>
        <w:rPr>
          <w:rFonts w:ascii="宋体" w:hAnsi="宋体" w:cs="方正仿宋_GBK"/>
          <w:sz w:val="24"/>
          <w:szCs w:val="24"/>
        </w:rPr>
      </w:pPr>
      <w:r>
        <w:rPr>
          <w:rFonts w:hint="eastAsia" w:ascii="宋体" w:hAnsi="宋体" w:cs="方正仿宋_GBK"/>
          <w:sz w:val="24"/>
          <w:szCs w:val="24"/>
        </w:rPr>
        <w:t>（4）改造后空调主机制冷运行启动方式：直流变频启动，启动电流≤2A。</w:t>
      </w:r>
    </w:p>
    <w:p>
      <w:pPr>
        <w:pStyle w:val="52"/>
        <w:spacing w:before="156" w:beforeLines="50" w:line="400" w:lineRule="exact"/>
        <w:ind w:firstLine="720" w:firstLineChars="300"/>
        <w:rPr>
          <w:rFonts w:ascii="宋体" w:hAnsi="宋体" w:cs="方正仿宋_GBK"/>
          <w:sz w:val="24"/>
          <w:szCs w:val="24"/>
        </w:rPr>
      </w:pPr>
      <w:r>
        <w:rPr>
          <w:rFonts w:hint="eastAsia" w:ascii="宋体" w:hAnsi="宋体" w:cs="方正仿宋_GBK"/>
          <w:sz w:val="24"/>
          <w:szCs w:val="24"/>
        </w:rPr>
        <w:t>（5）制冷机采用半封闭式双级或三级压缩机，电机双支撑，振动小，压缩机应工作平稳、能连续可靠工作，且材质优良、密封性好。</w:t>
      </w:r>
    </w:p>
    <w:p>
      <w:pPr>
        <w:widowControl/>
        <w:spacing w:before="156" w:beforeLines="50" w:line="400" w:lineRule="exact"/>
        <w:ind w:firstLine="720" w:firstLineChars="300"/>
        <w:rPr>
          <w:rFonts w:ascii="宋体" w:hAnsi="宋体" w:cs="方正仿宋_GBK"/>
          <w:sz w:val="24"/>
          <w:szCs w:val="24"/>
        </w:rPr>
      </w:pPr>
      <w:r>
        <w:rPr>
          <w:rFonts w:hint="eastAsia" w:ascii="宋体" w:hAnsi="宋体" w:cs="方正仿宋_GBK"/>
          <w:sz w:val="24"/>
          <w:szCs w:val="24"/>
        </w:rPr>
        <w:t>（6）磁悬浮离心机蒸发器采用满液式壳管换热器，冷凝器采用卧式壳管换热器。管簇胀接在管板上，保证密封无缝隙，且均采用双流程设计。</w:t>
      </w:r>
    </w:p>
    <w:p>
      <w:pPr>
        <w:pStyle w:val="5"/>
        <w:spacing w:before="156" w:beforeLines="50" w:after="0" w:line="400" w:lineRule="exact"/>
        <w:ind w:left="0" w:leftChars="0" w:firstLine="720" w:firstLineChars="300"/>
        <w:rPr>
          <w:rFonts w:ascii="宋体" w:hAnsi="宋体" w:cs="方正仿宋_GBK"/>
          <w:sz w:val="24"/>
          <w:szCs w:val="24"/>
        </w:rPr>
      </w:pPr>
      <w:r>
        <w:rPr>
          <w:rFonts w:hint="eastAsia" w:ascii="宋体" w:hAnsi="宋体" w:cs="方正仿宋_GBK"/>
          <w:sz w:val="24"/>
          <w:szCs w:val="24"/>
        </w:rPr>
        <w:t>（7）改造后主机应配置12寸及以上彩色液晶触摸显示屏，且为方便操作人员管理，操作屏监控界面能同时显示改造后的实时运行数据；升级改造后需满足主机与配套输配系统的联动控制，操作屏幕上实现一键开机，一键关机。</w:t>
      </w:r>
    </w:p>
    <w:p>
      <w:pPr>
        <w:widowControl/>
        <w:tabs>
          <w:tab w:val="left" w:pos="0"/>
          <w:tab w:val="left" w:pos="142"/>
          <w:tab w:val="left" w:pos="284"/>
          <w:tab w:val="left" w:pos="709"/>
        </w:tabs>
        <w:snapToGrid w:val="0"/>
        <w:spacing w:before="156" w:beforeLines="50" w:line="400" w:lineRule="exact"/>
        <w:ind w:firstLine="480" w:firstLineChars="200"/>
        <w:rPr>
          <w:rFonts w:ascii="宋体" w:hAnsi="宋体" w:cs="方正仿宋_GBK"/>
          <w:kern w:val="0"/>
          <w:sz w:val="24"/>
          <w:szCs w:val="24"/>
          <w:lang w:bidi="ar"/>
        </w:rPr>
      </w:pPr>
      <w:r>
        <w:rPr>
          <w:rFonts w:hint="eastAsia" w:ascii="宋体" w:hAnsi="宋体" w:cs="方正仿宋_GBK"/>
          <w:sz w:val="24"/>
          <w:szCs w:val="24"/>
        </w:rPr>
        <w:t>（8）改造后可以实现定时自动开关机。</w:t>
      </w:r>
    </w:p>
    <w:p>
      <w:pPr>
        <w:widowControl/>
        <w:spacing w:before="156" w:beforeLines="50" w:line="400" w:lineRule="exact"/>
        <w:ind w:firstLine="480" w:firstLineChars="200"/>
        <w:rPr>
          <w:rFonts w:ascii="宋体" w:hAnsi="宋体" w:cs="方正仿宋_GBK"/>
          <w:sz w:val="24"/>
          <w:szCs w:val="24"/>
        </w:rPr>
      </w:pPr>
      <w:r>
        <w:rPr>
          <w:rFonts w:hint="eastAsia" w:ascii="宋体" w:hAnsi="宋体" w:cs="方正仿宋_GBK"/>
          <w:sz w:val="24"/>
          <w:szCs w:val="24"/>
        </w:rPr>
        <w:t>（9）主机控制柜能给出冷却水泵、冷却塔风机的自动变频信号，并通过控制屏直观显示其实时工作频率。</w:t>
      </w:r>
    </w:p>
    <w:p>
      <w:pPr>
        <w:widowControl/>
        <w:spacing w:before="156" w:beforeLines="50" w:line="400" w:lineRule="exact"/>
        <w:ind w:firstLine="480" w:firstLineChars="200"/>
        <w:rPr>
          <w:rFonts w:ascii="宋体" w:hAnsi="宋体" w:cs="方正仿宋_GBK"/>
          <w:sz w:val="24"/>
          <w:szCs w:val="24"/>
        </w:rPr>
      </w:pPr>
      <w:r>
        <w:rPr>
          <w:rFonts w:hint="eastAsia" w:ascii="宋体" w:hAnsi="宋体" w:cs="方正仿宋_GBK"/>
          <w:sz w:val="24"/>
          <w:szCs w:val="24"/>
        </w:rPr>
        <w:t>（1</w:t>
      </w:r>
      <w:r>
        <w:rPr>
          <w:rFonts w:ascii="宋体" w:hAnsi="宋体" w:cs="方正仿宋_GBK"/>
          <w:sz w:val="24"/>
          <w:szCs w:val="24"/>
        </w:rPr>
        <w:t>0</w:t>
      </w:r>
      <w:r>
        <w:rPr>
          <w:rFonts w:hint="eastAsia" w:ascii="宋体" w:hAnsi="宋体" w:cs="方正仿宋_GBK"/>
          <w:sz w:val="24"/>
          <w:szCs w:val="24"/>
        </w:rPr>
        <w:t>）为确保主机改造后能节能运行，主机升级改造后必须具有既有的节能运行模式设置功能，即可以根据气温设置实现中央空调自动开关机，并根据不同环境气温或工作时间段空调主机自动调节冷水出口温度。</w:t>
      </w:r>
    </w:p>
    <w:p>
      <w:pPr>
        <w:widowControl/>
        <w:spacing w:before="156" w:beforeLines="50" w:line="400" w:lineRule="exact"/>
        <w:ind w:firstLine="480" w:firstLineChars="200"/>
        <w:rPr>
          <w:rFonts w:ascii="宋体" w:hAnsi="宋体" w:cs="方正仿宋_GBK"/>
          <w:sz w:val="24"/>
          <w:szCs w:val="24"/>
        </w:rPr>
      </w:pPr>
      <w:r>
        <w:rPr>
          <w:rFonts w:hint="eastAsia" w:ascii="宋体" w:hAnsi="宋体" w:cs="方正仿宋_GBK"/>
          <w:sz w:val="24"/>
          <w:szCs w:val="24"/>
        </w:rPr>
        <w:t>（1</w:t>
      </w:r>
      <w:r>
        <w:rPr>
          <w:rFonts w:ascii="宋体" w:hAnsi="宋体" w:cs="方正仿宋_GBK"/>
          <w:sz w:val="24"/>
          <w:szCs w:val="24"/>
        </w:rPr>
        <w:t>1</w:t>
      </w:r>
      <w:r>
        <w:rPr>
          <w:rFonts w:hint="eastAsia" w:ascii="宋体" w:hAnsi="宋体" w:cs="方正仿宋_GBK"/>
          <w:sz w:val="24"/>
          <w:szCs w:val="24"/>
        </w:rPr>
        <w:t>）主机升级改造需满足空调运行工况，故障报警记录储存，且用户可以通过故障查询，给出故障产生原因及处理方法。</w:t>
      </w:r>
    </w:p>
    <w:p>
      <w:pPr>
        <w:pStyle w:val="3"/>
        <w:spacing w:before="156" w:beforeLines="50" w:after="0" w:line="400" w:lineRule="exact"/>
        <w:ind w:right="647" w:firstLine="480" w:firstLineChars="200"/>
        <w:rPr>
          <w:rFonts w:cs="宋体"/>
          <w:sz w:val="24"/>
          <w:szCs w:val="24"/>
        </w:rPr>
      </w:pPr>
      <w:r>
        <w:rPr>
          <w:rFonts w:hint="eastAsia" w:ascii="宋体" w:hAnsi="宋体"/>
          <w:bCs/>
          <w:sz w:val="24"/>
          <w:szCs w:val="24"/>
        </w:rPr>
        <w:t>（1</w:t>
      </w:r>
      <w:r>
        <w:rPr>
          <w:rFonts w:ascii="宋体" w:hAnsi="宋体"/>
          <w:bCs/>
          <w:sz w:val="24"/>
          <w:szCs w:val="24"/>
        </w:rPr>
        <w:t>2</w:t>
      </w:r>
      <w:r>
        <w:rPr>
          <w:rFonts w:hint="eastAsia" w:ascii="宋体" w:hAnsi="宋体"/>
          <w:bCs/>
          <w:sz w:val="24"/>
          <w:szCs w:val="24"/>
        </w:rPr>
        <w:t>）机组</w:t>
      </w:r>
      <w:r>
        <w:rPr>
          <w:spacing w:val="-1"/>
          <w:sz w:val="24"/>
          <w:szCs w:val="24"/>
        </w:rPr>
        <w:t>蒸发器出厂前做好保冷，与冷剂、冷水相关的管路、阀门及部件应采用橡塑保冷材料，厚度不低</w:t>
      </w:r>
      <w:r>
        <w:rPr>
          <w:spacing w:val="-35"/>
          <w:sz w:val="24"/>
          <w:szCs w:val="24"/>
        </w:rPr>
        <w:t xml:space="preserve"> </w:t>
      </w:r>
      <w:r>
        <w:rPr>
          <w:sz w:val="24"/>
          <w:szCs w:val="24"/>
        </w:rPr>
        <w:t>于</w:t>
      </w:r>
      <w:r>
        <w:rPr>
          <w:spacing w:val="-54"/>
          <w:sz w:val="24"/>
          <w:szCs w:val="24"/>
        </w:rPr>
        <w:t xml:space="preserve"> </w:t>
      </w:r>
      <w:r>
        <w:rPr>
          <w:rFonts w:ascii="宋体" w:hAnsi="宋体" w:cs="宋体"/>
          <w:sz w:val="24"/>
          <w:szCs w:val="24"/>
        </w:rPr>
        <w:t>20mm</w:t>
      </w:r>
      <w:r>
        <w:rPr>
          <w:sz w:val="24"/>
          <w:szCs w:val="24"/>
        </w:rPr>
        <w:t>；</w:t>
      </w:r>
      <w:r>
        <w:rPr>
          <w:rFonts w:ascii="宋体" w:hAnsi="宋体" w:cs="宋体"/>
          <w:sz w:val="24"/>
          <w:szCs w:val="24"/>
        </w:rPr>
        <w:t xml:space="preserve"> </w:t>
      </w:r>
    </w:p>
    <w:p>
      <w:pPr>
        <w:spacing w:before="156" w:beforeLines="50" w:line="400" w:lineRule="exact"/>
        <w:ind w:firstLine="480" w:firstLineChars="200"/>
        <w:rPr>
          <w:sz w:val="24"/>
          <w:szCs w:val="24"/>
        </w:rPr>
      </w:pPr>
      <w:r>
        <w:rPr>
          <w:rFonts w:hint="eastAsia" w:ascii="宋体" w:hAnsi="宋体"/>
          <w:bCs/>
          <w:sz w:val="24"/>
          <w:szCs w:val="24"/>
        </w:rPr>
        <w:t>（1</w:t>
      </w:r>
      <w:r>
        <w:rPr>
          <w:rFonts w:ascii="宋体" w:hAnsi="宋体"/>
          <w:bCs/>
          <w:sz w:val="24"/>
          <w:szCs w:val="24"/>
        </w:rPr>
        <w:t>3</w:t>
      </w:r>
      <w:r>
        <w:rPr>
          <w:rFonts w:hint="eastAsia" w:ascii="宋体" w:hAnsi="宋体"/>
          <w:bCs/>
          <w:sz w:val="24"/>
          <w:szCs w:val="24"/>
        </w:rPr>
        <w:t>）</w:t>
      </w:r>
      <w:r>
        <w:rPr>
          <w:sz w:val="24"/>
          <w:szCs w:val="24"/>
        </w:rPr>
        <w:t>蒸发器、冷凝器均应配有双安全阀供年检备用；</w:t>
      </w:r>
      <w:r>
        <w:rPr>
          <w:rFonts w:ascii="宋体" w:hAnsi="宋体" w:cs="宋体"/>
          <w:sz w:val="24"/>
          <w:szCs w:val="24"/>
        </w:rPr>
        <w:t xml:space="preserve"> </w:t>
      </w:r>
      <w:bookmarkStart w:id="274" w:name="电子膨胀阀应采用制冷专用电子膨胀阀，膨胀阀配备视液镜和湿度指示器，阀体和电机外壳"/>
      <w:bookmarkEnd w:id="274"/>
      <w:r>
        <w:rPr>
          <w:spacing w:val="-1"/>
          <w:sz w:val="24"/>
          <w:szCs w:val="24"/>
        </w:rPr>
        <w:t>电子膨胀阀应采用制冷专用电子膨胀阀，膨胀阀配备视液镜和湿度指示器，阀体和电机外壳均为</w:t>
      </w:r>
      <w:r>
        <w:rPr>
          <w:spacing w:val="-36"/>
          <w:sz w:val="24"/>
          <w:szCs w:val="24"/>
        </w:rPr>
        <w:t xml:space="preserve"> </w:t>
      </w:r>
      <w:r>
        <w:rPr>
          <w:sz w:val="24"/>
          <w:szCs w:val="24"/>
        </w:rPr>
        <w:t>黄铜，连接处为铜制材料</w:t>
      </w:r>
      <w:r>
        <w:rPr>
          <w:rFonts w:hint="eastAsia"/>
          <w:sz w:val="24"/>
          <w:szCs w:val="24"/>
        </w:rPr>
        <w:t>。</w:t>
      </w:r>
    </w:p>
    <w:p>
      <w:pPr>
        <w:pStyle w:val="15"/>
        <w:numPr>
          <w:ilvl w:val="0"/>
          <w:numId w:val="0"/>
        </w:numPr>
        <w:jc w:val="both"/>
        <w:outlineLvl w:val="0"/>
        <w:rPr>
          <w:b/>
          <w:bCs/>
          <w:sz w:val="32"/>
          <w:szCs w:val="32"/>
        </w:rPr>
      </w:pPr>
    </w:p>
    <w:p>
      <w:pPr>
        <w:spacing w:line="560" w:lineRule="exact"/>
        <w:ind w:firstLine="482" w:firstLineChars="200"/>
        <w:rPr>
          <w:rFonts w:hint="eastAsia" w:ascii="宋体" w:hAnsi="宋体" w:cs="宋体"/>
          <w:b/>
          <w:bCs/>
          <w:kern w:val="0"/>
          <w:sz w:val="24"/>
        </w:rPr>
      </w:pPr>
      <w:r>
        <w:rPr>
          <w:rFonts w:hint="eastAsia" w:ascii="宋体" w:hAnsi="宋体" w:cs="宋体"/>
          <w:b/>
          <w:bCs/>
          <w:kern w:val="0"/>
          <w:sz w:val="24"/>
        </w:rPr>
        <w:t>注：本招标项目必须要实质性满足技术要求和商务要求：</w:t>
      </w:r>
    </w:p>
    <w:p>
      <w:pPr>
        <w:spacing w:line="560" w:lineRule="exact"/>
        <w:ind w:firstLine="482" w:firstLineChars="200"/>
        <w:rPr>
          <w:rFonts w:hint="eastAsia" w:ascii="宋体" w:hAnsi="宋体" w:cs="宋体"/>
          <w:b/>
          <w:bCs/>
          <w:kern w:val="0"/>
          <w:sz w:val="24"/>
        </w:rPr>
      </w:pPr>
      <w:r>
        <w:rPr>
          <w:rFonts w:hint="eastAsia" w:ascii="宋体" w:hAnsi="宋体" w:cs="宋体"/>
          <w:b/>
          <w:bCs/>
          <w:kern w:val="0"/>
          <w:sz w:val="24"/>
        </w:rPr>
        <w:t>1、投标人提供的货物必须是原装全新、高于或等于招标文件规定技术参数的产品。</w:t>
      </w:r>
    </w:p>
    <w:p>
      <w:pPr>
        <w:spacing w:line="560" w:lineRule="exact"/>
        <w:ind w:firstLine="482" w:firstLineChars="200"/>
        <w:rPr>
          <w:rFonts w:hint="eastAsia" w:ascii="宋体" w:hAnsi="宋体" w:cs="宋体"/>
          <w:b/>
          <w:bCs/>
          <w:kern w:val="0"/>
          <w:sz w:val="24"/>
          <w:highlight w:val="none"/>
        </w:rPr>
      </w:pPr>
      <w:r>
        <w:rPr>
          <w:rFonts w:hint="eastAsia" w:ascii="宋体" w:hAnsi="宋体" w:cs="宋体"/>
          <w:b/>
          <w:bCs/>
          <w:kern w:val="0"/>
          <w:sz w:val="24"/>
        </w:rPr>
        <w:t>2、属于节能产品政府采购品目规定必须强制采购的, 必须采购当期节能产品政府采购品目内设备或产品；在价格、技术、服务等指标同等条件下，优先采购节能、环保产品（需提供投</w:t>
      </w:r>
      <w:r>
        <w:rPr>
          <w:rFonts w:hint="eastAsia" w:ascii="宋体" w:hAnsi="宋体" w:cs="宋体"/>
          <w:b/>
          <w:bCs/>
          <w:kern w:val="0"/>
          <w:sz w:val="24"/>
          <w:highlight w:val="none"/>
        </w:rPr>
        <w:t>标人所投产品属于政府采购清单规定的节能环保产品的证明材料）。</w:t>
      </w:r>
    </w:p>
    <w:p>
      <w:pPr>
        <w:pStyle w:val="3"/>
        <w:ind w:firstLine="496"/>
        <w:rPr>
          <w:rFonts w:hint="eastAsia" w:ascii="宋体" w:hAnsi="宋体" w:eastAsia="宋体" w:cs="宋体"/>
          <w:b/>
          <w:bCs/>
          <w:spacing w:val="4"/>
          <w:sz w:val="24"/>
          <w:szCs w:val="24"/>
          <w:highlight w:val="none"/>
          <w:lang w:eastAsia="zh-CN"/>
        </w:rPr>
      </w:pPr>
      <w:r>
        <w:rPr>
          <w:rFonts w:hint="eastAsia" w:ascii="宋体" w:hAnsi="宋体" w:cs="宋体"/>
          <w:b/>
          <w:bCs/>
          <w:spacing w:val="4"/>
          <w:sz w:val="24"/>
          <w:szCs w:val="24"/>
          <w:highlight w:val="none"/>
        </w:rPr>
        <w:t>3.本项目核心产品：磁悬浮离心机组</w:t>
      </w:r>
      <w:r>
        <w:rPr>
          <w:rFonts w:hint="eastAsia" w:ascii="宋体" w:hAnsi="宋体" w:cs="宋体"/>
          <w:b/>
          <w:bCs/>
          <w:kern w:val="0"/>
          <w:sz w:val="24"/>
          <w:highlight w:val="none"/>
          <w:lang w:val="en-US" w:eastAsia="zh-CN"/>
        </w:rPr>
        <w:t xml:space="preserve"> </w:t>
      </w:r>
    </w:p>
    <w:p>
      <w:pPr>
        <w:pStyle w:val="3"/>
        <w:ind w:firstLine="496"/>
        <w:rPr>
          <w:rFonts w:hint="eastAsia" w:ascii="宋体" w:hAnsi="宋体" w:cs="宋体"/>
          <w:b/>
          <w:bCs/>
          <w:spacing w:val="4"/>
          <w:sz w:val="24"/>
          <w:szCs w:val="24"/>
        </w:rPr>
      </w:pPr>
      <w:r>
        <w:rPr>
          <w:rFonts w:hint="eastAsia" w:ascii="宋体" w:hAnsi="宋体" w:cs="宋体"/>
          <w:b/>
          <w:bCs/>
          <w:spacing w:val="4"/>
          <w:sz w:val="24"/>
          <w:szCs w:val="24"/>
        </w:rPr>
        <w:t>4.本标的所属行业：制造业</w:t>
      </w:r>
    </w:p>
    <w:bookmarkEnd w:id="271"/>
    <w:p>
      <w:pPr>
        <w:pStyle w:val="9"/>
        <w:spacing w:before="0" w:after="0" w:line="360" w:lineRule="auto"/>
        <w:ind w:firstLine="643" w:firstLineChars="200"/>
        <w:rPr>
          <w:rFonts w:hint="eastAsia"/>
          <w:sz w:val="32"/>
          <w:szCs w:val="32"/>
        </w:rPr>
      </w:pPr>
      <w:bookmarkStart w:id="275" w:name="_Toc28947"/>
      <w:bookmarkStart w:id="276" w:name="_Toc7906"/>
      <w:bookmarkStart w:id="277" w:name="_Toc426369533"/>
      <w:bookmarkStart w:id="278" w:name="_Toc403122572"/>
    </w:p>
    <w:p>
      <w:pPr>
        <w:pStyle w:val="9"/>
        <w:spacing w:before="0" w:after="0" w:line="360" w:lineRule="auto"/>
        <w:ind w:firstLine="643" w:firstLineChars="200"/>
        <w:rPr>
          <w:rFonts w:hint="eastAsia"/>
          <w:sz w:val="32"/>
          <w:szCs w:val="32"/>
        </w:rPr>
      </w:pPr>
    </w:p>
    <w:p>
      <w:pPr>
        <w:rPr>
          <w:rFonts w:hint="eastAsia"/>
          <w:sz w:val="32"/>
          <w:szCs w:val="32"/>
        </w:rPr>
      </w:pPr>
    </w:p>
    <w:p>
      <w:pPr>
        <w:rPr>
          <w:rFonts w:hint="eastAsia"/>
          <w:sz w:val="32"/>
          <w:szCs w:val="32"/>
        </w:rPr>
      </w:pPr>
    </w:p>
    <w:p>
      <w:pPr>
        <w:pStyle w:val="9"/>
        <w:spacing w:before="0" w:after="0" w:line="360" w:lineRule="auto"/>
        <w:ind w:firstLine="643" w:firstLineChars="200"/>
        <w:rPr>
          <w:sz w:val="32"/>
          <w:szCs w:val="32"/>
        </w:rPr>
      </w:pPr>
      <w:r>
        <w:rPr>
          <w:rFonts w:hint="eastAsia"/>
          <w:sz w:val="32"/>
          <w:szCs w:val="32"/>
        </w:rPr>
        <w:t>第六章 质疑与投诉</w:t>
      </w:r>
      <w:bookmarkEnd w:id="275"/>
    </w:p>
    <w:p/>
    <w:p>
      <w:pPr>
        <w:pStyle w:val="10"/>
        <w:rPr>
          <w:rFonts w:ascii="宋体" w:hAnsi="宋体" w:cs="宋体"/>
          <w:b w:val="0"/>
          <w:bCs w:val="0"/>
          <w:szCs w:val="21"/>
        </w:rPr>
      </w:pPr>
      <w:r>
        <w:rPr>
          <w:rFonts w:hint="eastAsia" w:ascii="宋体" w:hAnsi="宋体" w:cs="宋体"/>
          <w:szCs w:val="21"/>
        </w:rPr>
        <w:t>一、质疑与答复</w:t>
      </w:r>
    </w:p>
    <w:p>
      <w:pPr>
        <w:pStyle w:val="2"/>
        <w:spacing w:line="360" w:lineRule="auto"/>
        <w:ind w:firstLineChars="200"/>
        <w:rPr>
          <w:rFonts w:hint="default" w:ascii="宋体" w:hAnsi="宋体" w:eastAsia="宋体" w:cs="宋体"/>
          <w:sz w:val="21"/>
          <w:szCs w:val="21"/>
        </w:rPr>
      </w:pPr>
      <w:r>
        <w:rPr>
          <w:rFonts w:ascii="宋体" w:hAnsi="宋体" w:eastAsia="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5"/>
        <w:spacing w:line="360" w:lineRule="auto"/>
        <w:rPr>
          <w:rFonts w:ascii="宋体" w:hAnsi="宋体" w:cs="宋体"/>
          <w:szCs w:val="21"/>
        </w:rPr>
      </w:pPr>
      <w:r>
        <w:rPr>
          <w:rFonts w:hint="eastAsia" w:ascii="宋体" w:hAnsi="宋体" w:cs="宋体"/>
          <w:szCs w:val="21"/>
        </w:rPr>
        <w:t>2. 供应商提出质疑应当提交质疑函和必要的证明材料。政府采购供应商质疑函范本下载地址：</w:t>
      </w:r>
    </w:p>
    <w:p>
      <w:pPr>
        <w:pStyle w:val="5"/>
        <w:spacing w:line="360" w:lineRule="auto"/>
        <w:ind w:left="420" w:leftChars="200" w:firstLine="0" w:firstLineChars="0"/>
        <w:rPr>
          <w:rFonts w:ascii="宋体" w:hAnsi="宋体" w:cs="宋体"/>
          <w:szCs w:val="21"/>
        </w:rPr>
      </w:pPr>
      <w:r>
        <w:fldChar w:fldCharType="begin"/>
      </w:r>
      <w:r>
        <w:instrText xml:space="preserve"> HYPERLINK "http://download.ccgp.gov.cn/2018/zhiyihanfanben.zip；" </w:instrText>
      </w:r>
      <w:r>
        <w:fldChar w:fldCharType="separate"/>
      </w:r>
      <w:r>
        <w:rPr>
          <w:rStyle w:val="34"/>
          <w:rFonts w:hint="eastAsia" w:ascii="宋体" w:hAnsi="宋体" w:cs="宋体"/>
          <w:color w:val="auto"/>
          <w:szCs w:val="21"/>
        </w:rPr>
        <w:t>http://download.ccgp.gov.cn/2018/zhiyihanfanben.zip；</w:t>
      </w:r>
      <w:r>
        <w:rPr>
          <w:rStyle w:val="34"/>
          <w:rFonts w:hint="eastAsia" w:ascii="宋体" w:hAnsi="宋体" w:cs="宋体"/>
          <w:color w:val="auto"/>
          <w:szCs w:val="21"/>
        </w:rPr>
        <w:fldChar w:fldCharType="end"/>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采购人、采购代理机构不得拒收质疑供应商在法定质疑期内发出的质疑函，应当在收到质疑函后7个工作日内作出答复，并以书面形式通知质疑供应商和其他有关供应商。</w:t>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供应商提出质疑应当提交质疑函和必要的证明材料。质疑函应当包括下列内容：</w:t>
      </w:r>
    </w:p>
    <w:p>
      <w:pPr>
        <w:numPr>
          <w:ilvl w:val="1"/>
          <w:numId w:val="12"/>
        </w:numPr>
        <w:spacing w:line="360" w:lineRule="auto"/>
        <w:ind w:left="420" w:leftChars="200"/>
        <w:rPr>
          <w:rFonts w:ascii="宋体" w:hAnsi="宋体" w:cs="宋体"/>
          <w:szCs w:val="21"/>
        </w:rPr>
      </w:pPr>
      <w:r>
        <w:rPr>
          <w:rFonts w:hint="eastAsia" w:ascii="宋体" w:hAnsi="宋体" w:cs="宋体"/>
          <w:szCs w:val="21"/>
        </w:rPr>
        <w:t>供应商的姓名或者名称、地址、邮编、联系人及联系电话；</w:t>
      </w:r>
    </w:p>
    <w:p>
      <w:pPr>
        <w:numPr>
          <w:ilvl w:val="1"/>
          <w:numId w:val="12"/>
        </w:numPr>
        <w:spacing w:line="360" w:lineRule="auto"/>
        <w:ind w:left="420" w:leftChars="200"/>
        <w:rPr>
          <w:rFonts w:ascii="宋体" w:hAnsi="宋体" w:cs="宋体"/>
          <w:szCs w:val="21"/>
        </w:rPr>
      </w:pPr>
      <w:r>
        <w:rPr>
          <w:rFonts w:hint="eastAsia" w:ascii="宋体" w:hAnsi="宋体" w:cs="宋体"/>
          <w:szCs w:val="21"/>
        </w:rPr>
        <w:t>质疑项目的名称、编号；</w:t>
      </w:r>
    </w:p>
    <w:p>
      <w:pPr>
        <w:numPr>
          <w:ilvl w:val="1"/>
          <w:numId w:val="12"/>
        </w:numPr>
        <w:spacing w:line="360" w:lineRule="auto"/>
        <w:ind w:left="420" w:leftChars="200"/>
        <w:rPr>
          <w:rFonts w:ascii="宋体" w:hAnsi="宋体" w:cs="宋体"/>
          <w:szCs w:val="21"/>
        </w:rPr>
      </w:pPr>
      <w:r>
        <w:rPr>
          <w:rFonts w:hint="eastAsia" w:ascii="宋体" w:hAnsi="宋体" w:cs="宋体"/>
          <w:szCs w:val="21"/>
        </w:rPr>
        <w:t>具体、明确的质疑事项和与质疑事项相关的请求；</w:t>
      </w:r>
    </w:p>
    <w:p>
      <w:pPr>
        <w:numPr>
          <w:ilvl w:val="1"/>
          <w:numId w:val="12"/>
        </w:numPr>
        <w:spacing w:line="360" w:lineRule="auto"/>
        <w:ind w:left="420" w:leftChars="200"/>
        <w:rPr>
          <w:rFonts w:ascii="宋体" w:hAnsi="宋体" w:cs="宋体"/>
          <w:szCs w:val="21"/>
        </w:rPr>
      </w:pPr>
      <w:r>
        <w:rPr>
          <w:rFonts w:hint="eastAsia" w:ascii="宋体" w:hAnsi="宋体" w:cs="宋体"/>
          <w:szCs w:val="21"/>
        </w:rPr>
        <w:t>事实依据；</w:t>
      </w:r>
    </w:p>
    <w:p>
      <w:pPr>
        <w:numPr>
          <w:ilvl w:val="1"/>
          <w:numId w:val="12"/>
        </w:numPr>
        <w:spacing w:line="360" w:lineRule="auto"/>
        <w:ind w:left="420" w:leftChars="200"/>
        <w:rPr>
          <w:rFonts w:ascii="宋体" w:hAnsi="宋体" w:cs="宋体"/>
          <w:szCs w:val="21"/>
        </w:rPr>
      </w:pPr>
      <w:r>
        <w:rPr>
          <w:rFonts w:hint="eastAsia" w:ascii="宋体" w:hAnsi="宋体" w:cs="宋体"/>
          <w:szCs w:val="21"/>
        </w:rPr>
        <w:t>必要的法律依据；</w:t>
      </w:r>
    </w:p>
    <w:p>
      <w:pPr>
        <w:numPr>
          <w:ilvl w:val="1"/>
          <w:numId w:val="12"/>
        </w:numPr>
        <w:spacing w:line="360" w:lineRule="auto"/>
        <w:ind w:left="420" w:leftChars="200"/>
        <w:rPr>
          <w:rFonts w:ascii="宋体" w:hAnsi="宋体" w:cs="宋体"/>
          <w:szCs w:val="21"/>
        </w:rPr>
      </w:pPr>
      <w:r>
        <w:rPr>
          <w:rFonts w:hint="eastAsia" w:ascii="宋体" w:hAnsi="宋体" w:cs="宋体"/>
          <w:szCs w:val="21"/>
        </w:rPr>
        <w:t>提出质疑的日期；</w:t>
      </w:r>
    </w:p>
    <w:p>
      <w:pPr>
        <w:numPr>
          <w:ilvl w:val="1"/>
          <w:numId w:val="12"/>
        </w:numPr>
        <w:spacing w:line="360" w:lineRule="auto"/>
        <w:ind w:left="420" w:leftChars="200"/>
        <w:rPr>
          <w:rFonts w:ascii="宋体" w:hAnsi="宋体" w:cs="宋体"/>
          <w:szCs w:val="21"/>
        </w:rPr>
      </w:pPr>
      <w:r>
        <w:rPr>
          <w:rFonts w:hint="eastAsia" w:ascii="宋体" w:hAnsi="宋体" w:cs="宋体"/>
          <w:szCs w:val="21"/>
        </w:rPr>
        <w:t>获取招标文件的凭证；</w:t>
      </w:r>
    </w:p>
    <w:p>
      <w:pPr>
        <w:numPr>
          <w:ilvl w:val="1"/>
          <w:numId w:val="12"/>
        </w:numPr>
        <w:spacing w:line="360" w:lineRule="auto"/>
        <w:ind w:left="420" w:leftChars="200"/>
        <w:rPr>
          <w:rFonts w:ascii="宋体" w:hAnsi="宋体" w:cs="宋体"/>
          <w:szCs w:val="21"/>
        </w:rPr>
      </w:pPr>
      <w:r>
        <w:rPr>
          <w:rFonts w:hint="eastAsia" w:ascii="宋体" w:hAnsi="宋体" w:cs="宋体"/>
          <w:szCs w:val="21"/>
        </w:rPr>
        <w:t>以上资料一式二份（采购人、采购代理机构各执一份）。</w:t>
      </w:r>
    </w:p>
    <w:p>
      <w:pPr>
        <w:numPr>
          <w:ilvl w:val="0"/>
          <w:numId w:val="12"/>
        </w:numPr>
        <w:spacing w:line="360" w:lineRule="auto"/>
        <w:ind w:firstLine="420" w:firstLineChars="200"/>
        <w:rPr>
          <w:rFonts w:ascii="宋体" w:hAnsi="宋体" w:cs="宋体"/>
          <w:szCs w:val="21"/>
        </w:rPr>
      </w:pPr>
      <w:r>
        <w:rPr>
          <w:rFonts w:hint="eastAsia" w:ascii="宋体" w:hAnsi="宋体" w:cs="宋体"/>
          <w:szCs w:val="21"/>
        </w:rPr>
        <w:t>供应商不得虚假质疑和恶意质疑，并对质疑内容的真实性承担责任。</w:t>
      </w:r>
    </w:p>
    <w:p>
      <w:pPr>
        <w:pStyle w:val="10"/>
        <w:rPr>
          <w:rFonts w:ascii="宋体" w:hAnsi="宋体" w:cs="宋体"/>
          <w:b w:val="0"/>
          <w:bCs w:val="0"/>
          <w:szCs w:val="21"/>
        </w:rPr>
      </w:pPr>
      <w:r>
        <w:rPr>
          <w:rFonts w:hint="eastAsia" w:ascii="宋体" w:hAnsi="宋体" w:cs="宋体"/>
          <w:szCs w:val="21"/>
        </w:rPr>
        <w:t>二、投诉与处理</w:t>
      </w:r>
    </w:p>
    <w:p>
      <w:pPr>
        <w:pStyle w:val="2"/>
        <w:spacing w:line="360" w:lineRule="auto"/>
        <w:ind w:firstLineChars="200"/>
        <w:rPr>
          <w:rFonts w:hint="default" w:ascii="宋体" w:hAnsi="宋体" w:eastAsia="宋体" w:cs="宋体"/>
          <w:sz w:val="21"/>
          <w:szCs w:val="21"/>
        </w:rPr>
      </w:pPr>
      <w:r>
        <w:rPr>
          <w:rFonts w:ascii="宋体" w:hAnsi="宋体" w:eastAsia="宋体" w:cs="宋体"/>
          <w:sz w:val="21"/>
          <w:szCs w:val="21"/>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2、质疑供应商对采购人、采购代理机构的答复不满意，或者采购人、采购代理机构未在规定时间内作出答复的，可以在答复期满后15个工作日内向财政部门提起投诉。</w:t>
      </w:r>
    </w:p>
    <w:p>
      <w:pPr>
        <w:pStyle w:val="2"/>
        <w:spacing w:line="360" w:lineRule="auto"/>
        <w:ind w:firstLineChars="200"/>
        <w:rPr>
          <w:rFonts w:hint="default" w:ascii="宋体" w:hAnsi="宋体" w:eastAsia="宋体" w:cs="宋体"/>
          <w:sz w:val="21"/>
          <w:szCs w:val="21"/>
        </w:rPr>
      </w:pPr>
      <w:r>
        <w:rPr>
          <w:rFonts w:ascii="宋体" w:hAnsi="宋体" w:eastAsia="宋体" w:cs="宋体"/>
          <w:sz w:val="21"/>
          <w:szCs w:val="21"/>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
        <w:spacing w:line="360" w:lineRule="auto"/>
        <w:ind w:firstLine="640" w:firstLineChars="200"/>
        <w:rPr>
          <w:rFonts w:hint="default" w:ascii="宋体" w:hAnsi="宋体" w:eastAsia="宋体" w:cs="宋体"/>
          <w:sz w:val="21"/>
          <w:szCs w:val="21"/>
        </w:rPr>
      </w:pPr>
      <w:r>
        <w:fldChar w:fldCharType="begin"/>
      </w:r>
      <w:r>
        <w:instrText xml:space="preserve"> HYPERLINK "http://download.ccgp.gov.cn/2018/tousushufanben.zip" </w:instrText>
      </w:r>
      <w:r>
        <w:fldChar w:fldCharType="separate"/>
      </w:r>
      <w:r>
        <w:rPr>
          <w:rStyle w:val="34"/>
          <w:rFonts w:ascii="宋体" w:hAnsi="宋体" w:eastAsia="宋体" w:cs="宋体"/>
          <w:color w:val="auto"/>
          <w:sz w:val="21"/>
          <w:szCs w:val="21"/>
        </w:rPr>
        <w:t>http://download.ccgp.gov.cn/2018/tousushufanben.zip</w:t>
      </w:r>
      <w:r>
        <w:rPr>
          <w:rStyle w:val="34"/>
          <w:rFonts w:ascii="宋体" w:hAnsi="宋体" w:eastAsia="宋体" w:cs="宋体"/>
          <w:color w:val="auto"/>
          <w:sz w:val="21"/>
          <w:szCs w:val="21"/>
        </w:rPr>
        <w:fldChar w:fldCharType="end"/>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财政部门自收到投诉之日起30个工作日内，对投诉事项作出处理决定并公示。</w:t>
      </w:r>
    </w:p>
    <w:p>
      <w:pPr>
        <w:spacing w:line="360" w:lineRule="auto"/>
        <w:ind w:firstLine="420" w:firstLineChars="200"/>
        <w:rPr>
          <w:rFonts w:ascii="宋体" w:hAnsi="宋体" w:cs="宋体"/>
          <w:szCs w:val="21"/>
        </w:rPr>
      </w:pPr>
      <w:r>
        <w:rPr>
          <w:rFonts w:hint="eastAsia" w:ascii="宋体" w:hAnsi="宋体" w:cs="宋体"/>
          <w:szCs w:val="21"/>
        </w:rPr>
        <w:t>投诉人在全国范围12个月内三次以上投诉查无实据的，由财政部门列入不良行为记录名单。</w:t>
      </w:r>
    </w:p>
    <w:p>
      <w:pPr>
        <w:spacing w:line="360" w:lineRule="auto"/>
        <w:ind w:firstLine="420" w:firstLineChars="200"/>
        <w:rPr>
          <w:rFonts w:ascii="宋体" w:hAnsi="宋体" w:cs="宋体"/>
          <w:szCs w:val="21"/>
        </w:rPr>
      </w:pPr>
      <w:r>
        <w:rPr>
          <w:rFonts w:hint="eastAsia" w:ascii="宋体" w:hAnsi="宋体" w:cs="宋体"/>
          <w:szCs w:val="21"/>
        </w:rPr>
        <w:t>投诉人有财政部94号令第三十七条情形的，属于虚假、恶意投诉，由财政部门列入不良行为记录名单，禁止其1至3年内参加政府采购活动。</w:t>
      </w:r>
    </w:p>
    <w:p>
      <w:pPr>
        <w:pStyle w:val="5"/>
        <w:spacing w:line="360" w:lineRule="auto"/>
        <w:rPr>
          <w:rFonts w:ascii="宋体" w:hAnsi="宋体" w:cs="宋体"/>
          <w:szCs w:val="21"/>
        </w:rPr>
      </w:pPr>
    </w:p>
    <w:p>
      <w:pPr>
        <w:rPr>
          <w:rFonts w:ascii="宋体" w:hAnsi="宋体" w:cs="宋体"/>
          <w:b/>
          <w:bCs/>
          <w:szCs w:val="21"/>
        </w:rPr>
      </w:pPr>
      <w:r>
        <w:rPr>
          <w:rFonts w:hint="eastAsia" w:ascii="宋体" w:hAnsi="宋体" w:cs="宋体"/>
          <w:szCs w:val="21"/>
        </w:rPr>
        <w:t xml:space="preserve">投诉联系电话：0391-8683273  地址：博爱县机关综合办公楼主楼1213室 </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3"/>
      </w:pPr>
    </w:p>
    <w:p>
      <w:pPr>
        <w:pStyle w:val="4"/>
      </w:pPr>
    </w:p>
    <w:p>
      <w:pPr>
        <w:pStyle w:val="3"/>
      </w:pPr>
    </w:p>
    <w:p>
      <w:pPr>
        <w:pStyle w:val="4"/>
      </w:pPr>
    </w:p>
    <w:p>
      <w:pPr>
        <w:pStyle w:val="3"/>
      </w:pPr>
    </w:p>
    <w:p>
      <w:pPr>
        <w:pStyle w:val="4"/>
      </w:pPr>
    </w:p>
    <w:p>
      <w:pPr>
        <w:pStyle w:val="4"/>
      </w:pPr>
    </w:p>
    <w:p>
      <w:pPr>
        <w:pStyle w:val="2"/>
        <w:spacing w:line="360" w:lineRule="auto"/>
        <w:ind w:firstLine="643" w:firstLineChars="200"/>
        <w:jc w:val="center"/>
        <w:outlineLvl w:val="0"/>
        <w:rPr>
          <w:rFonts w:hint="default" w:asciiTheme="majorEastAsia" w:hAnsiTheme="majorEastAsia" w:eastAsiaTheme="majorEastAsia" w:cstheme="majorEastAsia"/>
          <w:b/>
          <w:bCs/>
          <w:szCs w:val="32"/>
        </w:rPr>
      </w:pPr>
      <w:bookmarkStart w:id="279" w:name="_Toc7285"/>
      <w:r>
        <w:rPr>
          <w:rFonts w:asciiTheme="majorEastAsia" w:hAnsiTheme="majorEastAsia" w:eastAsiaTheme="majorEastAsia" w:cstheme="majorEastAsia"/>
          <w:b/>
          <w:bCs/>
          <w:szCs w:val="32"/>
        </w:rPr>
        <w:t>第七章 履约验收</w:t>
      </w:r>
      <w:bookmarkEnd w:id="279"/>
    </w:p>
    <w:p>
      <w:pPr>
        <w:pStyle w:val="5"/>
      </w:pPr>
    </w:p>
    <w:p>
      <w:pPr>
        <w:pStyle w:val="2"/>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供应商履约完成后，向采购人提出验收建议，采购人自收到验收建议之日起五个工作日内，采购人组织供应商参与，共同完成验收。技术复杂、专业性强等项目可适当延长验收时间。验收流程如下：</w:t>
      </w:r>
    </w:p>
    <w:p>
      <w:pPr>
        <w:pStyle w:val="2"/>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13"/>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3"/>
        <w:rPr>
          <w:rFonts w:asciiTheme="minorEastAsia" w:hAnsiTheme="minorEastAsia" w:eastAsiaTheme="minorEastAsia" w:cstheme="minorEastAsia"/>
          <w:szCs w:val="21"/>
        </w:rPr>
      </w:pPr>
    </w:p>
    <w:p>
      <w:pPr>
        <w:pStyle w:val="4"/>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4"/>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4"/>
        <w:rPr>
          <w:rFonts w:asciiTheme="minorEastAsia" w:hAnsiTheme="minorEastAsia" w:eastAsiaTheme="minorEastAsia" w:cstheme="minorEastAsia"/>
          <w:szCs w:val="21"/>
        </w:rPr>
      </w:pPr>
    </w:p>
    <w:p>
      <w:pPr>
        <w:pStyle w:val="3"/>
      </w:pPr>
    </w:p>
    <w:p>
      <w:pPr>
        <w:pStyle w:val="3"/>
      </w:pPr>
    </w:p>
    <w:p>
      <w:pPr>
        <w:pStyle w:val="24"/>
        <w:spacing w:line="600" w:lineRule="exact"/>
        <w:ind w:right="-63" w:rightChars="-30"/>
        <w:rPr>
          <w:rFonts w:asciiTheme="minorEastAsia" w:hAnsiTheme="minorEastAsia" w:eastAsiaTheme="minorEastAsia" w:cstheme="minorEastAsia"/>
          <w:sz w:val="36"/>
          <w:szCs w:val="36"/>
        </w:rPr>
      </w:pPr>
      <w:bookmarkStart w:id="280" w:name="_Toc12999"/>
      <w:bookmarkStart w:id="281" w:name="_Toc14191"/>
      <w:r>
        <w:rPr>
          <w:rFonts w:hint="eastAsia" w:asciiTheme="minorEastAsia" w:hAnsiTheme="minorEastAsia" w:eastAsiaTheme="minorEastAsia" w:cstheme="minorEastAsia"/>
          <w:sz w:val="36"/>
          <w:szCs w:val="36"/>
        </w:rPr>
        <w:t>第八章  投标文件格式</w:t>
      </w:r>
      <w:bookmarkEnd w:id="276"/>
      <w:bookmarkEnd w:id="277"/>
      <w:bookmarkEnd w:id="278"/>
      <w:bookmarkEnd w:id="280"/>
      <w:bookmarkEnd w:id="281"/>
    </w:p>
    <w:p>
      <w:pPr>
        <w:rPr>
          <w:rFonts w:asciiTheme="minorEastAsia" w:hAnsiTheme="minorEastAsia" w:eastAsiaTheme="minorEastAsia" w:cstheme="minorEastAsia"/>
        </w:rPr>
      </w:pPr>
      <w:bookmarkStart w:id="282" w:name="_Toc27452"/>
      <w:bookmarkStart w:id="283" w:name="_Toc402961301"/>
      <w:bookmarkStart w:id="284" w:name="_Toc403122573"/>
      <w:bookmarkStart w:id="285" w:name="_Toc18905"/>
    </w:p>
    <w:bookmarkEnd w:id="282"/>
    <w:bookmarkEnd w:id="283"/>
    <w:bookmarkEnd w:id="284"/>
    <w:bookmarkEnd w:id="285"/>
    <w:p>
      <w:pPr>
        <w:ind w:firstLine="2891" w:firstLineChars="8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lang w:val="en-US" w:eastAsia="zh-CN"/>
        </w:rPr>
        <w:t xml:space="preserve"> </w:t>
      </w:r>
    </w:p>
    <w:p>
      <w:pPr>
        <w:spacing w:line="360" w:lineRule="auto"/>
        <w:jc w:val="center"/>
        <w:rPr>
          <w:rFonts w:asciiTheme="minorEastAsia" w:hAnsiTheme="minorEastAsia" w:eastAsiaTheme="minorEastAsia" w:cstheme="minorEastAsia"/>
          <w:b/>
          <w:sz w:val="32"/>
          <w:szCs w:val="32"/>
        </w:rPr>
      </w:pPr>
    </w:p>
    <w:p>
      <w:pPr>
        <w:pStyle w:val="5"/>
      </w:pPr>
    </w:p>
    <w:p>
      <w:pPr>
        <w:pStyle w:val="5"/>
      </w:pPr>
    </w:p>
    <w:p>
      <w:pPr>
        <w:pStyle w:val="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13"/>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7"/>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7"/>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7"/>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5"/>
        <w:ind w:firstLine="883"/>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pStyle w:val="5"/>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86" w:name="_Toc31547"/>
      <w:bookmarkStart w:id="287" w:name="_Toc2130"/>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8" w:name="_Toc1921"/>
      <w:r>
        <w:rPr>
          <w:rFonts w:hint="eastAsia" w:asciiTheme="minorEastAsia" w:hAnsiTheme="minorEastAsia" w:eastAsiaTheme="minorEastAsia" w:cstheme="minorEastAsia"/>
          <w:b/>
          <w:bCs/>
          <w:sz w:val="30"/>
          <w:szCs w:val="30"/>
        </w:rPr>
        <w:t>一、投标函</w:t>
      </w:r>
      <w:bookmarkEnd w:id="286"/>
      <w:r>
        <w:rPr>
          <w:rFonts w:hint="eastAsia" w:asciiTheme="minorEastAsia" w:hAnsiTheme="minorEastAsia" w:eastAsiaTheme="minorEastAsia" w:cstheme="minorEastAsia"/>
          <w:b/>
          <w:bCs/>
          <w:sz w:val="30"/>
          <w:szCs w:val="30"/>
        </w:rPr>
        <w:t>及开标一览表</w:t>
      </w:r>
      <w:bookmarkEnd w:id="287"/>
      <w:bookmarkEnd w:id="288"/>
    </w:p>
    <w:p>
      <w:pPr>
        <w:numPr>
          <w:ilvl w:val="0"/>
          <w:numId w:val="14"/>
        </w:numPr>
        <w:spacing w:line="600" w:lineRule="exact"/>
        <w:jc w:val="center"/>
        <w:outlineLvl w:val="2"/>
        <w:rPr>
          <w:rFonts w:asciiTheme="minorEastAsia" w:hAnsiTheme="minorEastAsia" w:eastAsiaTheme="minorEastAsia" w:cstheme="minorEastAsia"/>
          <w:b/>
          <w:sz w:val="28"/>
          <w:szCs w:val="28"/>
        </w:rPr>
      </w:pPr>
      <w:bookmarkStart w:id="289" w:name="_Toc27218"/>
      <w:bookmarkStart w:id="290" w:name="_Toc28684"/>
      <w:bookmarkStart w:id="291" w:name="_Toc12044"/>
      <w:bookmarkStart w:id="292" w:name="_Toc600"/>
      <w:r>
        <w:rPr>
          <w:rFonts w:hint="eastAsia" w:asciiTheme="minorEastAsia" w:hAnsiTheme="minorEastAsia" w:eastAsiaTheme="minorEastAsia" w:cstheme="minorEastAsia"/>
          <w:b/>
          <w:sz w:val="28"/>
          <w:szCs w:val="28"/>
        </w:rPr>
        <w:t>投标函</w:t>
      </w:r>
      <w:bookmarkEnd w:id="289"/>
      <w:bookmarkEnd w:id="290"/>
      <w:bookmarkEnd w:id="291"/>
      <w:bookmarkEnd w:id="292"/>
    </w:p>
    <w:p>
      <w:pPr>
        <w:pStyle w:val="5"/>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合同履行期限（</w:t>
      </w:r>
      <w:r>
        <w:rPr>
          <w:rFonts w:hint="eastAsia" w:ascii="宋体" w:hAnsi="宋体"/>
          <w:sz w:val="24"/>
        </w:rPr>
        <w:t>供货</w:t>
      </w:r>
      <w:r>
        <w:rPr>
          <w:rFonts w:hint="eastAsia" w:ascii="宋体" w:hAnsi="宋体"/>
          <w:sz w:val="24"/>
          <w:lang w:val="en-US" w:eastAsia="zh-CN"/>
        </w:rPr>
        <w:t>安装</w:t>
      </w:r>
      <w:r>
        <w:rPr>
          <w:rFonts w:hint="eastAsia" w:ascii="宋体" w:hAnsi="宋体"/>
          <w:sz w:val="24"/>
        </w:rPr>
        <w:t>期</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kern w:val="0"/>
          <w:sz w:val="24"/>
        </w:rPr>
      </w:pPr>
      <w:r>
        <w:rPr>
          <w:rFonts w:hint="eastAsia" w:ascii="宋体" w:hAnsi="宋体"/>
          <w:kern w:val="0"/>
          <w:sz w:val="24"/>
        </w:rPr>
        <w:t>供应商：（盖章）</w:t>
      </w:r>
    </w:p>
    <w:p>
      <w:pPr>
        <w:widowControl/>
        <w:spacing w:line="360" w:lineRule="auto"/>
        <w:ind w:firstLine="480" w:firstLineChars="200"/>
        <w:rPr>
          <w:rFonts w:ascii="宋体" w:hAnsi="宋体"/>
          <w:kern w:val="0"/>
          <w:sz w:val="24"/>
        </w:rPr>
      </w:pPr>
      <w:r>
        <w:rPr>
          <w:rFonts w:hint="eastAsia" w:ascii="宋体" w:hAnsi="宋体"/>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93" w:name="_Toc9543"/>
      <w:bookmarkStart w:id="294" w:name="_Toc14778"/>
      <w:bookmarkStart w:id="295" w:name="_Toc31291"/>
      <w:bookmarkStart w:id="296" w:name="_Toc208"/>
      <w:r>
        <w:rPr>
          <w:rFonts w:hint="eastAsia" w:asciiTheme="minorEastAsia" w:hAnsiTheme="minorEastAsia" w:eastAsiaTheme="minorEastAsia" w:cstheme="minorEastAsia"/>
          <w:b/>
          <w:bCs/>
          <w:sz w:val="28"/>
          <w:szCs w:val="28"/>
        </w:rPr>
        <w:t>（二） 开标一览表</w:t>
      </w:r>
      <w:bookmarkEnd w:id="293"/>
      <w:bookmarkEnd w:id="294"/>
      <w:bookmarkEnd w:id="295"/>
      <w:bookmarkEnd w:id="296"/>
    </w:p>
    <w:p>
      <w:pPr>
        <w:jc w:val="center"/>
        <w:rPr>
          <w:rFonts w:asciiTheme="minorEastAsia" w:hAnsiTheme="minorEastAsia" w:eastAsiaTheme="minorEastAsia" w:cstheme="minorEastAsia"/>
          <w:b/>
          <w:bCs/>
          <w:sz w:val="28"/>
        </w:rPr>
      </w:pPr>
    </w:p>
    <w:tbl>
      <w:tblPr>
        <w:tblStyle w:val="2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494"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494"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494"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494"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4" w:type="dxa"/>
            <w:vAlign w:val="center"/>
          </w:tcPr>
          <w:p>
            <w:pPr>
              <w:spacing w:line="300" w:lineRule="exact"/>
              <w:jc w:val="center"/>
              <w:rPr>
                <w:rFonts w:hint="eastAsia" w:cs="宋体"/>
                <w:color w:val="auto"/>
                <w:kern w:val="0"/>
                <w:sz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w:t>
            </w:r>
            <w:r>
              <w:rPr>
                <w:rFonts w:hint="eastAsia" w:cs="宋体"/>
                <w:color w:val="auto"/>
                <w:kern w:val="0"/>
                <w:sz w:val="24"/>
                <w:highlight w:val="none"/>
                <w:lang w:val="en-US" w:eastAsia="zh-CN"/>
              </w:rPr>
              <w:t>履行期限</w:t>
            </w:r>
          </w:p>
          <w:p>
            <w:pPr>
              <w:spacing w:line="300" w:lineRule="exact"/>
              <w:jc w:val="center"/>
              <w:rPr>
                <w:rFonts w:asciiTheme="minorEastAsia" w:hAnsiTheme="minorEastAsia" w:eastAsiaTheme="minorEastAsia" w:cstheme="minorEastAsia"/>
                <w:sz w:val="24"/>
                <w:highlight w:val="yellow"/>
              </w:rPr>
            </w:pPr>
            <w:r>
              <w:rPr>
                <w:rFonts w:hint="eastAsia" w:cs="宋体"/>
                <w:color w:val="auto"/>
                <w:kern w:val="0"/>
                <w:sz w:val="24"/>
                <w:highlight w:val="none"/>
                <w:lang w:val="en-US" w:eastAsia="zh-CN"/>
              </w:rPr>
              <w:t>（</w:t>
            </w:r>
            <w:r>
              <w:rPr>
                <w:rFonts w:hint="eastAsia" w:cs="宋体"/>
                <w:color w:val="auto"/>
                <w:kern w:val="0"/>
                <w:sz w:val="24"/>
                <w:highlight w:val="none"/>
              </w:rPr>
              <w:t>供货</w:t>
            </w:r>
            <w:r>
              <w:rPr>
                <w:rFonts w:hint="eastAsia" w:cs="宋体"/>
                <w:color w:val="auto"/>
                <w:kern w:val="0"/>
                <w:sz w:val="24"/>
                <w:highlight w:val="none"/>
                <w:lang w:val="en-US" w:eastAsia="zh-CN"/>
              </w:rPr>
              <w:t>安装</w:t>
            </w:r>
            <w:r>
              <w:rPr>
                <w:rFonts w:hint="eastAsia" w:cs="宋体"/>
                <w:color w:val="auto"/>
                <w:kern w:val="0"/>
                <w:sz w:val="24"/>
                <w:highlight w:val="none"/>
              </w:rPr>
              <w:t>期</w:t>
            </w:r>
            <w:r>
              <w:rPr>
                <w:rFonts w:hint="eastAsia" w:cs="宋体"/>
                <w:color w:val="auto"/>
                <w:kern w:val="0"/>
                <w:sz w:val="24"/>
                <w:highlight w:val="none"/>
                <w:lang w:eastAsia="zh-CN"/>
              </w:rPr>
              <w:t>）</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4"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4"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94" w:type="dxa"/>
            <w:vAlign w:val="center"/>
          </w:tcPr>
          <w:p>
            <w:pPr>
              <w:pStyle w:val="6"/>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6014"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24"/>
        <w:spacing w:before="120" w:after="120" w:line="500" w:lineRule="exact"/>
        <w:ind w:right="29" w:rightChars="14"/>
        <w:outlineLvl w:val="9"/>
        <w:rPr>
          <w:rFonts w:asciiTheme="minorEastAsia" w:hAnsiTheme="minorEastAsia" w:eastAsiaTheme="minorEastAsia" w:cstheme="minorEastAsia"/>
          <w:sz w:val="24"/>
        </w:rPr>
      </w:pPr>
    </w:p>
    <w:p>
      <w:pPr>
        <w:pStyle w:val="24"/>
        <w:spacing w:before="120" w:after="120" w:line="500" w:lineRule="exact"/>
        <w:ind w:right="29" w:rightChars="14"/>
        <w:outlineLvl w:val="9"/>
        <w:rPr>
          <w:rFonts w:asciiTheme="minorEastAsia" w:hAnsiTheme="minorEastAsia" w:eastAsiaTheme="minorEastAsia" w:cstheme="minorEastAsia"/>
          <w:sz w:val="24"/>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6"/>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ind w:firstLine="235" w:firstLineChars="98"/>
              <w:jc w:val="center"/>
              <w:rPr>
                <w:bCs/>
              </w:rPr>
            </w:pPr>
          </w:p>
          <w:p>
            <w:pPr>
              <w:pStyle w:val="23"/>
              <w:widowControl w:val="0"/>
              <w:adjustRightInd w:val="0"/>
              <w:spacing w:before="0" w:beforeAutospacing="0" w:after="0" w:afterAutospacing="0" w:line="480" w:lineRule="exact"/>
              <w:jc w:val="center"/>
              <w:rPr>
                <w:bCs/>
              </w:rPr>
            </w:pPr>
            <w:r>
              <w:rPr>
                <w:rFonts w:hint="eastAsia"/>
                <w:bCs/>
              </w:rPr>
              <w:t>单价（元）</w:t>
            </w:r>
          </w:p>
          <w:p>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23"/>
              <w:widowControl w:val="0"/>
              <w:adjustRightInd w:val="0"/>
              <w:spacing w:before="0" w:beforeAutospacing="0" w:after="0" w:afterAutospacing="0" w:line="480" w:lineRule="exact"/>
              <w:jc w:val="both"/>
              <w:rPr>
                <w:bCs/>
              </w:rPr>
            </w:pPr>
            <w:r>
              <w:rPr>
                <w:rFonts w:hint="eastAsia"/>
                <w:bCs/>
              </w:rPr>
              <w:t xml:space="preserve"> </w:t>
            </w:r>
          </w:p>
          <w:p>
            <w:pPr>
              <w:pStyle w:val="23"/>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23"/>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
                <w:sz w:val="24"/>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供应商：（单位公章）</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6"/>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3"/>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ind w:firstLine="480" w:firstLineChars="200"/>
        <w:rPr>
          <w:rFonts w:ascii="宋体" w:hAnsi="宋体"/>
          <w:sz w:val="24"/>
        </w:rPr>
      </w:pPr>
      <w:r>
        <w:rPr>
          <w:rFonts w:hint="eastAsia" w:ascii="宋体" w:hAnsi="宋体"/>
          <w:sz w:val="24"/>
        </w:rPr>
        <w:t>注：供应商须对照招标文件技术规格，将自己所投的所有货物的功能、技术性能、配置等内容按照上表格式与招标文件要求逐条填写，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5"/>
        </w:numPr>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5"/>
        </w:numPr>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Theme="minorEastAsia" w:hAnsiTheme="minorEastAsia" w:eastAsiaTheme="minorEastAsia" w:cstheme="minorEastAsia"/>
          <w:sz w:val="24"/>
        </w:rPr>
        <w:t>供应商</w:t>
      </w:r>
      <w:r>
        <w:rPr>
          <w:rFonts w:hint="eastAsia" w:ascii="宋体" w:hAnsi="宋体" w:cs="宋体"/>
          <w:sz w:val="24"/>
        </w:rPr>
        <w:t>（盖章）：</w:t>
      </w:r>
    </w:p>
    <w:p>
      <w:pPr>
        <w:spacing w:line="600" w:lineRule="exact"/>
        <w:rPr>
          <w:rFonts w:ascii="宋体" w:hAnsi="宋体" w:cs="宋体"/>
          <w:sz w:val="24"/>
        </w:rPr>
      </w:pPr>
      <w:r>
        <w:rPr>
          <w:rFonts w:hint="eastAsia" w:ascii="宋体" w:hAnsi="宋体" w:cs="宋体"/>
          <w:sz w:val="24"/>
        </w:rPr>
        <w:t>法人代表或授权委托人（签字或盖章）：</w:t>
      </w:r>
    </w:p>
    <w:p>
      <w:pPr>
        <w:ind w:firstLine="480"/>
        <w:rPr>
          <w:rFonts w:ascii="宋体" w:hAnsi="宋体" w:cs="宋体"/>
          <w:sz w:val="24"/>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sz w:val="24"/>
        </w:rPr>
        <w:t xml:space="preserve">                                         年    月    日  </w:t>
      </w:r>
    </w:p>
    <w:p>
      <w:pPr>
        <w:pStyle w:val="5"/>
        <w:ind w:firstLine="480"/>
        <w:rPr>
          <w:rFonts w:asciiTheme="minorEastAsia" w:hAnsiTheme="minorEastAsia" w:eastAsiaTheme="minorEastAsia" w:cstheme="minorEastAsia"/>
          <w:sz w:val="24"/>
        </w:rPr>
      </w:pPr>
    </w:p>
    <w:p>
      <w:pPr>
        <w:pStyle w:val="24"/>
        <w:numPr>
          <w:ilvl w:val="0"/>
          <w:numId w:val="16"/>
        </w:numPr>
        <w:spacing w:before="120" w:after="120" w:line="500" w:lineRule="exact"/>
        <w:ind w:right="29" w:rightChars="14"/>
        <w:outlineLvl w:val="1"/>
        <w:rPr>
          <w:rFonts w:asciiTheme="minorEastAsia" w:hAnsiTheme="minorEastAsia" w:eastAsiaTheme="minorEastAsia" w:cstheme="minorEastAsia"/>
          <w:sz w:val="30"/>
          <w:szCs w:val="30"/>
        </w:rPr>
      </w:pPr>
      <w:bookmarkStart w:id="297" w:name="_Toc17935"/>
      <w:bookmarkStart w:id="298" w:name="_Toc2213"/>
      <w:bookmarkStart w:id="299" w:name="_Toc26698"/>
      <w:bookmarkStart w:id="300" w:name="_Toc5614"/>
      <w:r>
        <w:rPr>
          <w:rFonts w:hint="eastAsia" w:asciiTheme="minorEastAsia" w:hAnsiTheme="minorEastAsia" w:eastAsiaTheme="minorEastAsia" w:cstheme="minorEastAsia"/>
          <w:sz w:val="30"/>
          <w:szCs w:val="30"/>
        </w:rPr>
        <w:t>法定代表人身份证明书</w:t>
      </w:r>
      <w:bookmarkEnd w:id="297"/>
      <w:bookmarkEnd w:id="298"/>
      <w:bookmarkEnd w:id="299"/>
      <w:bookmarkEnd w:id="300"/>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GfVz&#10;2QAAAAoBAAAPAAAAAAAAAAEAIAAAACIAAABkcnMvZG93bnJldi54bWxQSwECFAAUAAAACACHTuJA&#10;x7IXkSACAABTBAAADgAAAAAAAAABACAAAAAoAQAAZHJzL2Uyb0RvYy54bWxQSwUGAAAAAAYABgBZ&#10;AQAAugU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2752725</wp:posOffset>
                </wp:positionH>
                <wp:positionV relativeFrom="paragraph">
                  <wp:posOffset>177800</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6.75pt;margin-top:14pt;height:23.35pt;width:221.3pt;z-index:251662336;mso-width-relative:page;mso-height-relative:page;" fillcolor="#FFFFFF" filled="t" stroked="t" coordsize="21600,21600" o:gfxdata="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udbnZAAAACQEAAA8AAAAAAAAA&#10;AQAgAAAAIgAAAGRycy9kb3ducmV2LnhtbFBLAQIUABQAAAAIAIdO4kDf1IkrEAIAAEQEAAAOAAAA&#10;AAAAAAEAIAAAACgBAABkcnMvZTJvRG9jLnhtbFBLBQYAAAAABgAGAFkBAACq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-257810</wp:posOffset>
                </wp:positionH>
                <wp:positionV relativeFrom="paragraph">
                  <wp:posOffset>194945</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20.3pt;margin-top:15.35pt;height:23.35pt;width:221.3pt;z-index:251660288;mso-width-relative:page;mso-height-relative:page;" fillcolor="#FFFFFF" filled="t" stroked="t" coordsize="21600,21600" o:gfxdata="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6UUu9gAAAAJAQAADwAAAAAA&#10;AAABACAAAAAiAAAAZHJzL2Rvd25yZXYueG1sUEsBAhQAFAAAAAgAh07iQHfguGsTAgAARAQAAA4A&#10;AAAAAAAAAQAgAAAAJwEAAGRycy9lMm9Eb2MueG1sUEsFBgAAAAAGAAYAWQEAAKwFA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pPr>
        <w:spacing w:line="360" w:lineRule="auto"/>
        <w:ind w:firstLine="5760" w:firstLineChars="2400"/>
        <w:jc w:val="right"/>
        <w:rPr>
          <w:rFonts w:ascii="宋体" w:hAnsi="宋体"/>
          <w:sz w:val="24"/>
        </w:rPr>
      </w:pPr>
    </w:p>
    <w:p>
      <w:pPr>
        <w:spacing w:line="360" w:lineRule="auto"/>
        <w:ind w:firstLine="5760" w:firstLineChars="2400"/>
        <w:jc w:val="right"/>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24"/>
        <w:spacing w:before="120" w:after="120" w:line="500" w:lineRule="exact"/>
        <w:ind w:right="29" w:rightChars="14"/>
        <w:outlineLvl w:val="1"/>
        <w:rPr>
          <w:rFonts w:asciiTheme="minorEastAsia" w:hAnsiTheme="minorEastAsia" w:eastAsiaTheme="minorEastAsia" w:cstheme="minorEastAsia"/>
          <w:sz w:val="30"/>
          <w:szCs w:val="30"/>
        </w:rPr>
      </w:pPr>
      <w:bookmarkStart w:id="301" w:name="_Toc15395"/>
      <w:bookmarkStart w:id="302" w:name="_Toc5815"/>
      <w:bookmarkStart w:id="303" w:name="_Toc17980"/>
      <w:bookmarkStart w:id="304" w:name="_Toc6009"/>
      <w:r>
        <w:rPr>
          <w:rFonts w:hint="eastAsia" w:asciiTheme="minorEastAsia" w:hAnsiTheme="minorEastAsia" w:eastAsiaTheme="minorEastAsia" w:cstheme="minorEastAsia"/>
          <w:sz w:val="30"/>
          <w:szCs w:val="30"/>
        </w:rPr>
        <w:t>三、授权委托书</w:t>
      </w:r>
      <w:bookmarkEnd w:id="301"/>
      <w:bookmarkEnd w:id="302"/>
      <w:bookmarkEnd w:id="303"/>
      <w:bookmarkEnd w:id="304"/>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mb2NgA&#10;AAAKAQAADwAAAAAAAAABACAAAAAiAAAAZHJzL2Rvd25yZXYueG1sUEsBAhQAFAAAAAgAh07iQPrM&#10;wq8fAgAAUwQAAA4AAAAAAAAAAQAgAAAAJwEAAGRycy9lMm9Eb2MueG1sUEsFBgAAAAAGAAYAWQEA&#10;ALgFA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aZSdgAAAAJAQAADwAAAAAAAAAB&#10;ACAAAAAiAAAAZHJzL2Rvd25yZXYueG1sUEsBAhQAFAAAAAgAh07iQEG/d9MQAgAARAQAAA4AAAAA&#10;AAAAAQAgAAAAJwEAAGRycy9lMm9Eb2MueG1sUEsFBgAAAAAGAAYAWQEAAKkFA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8R6xfZAAAACQEAAA8AAAAAAAAA&#10;AQAgAAAAIgAAAGRycy9kb3ducmV2LnhtbFBLAQIUABQAAAAIAIdO4kDPjquoEAIAAEQEAAAOAAAA&#10;AAAAAAEAIAAAACgBAABkcnMvZTJvRG9jLnhtbFBLBQYAAAAABgAGAFkBAACq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49"/>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bookmarkStart w:id="305" w:name="_Toc8304"/>
      <w:bookmarkStart w:id="306" w:name="_Toc25161"/>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kern w:val="2"/>
          <w:sz w:val="30"/>
          <w:szCs w:val="30"/>
        </w:rPr>
        <w:t>四、项目实施方案</w:t>
      </w:r>
      <w:bookmarkEnd w:id="305"/>
      <w:r>
        <w:rPr>
          <w:rFonts w:hint="eastAsia" w:asciiTheme="minorEastAsia" w:hAnsiTheme="minorEastAsia" w:eastAsiaTheme="minorEastAsia" w:cstheme="minorEastAsia"/>
          <w:b/>
          <w:kern w:val="2"/>
          <w:sz w:val="30"/>
          <w:szCs w:val="30"/>
        </w:rPr>
        <w:t>等</w:t>
      </w:r>
      <w:bookmarkEnd w:id="306"/>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307" w:name="_Toc10043"/>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overflowPunct w:val="0"/>
        <w:adjustRightInd w:val="0"/>
        <w:snapToGrid w:val="0"/>
        <w:spacing w:line="574" w:lineRule="exact"/>
        <w:jc w:val="center"/>
        <w:rPr>
          <w:rFonts w:hint="eastAsia" w:ascii="宋体" w:hAnsi="宋体" w:cs="宋体"/>
          <w:b/>
          <w:bCs/>
          <w:color w:val="auto"/>
          <w:sz w:val="32"/>
          <w:szCs w:val="32"/>
          <w:highlight w:val="none"/>
        </w:rPr>
      </w:pPr>
      <w:bookmarkStart w:id="308" w:name="_Toc20650"/>
      <w:bookmarkStart w:id="309" w:name="_Toc29492"/>
      <w:bookmarkStart w:id="310" w:name="_Toc30146"/>
      <w:r>
        <w:rPr>
          <w:rFonts w:hint="eastAsia" w:asciiTheme="minorEastAsia" w:hAnsiTheme="minorEastAsia" w:eastAsiaTheme="minorEastAsia" w:cstheme="minorEastAsia"/>
          <w:b/>
          <w:kern w:val="2"/>
          <w:sz w:val="30"/>
          <w:szCs w:val="30"/>
        </w:rPr>
        <w:t>五、</w:t>
      </w:r>
      <w:bookmarkEnd w:id="307"/>
      <w:bookmarkEnd w:id="308"/>
      <w:bookmarkEnd w:id="309"/>
      <w:bookmarkEnd w:id="310"/>
      <w:r>
        <w:rPr>
          <w:rFonts w:hint="eastAsia" w:ascii="宋体" w:hAnsi="宋体" w:cs="宋体"/>
          <w:b/>
          <w:bCs/>
          <w:color w:val="auto"/>
          <w:sz w:val="32"/>
          <w:szCs w:val="32"/>
          <w:highlight w:val="none"/>
        </w:rPr>
        <w:t>政府采购供应商资格信用承诺函</w:t>
      </w:r>
    </w:p>
    <w:p>
      <w:pPr>
        <w:spacing w:line="400" w:lineRule="exact"/>
        <w:jc w:val="left"/>
        <w:rPr>
          <w:sz w:val="24"/>
          <w:highlight w:val="red"/>
        </w:rPr>
      </w:pP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致</w:t>
      </w:r>
      <w:r>
        <w:rPr>
          <w:rFonts w:hint="eastAsia" w:ascii="仿宋_GB2312" w:hAnsi="仿宋_GB2312" w:cs="仿宋_GB2312"/>
          <w:color w:val="auto"/>
          <w:sz w:val="24"/>
          <w:szCs w:val="24"/>
          <w:highlight w:val="none"/>
          <w:u w:val="single"/>
        </w:rPr>
        <w:t>（采购人）</w:t>
      </w:r>
      <w:r>
        <w:rPr>
          <w:rFonts w:hint="eastAsia" w:ascii="仿宋_GB2312" w:hAnsi="仿宋_GB2312" w:cs="仿宋_GB2312"/>
          <w:color w:val="auto"/>
          <w:sz w:val="24"/>
          <w:szCs w:val="24"/>
          <w:highlight w:val="none"/>
          <w:u w:val="single"/>
          <w:lang w:val="en-US" w:eastAsia="zh-CN"/>
        </w:rPr>
        <w:t xml:space="preserve">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供应商名称：</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统一社会信用代码：</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供应商地址：</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w:t>
      </w:r>
      <w:r>
        <w:rPr>
          <w:rFonts w:hint="eastAsia" w:ascii="仿宋_GB2312" w:hAnsi="仿宋_GB2312" w:cs="仿宋_GB2312"/>
          <w:color w:val="auto"/>
          <w:spacing w:val="6"/>
          <w:sz w:val="24"/>
          <w:szCs w:val="24"/>
          <w:highlight w:val="none"/>
        </w:rPr>
        <w:t>我单位具有符合采购文件资格要求独立承担民事责任的能力。</w:t>
      </w:r>
    </w:p>
    <w:p>
      <w:pPr>
        <w:overflowPunct w:val="0"/>
        <w:adjustRightInd w:val="0"/>
        <w:snapToGrid w:val="0"/>
        <w:spacing w:line="574" w:lineRule="exact"/>
        <w:ind w:firstLine="480" w:firstLineChars="200"/>
        <w:rPr>
          <w:rFonts w:hint="eastAsia" w:ascii="仿宋_GB2312" w:hAnsi="仿宋_GB2312" w:cs="仿宋_GB2312"/>
          <w:color w:val="auto"/>
          <w:sz w:val="24"/>
          <w:szCs w:val="24"/>
          <w:highlight w:val="none"/>
        </w:rPr>
      </w:pPr>
      <w:r>
        <w:rPr>
          <w:rFonts w:hint="eastAsia" w:ascii="Times New Roman" w:hAnsi="Times New Roman" w:cs="仿宋_GB2312"/>
          <w:color w:val="auto"/>
          <w:sz w:val="24"/>
          <w:szCs w:val="24"/>
          <w:highlight w:val="none"/>
        </w:rPr>
        <w:t>2</w:t>
      </w:r>
      <w:r>
        <w:rPr>
          <w:rFonts w:hint="eastAsia" w:ascii="仿宋_GB2312" w:hAnsi="仿宋_GB2312" w:cs="仿宋_GB2312"/>
          <w:color w:val="auto"/>
          <w:sz w:val="24"/>
          <w:szCs w:val="24"/>
          <w:highlight w:val="none"/>
        </w:rPr>
        <w:t>.我单位具有符合采购文件资格要求的财务状况报告。</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3</w:t>
      </w:r>
      <w:r>
        <w:rPr>
          <w:rFonts w:hint="eastAsia" w:ascii="仿宋_GB2312" w:hAnsi="仿宋_GB2312" w:cs="仿宋_GB2312"/>
          <w:color w:val="auto"/>
          <w:sz w:val="24"/>
          <w:szCs w:val="24"/>
          <w:highlight w:val="none"/>
        </w:rPr>
        <w:t>.我单位具有符合采购文件资格要求的依法缴纳税收和社会保障记录的良好记录。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w:t>
      </w:r>
      <w:r>
        <w:rPr>
          <w:rFonts w:hint="eastAsia" w:ascii="Times New Roman" w:hAnsi="Times New Roman" w:cs="仿宋_GB2312"/>
          <w:color w:val="auto"/>
          <w:sz w:val="24"/>
          <w:szCs w:val="24"/>
          <w:highlight w:val="none"/>
        </w:rPr>
        <w:t>4</w:t>
      </w:r>
      <w:r>
        <w:rPr>
          <w:rFonts w:hint="eastAsia" w:ascii="仿宋_GB2312" w:hAnsi="仿宋_GB2312" w:cs="仿宋_GB2312"/>
          <w:color w:val="auto"/>
          <w:sz w:val="24"/>
          <w:szCs w:val="24"/>
          <w:highlight w:val="none"/>
        </w:rPr>
        <w:t>.我单位具有符合采购文件资格要求履行合同所必需的设备和专业技术能力。</w:t>
      </w:r>
    </w:p>
    <w:p>
      <w:pPr>
        <w:overflowPunct w:val="0"/>
        <w:adjustRightInd w:val="0"/>
        <w:snapToGrid w:val="0"/>
        <w:spacing w:line="574" w:lineRule="exact"/>
        <w:ind w:firstLine="480"/>
        <w:rPr>
          <w:rFonts w:hint="default" w:ascii="仿宋_GB2312" w:hAnsi="仿宋_GB2312" w:eastAsia="宋体" w:cs="仿宋_GB2312"/>
          <w:color w:val="auto"/>
          <w:sz w:val="24"/>
          <w:szCs w:val="24"/>
          <w:highlight w:val="none"/>
          <w:lang w:val="en-US" w:eastAsia="zh-CN"/>
        </w:rPr>
      </w:pPr>
      <w:r>
        <w:rPr>
          <w:rFonts w:hint="eastAsia" w:ascii="Times New Roman" w:hAnsi="Times New Roman" w:cs="仿宋_GB2312"/>
          <w:color w:val="auto"/>
          <w:sz w:val="24"/>
          <w:szCs w:val="24"/>
          <w:highlight w:val="none"/>
        </w:rPr>
        <w:t>5</w:t>
      </w:r>
      <w:r>
        <w:rPr>
          <w:rFonts w:hint="eastAsia" w:ascii="仿宋_GB2312" w:hAnsi="仿宋_GB2312" w:cs="仿宋_GB2312"/>
          <w:color w:val="auto"/>
          <w:sz w:val="24"/>
          <w:szCs w:val="24"/>
          <w:highlight w:val="none"/>
        </w:rPr>
        <w:t>.参加政府采购活动前三年内，在经营活动中没有重大违法记录。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若我单位承诺不实，自愿承担提供虚假材料谋取中标、成交的法律责任。</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承诺供应商（全称并加盖公章）：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法定代表人或授权代表(签字或签章)：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日期：    年  月  日 </w:t>
      </w:r>
    </w:p>
    <w:p>
      <w:pPr>
        <w:overflowPunct w:val="0"/>
        <w:adjustRightInd w:val="0"/>
        <w:snapToGrid w:val="0"/>
        <w:spacing w:line="574" w:lineRule="exac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
          <w:bCs/>
          <w:color w:val="auto"/>
          <w:sz w:val="24"/>
          <w:szCs w:val="24"/>
          <w:highlight w:val="none"/>
        </w:rPr>
        <w:t>注：</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rFonts w:hint="eastAsia"/>
          <w:color w:val="auto"/>
          <w:sz w:val="24"/>
          <w:szCs w:val="24"/>
          <w:highlight w:val="none"/>
        </w:rPr>
      </w:pPr>
      <w:r>
        <w:rPr>
          <w:rFonts w:hint="eastAsia" w:ascii="仿宋_GB2312" w:hAnsi="仿宋_GB2312" w:cs="仿宋_GB2312"/>
          <w:color w:val="auto"/>
          <w:sz w:val="24"/>
          <w:szCs w:val="24"/>
          <w:highlight w:val="none"/>
        </w:rPr>
        <w:t xml:space="preserve">     </w:t>
      </w:r>
    </w:p>
    <w:p>
      <w:pPr>
        <w:pStyle w:val="5"/>
        <w:rPr>
          <w:highlight w:val="red"/>
        </w:rPr>
      </w:pPr>
    </w:p>
    <w:p>
      <w:pPr>
        <w:autoSpaceDE w:val="0"/>
        <w:autoSpaceDN w:val="0"/>
        <w:adjustRightInd w:val="0"/>
        <w:spacing w:line="440" w:lineRule="exact"/>
        <w:rPr>
          <w:rFonts w:asciiTheme="minorEastAsia" w:hAnsiTheme="minorEastAsia" w:eastAsiaTheme="minorEastAsia" w:cstheme="minorEastAsia"/>
          <w:b/>
          <w:sz w:val="28"/>
          <w:highlight w:val="red"/>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
        <w:ind w:firstLine="281"/>
        <w:rPr>
          <w:rFonts w:hint="default"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pStyle w:val="23"/>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11" w:name="_Toc4390"/>
      <w:bookmarkStart w:id="312" w:name="_Toc8330"/>
      <w:bookmarkStart w:id="313" w:name="_Toc6465"/>
      <w:bookmarkStart w:id="314" w:name="_Toc31553"/>
      <w:r>
        <w:rPr>
          <w:rFonts w:hint="eastAsia" w:asciiTheme="minorEastAsia" w:hAnsiTheme="minorEastAsia" w:eastAsiaTheme="minorEastAsia" w:cstheme="minorEastAsia"/>
          <w:b/>
          <w:kern w:val="2"/>
          <w:sz w:val="30"/>
          <w:szCs w:val="30"/>
        </w:rPr>
        <w:t>六、供应商服务承诺和优惠承诺</w:t>
      </w:r>
      <w:bookmarkEnd w:id="311"/>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5" w:name="_Toc700"/>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12"/>
      <w:bookmarkEnd w:id="315"/>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6" w:name="_Toc28422"/>
      <w:bookmarkStart w:id="317" w:name="_Toc24210"/>
      <w:bookmarkStart w:id="318" w:name="_Toc18925"/>
      <w:bookmarkStart w:id="319" w:name="_Toc21287"/>
      <w:r>
        <w:rPr>
          <w:rFonts w:hint="eastAsia" w:asciiTheme="minorEastAsia" w:hAnsiTheme="minorEastAsia" w:eastAsiaTheme="minorEastAsia" w:cstheme="minorEastAsia"/>
          <w:b/>
          <w:kern w:val="2"/>
          <w:sz w:val="30"/>
          <w:szCs w:val="30"/>
        </w:rPr>
        <w:t>证明材料</w:t>
      </w:r>
      <w:bookmarkEnd w:id="313"/>
      <w:bookmarkEnd w:id="316"/>
      <w:bookmarkEnd w:id="317"/>
      <w:bookmarkEnd w:id="318"/>
      <w:r>
        <w:rPr>
          <w:rFonts w:hint="eastAsia" w:asciiTheme="minorEastAsia" w:hAnsiTheme="minorEastAsia" w:eastAsiaTheme="minorEastAsia" w:cstheme="minorEastAsia"/>
          <w:b/>
          <w:kern w:val="2"/>
          <w:sz w:val="30"/>
          <w:szCs w:val="30"/>
        </w:rPr>
        <w:t>（如有）</w:t>
      </w:r>
      <w:bookmarkEnd w:id="319"/>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bookmarkStart w:id="320" w:name="_Toc24850"/>
      <w:bookmarkStart w:id="321" w:name="_Toc23227"/>
      <w:bookmarkStart w:id="322" w:name="_Toc10717"/>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八、中小企业声明函（如有）</w:t>
      </w:r>
      <w:bookmarkEnd w:id="320"/>
      <w:bookmarkEnd w:id="321"/>
      <w:bookmarkEnd w:id="322"/>
    </w:p>
    <w:p>
      <w:pPr>
        <w:spacing w:line="560" w:lineRule="exact"/>
        <w:ind w:firstLine="480" w:firstLineChars="200"/>
        <w:rPr>
          <w:rFonts w:ascii="宋体" w:hAnsi="宋体" w:cs="宋体"/>
          <w:sz w:val="24"/>
        </w:rPr>
      </w:pPr>
      <w:r>
        <w:rPr>
          <w:rFonts w:ascii="宋体" w:hAnsi="宋体" w:cs="宋体"/>
          <w:sz w:val="24"/>
        </w:rPr>
        <w:t>本公司（联合体）郑重声明，根据《政府采购促进中小企业发展管理办法》（财库﹝2020﹞46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pPr>
        <w:numPr>
          <w:ilvl w:val="0"/>
          <w:numId w:val="17"/>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pPr>
        <w:numPr>
          <w:ilvl w:val="0"/>
          <w:numId w:val="17"/>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pPr>
        <w:spacing w:line="560" w:lineRule="exact"/>
        <w:ind w:left="525" w:leftChars="250"/>
        <w:rPr>
          <w:rFonts w:ascii="宋体" w:hAnsi="宋体" w:cs="宋体"/>
          <w:sz w:val="24"/>
        </w:rPr>
      </w:pPr>
      <w:r>
        <w:rPr>
          <w:rFonts w:ascii="宋体" w:hAnsi="宋体" w:cs="宋体"/>
          <w:sz w:val="24"/>
        </w:rPr>
        <w:t xml:space="preserve"> …… </w:t>
      </w:r>
    </w:p>
    <w:p>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pPr>
        <w:spacing w:line="560" w:lineRule="exact"/>
        <w:ind w:left="5" w:firstLine="518" w:firstLineChars="216"/>
        <w:rPr>
          <w:rFonts w:ascii="宋体" w:hAnsi="宋体" w:cs="宋体"/>
          <w:sz w:val="24"/>
        </w:rPr>
      </w:pPr>
    </w:p>
    <w:p>
      <w:pPr>
        <w:spacing w:line="560" w:lineRule="exact"/>
        <w:ind w:left="5" w:firstLine="518" w:firstLineChars="216"/>
        <w:rPr>
          <w:rFonts w:ascii="宋体" w:hAnsi="宋体" w:cs="宋体"/>
          <w:sz w:val="24"/>
        </w:rPr>
      </w:pPr>
    </w:p>
    <w:p>
      <w:pPr>
        <w:spacing w:line="560" w:lineRule="exact"/>
        <w:ind w:left="5" w:firstLine="518" w:firstLineChars="216"/>
        <w:jc w:val="right"/>
        <w:rPr>
          <w:rFonts w:ascii="宋体" w:hAnsi="宋体" w:cs="宋体"/>
          <w:sz w:val="24"/>
        </w:rPr>
      </w:pPr>
      <w:r>
        <w:rPr>
          <w:rFonts w:ascii="宋体" w:hAnsi="宋体" w:cs="宋体"/>
          <w:sz w:val="24"/>
        </w:rPr>
        <w:t>企业名称（盖章）：</w:t>
      </w:r>
    </w:p>
    <w:p>
      <w:pPr>
        <w:spacing w:line="560" w:lineRule="exact"/>
        <w:ind w:left="5" w:firstLine="518" w:firstLineChars="216"/>
        <w:jc w:val="right"/>
        <w:rPr>
          <w:rFonts w:ascii="宋体" w:hAnsi="宋体" w:cs="宋体"/>
          <w:sz w:val="24"/>
        </w:rPr>
      </w:pPr>
      <w:r>
        <w:rPr>
          <w:rFonts w:ascii="宋体" w:hAnsi="宋体" w:cs="宋体"/>
          <w:sz w:val="24"/>
        </w:rPr>
        <w:t xml:space="preserve"> 日 期： </w:t>
      </w:r>
    </w:p>
    <w:p>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pPr>
        <w:pStyle w:val="5"/>
        <w:ind w:firstLine="480"/>
        <w:rPr>
          <w:rFonts w:ascii="宋体"/>
        </w:rPr>
      </w:pPr>
      <w:r>
        <w:rPr>
          <w:rFonts w:hint="eastAsia" w:ascii="宋体" w:hAnsi="宋体" w:cs="宋体"/>
          <w:sz w:val="24"/>
        </w:rPr>
        <w:t>2、供应商提供的声明函将在中标后随中标公告一并公示，若声明函内容不实的，将依照《政府采购法》等国家有关规定追究相应责任。</w:t>
      </w:r>
      <w:bookmarkStart w:id="323" w:name="_Toc12390"/>
      <w:bookmarkStart w:id="324" w:name="_Toc352061202"/>
      <w:bookmarkStart w:id="325" w:name="_Toc309736882"/>
    </w:p>
    <w:bookmarkEnd w:id="323"/>
    <w:bookmarkEnd w:id="324"/>
    <w:bookmarkEnd w:id="325"/>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26" w:name="_Toc20881"/>
      <w:bookmarkStart w:id="327" w:name="_Toc11708"/>
      <w:bookmarkStart w:id="328" w:name="_Toc30170"/>
      <w:bookmarkStart w:id="329" w:name="_Toc14292"/>
      <w:r>
        <w:rPr>
          <w:rFonts w:hint="eastAsia" w:asciiTheme="minorEastAsia" w:hAnsiTheme="minorEastAsia" w:eastAsiaTheme="minorEastAsia" w:cstheme="minorEastAsia"/>
          <w:b/>
          <w:kern w:val="2"/>
          <w:sz w:val="30"/>
          <w:szCs w:val="30"/>
        </w:rPr>
        <w:t>九、残疾人福利性单位声明函（如有）</w:t>
      </w:r>
      <w:bookmarkEnd w:id="326"/>
      <w:bookmarkEnd w:id="327"/>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14"/>
    <w:bookmarkEnd w:id="328"/>
    <w:bookmarkEnd w:id="329"/>
    <w:p>
      <w:pPr>
        <w:rPr>
          <w:rFonts w:ascii="Times New Roman" w:hAnsi="Times New Roman" w:eastAsia="仿宋"/>
          <w:sz w:val="32"/>
          <w:szCs w:val="32"/>
          <w:shd w:val="clear" w:color="FFFFFF" w:fill="D9D9D9"/>
        </w:rPr>
      </w:pPr>
    </w:p>
    <w:p>
      <w:pPr>
        <w:rPr>
          <w:shd w:val="clear" w:color="FFFFFF" w:fill="D9D9D9"/>
        </w:rPr>
      </w:pPr>
    </w:p>
    <w:p>
      <w:pPr>
        <w:rPr>
          <w:rFonts w:asciiTheme="minorEastAsia" w:hAnsiTheme="minorEastAsia" w:eastAsiaTheme="minorEastAsia" w:cstheme="minorEastAsia"/>
          <w:b/>
          <w:sz w:val="30"/>
          <w:szCs w:val="30"/>
          <w:shd w:val="clear" w:color="FFFFFF" w:fill="D9D9D9"/>
        </w:rPr>
      </w:pPr>
    </w:p>
    <w:p>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30" w:name="_Toc18605"/>
      <w:bookmarkStart w:id="331" w:name="_Toc16608"/>
      <w:r>
        <w:rPr>
          <w:rFonts w:hint="eastAsia" w:asciiTheme="minorEastAsia" w:hAnsiTheme="minorEastAsia" w:eastAsiaTheme="minorEastAsia" w:cstheme="minorEastAsia"/>
          <w:b/>
          <w:kern w:val="2"/>
          <w:sz w:val="30"/>
          <w:szCs w:val="30"/>
        </w:rPr>
        <w:t>十、招标文件要求的或供应商认为须提交的其他材料</w:t>
      </w:r>
      <w:bookmarkEnd w:id="330"/>
      <w:bookmarkEnd w:id="331"/>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pStyle w:val="6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ascii="宋体" w:hAnsi="宋体" w:cs="宋体"/>
          <w:kern w:val="0"/>
          <w:sz w:val="24"/>
        </w:rPr>
        <w:br w:type="page"/>
      </w: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pStyle w:val="9"/>
        <w:spacing w:line="480" w:lineRule="exact"/>
        <w:rPr>
          <w:rFonts w:ascii="宋体" w:hAnsi="宋体" w:cs="宋体"/>
          <w:sz w:val="36"/>
          <w:szCs w:val="36"/>
        </w:rPr>
      </w:pPr>
      <w:bookmarkStart w:id="332" w:name="_Toc7574"/>
      <w:r>
        <w:rPr>
          <w:rFonts w:hint="eastAsia" w:ascii="宋体" w:hAnsi="宋体" w:cs="宋体"/>
          <w:sz w:val="36"/>
          <w:szCs w:val="36"/>
        </w:rPr>
        <w:t>河南省政府采购合同融资政策告知函</w:t>
      </w:r>
      <w:bookmarkEnd w:id="332"/>
    </w:p>
    <w:p>
      <w:pPr>
        <w:pStyle w:val="9"/>
        <w:spacing w:line="400" w:lineRule="exact"/>
        <w:jc w:val="both"/>
        <w:rPr>
          <w:rFonts w:ascii="宋体" w:hAnsi="宋体" w:cs="宋体"/>
          <w:sz w:val="24"/>
        </w:rPr>
      </w:pPr>
      <w:bookmarkStart w:id="333" w:name="_Toc4905"/>
      <w:r>
        <w:rPr>
          <w:rFonts w:hint="eastAsia" w:ascii="宋体" w:hAnsi="宋体" w:cs="宋体"/>
          <w:sz w:val="24"/>
        </w:rPr>
        <w:t>各供应商：</w:t>
      </w:r>
      <w:bookmarkEnd w:id="333"/>
    </w:p>
    <w:p>
      <w:pPr>
        <w:pStyle w:val="9"/>
        <w:spacing w:line="400" w:lineRule="exact"/>
        <w:jc w:val="both"/>
        <w:rPr>
          <w:rFonts w:ascii="宋体" w:hAnsi="宋体" w:cs="宋体"/>
          <w:sz w:val="24"/>
        </w:rPr>
      </w:pPr>
      <w:r>
        <w:rPr>
          <w:rFonts w:hint="eastAsia" w:ascii="宋体" w:hAnsi="宋体" w:cs="宋体"/>
          <w:sz w:val="24"/>
        </w:rPr>
        <w:t>欢迎贵公司参与河南省政府采购活动！</w:t>
      </w:r>
    </w:p>
    <w:p>
      <w:pPr>
        <w:spacing w:line="40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sz w:val="32"/>
          <w:szCs w:val="32"/>
        </w:rPr>
      </w:pPr>
      <w:bookmarkStart w:id="334" w:name="_Toc30161"/>
      <w:r>
        <w:rPr>
          <w:rFonts w:hint="eastAsia" w:ascii="宋体" w:hAnsi="宋体"/>
          <w:b/>
          <w:sz w:val="32"/>
          <w:szCs w:val="32"/>
        </w:rPr>
        <w:t>焦作市政府采购合同融资合作企业</w:t>
      </w:r>
      <w:bookmarkEnd w:id="33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280"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193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689"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193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689"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193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689"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pPr>
        <w:ind w:left="420"/>
      </w:pPr>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054F6"/>
    <w:multiLevelType w:val="multilevel"/>
    <w:tmpl w:val="074054F6"/>
    <w:lvl w:ilvl="0" w:tentative="0">
      <w:start w:val="1"/>
      <w:numFmt w:val="decimal"/>
      <w:pStyle w:val="47"/>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tentative="0">
      <w:start w:val="1"/>
      <w:numFmt w:val="decimal"/>
      <w:suff w:val="nothing"/>
      <w:lvlText w:val="（%1）"/>
      <w:lvlJc w:val="left"/>
      <w:pPr>
        <w:ind w:left="420"/>
      </w:pPr>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tentative="0">
      <w:start w:val="1"/>
      <w:numFmt w:val="chineseCounting"/>
      <w:suff w:val="nothing"/>
      <w:lvlText w:val="（%1）"/>
      <w:lvlJc w:val="left"/>
      <w:rPr>
        <w:rFonts w:hint="eastAsia"/>
      </w:rPr>
    </w:lvl>
  </w:abstractNum>
  <w:abstractNum w:abstractNumId="12">
    <w:nsid w:val="444D6FD7"/>
    <w:multiLevelType w:val="multilevel"/>
    <w:tmpl w:val="444D6FD7"/>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9CCA2E1"/>
    <w:multiLevelType w:val="singleLevel"/>
    <w:tmpl w:val="59CCA2E1"/>
    <w:lvl w:ilvl="0" w:tentative="0">
      <w:start w:val="1"/>
      <w:numFmt w:val="decimal"/>
      <w:suff w:val="nothing"/>
      <w:lvlText w:val="（%1）"/>
      <w:lvlJc w:val="left"/>
    </w:lvl>
  </w:abstractNum>
  <w:abstractNum w:abstractNumId="14">
    <w:nsid w:val="5A693C2F"/>
    <w:multiLevelType w:val="singleLevel"/>
    <w:tmpl w:val="5A693C2F"/>
    <w:lvl w:ilvl="0" w:tentative="0">
      <w:start w:val="3"/>
      <w:numFmt w:val="chineseCounting"/>
      <w:suff w:val="space"/>
      <w:lvlText w:val="第%1章"/>
      <w:lvlJc w:val="left"/>
      <w:pPr>
        <w:ind w:left="2520"/>
      </w:pPr>
    </w:lvl>
  </w:abstractNum>
  <w:abstractNum w:abstractNumId="15">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6">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8"/>
  </w:num>
  <w:num w:numId="2">
    <w:abstractNumId w:val="5"/>
  </w:num>
  <w:num w:numId="3">
    <w:abstractNumId w:val="2"/>
  </w:num>
  <w:num w:numId="4">
    <w:abstractNumId w:val="15"/>
  </w:num>
  <w:num w:numId="5">
    <w:abstractNumId w:val="0"/>
  </w:num>
  <w:num w:numId="6">
    <w:abstractNumId w:val="7"/>
  </w:num>
  <w:num w:numId="7">
    <w:abstractNumId w:val="14"/>
  </w:num>
  <w:num w:numId="8">
    <w:abstractNumId w:val="9"/>
  </w:num>
  <w:num w:numId="9">
    <w:abstractNumId w:val="6"/>
  </w:num>
  <w:num w:numId="10">
    <w:abstractNumId w:val="16"/>
  </w:num>
  <w:num w:numId="11">
    <w:abstractNumId w:val="12"/>
  </w:num>
  <w:num w:numId="12">
    <w:abstractNumId w:val="10"/>
  </w:num>
  <w:num w:numId="13">
    <w:abstractNumId w:val="3"/>
  </w:num>
  <w:num w:numId="14">
    <w:abstractNumId w:val="11"/>
  </w:num>
  <w:num w:numId="15">
    <w:abstractNumId w:val="1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2UzN2U4M2NlOWRkZDczZDhhMDA5NmQ5ZTdhNDIifQ=="/>
  </w:docVars>
  <w:rsids>
    <w:rsidRoot w:val="00CF3BAF"/>
    <w:rsid w:val="00013DD1"/>
    <w:rsid w:val="000547C6"/>
    <w:rsid w:val="00081779"/>
    <w:rsid w:val="001E6661"/>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36F66"/>
    <w:rsid w:val="005542F2"/>
    <w:rsid w:val="005A2870"/>
    <w:rsid w:val="005E14C7"/>
    <w:rsid w:val="005F220F"/>
    <w:rsid w:val="00631E63"/>
    <w:rsid w:val="00651B64"/>
    <w:rsid w:val="00651BA7"/>
    <w:rsid w:val="00656FFA"/>
    <w:rsid w:val="00666E50"/>
    <w:rsid w:val="006B2CA3"/>
    <w:rsid w:val="006C7E0E"/>
    <w:rsid w:val="00712D43"/>
    <w:rsid w:val="007145D8"/>
    <w:rsid w:val="00783CF9"/>
    <w:rsid w:val="007C65BE"/>
    <w:rsid w:val="007E2B28"/>
    <w:rsid w:val="00826247"/>
    <w:rsid w:val="00850F37"/>
    <w:rsid w:val="008672C4"/>
    <w:rsid w:val="00884C5F"/>
    <w:rsid w:val="008B741E"/>
    <w:rsid w:val="008D2851"/>
    <w:rsid w:val="008D29D1"/>
    <w:rsid w:val="008D314A"/>
    <w:rsid w:val="009368F4"/>
    <w:rsid w:val="009A0E66"/>
    <w:rsid w:val="009B363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E7C62"/>
    <w:rsid w:val="00E25053"/>
    <w:rsid w:val="00E61A34"/>
    <w:rsid w:val="00ED32EC"/>
    <w:rsid w:val="00F165F0"/>
    <w:rsid w:val="00F16816"/>
    <w:rsid w:val="00F5227C"/>
    <w:rsid w:val="00FB3E02"/>
    <w:rsid w:val="00FC0F08"/>
    <w:rsid w:val="015A0ED7"/>
    <w:rsid w:val="01930027"/>
    <w:rsid w:val="019C74BD"/>
    <w:rsid w:val="01A249C3"/>
    <w:rsid w:val="01A90C02"/>
    <w:rsid w:val="01CD0413"/>
    <w:rsid w:val="01F83A68"/>
    <w:rsid w:val="0224187C"/>
    <w:rsid w:val="024768DF"/>
    <w:rsid w:val="024D2FC2"/>
    <w:rsid w:val="02534437"/>
    <w:rsid w:val="02A079AD"/>
    <w:rsid w:val="02AD7AC3"/>
    <w:rsid w:val="02B2279A"/>
    <w:rsid w:val="02C572FD"/>
    <w:rsid w:val="02D346FD"/>
    <w:rsid w:val="02DF753E"/>
    <w:rsid w:val="03117DFF"/>
    <w:rsid w:val="03350ECC"/>
    <w:rsid w:val="038F5EB4"/>
    <w:rsid w:val="03EF01A2"/>
    <w:rsid w:val="04035DC5"/>
    <w:rsid w:val="041F1D93"/>
    <w:rsid w:val="04351B1E"/>
    <w:rsid w:val="043D5581"/>
    <w:rsid w:val="046F0DBE"/>
    <w:rsid w:val="04730C9A"/>
    <w:rsid w:val="049A5F70"/>
    <w:rsid w:val="04B80A56"/>
    <w:rsid w:val="04F44273"/>
    <w:rsid w:val="05476DA0"/>
    <w:rsid w:val="0587053C"/>
    <w:rsid w:val="05CF063D"/>
    <w:rsid w:val="061F1094"/>
    <w:rsid w:val="064662A5"/>
    <w:rsid w:val="06494301"/>
    <w:rsid w:val="064B3EA8"/>
    <w:rsid w:val="0681360C"/>
    <w:rsid w:val="068E5516"/>
    <w:rsid w:val="06F1337E"/>
    <w:rsid w:val="06F2019A"/>
    <w:rsid w:val="07310D7F"/>
    <w:rsid w:val="074D4119"/>
    <w:rsid w:val="07997BA5"/>
    <w:rsid w:val="08161B2A"/>
    <w:rsid w:val="08355432"/>
    <w:rsid w:val="083A174E"/>
    <w:rsid w:val="083B347B"/>
    <w:rsid w:val="083D3697"/>
    <w:rsid w:val="0885658D"/>
    <w:rsid w:val="08910593"/>
    <w:rsid w:val="08B6562F"/>
    <w:rsid w:val="09102B5A"/>
    <w:rsid w:val="09217513"/>
    <w:rsid w:val="098B21E0"/>
    <w:rsid w:val="0A3D6877"/>
    <w:rsid w:val="0A562538"/>
    <w:rsid w:val="0A645EB1"/>
    <w:rsid w:val="0A8B4CEF"/>
    <w:rsid w:val="0AFE4F5A"/>
    <w:rsid w:val="0B057D70"/>
    <w:rsid w:val="0B2D5070"/>
    <w:rsid w:val="0B440CBC"/>
    <w:rsid w:val="0B664CB3"/>
    <w:rsid w:val="0B7902B3"/>
    <w:rsid w:val="0B8C1399"/>
    <w:rsid w:val="0BE37935"/>
    <w:rsid w:val="0C051155"/>
    <w:rsid w:val="0C076843"/>
    <w:rsid w:val="0C1427EF"/>
    <w:rsid w:val="0C2D57D1"/>
    <w:rsid w:val="0C350433"/>
    <w:rsid w:val="0C732807"/>
    <w:rsid w:val="0CD05128"/>
    <w:rsid w:val="0D270828"/>
    <w:rsid w:val="0D3E11DD"/>
    <w:rsid w:val="0D792EC2"/>
    <w:rsid w:val="0D81592D"/>
    <w:rsid w:val="0D8716C8"/>
    <w:rsid w:val="0D974D65"/>
    <w:rsid w:val="0E3E2902"/>
    <w:rsid w:val="0E651252"/>
    <w:rsid w:val="0E8C0D4D"/>
    <w:rsid w:val="0EA33B28"/>
    <w:rsid w:val="0EA67121"/>
    <w:rsid w:val="0EDC105C"/>
    <w:rsid w:val="0EDE6CBA"/>
    <w:rsid w:val="0EF32EFA"/>
    <w:rsid w:val="0F0410E0"/>
    <w:rsid w:val="0FAC4AEB"/>
    <w:rsid w:val="0FDE2EA6"/>
    <w:rsid w:val="0FE73EE9"/>
    <w:rsid w:val="100420C3"/>
    <w:rsid w:val="1012372A"/>
    <w:rsid w:val="10544429"/>
    <w:rsid w:val="10586A77"/>
    <w:rsid w:val="1059733D"/>
    <w:rsid w:val="107D20E4"/>
    <w:rsid w:val="114E3064"/>
    <w:rsid w:val="11920A50"/>
    <w:rsid w:val="119A56B6"/>
    <w:rsid w:val="119B16ED"/>
    <w:rsid w:val="11A25357"/>
    <w:rsid w:val="11B34CF4"/>
    <w:rsid w:val="11F2782C"/>
    <w:rsid w:val="120C0D33"/>
    <w:rsid w:val="120F18F1"/>
    <w:rsid w:val="12253216"/>
    <w:rsid w:val="12486EC1"/>
    <w:rsid w:val="1298264D"/>
    <w:rsid w:val="12F25439"/>
    <w:rsid w:val="12F64B6E"/>
    <w:rsid w:val="134734DE"/>
    <w:rsid w:val="13732E71"/>
    <w:rsid w:val="13767A5D"/>
    <w:rsid w:val="143C687A"/>
    <w:rsid w:val="144162BD"/>
    <w:rsid w:val="144353ED"/>
    <w:rsid w:val="14860849"/>
    <w:rsid w:val="14E629C1"/>
    <w:rsid w:val="152E231F"/>
    <w:rsid w:val="15545B7C"/>
    <w:rsid w:val="159D7523"/>
    <w:rsid w:val="16493207"/>
    <w:rsid w:val="16504596"/>
    <w:rsid w:val="165F3BC6"/>
    <w:rsid w:val="166D59E0"/>
    <w:rsid w:val="16997753"/>
    <w:rsid w:val="169D288C"/>
    <w:rsid w:val="179C380B"/>
    <w:rsid w:val="17A63902"/>
    <w:rsid w:val="17AC6DF4"/>
    <w:rsid w:val="183D74A2"/>
    <w:rsid w:val="188C4F4A"/>
    <w:rsid w:val="18FE7D59"/>
    <w:rsid w:val="196A7BE4"/>
    <w:rsid w:val="19EE17C2"/>
    <w:rsid w:val="19EF2318"/>
    <w:rsid w:val="1A1025AF"/>
    <w:rsid w:val="1A2B26E2"/>
    <w:rsid w:val="1A3B0CC2"/>
    <w:rsid w:val="1A913822"/>
    <w:rsid w:val="1B0F127C"/>
    <w:rsid w:val="1B280311"/>
    <w:rsid w:val="1B33310F"/>
    <w:rsid w:val="1BD529D4"/>
    <w:rsid w:val="1BE9127A"/>
    <w:rsid w:val="1C211654"/>
    <w:rsid w:val="1C2D32A0"/>
    <w:rsid w:val="1C753023"/>
    <w:rsid w:val="1C8B494C"/>
    <w:rsid w:val="1C9363D1"/>
    <w:rsid w:val="1CC37618"/>
    <w:rsid w:val="1CD57C9C"/>
    <w:rsid w:val="1D1E6C5C"/>
    <w:rsid w:val="1D247743"/>
    <w:rsid w:val="1D2A77A9"/>
    <w:rsid w:val="1D5A65E9"/>
    <w:rsid w:val="1DC13FCB"/>
    <w:rsid w:val="1DDA0B91"/>
    <w:rsid w:val="1DE803B4"/>
    <w:rsid w:val="1E212A6F"/>
    <w:rsid w:val="1E360353"/>
    <w:rsid w:val="1E4779B9"/>
    <w:rsid w:val="1E7C3987"/>
    <w:rsid w:val="1E921418"/>
    <w:rsid w:val="1EB33136"/>
    <w:rsid w:val="1EE937D9"/>
    <w:rsid w:val="1EF55393"/>
    <w:rsid w:val="1F111512"/>
    <w:rsid w:val="1F3F59B3"/>
    <w:rsid w:val="1FA91310"/>
    <w:rsid w:val="1FBB33A3"/>
    <w:rsid w:val="1FCF0C21"/>
    <w:rsid w:val="1FD35E1A"/>
    <w:rsid w:val="1FD46237"/>
    <w:rsid w:val="20E259AF"/>
    <w:rsid w:val="218872DA"/>
    <w:rsid w:val="219C4D8C"/>
    <w:rsid w:val="21A96F53"/>
    <w:rsid w:val="21B767CB"/>
    <w:rsid w:val="22821933"/>
    <w:rsid w:val="22851F14"/>
    <w:rsid w:val="22937A29"/>
    <w:rsid w:val="22E0486C"/>
    <w:rsid w:val="22E7389D"/>
    <w:rsid w:val="2307024E"/>
    <w:rsid w:val="236C0699"/>
    <w:rsid w:val="23A75A11"/>
    <w:rsid w:val="23C21A0E"/>
    <w:rsid w:val="23F17EB7"/>
    <w:rsid w:val="24364D63"/>
    <w:rsid w:val="24581EC9"/>
    <w:rsid w:val="245D7AC3"/>
    <w:rsid w:val="246511FA"/>
    <w:rsid w:val="24845123"/>
    <w:rsid w:val="255249D2"/>
    <w:rsid w:val="26211AAB"/>
    <w:rsid w:val="264840A1"/>
    <w:rsid w:val="2671382C"/>
    <w:rsid w:val="26AB160B"/>
    <w:rsid w:val="26AF355A"/>
    <w:rsid w:val="26D40659"/>
    <w:rsid w:val="27070CA1"/>
    <w:rsid w:val="27144052"/>
    <w:rsid w:val="274E2D73"/>
    <w:rsid w:val="27B228CA"/>
    <w:rsid w:val="27CF39BA"/>
    <w:rsid w:val="287019A1"/>
    <w:rsid w:val="28BD1C36"/>
    <w:rsid w:val="291F753F"/>
    <w:rsid w:val="29AD1F3E"/>
    <w:rsid w:val="29CE019B"/>
    <w:rsid w:val="29FC7FCE"/>
    <w:rsid w:val="2A1118F0"/>
    <w:rsid w:val="2A334727"/>
    <w:rsid w:val="2AA84457"/>
    <w:rsid w:val="2ABE19E5"/>
    <w:rsid w:val="2B2362C5"/>
    <w:rsid w:val="2B24082E"/>
    <w:rsid w:val="2B9A5BB7"/>
    <w:rsid w:val="2C0F6119"/>
    <w:rsid w:val="2C5243EF"/>
    <w:rsid w:val="2CF34593"/>
    <w:rsid w:val="2D292948"/>
    <w:rsid w:val="2D4759F0"/>
    <w:rsid w:val="2D4B17C9"/>
    <w:rsid w:val="2DA17287"/>
    <w:rsid w:val="2DEF0B6D"/>
    <w:rsid w:val="2E400AF3"/>
    <w:rsid w:val="2E7164C1"/>
    <w:rsid w:val="2ECE479A"/>
    <w:rsid w:val="2ED658FB"/>
    <w:rsid w:val="2ED80964"/>
    <w:rsid w:val="2F3D38F1"/>
    <w:rsid w:val="2F662BA9"/>
    <w:rsid w:val="2FA713A3"/>
    <w:rsid w:val="2FEE0502"/>
    <w:rsid w:val="30204B81"/>
    <w:rsid w:val="3054090C"/>
    <w:rsid w:val="305F7D9F"/>
    <w:rsid w:val="30766F52"/>
    <w:rsid w:val="308873CF"/>
    <w:rsid w:val="30A7457C"/>
    <w:rsid w:val="310034FD"/>
    <w:rsid w:val="311B58CA"/>
    <w:rsid w:val="312875A3"/>
    <w:rsid w:val="315C20A8"/>
    <w:rsid w:val="315E08FB"/>
    <w:rsid w:val="315F4D89"/>
    <w:rsid w:val="327012C3"/>
    <w:rsid w:val="32AC094E"/>
    <w:rsid w:val="32DD09B1"/>
    <w:rsid w:val="336B5FF6"/>
    <w:rsid w:val="3398566D"/>
    <w:rsid w:val="339B530E"/>
    <w:rsid w:val="33B71CA0"/>
    <w:rsid w:val="34375174"/>
    <w:rsid w:val="34490FA6"/>
    <w:rsid w:val="34BF0E0C"/>
    <w:rsid w:val="35400F5E"/>
    <w:rsid w:val="35596D73"/>
    <w:rsid w:val="356103C1"/>
    <w:rsid w:val="35624307"/>
    <w:rsid w:val="35867B7C"/>
    <w:rsid w:val="35EF40B4"/>
    <w:rsid w:val="36F2243E"/>
    <w:rsid w:val="37316346"/>
    <w:rsid w:val="376D0FF4"/>
    <w:rsid w:val="379522F8"/>
    <w:rsid w:val="37BB5BE3"/>
    <w:rsid w:val="37C3064D"/>
    <w:rsid w:val="37C94B02"/>
    <w:rsid w:val="37FC6202"/>
    <w:rsid w:val="385E298D"/>
    <w:rsid w:val="38C51FA1"/>
    <w:rsid w:val="38C56745"/>
    <w:rsid w:val="38ED5B17"/>
    <w:rsid w:val="3900085F"/>
    <w:rsid w:val="391F5908"/>
    <w:rsid w:val="396B4F6F"/>
    <w:rsid w:val="3A2813AC"/>
    <w:rsid w:val="3A325BDD"/>
    <w:rsid w:val="3AAA205E"/>
    <w:rsid w:val="3AC405E4"/>
    <w:rsid w:val="3B27182E"/>
    <w:rsid w:val="3B5755D8"/>
    <w:rsid w:val="3B680882"/>
    <w:rsid w:val="3B7179B9"/>
    <w:rsid w:val="3C3E4D0D"/>
    <w:rsid w:val="3C5740DD"/>
    <w:rsid w:val="3C647525"/>
    <w:rsid w:val="3C806CA2"/>
    <w:rsid w:val="3C875BD5"/>
    <w:rsid w:val="3C887232"/>
    <w:rsid w:val="3CC6323C"/>
    <w:rsid w:val="3CDE308C"/>
    <w:rsid w:val="3D3F6549"/>
    <w:rsid w:val="3D6E3B32"/>
    <w:rsid w:val="3DA476DF"/>
    <w:rsid w:val="3DA9026A"/>
    <w:rsid w:val="3E007463"/>
    <w:rsid w:val="3E3D322B"/>
    <w:rsid w:val="3E8D79E9"/>
    <w:rsid w:val="3E8E1D06"/>
    <w:rsid w:val="3E9B73AF"/>
    <w:rsid w:val="3F51170A"/>
    <w:rsid w:val="3FA505CC"/>
    <w:rsid w:val="3FD66319"/>
    <w:rsid w:val="40291242"/>
    <w:rsid w:val="40507902"/>
    <w:rsid w:val="405204BF"/>
    <w:rsid w:val="407A6954"/>
    <w:rsid w:val="407C1AED"/>
    <w:rsid w:val="40AE6405"/>
    <w:rsid w:val="40E2372C"/>
    <w:rsid w:val="411F627D"/>
    <w:rsid w:val="416F7716"/>
    <w:rsid w:val="4176039B"/>
    <w:rsid w:val="417B430D"/>
    <w:rsid w:val="417F3EA0"/>
    <w:rsid w:val="41A82C28"/>
    <w:rsid w:val="41AE67D0"/>
    <w:rsid w:val="420C4EF5"/>
    <w:rsid w:val="42181E5B"/>
    <w:rsid w:val="421F4DB9"/>
    <w:rsid w:val="42823479"/>
    <w:rsid w:val="42881AA6"/>
    <w:rsid w:val="42E02E33"/>
    <w:rsid w:val="42F65BA4"/>
    <w:rsid w:val="434C47FE"/>
    <w:rsid w:val="4364501E"/>
    <w:rsid w:val="43C81360"/>
    <w:rsid w:val="43D4281E"/>
    <w:rsid w:val="4453447A"/>
    <w:rsid w:val="44E855CD"/>
    <w:rsid w:val="44F64D49"/>
    <w:rsid w:val="459B770E"/>
    <w:rsid w:val="45D313A6"/>
    <w:rsid w:val="45D94A67"/>
    <w:rsid w:val="45E375FE"/>
    <w:rsid w:val="462E1DF2"/>
    <w:rsid w:val="46307118"/>
    <w:rsid w:val="46316751"/>
    <w:rsid w:val="46642C04"/>
    <w:rsid w:val="46880C8C"/>
    <w:rsid w:val="46C978C9"/>
    <w:rsid w:val="46FF153C"/>
    <w:rsid w:val="47195F8F"/>
    <w:rsid w:val="471C20EE"/>
    <w:rsid w:val="472509CB"/>
    <w:rsid w:val="473C24B5"/>
    <w:rsid w:val="478A2A55"/>
    <w:rsid w:val="479E38D8"/>
    <w:rsid w:val="47EB734B"/>
    <w:rsid w:val="486E372E"/>
    <w:rsid w:val="48934AEB"/>
    <w:rsid w:val="48C93BB0"/>
    <w:rsid w:val="490377B4"/>
    <w:rsid w:val="492E33C0"/>
    <w:rsid w:val="495261A3"/>
    <w:rsid w:val="495D6F47"/>
    <w:rsid w:val="498A0C86"/>
    <w:rsid w:val="499A379E"/>
    <w:rsid w:val="4A0550BC"/>
    <w:rsid w:val="4A0B4816"/>
    <w:rsid w:val="4A107CDA"/>
    <w:rsid w:val="4A79782A"/>
    <w:rsid w:val="4AA303C5"/>
    <w:rsid w:val="4AE901CC"/>
    <w:rsid w:val="4AF33166"/>
    <w:rsid w:val="4B36226E"/>
    <w:rsid w:val="4C4814B5"/>
    <w:rsid w:val="4CD16F98"/>
    <w:rsid w:val="4CD722EC"/>
    <w:rsid w:val="4D8C494F"/>
    <w:rsid w:val="4DAB6BDA"/>
    <w:rsid w:val="4E4C44BA"/>
    <w:rsid w:val="4E7C3AE4"/>
    <w:rsid w:val="4EB6646D"/>
    <w:rsid w:val="4EB85A8B"/>
    <w:rsid w:val="4F2A2BCF"/>
    <w:rsid w:val="4F4B71E8"/>
    <w:rsid w:val="4F5E692A"/>
    <w:rsid w:val="4FA766A8"/>
    <w:rsid w:val="4FDA48F5"/>
    <w:rsid w:val="50414974"/>
    <w:rsid w:val="504413AB"/>
    <w:rsid w:val="50964CC0"/>
    <w:rsid w:val="51171D45"/>
    <w:rsid w:val="51404F43"/>
    <w:rsid w:val="519805C3"/>
    <w:rsid w:val="51B11685"/>
    <w:rsid w:val="51F82BBB"/>
    <w:rsid w:val="522B7DE8"/>
    <w:rsid w:val="522D3402"/>
    <w:rsid w:val="527728CF"/>
    <w:rsid w:val="52DC6BD6"/>
    <w:rsid w:val="52DD21C1"/>
    <w:rsid w:val="52EB6588"/>
    <w:rsid w:val="53157C48"/>
    <w:rsid w:val="53AC11E6"/>
    <w:rsid w:val="542D2B1D"/>
    <w:rsid w:val="5472334E"/>
    <w:rsid w:val="54CE480A"/>
    <w:rsid w:val="54D77655"/>
    <w:rsid w:val="54F0197D"/>
    <w:rsid w:val="54FC7E4D"/>
    <w:rsid w:val="551C7980"/>
    <w:rsid w:val="5549056E"/>
    <w:rsid w:val="55C81AB9"/>
    <w:rsid w:val="55F518E9"/>
    <w:rsid w:val="55FF6EF7"/>
    <w:rsid w:val="56325CFA"/>
    <w:rsid w:val="5664557C"/>
    <w:rsid w:val="56BB3C75"/>
    <w:rsid w:val="56C3089C"/>
    <w:rsid w:val="56C65470"/>
    <w:rsid w:val="56DE7067"/>
    <w:rsid w:val="570955B4"/>
    <w:rsid w:val="5725657E"/>
    <w:rsid w:val="57527C3E"/>
    <w:rsid w:val="5783793E"/>
    <w:rsid w:val="57CC2BA0"/>
    <w:rsid w:val="580956C4"/>
    <w:rsid w:val="587B1836"/>
    <w:rsid w:val="58DC41BC"/>
    <w:rsid w:val="58DC7930"/>
    <w:rsid w:val="58DF3A45"/>
    <w:rsid w:val="59257C80"/>
    <w:rsid w:val="597C73A7"/>
    <w:rsid w:val="598D26AC"/>
    <w:rsid w:val="599F77C9"/>
    <w:rsid w:val="59C95F43"/>
    <w:rsid w:val="59DE214B"/>
    <w:rsid w:val="59F53571"/>
    <w:rsid w:val="5A0045B8"/>
    <w:rsid w:val="5A772767"/>
    <w:rsid w:val="5A93268F"/>
    <w:rsid w:val="5AB2046A"/>
    <w:rsid w:val="5AC82B93"/>
    <w:rsid w:val="5AE14D89"/>
    <w:rsid w:val="5AE6318E"/>
    <w:rsid w:val="5AFB13A2"/>
    <w:rsid w:val="5BFF13ED"/>
    <w:rsid w:val="5C8E651C"/>
    <w:rsid w:val="5CF914BA"/>
    <w:rsid w:val="5D120EE1"/>
    <w:rsid w:val="5D3A5D7E"/>
    <w:rsid w:val="5D7C6FEB"/>
    <w:rsid w:val="5DB443B5"/>
    <w:rsid w:val="5DC012A8"/>
    <w:rsid w:val="5DCA7D57"/>
    <w:rsid w:val="5E313880"/>
    <w:rsid w:val="5E803BCC"/>
    <w:rsid w:val="5E8A187A"/>
    <w:rsid w:val="5EAE4FD3"/>
    <w:rsid w:val="5F09244A"/>
    <w:rsid w:val="5F9177D9"/>
    <w:rsid w:val="5FD41D53"/>
    <w:rsid w:val="600C2AB9"/>
    <w:rsid w:val="602A334A"/>
    <w:rsid w:val="60402552"/>
    <w:rsid w:val="60B25AEA"/>
    <w:rsid w:val="60CC0704"/>
    <w:rsid w:val="6116564E"/>
    <w:rsid w:val="615C6151"/>
    <w:rsid w:val="61626B32"/>
    <w:rsid w:val="61BD2A1D"/>
    <w:rsid w:val="62047871"/>
    <w:rsid w:val="622B3906"/>
    <w:rsid w:val="62494283"/>
    <w:rsid w:val="628428BC"/>
    <w:rsid w:val="62EF46F3"/>
    <w:rsid w:val="630B113D"/>
    <w:rsid w:val="63213A50"/>
    <w:rsid w:val="64102296"/>
    <w:rsid w:val="642B7DAF"/>
    <w:rsid w:val="646D3E65"/>
    <w:rsid w:val="64914748"/>
    <w:rsid w:val="64AB754F"/>
    <w:rsid w:val="64C104A9"/>
    <w:rsid w:val="64C53799"/>
    <w:rsid w:val="64C93ECA"/>
    <w:rsid w:val="64CA3CB4"/>
    <w:rsid w:val="64CB0731"/>
    <w:rsid w:val="64EC0669"/>
    <w:rsid w:val="65044496"/>
    <w:rsid w:val="65693C54"/>
    <w:rsid w:val="65714A10"/>
    <w:rsid w:val="65776156"/>
    <w:rsid w:val="65B705EA"/>
    <w:rsid w:val="65EF7DA6"/>
    <w:rsid w:val="6644264B"/>
    <w:rsid w:val="6653420D"/>
    <w:rsid w:val="66B77D63"/>
    <w:rsid w:val="66BA6E26"/>
    <w:rsid w:val="66F10A4A"/>
    <w:rsid w:val="67477DD7"/>
    <w:rsid w:val="67895BD4"/>
    <w:rsid w:val="67923FAF"/>
    <w:rsid w:val="67997816"/>
    <w:rsid w:val="67A856DC"/>
    <w:rsid w:val="67AB689B"/>
    <w:rsid w:val="680C7971"/>
    <w:rsid w:val="682E6AFE"/>
    <w:rsid w:val="6843464A"/>
    <w:rsid w:val="68A501F9"/>
    <w:rsid w:val="68AF4719"/>
    <w:rsid w:val="68B476C6"/>
    <w:rsid w:val="69194288"/>
    <w:rsid w:val="6957448A"/>
    <w:rsid w:val="69676C0C"/>
    <w:rsid w:val="698D10CC"/>
    <w:rsid w:val="69AE1092"/>
    <w:rsid w:val="69C959DF"/>
    <w:rsid w:val="6A334D67"/>
    <w:rsid w:val="6A576495"/>
    <w:rsid w:val="6A753B41"/>
    <w:rsid w:val="6A8433D5"/>
    <w:rsid w:val="6AC00E8A"/>
    <w:rsid w:val="6AC515DC"/>
    <w:rsid w:val="6BA30B8B"/>
    <w:rsid w:val="6BB205D7"/>
    <w:rsid w:val="6BC664F4"/>
    <w:rsid w:val="6BD36CF4"/>
    <w:rsid w:val="6BF57693"/>
    <w:rsid w:val="6C046B2A"/>
    <w:rsid w:val="6CDE2D6D"/>
    <w:rsid w:val="6D0A63C2"/>
    <w:rsid w:val="6D163809"/>
    <w:rsid w:val="6D2120C6"/>
    <w:rsid w:val="6D2917A9"/>
    <w:rsid w:val="6D2C01D4"/>
    <w:rsid w:val="6D4E6E2B"/>
    <w:rsid w:val="6D514B1A"/>
    <w:rsid w:val="6DAF2C40"/>
    <w:rsid w:val="6DCD6F00"/>
    <w:rsid w:val="6DD662A4"/>
    <w:rsid w:val="6DD70987"/>
    <w:rsid w:val="6DD85753"/>
    <w:rsid w:val="6DDE05B9"/>
    <w:rsid w:val="6E6C0E13"/>
    <w:rsid w:val="6E8615C7"/>
    <w:rsid w:val="6E886FBB"/>
    <w:rsid w:val="6EA23ED2"/>
    <w:rsid w:val="6EA4707E"/>
    <w:rsid w:val="6EDD1581"/>
    <w:rsid w:val="6EE37D9F"/>
    <w:rsid w:val="6F33431F"/>
    <w:rsid w:val="6F627C19"/>
    <w:rsid w:val="6F64384D"/>
    <w:rsid w:val="6FD71E92"/>
    <w:rsid w:val="6FE0340A"/>
    <w:rsid w:val="70227EC6"/>
    <w:rsid w:val="703F60A8"/>
    <w:rsid w:val="706A1CB1"/>
    <w:rsid w:val="70822713"/>
    <w:rsid w:val="70B46F74"/>
    <w:rsid w:val="70D76034"/>
    <w:rsid w:val="70E02081"/>
    <w:rsid w:val="70F41B42"/>
    <w:rsid w:val="714E772A"/>
    <w:rsid w:val="71FB028A"/>
    <w:rsid w:val="724B5262"/>
    <w:rsid w:val="72875C50"/>
    <w:rsid w:val="729130E1"/>
    <w:rsid w:val="729539BC"/>
    <w:rsid w:val="72A17885"/>
    <w:rsid w:val="72D134DE"/>
    <w:rsid w:val="72FD1EE3"/>
    <w:rsid w:val="73900C02"/>
    <w:rsid w:val="73940F35"/>
    <w:rsid w:val="73BE334D"/>
    <w:rsid w:val="73D253BE"/>
    <w:rsid w:val="746C5BB4"/>
    <w:rsid w:val="74E538AA"/>
    <w:rsid w:val="74EB0EC0"/>
    <w:rsid w:val="74EB26E9"/>
    <w:rsid w:val="74F6102E"/>
    <w:rsid w:val="7529519B"/>
    <w:rsid w:val="75360D61"/>
    <w:rsid w:val="75AB44BA"/>
    <w:rsid w:val="75CC203F"/>
    <w:rsid w:val="75F6021B"/>
    <w:rsid w:val="76263B40"/>
    <w:rsid w:val="767D2702"/>
    <w:rsid w:val="76A52F33"/>
    <w:rsid w:val="76AD3EE0"/>
    <w:rsid w:val="76B40FB3"/>
    <w:rsid w:val="77463913"/>
    <w:rsid w:val="778154D2"/>
    <w:rsid w:val="77B3710F"/>
    <w:rsid w:val="77F14B39"/>
    <w:rsid w:val="781929EC"/>
    <w:rsid w:val="784E6FD5"/>
    <w:rsid w:val="79215207"/>
    <w:rsid w:val="79533ADC"/>
    <w:rsid w:val="7982320E"/>
    <w:rsid w:val="79992F3A"/>
    <w:rsid w:val="79AE33E5"/>
    <w:rsid w:val="79EC68CF"/>
    <w:rsid w:val="7A3E3951"/>
    <w:rsid w:val="7A921700"/>
    <w:rsid w:val="7A9D7487"/>
    <w:rsid w:val="7ADF7850"/>
    <w:rsid w:val="7AF85F95"/>
    <w:rsid w:val="7B2C0F5F"/>
    <w:rsid w:val="7B447C52"/>
    <w:rsid w:val="7B5641A4"/>
    <w:rsid w:val="7B8E01BE"/>
    <w:rsid w:val="7B9F23CB"/>
    <w:rsid w:val="7BBF4CC5"/>
    <w:rsid w:val="7BC167E5"/>
    <w:rsid w:val="7BE44282"/>
    <w:rsid w:val="7BEB23A7"/>
    <w:rsid w:val="7C1A207B"/>
    <w:rsid w:val="7C30076C"/>
    <w:rsid w:val="7C452B24"/>
    <w:rsid w:val="7C4E0379"/>
    <w:rsid w:val="7C537629"/>
    <w:rsid w:val="7C601C17"/>
    <w:rsid w:val="7C9712F4"/>
    <w:rsid w:val="7CC04CEF"/>
    <w:rsid w:val="7CC83F86"/>
    <w:rsid w:val="7CCA3711"/>
    <w:rsid w:val="7D1F193A"/>
    <w:rsid w:val="7D2E5A63"/>
    <w:rsid w:val="7D86745E"/>
    <w:rsid w:val="7D9A12A0"/>
    <w:rsid w:val="7DDD620F"/>
    <w:rsid w:val="7DE00C30"/>
    <w:rsid w:val="7DEE4676"/>
    <w:rsid w:val="7DFE187A"/>
    <w:rsid w:val="7E0706D0"/>
    <w:rsid w:val="7E331077"/>
    <w:rsid w:val="7E6D055E"/>
    <w:rsid w:val="7E8A7362"/>
    <w:rsid w:val="7EB77A2B"/>
    <w:rsid w:val="7ED25A6D"/>
    <w:rsid w:val="7EF95A5A"/>
    <w:rsid w:val="7F2E09F5"/>
    <w:rsid w:val="7F531E4A"/>
    <w:rsid w:val="7F6F10F3"/>
    <w:rsid w:val="7FBC4125"/>
    <w:rsid w:val="7FCA3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10">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11">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unhideWhenUsed/>
    <w:qFormat/>
    <w:uiPriority w:val="0"/>
    <w:pPr>
      <w:ind w:firstLine="420" w:firstLineChars="100"/>
    </w:pPr>
    <w:rPr>
      <w:rFonts w:hint="eastAsia" w:ascii="楷体_GB2312" w:eastAsia="楷体_GB2312"/>
      <w:sz w:val="32"/>
    </w:rPr>
  </w:style>
  <w:style w:type="paragraph" w:styleId="3">
    <w:name w:val="Body Text"/>
    <w:basedOn w:val="1"/>
    <w:next w:val="4"/>
    <w:autoRedefine/>
    <w:qFormat/>
    <w:uiPriority w:val="0"/>
    <w:rPr>
      <w:rFonts w:ascii="Times New Roman" w:hAnsi="Times New Roman"/>
    </w:rPr>
  </w:style>
  <w:style w:type="paragraph" w:styleId="4">
    <w:name w:val="Body Text 2"/>
    <w:basedOn w:val="1"/>
    <w:next w:val="3"/>
    <w:autoRedefine/>
    <w:unhideWhenUsed/>
    <w:qFormat/>
    <w:uiPriority w:val="0"/>
    <w:pPr>
      <w:spacing w:after="120" w:line="480" w:lineRule="auto"/>
    </w:pPr>
    <w:rPr>
      <w:rFonts w:ascii="Times New Roman" w:hAnsi="Times New Roman"/>
    </w:rPr>
  </w:style>
  <w:style w:type="paragraph" w:styleId="5">
    <w:name w:val="Body Text First Indent 2"/>
    <w:basedOn w:val="6"/>
    <w:next w:val="8"/>
    <w:autoRedefine/>
    <w:qFormat/>
    <w:uiPriority w:val="0"/>
    <w:pPr>
      <w:ind w:firstLine="420"/>
    </w:pPr>
  </w:style>
  <w:style w:type="paragraph" w:styleId="6">
    <w:name w:val="Body Text Indent"/>
    <w:basedOn w:val="1"/>
    <w:next w:val="7"/>
    <w:autoRedefine/>
    <w:qFormat/>
    <w:uiPriority w:val="0"/>
    <w:pPr>
      <w:ind w:firstLine="560" w:firstLineChars="200"/>
    </w:pPr>
    <w:rPr>
      <w:rFonts w:ascii="Times New Roman" w:hAnsi="Times New Roman"/>
    </w:r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unhideWhenUsed/>
    <w:qFormat/>
    <w:uiPriority w:val="99"/>
    <w:pPr>
      <w:ind w:firstLine="420"/>
    </w:pPr>
    <w:rPr>
      <w:rFonts w:ascii="Calibri" w:hAnsi="Calibri"/>
      <w:szCs w:val="20"/>
    </w:rPr>
  </w:style>
  <w:style w:type="paragraph" w:styleId="12">
    <w:name w:val="caption"/>
    <w:basedOn w:val="1"/>
    <w:next w:val="1"/>
    <w:autoRedefine/>
    <w:qFormat/>
    <w:uiPriority w:val="0"/>
    <w:rPr>
      <w:rFonts w:ascii="Arial" w:hAnsi="Arial" w:eastAsia="黑体" w:cstheme="minorBidi"/>
      <w:sz w:val="20"/>
    </w:rPr>
  </w:style>
  <w:style w:type="paragraph" w:styleId="13">
    <w:name w:val="toa heading"/>
    <w:basedOn w:val="1"/>
    <w:next w:val="1"/>
    <w:autoRedefine/>
    <w:unhideWhenUsed/>
    <w:qFormat/>
    <w:uiPriority w:val="99"/>
    <w:pPr>
      <w:spacing w:before="120"/>
    </w:pPr>
    <w:rPr>
      <w:rFonts w:ascii="Arial" w:hAnsi="Arial" w:cs="Arial"/>
      <w:sz w:val="24"/>
    </w:rPr>
  </w:style>
  <w:style w:type="paragraph" w:styleId="14">
    <w:name w:val="annotation text"/>
    <w:basedOn w:val="1"/>
    <w:link w:val="67"/>
    <w:autoRedefine/>
    <w:qFormat/>
    <w:uiPriority w:val="0"/>
    <w:pPr>
      <w:jc w:val="left"/>
    </w:pPr>
  </w:style>
  <w:style w:type="paragraph" w:styleId="15">
    <w:name w:val="Body Text 3"/>
    <w:basedOn w:val="1"/>
    <w:autoRedefine/>
    <w:unhideWhenUsed/>
    <w:qFormat/>
    <w:uiPriority w:val="0"/>
    <w:pPr>
      <w:spacing w:after="120"/>
    </w:pPr>
    <w:rPr>
      <w:rFonts w:ascii="Times New Roman" w:hAnsi="Times New Roman"/>
      <w:sz w:val="16"/>
      <w:szCs w:val="16"/>
    </w:r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hint="eastAsia" w:ascii="宋体" w:hAnsi="Courier New"/>
      <w:szCs w:val="21"/>
    </w:rPr>
  </w:style>
  <w:style w:type="paragraph" w:styleId="18">
    <w:name w:val="Balloon Text"/>
    <w:basedOn w:val="1"/>
    <w:link w:val="69"/>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1">
    <w:name w:val="toc 1"/>
    <w:basedOn w:val="1"/>
    <w:next w:val="1"/>
    <w:autoRedefine/>
    <w:qFormat/>
    <w:uiPriority w:val="0"/>
    <w:rPr>
      <w:rFonts w:ascii="Times New Roman" w:hAnsi="Times New Roman"/>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4"/>
    <w:next w:val="14"/>
    <w:link w:val="68"/>
    <w:autoRedefine/>
    <w:qFormat/>
    <w:uiPriority w:val="0"/>
    <w:rPr>
      <w:b/>
      <w:bCs/>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autoRedefine/>
    <w:qFormat/>
    <w:uiPriority w:val="0"/>
    <w:rPr>
      <w:color w:val="800080"/>
      <w:u w:val="none"/>
    </w:rPr>
  </w:style>
  <w:style w:type="character" w:styleId="30">
    <w:name w:val="HTML Definition"/>
    <w:basedOn w:val="28"/>
    <w:autoRedefine/>
    <w:qFormat/>
    <w:uiPriority w:val="0"/>
  </w:style>
  <w:style w:type="character" w:styleId="31">
    <w:name w:val="HTML Typewriter"/>
    <w:basedOn w:val="28"/>
    <w:autoRedefine/>
    <w:qFormat/>
    <w:uiPriority w:val="0"/>
    <w:rPr>
      <w:rFonts w:hint="default" w:ascii="monospace" w:hAnsi="monospace" w:eastAsia="monospace" w:cs="monospace"/>
      <w:sz w:val="20"/>
    </w:rPr>
  </w:style>
  <w:style w:type="character" w:styleId="32">
    <w:name w:val="HTML Acronym"/>
    <w:basedOn w:val="28"/>
    <w:autoRedefine/>
    <w:qFormat/>
    <w:uiPriority w:val="0"/>
  </w:style>
  <w:style w:type="character" w:styleId="33">
    <w:name w:val="HTML Variable"/>
    <w:basedOn w:val="28"/>
    <w:autoRedefine/>
    <w:qFormat/>
    <w:uiPriority w:val="0"/>
  </w:style>
  <w:style w:type="character" w:styleId="34">
    <w:name w:val="Hyperlink"/>
    <w:autoRedefine/>
    <w:qFormat/>
    <w:uiPriority w:val="99"/>
    <w:rPr>
      <w:rFonts w:cs="Times New Roman"/>
      <w:color w:val="0000FF"/>
      <w:u w:val="single"/>
    </w:rPr>
  </w:style>
  <w:style w:type="character" w:styleId="35">
    <w:name w:val="HTML Code"/>
    <w:basedOn w:val="28"/>
    <w:autoRedefine/>
    <w:qFormat/>
    <w:uiPriority w:val="0"/>
    <w:rPr>
      <w:rFonts w:ascii="monospace" w:hAnsi="monospace" w:eastAsia="monospace" w:cs="monospace"/>
      <w:sz w:val="20"/>
    </w:rPr>
  </w:style>
  <w:style w:type="character" w:styleId="36">
    <w:name w:val="annotation reference"/>
    <w:basedOn w:val="28"/>
    <w:autoRedefine/>
    <w:qFormat/>
    <w:uiPriority w:val="0"/>
    <w:rPr>
      <w:sz w:val="21"/>
      <w:szCs w:val="21"/>
    </w:rPr>
  </w:style>
  <w:style w:type="character" w:styleId="37">
    <w:name w:val="HTML Cite"/>
    <w:basedOn w:val="28"/>
    <w:autoRedefine/>
    <w:qFormat/>
    <w:uiPriority w:val="0"/>
  </w:style>
  <w:style w:type="character" w:styleId="38">
    <w:name w:val="HTML Keyboard"/>
    <w:basedOn w:val="28"/>
    <w:autoRedefine/>
    <w:qFormat/>
    <w:uiPriority w:val="0"/>
    <w:rPr>
      <w:rFonts w:hint="default" w:ascii="monospace" w:hAnsi="monospace" w:eastAsia="monospace" w:cs="monospace"/>
      <w:sz w:val="20"/>
    </w:rPr>
  </w:style>
  <w:style w:type="character" w:styleId="39">
    <w:name w:val="HTML Sample"/>
    <w:basedOn w:val="28"/>
    <w:autoRedefine/>
    <w:qFormat/>
    <w:uiPriority w:val="0"/>
    <w:rPr>
      <w:rFonts w:hint="default" w:ascii="monospace" w:hAnsi="monospace" w:eastAsia="monospace" w:cs="monospace"/>
    </w:rPr>
  </w:style>
  <w:style w:type="paragraph" w:customStyle="1" w:styleId="40">
    <w:name w:val="无间隔1"/>
    <w:basedOn w:val="1"/>
    <w:next w:val="41"/>
    <w:autoRedefine/>
    <w:qFormat/>
    <w:uiPriority w:val="0"/>
    <w:pPr>
      <w:spacing w:line="400" w:lineRule="exact"/>
    </w:pPr>
    <w:rPr>
      <w:sz w:val="24"/>
    </w:rPr>
  </w:style>
  <w:style w:type="paragraph" w:customStyle="1" w:styleId="41">
    <w:name w:val="正文（首行缩进） Char"/>
    <w:basedOn w:val="1"/>
    <w:next w:val="42"/>
    <w:autoRedefine/>
    <w:qFormat/>
    <w:uiPriority w:val="0"/>
    <w:pPr>
      <w:spacing w:line="360" w:lineRule="auto"/>
      <w:ind w:firstLine="480"/>
    </w:pPr>
    <w:rPr>
      <w:rFonts w:ascii="Arial" w:eastAsia="宋体"/>
      <w:color w:val="000000"/>
      <w:sz w:val="24"/>
    </w:rPr>
  </w:style>
  <w:style w:type="paragraph" w:customStyle="1" w:styleId="42">
    <w:name w:val="2号黑体加粗"/>
    <w:basedOn w:val="1"/>
    <w:next w:val="43"/>
    <w:autoRedefine/>
    <w:qFormat/>
    <w:uiPriority w:val="0"/>
    <w:pPr>
      <w:jc w:val="center"/>
    </w:pPr>
    <w:rPr>
      <w:rFonts w:ascii="Calibri" w:eastAsia="黑体"/>
      <w:b/>
      <w:sz w:val="44"/>
    </w:rPr>
  </w:style>
  <w:style w:type="paragraph" w:customStyle="1" w:styleId="43">
    <w:name w:val="表格文字"/>
    <w:basedOn w:val="1"/>
    <w:next w:val="1"/>
    <w:autoRedefine/>
    <w:qFormat/>
    <w:uiPriority w:val="0"/>
    <w:pPr>
      <w:adjustRightInd w:val="0"/>
      <w:spacing w:line="420" w:lineRule="atLeast"/>
      <w:jc w:val="left"/>
      <w:textAlignment w:val="baseline"/>
    </w:pPr>
    <w:rPr>
      <w:kern w:val="0"/>
    </w:rPr>
  </w:style>
  <w:style w:type="paragraph" w:customStyle="1" w:styleId="44">
    <w:name w:val="style4"/>
    <w:basedOn w:val="45"/>
    <w:next w:val="46"/>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正文_0"/>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Style1"/>
    <w:next w:val="48"/>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8">
    <w:name w:val="*正文"/>
    <w:basedOn w:val="1"/>
    <w:autoRedefine/>
    <w:qFormat/>
    <w:uiPriority w:val="0"/>
    <w:pPr>
      <w:ind w:firstLine="200" w:firstLineChars="200"/>
    </w:pPr>
    <w:rPr>
      <w:rFonts w:ascii="宋体" w:hAnsi="宋体"/>
      <w:szCs w:val="22"/>
    </w:rPr>
  </w:style>
  <w:style w:type="paragraph" w:customStyle="1" w:styleId="49">
    <w:name w:val="Body Text First Indent1"/>
    <w:basedOn w:val="3"/>
    <w:autoRedefine/>
    <w:qFormat/>
    <w:uiPriority w:val="0"/>
    <w:pPr>
      <w:ind w:firstLine="420" w:firstLineChars="100"/>
    </w:pPr>
  </w:style>
  <w:style w:type="paragraph" w:customStyle="1" w:styleId="50">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51">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52">
    <w:name w:val="p0"/>
    <w:basedOn w:val="53"/>
    <w:autoRedefine/>
    <w:qFormat/>
    <w:uiPriority w:val="0"/>
    <w:pPr>
      <w:widowControl/>
    </w:pPr>
    <w:rPr>
      <w:kern w:val="0"/>
      <w:szCs w:val="21"/>
    </w:rPr>
  </w:style>
  <w:style w:type="paragraph" w:customStyle="1" w:styleId="53">
    <w:name w:val="正文1"/>
    <w:next w:val="5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文本1"/>
    <w:basedOn w:val="53"/>
    <w:autoRedefine/>
    <w:qFormat/>
    <w:uiPriority w:val="99"/>
    <w:rPr>
      <w:rFonts w:eastAsia="楷体_GB2312"/>
      <w:sz w:val="28"/>
    </w:rPr>
  </w:style>
  <w:style w:type="character" w:customStyle="1" w:styleId="55">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56">
    <w:name w:val="BodyText1I"/>
    <w:basedOn w:val="57"/>
    <w:next w:val="59"/>
    <w:autoRedefine/>
    <w:qFormat/>
    <w:uiPriority w:val="0"/>
    <w:pPr>
      <w:ind w:firstLine="420" w:firstLineChars="100"/>
    </w:pPr>
    <w:rPr>
      <w:rFonts w:ascii="楷体_GB2312"/>
      <w:sz w:val="32"/>
    </w:rPr>
  </w:style>
  <w:style w:type="paragraph" w:customStyle="1" w:styleId="57">
    <w:name w:val="BodyText"/>
    <w:basedOn w:val="1"/>
    <w:next w:val="58"/>
    <w:autoRedefine/>
    <w:qFormat/>
    <w:uiPriority w:val="0"/>
    <w:pPr>
      <w:textAlignment w:val="baseline"/>
    </w:pPr>
    <w:rPr>
      <w:rFonts w:ascii="Calibri" w:hAnsi="Calibri" w:eastAsia="楷体_GB2312"/>
      <w:kern w:val="0"/>
      <w:sz w:val="28"/>
    </w:rPr>
  </w:style>
  <w:style w:type="paragraph" w:customStyle="1" w:styleId="58">
    <w:name w:val="BodyText2"/>
    <w:basedOn w:val="1"/>
    <w:next w:val="57"/>
    <w:autoRedefine/>
    <w:qFormat/>
    <w:uiPriority w:val="0"/>
    <w:pPr>
      <w:spacing w:after="120" w:line="480" w:lineRule="auto"/>
      <w:textAlignment w:val="baseline"/>
    </w:pPr>
  </w:style>
  <w:style w:type="paragraph" w:customStyle="1" w:styleId="59">
    <w:name w:val="BodyText1I2"/>
    <w:basedOn w:val="60"/>
    <w:autoRedefine/>
    <w:qFormat/>
    <w:uiPriority w:val="0"/>
    <w:pPr>
      <w:ind w:firstLine="420" w:firstLineChars="200"/>
    </w:pPr>
  </w:style>
  <w:style w:type="paragraph" w:customStyle="1" w:styleId="60">
    <w:name w:val="BodyTextIndent"/>
    <w:basedOn w:val="1"/>
    <w:autoRedefine/>
    <w:qFormat/>
    <w:uiPriority w:val="0"/>
    <w:pPr>
      <w:spacing w:after="120"/>
      <w:ind w:left="420" w:leftChars="200"/>
      <w:textAlignment w:val="baseline"/>
    </w:pPr>
  </w:style>
  <w:style w:type="paragraph" w:customStyle="1" w:styleId="61">
    <w:name w:val="TOAHeading"/>
    <w:basedOn w:val="1"/>
    <w:next w:val="1"/>
    <w:autoRedefine/>
    <w:qFormat/>
    <w:uiPriority w:val="0"/>
    <w:pPr>
      <w:spacing w:before="120"/>
      <w:textAlignment w:val="baseline"/>
    </w:pPr>
    <w:rPr>
      <w:rFonts w:ascii="Arial" w:hAnsi="Arial"/>
      <w:sz w:val="24"/>
      <w:szCs w:val="22"/>
    </w:rPr>
  </w:style>
  <w:style w:type="paragraph" w:customStyle="1" w:styleId="62">
    <w:name w:val="Table Paragraph"/>
    <w:basedOn w:val="1"/>
    <w:autoRedefine/>
    <w:qFormat/>
    <w:uiPriority w:val="1"/>
    <w:rPr>
      <w:rFonts w:ascii="宋体" w:hAnsi="宋体" w:cs="宋体"/>
      <w:lang w:val="zh-CN" w:bidi="zh-CN"/>
    </w:rPr>
  </w:style>
  <w:style w:type="paragraph" w:styleId="63">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64">
    <w:name w:val="_Style 41"/>
    <w:basedOn w:val="1"/>
    <w:next w:val="63"/>
    <w:autoRedefine/>
    <w:qFormat/>
    <w:uiPriority w:val="34"/>
    <w:pPr>
      <w:ind w:firstLine="420" w:firstLineChars="200"/>
    </w:pPr>
    <w:rPr>
      <w:rFonts w:ascii="等线" w:hAnsi="等线" w:eastAsia="等线"/>
      <w:szCs w:val="22"/>
    </w:rPr>
  </w:style>
  <w:style w:type="paragraph" w:customStyle="1" w:styleId="6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6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7">
    <w:name w:val="批注文字 字符"/>
    <w:basedOn w:val="28"/>
    <w:link w:val="14"/>
    <w:autoRedefine/>
    <w:qFormat/>
    <w:uiPriority w:val="0"/>
    <w:rPr>
      <w:rFonts w:ascii="Book Antiqua" w:hAnsi="Book Antiqua"/>
      <w:kern w:val="2"/>
      <w:sz w:val="21"/>
      <w:szCs w:val="24"/>
    </w:rPr>
  </w:style>
  <w:style w:type="character" w:customStyle="1" w:styleId="68">
    <w:name w:val="批注主题 字符"/>
    <w:basedOn w:val="67"/>
    <w:link w:val="25"/>
    <w:autoRedefine/>
    <w:qFormat/>
    <w:uiPriority w:val="0"/>
    <w:rPr>
      <w:rFonts w:ascii="Book Antiqua" w:hAnsi="Book Antiqua"/>
      <w:b/>
      <w:bCs/>
      <w:kern w:val="2"/>
      <w:sz w:val="21"/>
      <w:szCs w:val="24"/>
    </w:rPr>
  </w:style>
  <w:style w:type="character" w:customStyle="1" w:styleId="69">
    <w:name w:val="批注框文本 字符"/>
    <w:basedOn w:val="28"/>
    <w:link w:val="18"/>
    <w:autoRedefine/>
    <w:qFormat/>
    <w:uiPriority w:val="0"/>
    <w:rPr>
      <w:rFonts w:ascii="Book Antiqua" w:hAnsi="Book Antiqua"/>
      <w:kern w:val="2"/>
      <w:sz w:val="18"/>
      <w:szCs w:val="18"/>
    </w:rPr>
  </w:style>
  <w:style w:type="paragraph" w:customStyle="1" w:styleId="70">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71">
    <w:name w:val="正文首行缩进 21"/>
    <w:basedOn w:val="1"/>
    <w:autoRedefine/>
    <w:qFormat/>
    <w:uiPriority w:val="0"/>
    <w:pPr>
      <w:tabs>
        <w:tab w:val="left" w:pos="945"/>
        <w:tab w:val="left" w:pos="1155"/>
      </w:tabs>
      <w:ind w:firstLine="420" w:firstLineChars="200"/>
    </w:pPr>
    <w:rPr>
      <w:rFonts w:ascii="宋体"/>
      <w:sz w:val="24"/>
      <w:szCs w:val="20"/>
    </w:rPr>
  </w:style>
  <w:style w:type="paragraph" w:customStyle="1" w:styleId="72">
    <w:name w:val="WPSOffice手动目录 1"/>
    <w:autoRedefine/>
    <w:qFormat/>
    <w:uiPriority w:val="0"/>
    <w:rPr>
      <w:rFonts w:ascii="Times New Roman" w:hAnsi="Times New Roman" w:eastAsia="宋体" w:cs="Times New Roman"/>
      <w:lang w:val="en-US" w:eastAsia="zh-CN" w:bidi="ar-SA"/>
    </w:rPr>
  </w:style>
  <w:style w:type="paragraph" w:customStyle="1" w:styleId="73">
    <w:name w:val="正文文本首行缩进 21"/>
    <w:basedOn w:val="74"/>
    <w:autoRedefine/>
    <w:qFormat/>
    <w:uiPriority w:val="0"/>
    <w:pPr>
      <w:ind w:firstLine="420" w:firstLineChars="200"/>
    </w:pPr>
  </w:style>
  <w:style w:type="paragraph" w:customStyle="1" w:styleId="74">
    <w:name w:val="正文文本缩进1"/>
    <w:basedOn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23679</Words>
  <Characters>25525</Characters>
  <Lines>225</Lines>
  <Paragraphs>63</Paragraphs>
  <TotalTime>11</TotalTime>
  <ScaleCrop>false</ScaleCrop>
  <LinksUpToDate>false</LinksUpToDate>
  <CharactersWithSpaces>27527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2023-03-01T00:37:00Z</dcterms:created>
  <dc:creator>DELL</dc:creator>
  <cp:lastModifiedBy>一切都是最好的安排</cp:lastModifiedBy>
  <cp:lastPrinted>2023-04-18T07:16:00Z</cp:lastPrinted>
  <dcterms:modified xsi:type="dcterms:W3CDTF">2024-01-23T07:26:21Z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94C29E52C6C84F67B53640AA322139BF_13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