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center"/>
        <w:rPr>
          <w:rFonts w:ascii="宋体" w:hAnsi="宋体" w:cs="宋体"/>
          <w:b/>
          <w:color w:val="auto"/>
          <w:sz w:val="36"/>
          <w:szCs w:val="36"/>
          <w:highlight w:val="none"/>
        </w:rPr>
      </w:pPr>
    </w:p>
    <w:p>
      <w:pPr>
        <w:pStyle w:val="23"/>
        <w:jc w:val="center"/>
        <w:rPr>
          <w:rFonts w:ascii="宋体" w:hAnsi="宋体" w:cs="宋体"/>
          <w:b/>
          <w:color w:val="auto"/>
          <w:sz w:val="44"/>
          <w:szCs w:val="44"/>
          <w:highlight w:val="none"/>
        </w:rPr>
      </w:pPr>
      <w:r>
        <w:rPr>
          <w:rFonts w:hint="eastAsia" w:ascii="宋体" w:hAnsi="宋体" w:cs="宋体"/>
          <w:b/>
          <w:color w:val="auto"/>
          <w:sz w:val="44"/>
          <w:szCs w:val="44"/>
          <w:highlight w:val="none"/>
        </w:rPr>
        <w:t>博爱县县级特殊教育资源中心建设采购项目</w:t>
      </w:r>
    </w:p>
    <w:p>
      <w:pPr>
        <w:pStyle w:val="11"/>
        <w:ind w:firstLine="420"/>
        <w:rPr>
          <w:color w:val="auto"/>
          <w:highlight w:val="none"/>
        </w:rPr>
      </w:pPr>
    </w:p>
    <w:p>
      <w:pPr>
        <w:snapToGrid w:val="0"/>
        <w:spacing w:line="360" w:lineRule="auto"/>
        <w:jc w:val="center"/>
        <w:rPr>
          <w:rFonts w:ascii="宋体" w:hAnsi="宋体" w:cs="宋体"/>
          <w:b/>
          <w:color w:val="auto"/>
          <w:kern w:val="0"/>
          <w:sz w:val="72"/>
          <w:szCs w:val="72"/>
          <w:highlight w:val="none"/>
        </w:rPr>
      </w:pPr>
      <w:bookmarkStart w:id="54" w:name="_GoBack"/>
      <w:bookmarkEnd w:id="54"/>
    </w:p>
    <w:p>
      <w:pPr>
        <w:snapToGrid w:val="0"/>
        <w:spacing w:line="360" w:lineRule="auto"/>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 xml:space="preserve">竞争性谈判文件       </w:t>
      </w:r>
    </w:p>
    <w:p>
      <w:pPr>
        <w:snapToGrid w:val="0"/>
        <w:spacing w:line="360" w:lineRule="auto"/>
        <w:jc w:val="center"/>
        <w:rPr>
          <w:rFonts w:ascii="宋体" w:hAnsi="宋体" w:cs="宋体"/>
          <w:b/>
          <w:color w:val="auto"/>
          <w:spacing w:val="-6"/>
          <w:sz w:val="30"/>
          <w:szCs w:val="30"/>
          <w:highlight w:val="none"/>
        </w:rPr>
      </w:pPr>
      <w:r>
        <w:rPr>
          <w:rFonts w:hint="eastAsia" w:ascii="宋体" w:hAnsi="宋体" w:cs="宋体"/>
          <w:color w:val="auto"/>
          <w:highlight w:val="none"/>
        </w:rPr>
        <w:drawing>
          <wp:anchor distT="0" distB="0" distL="114300" distR="114300" simplePos="0" relativeHeight="251669504" behindDoc="1" locked="0" layoutInCell="1" allowOverlap="1">
            <wp:simplePos x="0" y="0"/>
            <wp:positionH relativeFrom="column">
              <wp:posOffset>1775460</wp:posOffset>
            </wp:positionH>
            <wp:positionV relativeFrom="paragraph">
              <wp:posOffset>327660</wp:posOffset>
            </wp:positionV>
            <wp:extent cx="2296160" cy="2002790"/>
            <wp:effectExtent l="0" t="0" r="0" b="16510"/>
            <wp:wrapTight wrapText="bothSides">
              <wp:wrapPolygon>
                <wp:start x="0" y="0"/>
                <wp:lineTo x="0" y="21367"/>
                <wp:lineTo x="21504" y="21367"/>
                <wp:lineTo x="21504" y="0"/>
                <wp:lineTo x="0" y="0"/>
              </wp:wrapPolygon>
            </wp:wrapTight>
            <wp:docPr id="29" name="图片 2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公司logo"/>
                    <pic:cNvPicPr>
                      <a:picLocks noChangeAspect="1"/>
                    </pic:cNvPicPr>
                  </pic:nvPicPr>
                  <pic:blipFill>
                    <a:blip r:embed="rId11"/>
                    <a:stretch>
                      <a:fillRect/>
                    </a:stretch>
                  </pic:blipFill>
                  <pic:spPr>
                    <a:xfrm>
                      <a:off x="0" y="0"/>
                      <a:ext cx="2296160" cy="2002790"/>
                    </a:xfrm>
                    <a:prstGeom prst="rect">
                      <a:avLst/>
                    </a:prstGeom>
                    <a:noFill/>
                    <a:ln>
                      <a:noFill/>
                    </a:ln>
                  </pic:spPr>
                </pic:pic>
              </a:graphicData>
            </a:graphic>
          </wp:anchor>
        </w:drawing>
      </w:r>
      <w:r>
        <w:rPr>
          <w:rFonts w:hint="eastAsia" w:ascii="宋体" w:hAnsi="宋体" w:cs="宋体"/>
          <w:b/>
          <w:color w:val="auto"/>
          <w:spacing w:val="-6"/>
          <w:sz w:val="30"/>
          <w:szCs w:val="30"/>
          <w:highlight w:val="none"/>
        </w:rPr>
        <w:t>采购编号：博政采购（2024）5号</w:t>
      </w:r>
    </w:p>
    <w:p>
      <w:pPr>
        <w:snapToGrid w:val="0"/>
        <w:spacing w:line="360" w:lineRule="auto"/>
        <w:rPr>
          <w:rFonts w:ascii="宋体" w:hAnsi="宋体" w:cs="宋体"/>
          <w:b/>
          <w:color w:val="auto"/>
          <w:spacing w:val="-6"/>
          <w:sz w:val="30"/>
          <w:szCs w:val="30"/>
          <w:highlight w:val="none"/>
        </w:rPr>
      </w:pPr>
    </w:p>
    <w:p>
      <w:pPr>
        <w:snapToGrid w:val="0"/>
        <w:spacing w:line="360" w:lineRule="auto"/>
        <w:rPr>
          <w:rFonts w:ascii="宋体" w:hAnsi="宋体" w:cs="宋体"/>
          <w:b/>
          <w:color w:val="auto"/>
          <w:spacing w:val="-6"/>
          <w:sz w:val="30"/>
          <w:szCs w:val="30"/>
          <w:highlight w:val="none"/>
        </w:rPr>
      </w:pPr>
    </w:p>
    <w:p>
      <w:pPr>
        <w:snapToGrid w:val="0"/>
        <w:spacing w:line="360" w:lineRule="auto"/>
        <w:rPr>
          <w:rFonts w:ascii="宋体" w:hAnsi="宋体" w:cs="宋体"/>
          <w:b/>
          <w:color w:val="auto"/>
          <w:spacing w:val="-6"/>
          <w:sz w:val="30"/>
          <w:szCs w:val="30"/>
          <w:highlight w:val="none"/>
        </w:rPr>
      </w:pPr>
    </w:p>
    <w:p>
      <w:pPr>
        <w:snapToGrid w:val="0"/>
        <w:spacing w:line="360" w:lineRule="auto"/>
        <w:rPr>
          <w:rFonts w:ascii="宋体" w:hAnsi="宋体" w:cs="宋体"/>
          <w:b/>
          <w:color w:val="auto"/>
          <w:spacing w:val="-6"/>
          <w:sz w:val="30"/>
          <w:szCs w:val="30"/>
          <w:highlight w:val="none"/>
        </w:rPr>
      </w:pPr>
    </w:p>
    <w:p>
      <w:pPr>
        <w:pStyle w:val="4"/>
        <w:rPr>
          <w:color w:val="auto"/>
          <w:highlight w:val="none"/>
        </w:rPr>
      </w:pPr>
    </w:p>
    <w:p>
      <w:pPr>
        <w:rPr>
          <w:color w:val="auto"/>
          <w:highlight w:val="none"/>
        </w:rPr>
      </w:pPr>
    </w:p>
    <w:p>
      <w:pPr>
        <w:rPr>
          <w:color w:val="auto"/>
          <w:highlight w:val="none"/>
        </w:rPr>
      </w:pPr>
    </w:p>
    <w:p>
      <w:pPr>
        <w:rPr>
          <w:color w:val="auto"/>
          <w:highlight w:val="none"/>
        </w:rPr>
      </w:pPr>
    </w:p>
    <w:p>
      <w:pPr>
        <w:pStyle w:val="28"/>
        <w:rPr>
          <w:color w:val="auto"/>
          <w:highlight w:val="none"/>
        </w:rPr>
      </w:pPr>
    </w:p>
    <w:p>
      <w:pPr>
        <w:snapToGrid w:val="0"/>
        <w:spacing w:line="360" w:lineRule="auto"/>
        <w:ind w:left="1260" w:leftChars="600" w:firstLine="578" w:firstLineChars="200"/>
        <w:rPr>
          <w:rFonts w:ascii="宋体"/>
          <w:bCs/>
          <w:i/>
          <w:iCs/>
          <w:color w:val="auto"/>
          <w:kern w:val="0"/>
          <w:sz w:val="30"/>
          <w:szCs w:val="30"/>
          <w:highlight w:val="none"/>
          <w:u w:val="single"/>
        </w:rPr>
      </w:pPr>
      <w:r>
        <w:rPr>
          <w:rFonts w:hint="eastAsia" w:ascii="宋体" w:hAnsi="宋体" w:cs="宋体"/>
          <w:b/>
          <w:color w:val="auto"/>
          <w:spacing w:val="-6"/>
          <w:sz w:val="30"/>
          <w:szCs w:val="30"/>
          <w:highlight w:val="none"/>
        </w:rPr>
        <w:t>采 购 人：博爱县特殊教育学校</w:t>
      </w:r>
    </w:p>
    <w:p>
      <w:pPr>
        <w:snapToGrid w:val="0"/>
        <w:spacing w:line="360" w:lineRule="auto"/>
        <w:ind w:left="1260" w:leftChars="600" w:firstLine="578" w:firstLineChars="200"/>
        <w:rPr>
          <w:rFonts w:ascii="宋体" w:cs="宋体"/>
          <w:b/>
          <w:color w:val="auto"/>
          <w:spacing w:val="-6"/>
          <w:sz w:val="30"/>
          <w:szCs w:val="30"/>
          <w:highlight w:val="none"/>
        </w:rPr>
      </w:pPr>
      <w:r>
        <w:rPr>
          <w:rFonts w:hint="eastAsia" w:ascii="宋体" w:hAnsi="宋体" w:cs="宋体"/>
          <w:b/>
          <w:color w:val="auto"/>
          <w:spacing w:val="-6"/>
          <w:sz w:val="30"/>
          <w:szCs w:val="30"/>
          <w:highlight w:val="none"/>
        </w:rPr>
        <w:t>代理机构：</w:t>
      </w:r>
      <w:r>
        <w:rPr>
          <w:rFonts w:hint="eastAsia" w:ascii="宋体" w:hAnsi="宋体" w:cs="宋体"/>
          <w:b/>
          <w:bCs/>
          <w:color w:val="auto"/>
          <w:sz w:val="32"/>
          <w:szCs w:val="32"/>
          <w:highlight w:val="none"/>
        </w:rPr>
        <w:t>智博国际工程咨询有限公司</w:t>
      </w:r>
    </w:p>
    <w:p>
      <w:pPr>
        <w:snapToGrid w:val="0"/>
        <w:spacing w:line="360" w:lineRule="auto"/>
        <w:ind w:left="1260" w:leftChars="600" w:firstLine="578" w:firstLineChars="200"/>
        <w:rPr>
          <w:rFonts w:ascii="宋体"/>
          <w:b/>
          <w:color w:val="auto"/>
          <w:sz w:val="44"/>
          <w:szCs w:val="44"/>
          <w:highlight w:val="none"/>
          <w:u w:val="single"/>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color w:val="auto"/>
          <w:spacing w:val="-6"/>
          <w:sz w:val="30"/>
          <w:szCs w:val="30"/>
          <w:highlight w:val="none"/>
        </w:rPr>
        <w:t>日    期：2024年</w:t>
      </w:r>
      <w:r>
        <w:rPr>
          <w:rFonts w:hint="eastAsia" w:ascii="宋体" w:hAnsi="宋体" w:cs="宋体"/>
          <w:b/>
          <w:color w:val="auto"/>
          <w:spacing w:val="-6"/>
          <w:sz w:val="30"/>
          <w:szCs w:val="30"/>
          <w:highlight w:val="none"/>
          <w:lang w:val="en-US" w:eastAsia="zh-CN"/>
        </w:rPr>
        <w:t>03</w:t>
      </w:r>
      <w:r>
        <w:rPr>
          <w:rFonts w:hint="eastAsia" w:ascii="宋体" w:hAnsi="宋体" w:cs="宋体"/>
          <w:b/>
          <w:color w:val="auto"/>
          <w:spacing w:val="-6"/>
          <w:sz w:val="30"/>
          <w:szCs w:val="30"/>
          <w:highlight w:val="none"/>
        </w:rPr>
        <w:t>月</w:t>
      </w:r>
    </w:p>
    <w:p>
      <w:pPr>
        <w:rPr>
          <w:rStyle w:val="39"/>
          <w:rFonts w:ascii="微软雅黑" w:hAnsi="微软雅黑" w:eastAsia="微软雅黑" w:cs="微软雅黑"/>
          <w:color w:val="auto"/>
          <w:kern w:val="0"/>
          <w:szCs w:val="44"/>
          <w:highlight w:val="none"/>
          <w:u w:val="none"/>
          <w:lang w:val="zh-CN"/>
        </w:rPr>
      </w:pPr>
    </w:p>
    <w:p>
      <w:pPr>
        <w:pStyle w:val="21"/>
        <w:tabs>
          <w:tab w:val="right" w:leader="dot" w:pos="8890"/>
        </w:tabs>
        <w:spacing w:line="360" w:lineRule="auto"/>
        <w:jc w:val="center"/>
        <w:rPr>
          <w:rStyle w:val="39"/>
          <w:rFonts w:ascii="宋体" w:hAnsi="宋体" w:cs="宋体"/>
          <w:b/>
          <w:bCs/>
          <w:color w:val="auto"/>
          <w:kern w:val="0"/>
          <w:sz w:val="44"/>
          <w:szCs w:val="44"/>
          <w:highlight w:val="none"/>
          <w:u w:val="none"/>
          <w:lang w:val="zh-CN"/>
        </w:rPr>
      </w:pPr>
      <w:r>
        <w:rPr>
          <w:rStyle w:val="39"/>
          <w:rFonts w:hint="eastAsia" w:ascii="宋体" w:hAnsi="宋体" w:cs="宋体"/>
          <w:b/>
          <w:bCs/>
          <w:color w:val="auto"/>
          <w:kern w:val="0"/>
          <w:sz w:val="44"/>
          <w:szCs w:val="44"/>
          <w:highlight w:val="none"/>
          <w:u w:val="none"/>
          <w:lang w:val="zh-CN"/>
        </w:rPr>
        <w:t>目  录</w:t>
      </w:r>
    </w:p>
    <w:p>
      <w:pPr>
        <w:pStyle w:val="21"/>
        <w:tabs>
          <w:tab w:val="right" w:leader="dot" w:pos="8890"/>
        </w:tabs>
        <w:spacing w:line="480" w:lineRule="auto"/>
        <w:ind w:firstLine="480" w:firstLineChars="200"/>
        <w:rPr>
          <w:rStyle w:val="39"/>
          <w:rFonts w:ascii="宋体" w:hAnsi="宋体" w:cs="宋体"/>
          <w:color w:val="auto"/>
          <w:kern w:val="0"/>
          <w:sz w:val="24"/>
          <w:highlight w:val="none"/>
          <w:u w:val="none"/>
        </w:rPr>
      </w:pPr>
      <w:r>
        <w:rPr>
          <w:rStyle w:val="39"/>
          <w:rFonts w:hint="eastAsia" w:ascii="宋体" w:hAnsi="宋体" w:cs="宋体"/>
          <w:color w:val="auto"/>
          <w:kern w:val="0"/>
          <w:sz w:val="24"/>
          <w:highlight w:val="none"/>
          <w:u w:val="none"/>
        </w:rPr>
        <w:t>重要事项提示........................................ ................1</w:t>
      </w:r>
    </w:p>
    <w:p>
      <w:pPr>
        <w:pStyle w:val="21"/>
        <w:tabs>
          <w:tab w:val="right" w:leader="dot" w:pos="8890"/>
        </w:tabs>
        <w:spacing w:line="480" w:lineRule="auto"/>
        <w:ind w:firstLine="480" w:firstLineChars="200"/>
        <w:rPr>
          <w:rStyle w:val="39"/>
          <w:rFonts w:ascii="宋体" w:hAnsi="宋体" w:cs="宋体"/>
          <w:color w:val="auto"/>
          <w:kern w:val="0"/>
          <w:sz w:val="24"/>
          <w:highlight w:val="none"/>
          <w:u w:val="none"/>
        </w:rPr>
      </w:pP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TOC \o "1-3" \h \z \u </w:instrText>
      </w:r>
      <w:r>
        <w:rPr>
          <w:rStyle w:val="39"/>
          <w:rFonts w:hint="eastAsia" w:ascii="宋体" w:hAnsi="宋体" w:cs="宋体"/>
          <w:color w:val="auto"/>
          <w:kern w:val="0"/>
          <w:sz w:val="24"/>
          <w:highlight w:val="none"/>
          <w:u w:val="none"/>
        </w:rPr>
        <w:fldChar w:fldCharType="separate"/>
      </w:r>
      <w:r>
        <w:rPr>
          <w:color w:val="auto"/>
          <w:highlight w:val="none"/>
        </w:rPr>
        <w:fldChar w:fldCharType="begin"/>
      </w:r>
      <w:r>
        <w:rPr>
          <w:color w:val="auto"/>
          <w:highlight w:val="none"/>
        </w:rPr>
        <w:instrText xml:space="preserve"> HYPERLINK \l "_Toc17836" </w:instrText>
      </w:r>
      <w:r>
        <w:rPr>
          <w:color w:val="auto"/>
          <w:highlight w:val="none"/>
        </w:rPr>
        <w:fldChar w:fldCharType="separate"/>
      </w:r>
      <w:r>
        <w:rPr>
          <w:rStyle w:val="39"/>
          <w:rFonts w:hint="eastAsia" w:ascii="宋体" w:hAnsi="宋体" w:cs="宋体"/>
          <w:color w:val="auto"/>
          <w:kern w:val="0"/>
          <w:sz w:val="24"/>
          <w:highlight w:val="none"/>
          <w:u w:val="none"/>
        </w:rPr>
        <w:t>竞争性谈判公告（不见面开标）</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_Toc17836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3</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"_Toc28653" </w:instrText>
      </w:r>
      <w:r>
        <w:rPr>
          <w:color w:val="auto"/>
          <w:highlight w:val="none"/>
        </w:rPr>
        <w:fldChar w:fldCharType="separate"/>
      </w:r>
      <w:r>
        <w:rPr>
          <w:rStyle w:val="39"/>
          <w:rFonts w:hint="eastAsia" w:ascii="宋体" w:hAnsi="宋体" w:cs="宋体"/>
          <w:color w:val="auto"/>
          <w:kern w:val="0"/>
          <w:sz w:val="24"/>
          <w:highlight w:val="none"/>
          <w:u w:val="none"/>
        </w:rPr>
        <w:t>投标须知前附表</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_Toc28653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7</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"_Toc16130" </w:instrText>
      </w:r>
      <w:r>
        <w:rPr>
          <w:color w:val="auto"/>
          <w:highlight w:val="none"/>
        </w:rPr>
        <w:fldChar w:fldCharType="separate"/>
      </w:r>
      <w:r>
        <w:rPr>
          <w:rStyle w:val="39"/>
          <w:rFonts w:hint="eastAsia" w:ascii="宋体" w:hAnsi="宋体" w:cs="宋体"/>
          <w:color w:val="auto"/>
          <w:kern w:val="0"/>
          <w:sz w:val="24"/>
          <w:highlight w:val="none"/>
          <w:u w:val="none"/>
        </w:rPr>
        <w:t>第一部分 采购项目相关内容及要求</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_Toc16130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10</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"_Toc18477" </w:instrText>
      </w:r>
      <w:r>
        <w:rPr>
          <w:color w:val="auto"/>
          <w:highlight w:val="none"/>
        </w:rPr>
        <w:fldChar w:fldCharType="separate"/>
      </w:r>
      <w:r>
        <w:rPr>
          <w:rStyle w:val="39"/>
          <w:rFonts w:hint="eastAsia" w:ascii="宋体" w:hAnsi="宋体" w:cs="宋体"/>
          <w:color w:val="auto"/>
          <w:kern w:val="0"/>
          <w:sz w:val="24"/>
          <w:highlight w:val="none"/>
          <w:u w:val="none"/>
        </w:rPr>
        <w:t>第二部分 参与采购须知</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_Toc18477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12</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"_Toc27037" </w:instrText>
      </w:r>
      <w:r>
        <w:rPr>
          <w:color w:val="auto"/>
          <w:highlight w:val="none"/>
        </w:rPr>
        <w:fldChar w:fldCharType="separate"/>
      </w:r>
      <w:r>
        <w:rPr>
          <w:rStyle w:val="39"/>
          <w:rFonts w:hint="eastAsia" w:ascii="宋体" w:hAnsi="宋体" w:cs="宋体"/>
          <w:color w:val="auto"/>
          <w:kern w:val="0"/>
          <w:sz w:val="24"/>
          <w:highlight w:val="none"/>
          <w:u w:val="none"/>
        </w:rPr>
        <w:t>第三部分 其他要求</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_Toc27037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23</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"_Toc11753" </w:instrText>
      </w:r>
      <w:r>
        <w:rPr>
          <w:color w:val="auto"/>
          <w:highlight w:val="none"/>
        </w:rPr>
        <w:fldChar w:fldCharType="separate"/>
      </w:r>
      <w:r>
        <w:rPr>
          <w:rStyle w:val="39"/>
          <w:rFonts w:hint="eastAsia" w:ascii="宋体" w:hAnsi="宋体" w:cs="宋体"/>
          <w:color w:val="auto"/>
          <w:kern w:val="0"/>
          <w:sz w:val="24"/>
          <w:highlight w:val="none"/>
          <w:u w:val="none"/>
        </w:rPr>
        <w:t>第四部分 质疑与投诉</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_Toc11753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24</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"_Toc2271" </w:instrText>
      </w:r>
      <w:r>
        <w:rPr>
          <w:color w:val="auto"/>
          <w:highlight w:val="none"/>
        </w:rPr>
        <w:fldChar w:fldCharType="separate"/>
      </w:r>
      <w:r>
        <w:rPr>
          <w:rStyle w:val="39"/>
          <w:rFonts w:hint="eastAsia" w:ascii="宋体" w:hAnsi="宋体" w:cs="宋体"/>
          <w:color w:val="auto"/>
          <w:kern w:val="0"/>
          <w:sz w:val="24"/>
          <w:highlight w:val="none"/>
          <w:u w:val="none"/>
        </w:rPr>
        <w:t>第五部分  采购内容及要求</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_Toc2271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26</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"_Toc27476" </w:instrText>
      </w:r>
      <w:r>
        <w:rPr>
          <w:color w:val="auto"/>
          <w:highlight w:val="none"/>
        </w:rPr>
        <w:fldChar w:fldCharType="separate"/>
      </w:r>
      <w:r>
        <w:rPr>
          <w:rStyle w:val="39"/>
          <w:rFonts w:hint="eastAsia" w:ascii="宋体" w:hAnsi="宋体" w:cs="宋体"/>
          <w:color w:val="auto"/>
          <w:kern w:val="0"/>
          <w:sz w:val="24"/>
          <w:highlight w:val="none"/>
          <w:u w:val="none"/>
        </w:rPr>
        <w:t>第六部分 合同格式及主要条款</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_Toc27476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52</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"_Toc27415" </w:instrText>
      </w:r>
      <w:r>
        <w:rPr>
          <w:color w:val="auto"/>
          <w:highlight w:val="none"/>
        </w:rPr>
        <w:fldChar w:fldCharType="separate"/>
      </w:r>
      <w:r>
        <w:rPr>
          <w:rStyle w:val="39"/>
          <w:rFonts w:hint="eastAsia" w:ascii="宋体" w:hAnsi="宋体" w:cs="宋体"/>
          <w:color w:val="auto"/>
          <w:kern w:val="0"/>
          <w:sz w:val="24"/>
          <w:highlight w:val="none"/>
          <w:u w:val="none"/>
        </w:rPr>
        <w:t>第七部分 履约验收</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_Toc27415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54</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"_Toc30461" </w:instrText>
      </w:r>
      <w:r>
        <w:rPr>
          <w:color w:val="auto"/>
          <w:highlight w:val="none"/>
        </w:rPr>
        <w:fldChar w:fldCharType="separate"/>
      </w:r>
      <w:r>
        <w:rPr>
          <w:rStyle w:val="39"/>
          <w:rFonts w:hint="eastAsia" w:ascii="宋体" w:hAnsi="宋体" w:cs="宋体"/>
          <w:color w:val="auto"/>
          <w:kern w:val="0"/>
          <w:sz w:val="24"/>
          <w:highlight w:val="none"/>
          <w:u w:val="none"/>
        </w:rPr>
        <w:t>第八部分  附件—供应商响应文件格式</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_Toc30461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55</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20" w:firstLineChars="200"/>
        <w:rPr>
          <w:rStyle w:val="39"/>
          <w:rFonts w:ascii="宋体" w:hAnsi="宋体" w:cs="宋体"/>
          <w:color w:val="auto"/>
          <w:kern w:val="0"/>
          <w:sz w:val="24"/>
          <w:highlight w:val="none"/>
          <w:u w:val="none"/>
        </w:rPr>
      </w:pPr>
      <w:r>
        <w:rPr>
          <w:color w:val="auto"/>
          <w:highlight w:val="none"/>
        </w:rPr>
        <w:fldChar w:fldCharType="begin"/>
      </w:r>
      <w:r>
        <w:rPr>
          <w:color w:val="auto"/>
          <w:highlight w:val="none"/>
        </w:rPr>
        <w:instrText xml:space="preserve"> HYPERLINK \l "_Toc21790" </w:instrText>
      </w:r>
      <w:r>
        <w:rPr>
          <w:color w:val="auto"/>
          <w:highlight w:val="none"/>
        </w:rPr>
        <w:fldChar w:fldCharType="separate"/>
      </w:r>
      <w:r>
        <w:rPr>
          <w:rStyle w:val="39"/>
          <w:rFonts w:hint="eastAsia" w:ascii="宋体" w:hAnsi="宋体" w:cs="宋体"/>
          <w:color w:val="auto"/>
          <w:kern w:val="0"/>
          <w:sz w:val="24"/>
          <w:highlight w:val="none"/>
          <w:u w:val="none"/>
        </w:rPr>
        <w:t>优化和提升政府采购政策</w:t>
      </w:r>
      <w:r>
        <w:rPr>
          <w:rStyle w:val="39"/>
          <w:rFonts w:hint="eastAsia" w:ascii="宋体" w:hAnsi="宋体" w:cs="宋体"/>
          <w:color w:val="auto"/>
          <w:kern w:val="0"/>
          <w:sz w:val="24"/>
          <w:highlight w:val="none"/>
          <w:u w:val="none"/>
        </w:rPr>
        <w:tab/>
      </w:r>
      <w:r>
        <w:rPr>
          <w:rStyle w:val="39"/>
          <w:rFonts w:hint="eastAsia" w:ascii="宋体" w:hAnsi="宋体" w:cs="宋体"/>
          <w:color w:val="auto"/>
          <w:kern w:val="0"/>
          <w:sz w:val="24"/>
          <w:highlight w:val="none"/>
          <w:u w:val="none"/>
        </w:rPr>
        <w:fldChar w:fldCharType="begin"/>
      </w:r>
      <w:r>
        <w:rPr>
          <w:rStyle w:val="39"/>
          <w:rFonts w:hint="eastAsia" w:ascii="宋体" w:hAnsi="宋体" w:cs="宋体"/>
          <w:color w:val="auto"/>
          <w:kern w:val="0"/>
          <w:sz w:val="24"/>
          <w:highlight w:val="none"/>
          <w:u w:val="none"/>
        </w:rPr>
        <w:instrText xml:space="preserve"> PAGEREF _Toc21790 \h </w:instrText>
      </w:r>
      <w:r>
        <w:rPr>
          <w:rStyle w:val="39"/>
          <w:rFonts w:hint="eastAsia" w:ascii="宋体" w:hAnsi="宋体" w:cs="宋体"/>
          <w:color w:val="auto"/>
          <w:kern w:val="0"/>
          <w:sz w:val="24"/>
          <w:highlight w:val="none"/>
          <w:u w:val="none"/>
        </w:rPr>
        <w:fldChar w:fldCharType="separate"/>
      </w:r>
      <w:r>
        <w:rPr>
          <w:rStyle w:val="39"/>
          <w:rFonts w:hint="eastAsia" w:ascii="宋体" w:hAnsi="宋体" w:cs="宋体"/>
          <w:color w:val="auto"/>
          <w:kern w:val="0"/>
          <w:sz w:val="24"/>
          <w:highlight w:val="none"/>
          <w:u w:val="none"/>
        </w:rPr>
        <w:t>70</w:t>
      </w:r>
      <w:r>
        <w:rPr>
          <w:rStyle w:val="39"/>
          <w:rFonts w:hint="eastAsia" w:ascii="宋体" w:hAnsi="宋体" w:cs="宋体"/>
          <w:color w:val="auto"/>
          <w:kern w:val="0"/>
          <w:sz w:val="24"/>
          <w:highlight w:val="none"/>
          <w:u w:val="none"/>
        </w:rPr>
        <w:fldChar w:fldCharType="end"/>
      </w:r>
      <w:r>
        <w:rPr>
          <w:rStyle w:val="39"/>
          <w:rFonts w:hint="eastAsia" w:ascii="宋体" w:hAnsi="宋体" w:cs="宋体"/>
          <w:color w:val="auto"/>
          <w:kern w:val="0"/>
          <w:sz w:val="24"/>
          <w:highlight w:val="none"/>
          <w:u w:val="none"/>
        </w:rPr>
        <w:fldChar w:fldCharType="end"/>
      </w:r>
    </w:p>
    <w:p>
      <w:pPr>
        <w:pStyle w:val="21"/>
        <w:tabs>
          <w:tab w:val="right" w:leader="dot" w:pos="8890"/>
        </w:tabs>
        <w:spacing w:line="480" w:lineRule="auto"/>
        <w:ind w:firstLine="480" w:firstLineChars="200"/>
        <w:rPr>
          <w:color w:val="auto"/>
          <w:sz w:val="24"/>
          <w:highlight w:val="none"/>
        </w:rPr>
      </w:pPr>
      <w:r>
        <w:rPr>
          <w:rStyle w:val="39"/>
          <w:rFonts w:hint="eastAsia" w:ascii="宋体" w:hAnsi="宋体" w:cs="宋体"/>
          <w:color w:val="auto"/>
          <w:kern w:val="0"/>
          <w:sz w:val="24"/>
          <w:highlight w:val="none"/>
          <w:u w:val="none"/>
        </w:rPr>
        <w:fldChar w:fldCharType="end"/>
      </w:r>
    </w:p>
    <w:p>
      <w:pPr>
        <w:spacing w:line="360" w:lineRule="auto"/>
        <w:jc w:val="center"/>
        <w:rPr>
          <w:rFonts w:ascii="微软雅黑" w:hAnsi="微软雅黑" w:eastAsia="微软雅黑" w:cs="微软雅黑"/>
          <w:color w:val="auto"/>
          <w:sz w:val="36"/>
          <w:szCs w:val="36"/>
          <w:highlight w:val="none"/>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numberInDash" w:start="1"/>
          <w:cols w:space="0" w:num="1"/>
          <w:docGrid w:type="lines" w:linePitch="389" w:charSpace="0"/>
        </w:sectPr>
      </w:pPr>
      <w:bookmarkStart w:id="0" w:name="_Toc760"/>
      <w:bookmarkStart w:id="1" w:name="_Toc533668867"/>
      <w:bookmarkStart w:id="2" w:name="_Toc19411"/>
    </w:p>
    <w:p>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重要事项提示</w:t>
      </w:r>
    </w:p>
    <w:p>
      <w:pPr>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各潜在供应商：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1、谈判文件应通过焦作市公共资源交易中心网站会员系统进行网上下载；未使用企业 CA 密匙登录焦作市公共资源交易中心网站会员系统进行网上下载文件的，投标视为无效；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http://122.112.246.33/BidOpening/bidopeninghallaction/hall/login ）按要求解密投标文件。因文件未及时上传导致投标失败的责任由供应商自行承担，具体要求详见</w:t>
      </w:r>
      <w:r>
        <w:rPr>
          <w:rFonts w:hint="eastAsia" w:ascii="宋体" w:hAnsi="宋体"/>
          <w:color w:val="auto"/>
          <w:kern w:val="0"/>
          <w:sz w:val="24"/>
          <w:highlight w:val="none"/>
        </w:rPr>
        <w:t>竞争性谈判</w:t>
      </w:r>
      <w:r>
        <w:rPr>
          <w:rFonts w:hint="eastAsia" w:ascii="宋体" w:hAnsi="宋体" w:cs="宋体"/>
          <w:color w:val="auto"/>
          <w:sz w:val="24"/>
          <w:highlight w:val="none"/>
        </w:rPr>
        <w:t>文件。 平台统一技术服务电话：400-998-0000，服务 QQ：4008503300，服务时间：周一至周日 8：00-17：30。</w:t>
      </w:r>
    </w:p>
    <w:p>
      <w:pPr>
        <w:pStyle w:val="24"/>
        <w:spacing w:before="0" w:beforeAutospacing="0" w:after="0" w:afterAutospacing="0" w:line="360" w:lineRule="auto"/>
        <w:ind w:firstLine="480" w:firstLineChars="200"/>
        <w:jc w:val="both"/>
        <w:rPr>
          <w:color w:val="auto"/>
          <w:highlight w:val="none"/>
        </w:rPr>
      </w:pPr>
      <w:r>
        <w:rPr>
          <w:rFonts w:hint="eastAsia"/>
          <w:color w:val="auto"/>
          <w:highlight w:val="none"/>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pStyle w:val="24"/>
        <w:numPr>
          <w:ilvl w:val="0"/>
          <w:numId w:val="1"/>
        </w:numPr>
        <w:spacing w:before="0" w:beforeAutospacing="0" w:after="0" w:afterAutospacing="0" w:line="360" w:lineRule="auto"/>
        <w:ind w:firstLine="480" w:firstLineChars="200"/>
        <w:jc w:val="both"/>
        <w:rPr>
          <w:color w:val="auto"/>
          <w:highlight w:val="none"/>
        </w:rPr>
      </w:pPr>
      <w:r>
        <w:rPr>
          <w:rFonts w:hint="eastAsia"/>
          <w:color w:val="auto"/>
          <w:highlight w:val="none"/>
        </w:rPr>
        <w:t>有下列情形之一的，将作为自动放弃、无效投标或废标处理：</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3.1 未按竞争性谈判文件明示的规定签字或盖章的；</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3.2 响应文件的关键内容（投标报价、供货安装期、质量要求、品牌、型号等）未填写或填写字迹模糊无法辨认的；</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3.3 采购报价超出控制价的；</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3.4 响应文件中对同一项目有两个或多个报价，且未声明哪一个有效的；</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3.5 相关资格证明文件不合格的；</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3.6 响应文件中附有采购人不能接受的条件的；</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3.7 响应文件有明显不符合竞争性谈判文件其它要求和有关法律法规的；</w:t>
      </w:r>
    </w:p>
    <w:p>
      <w:pPr>
        <w:widowControl/>
        <w:spacing w:line="360" w:lineRule="auto"/>
        <w:ind w:firstLine="480" w:firstLineChars="200"/>
        <w:rPr>
          <w:color w:val="auto"/>
          <w:highlight w:val="none"/>
        </w:rPr>
      </w:pPr>
      <w:r>
        <w:rPr>
          <w:rFonts w:hint="eastAsia" w:ascii="宋体" w:hAnsi="宋体"/>
          <w:color w:val="auto"/>
          <w:kern w:val="0"/>
          <w:sz w:val="24"/>
          <w:highlight w:val="none"/>
        </w:rPr>
        <w:t>3.8 评标过程中，如因两个或两个以上供应商在同一台计算机或同一个IP上传响应文件，而被不见面开标系统提示为“投标文件制作机器码一致”的，则视其投标无效；</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pStyle w:val="24"/>
        <w:spacing w:before="0" w:beforeAutospacing="0" w:after="0" w:afterAutospacing="0" w:line="360" w:lineRule="auto"/>
        <w:ind w:left="420"/>
        <w:jc w:val="both"/>
        <w:rPr>
          <w:color w:val="auto"/>
          <w:highlight w:val="none"/>
        </w:rPr>
      </w:pPr>
    </w:p>
    <w:p>
      <w:pPr>
        <w:pStyle w:val="24"/>
        <w:spacing w:before="0" w:beforeAutospacing="0" w:after="0" w:afterAutospacing="0" w:line="360" w:lineRule="auto"/>
        <w:ind w:left="420"/>
        <w:jc w:val="both"/>
        <w:rPr>
          <w:color w:val="auto"/>
          <w:highlight w:val="none"/>
        </w:rPr>
      </w:pPr>
    </w:p>
    <w:p>
      <w:pPr>
        <w:pStyle w:val="24"/>
        <w:spacing w:before="0" w:beforeAutospacing="0" w:after="0" w:afterAutospacing="0" w:line="360" w:lineRule="auto"/>
        <w:ind w:left="420"/>
        <w:jc w:val="both"/>
        <w:rPr>
          <w:color w:val="auto"/>
          <w:highlight w:val="none"/>
        </w:rPr>
      </w:pPr>
    </w:p>
    <w:p>
      <w:pPr>
        <w:rPr>
          <w:rFonts w:ascii="宋体" w:hAnsi="宋体" w:cs="宋体"/>
          <w:b/>
          <w:bCs/>
          <w:color w:val="auto"/>
          <w:sz w:val="32"/>
          <w:szCs w:val="32"/>
          <w:highlight w:val="none"/>
        </w:rPr>
      </w:pPr>
    </w:p>
    <w:p>
      <w:pPr>
        <w:pStyle w:val="4"/>
        <w:rPr>
          <w:rFonts w:ascii="宋体" w:hAnsi="宋体" w:cs="宋体"/>
          <w:color w:val="auto"/>
          <w:highlight w:val="none"/>
        </w:rPr>
      </w:pPr>
    </w:p>
    <w:p>
      <w:pPr>
        <w:rPr>
          <w:color w:val="auto"/>
          <w:highlight w:val="none"/>
        </w:rPr>
      </w:pPr>
    </w:p>
    <w:p>
      <w:pPr>
        <w:pStyle w:val="3"/>
        <w:spacing w:before="0" w:after="0" w:line="360" w:lineRule="auto"/>
        <w:jc w:val="center"/>
        <w:rPr>
          <w:rFonts w:ascii="宋体" w:hAnsi="宋体" w:cs="宋体"/>
          <w:color w:val="auto"/>
          <w:sz w:val="24"/>
          <w:szCs w:val="24"/>
          <w:highlight w:val="none"/>
        </w:rPr>
      </w:pPr>
      <w:bookmarkStart w:id="3" w:name="_Toc10608"/>
      <w:r>
        <w:rPr>
          <w:rFonts w:hint="eastAsia" w:ascii="宋体" w:hAnsi="宋体" w:cs="宋体"/>
          <w:color w:val="auto"/>
          <w:sz w:val="24"/>
          <w:szCs w:val="24"/>
          <w:highlight w:val="none"/>
        </w:rPr>
        <w:t>博爱县县级特殊教育资源中心建设采购项目</w:t>
      </w:r>
      <w:bookmarkEnd w:id="3"/>
    </w:p>
    <w:p>
      <w:pPr>
        <w:pStyle w:val="3"/>
        <w:spacing w:before="0" w:after="0" w:line="360" w:lineRule="auto"/>
        <w:jc w:val="center"/>
        <w:rPr>
          <w:color w:val="auto"/>
          <w:sz w:val="24"/>
          <w:szCs w:val="24"/>
          <w:highlight w:val="none"/>
        </w:rPr>
      </w:pPr>
      <w:bookmarkStart w:id="4" w:name="_Toc17836"/>
      <w:r>
        <w:rPr>
          <w:rFonts w:hint="eastAsia" w:ascii="宋体" w:hAnsi="宋体" w:cs="宋体"/>
          <w:color w:val="auto"/>
          <w:sz w:val="24"/>
          <w:szCs w:val="24"/>
          <w:highlight w:val="none"/>
        </w:rPr>
        <w:t>竞争性谈判公告（不见面开标）</w:t>
      </w:r>
      <w:bookmarkEnd w:id="4"/>
    </w:p>
    <w:tbl>
      <w:tblPr>
        <w:tblStyle w:val="29"/>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9180" w:type="dxa"/>
            <w:vAlign w:val="center"/>
          </w:tcPr>
          <w:p>
            <w:pPr>
              <w:pStyle w:val="28"/>
              <w:spacing w:after="0" w:line="360" w:lineRule="auto"/>
              <w:ind w:left="0" w:leftChars="0" w:firstLine="480"/>
              <w:jc w:val="left"/>
              <w:rPr>
                <w:rFonts w:ascii="宋体" w:hAnsi="宋体" w:cs="宋体"/>
                <w:color w:val="auto"/>
                <w:sz w:val="24"/>
                <w:highlight w:val="none"/>
              </w:rPr>
            </w:pPr>
            <w:r>
              <w:rPr>
                <w:rFonts w:hint="eastAsia" w:ascii="宋体" w:hAnsi="宋体" w:cs="宋体"/>
                <w:color w:val="auto"/>
                <w:sz w:val="24"/>
                <w:highlight w:val="none"/>
              </w:rPr>
              <w:t>重要提醒：博爱县县级特殊教育资源中心建设采购项目的潜在供应商,须在</w:t>
            </w:r>
            <w:r>
              <w:rPr>
                <w:rFonts w:hint="eastAsia" w:ascii="宋体" w:hAnsi="宋体" w:cs="宋体"/>
                <w:color w:val="auto"/>
                <w:sz w:val="24"/>
                <w:highlight w:val="none"/>
                <w:shd w:val="clear" w:color="auto" w:fill="FFFFFF"/>
              </w:rPr>
              <w:t>焦作市公共资源交易中心网站获取采购文件及相关补充文件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rPr>
              <w:t>2024年0</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07</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rPr>
              <w:t>09时00分（北京时间）</w:t>
            </w:r>
            <w:r>
              <w:rPr>
                <w:rFonts w:hint="eastAsia" w:ascii="宋体" w:hAnsi="宋体" w:cs="宋体"/>
                <w:color w:val="auto"/>
                <w:sz w:val="24"/>
                <w:highlight w:val="none"/>
              </w:rPr>
              <w:t>前</w:t>
            </w:r>
            <w:r>
              <w:rPr>
                <w:rFonts w:hint="eastAsia" w:ascii="宋体" w:hAnsi="宋体" w:cs="宋体"/>
                <w:color w:val="auto"/>
                <w:sz w:val="24"/>
                <w:highlight w:val="none"/>
                <w:shd w:val="clear" w:color="auto" w:fill="FFFFFF"/>
              </w:rPr>
              <w:t>提交响应文件</w:t>
            </w:r>
            <w:r>
              <w:rPr>
                <w:rFonts w:hint="eastAsia" w:ascii="宋体" w:hAnsi="宋体" w:cs="宋体"/>
                <w:color w:val="auto"/>
                <w:sz w:val="24"/>
                <w:highlight w:val="none"/>
              </w:rPr>
              <w:t>。</w:t>
            </w:r>
          </w:p>
        </w:tc>
      </w:tr>
    </w:tbl>
    <w:p>
      <w:pPr>
        <w:pStyle w:val="69"/>
        <w:spacing w:line="360" w:lineRule="auto"/>
        <w:ind w:firstLine="482"/>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1.采购编号：博政采购（2024）5号；</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2.项目名称：博爱县县级特殊教育资源中心建设采购项目；</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3.采购方式：竞争性谈判；</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4.预算金额：555000.00元  </w:t>
      </w:r>
    </w:p>
    <w:p>
      <w:pPr>
        <w:adjustRightInd w:val="0"/>
        <w:snapToGrid w:val="0"/>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最高限价：555000.00元；</w:t>
      </w:r>
    </w:p>
    <w:tbl>
      <w:tblPr>
        <w:tblStyle w:val="2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939" w:type="dxa"/>
            <w:noWrap/>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rPr>
              <w:t>包号</w:t>
            </w:r>
          </w:p>
        </w:tc>
        <w:tc>
          <w:tcPr>
            <w:tcW w:w="3057" w:type="dxa"/>
            <w:noWrap/>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rPr>
              <w:t>包名称</w:t>
            </w:r>
          </w:p>
        </w:tc>
        <w:tc>
          <w:tcPr>
            <w:tcW w:w="1665" w:type="dxa"/>
            <w:noWrap/>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rPr>
              <w:t>包预算（元）</w:t>
            </w:r>
          </w:p>
        </w:tc>
        <w:tc>
          <w:tcPr>
            <w:tcW w:w="1889" w:type="dxa"/>
            <w:noWrap/>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c>
          <w:tcPr>
            <w:tcW w:w="1939" w:type="dxa"/>
            <w:noWrap/>
            <w:vAlign w:val="center"/>
          </w:tcPr>
          <w:p>
            <w:pPr>
              <w:widowControl/>
              <w:jc w:val="center"/>
              <w:rPr>
                <w:rFonts w:ascii="宋体" w:hAnsi="宋体" w:cs="宋体"/>
                <w:color w:val="auto"/>
                <w:szCs w:val="21"/>
                <w:highlight w:val="none"/>
              </w:rPr>
            </w:pPr>
            <w:r>
              <w:rPr>
                <w:rFonts w:hint="eastAsia" w:ascii="宋体" w:hAnsi="宋体" w:cs="宋体"/>
                <w:color w:val="auto"/>
                <w:kern w:val="0"/>
                <w:sz w:val="24"/>
                <w:highlight w:val="none"/>
              </w:rPr>
              <w:t>博政采购（2024）5号</w:t>
            </w:r>
            <w:r>
              <w:rPr>
                <w:rFonts w:hint="eastAsia" w:ascii="宋体" w:hAnsi="宋体" w:cs="宋体"/>
                <w:color w:val="auto"/>
                <w:szCs w:val="21"/>
                <w:highlight w:val="none"/>
              </w:rPr>
              <w:t xml:space="preserve">   </w:t>
            </w:r>
          </w:p>
        </w:tc>
        <w:tc>
          <w:tcPr>
            <w:tcW w:w="3057" w:type="dxa"/>
            <w:noWrap/>
            <w:vAlign w:val="center"/>
          </w:tcPr>
          <w:p>
            <w:pPr>
              <w:widowControl/>
              <w:jc w:val="center"/>
              <w:rPr>
                <w:rFonts w:ascii="宋体" w:hAnsi="宋体" w:cs="宋体"/>
                <w:color w:val="auto"/>
                <w:szCs w:val="21"/>
                <w:highlight w:val="none"/>
              </w:rPr>
            </w:pPr>
            <w:r>
              <w:rPr>
                <w:rFonts w:hint="eastAsia" w:ascii="宋体" w:hAnsi="宋体" w:cs="宋体"/>
                <w:color w:val="auto"/>
                <w:kern w:val="0"/>
                <w:sz w:val="24"/>
                <w:highlight w:val="none"/>
              </w:rPr>
              <w:t>博爱县县级特殊教育资源中心建设采购项目</w:t>
            </w:r>
          </w:p>
        </w:tc>
        <w:tc>
          <w:tcPr>
            <w:tcW w:w="1665" w:type="dxa"/>
            <w:noWrap/>
            <w:vAlign w:val="center"/>
          </w:tcPr>
          <w:p>
            <w:pPr>
              <w:widowControl/>
              <w:jc w:val="center"/>
              <w:rPr>
                <w:rFonts w:ascii="宋体" w:hAnsi="宋体" w:cs="宋体"/>
                <w:color w:val="auto"/>
                <w:szCs w:val="21"/>
                <w:highlight w:val="none"/>
              </w:rPr>
            </w:pPr>
            <w:r>
              <w:rPr>
                <w:rFonts w:hint="eastAsia" w:ascii="宋体" w:hAnsi="宋体" w:cs="宋体"/>
                <w:color w:val="auto"/>
                <w:kern w:val="0"/>
                <w:sz w:val="24"/>
                <w:highlight w:val="none"/>
              </w:rPr>
              <w:t>555000.00</w:t>
            </w:r>
            <w:r>
              <w:rPr>
                <w:rFonts w:hint="eastAsia" w:ascii="宋体" w:hAnsi="宋体" w:cs="宋体"/>
                <w:color w:val="auto"/>
                <w:szCs w:val="21"/>
                <w:highlight w:val="none"/>
              </w:rPr>
              <w:t xml:space="preserve"> </w:t>
            </w:r>
          </w:p>
        </w:tc>
        <w:tc>
          <w:tcPr>
            <w:tcW w:w="1889" w:type="dxa"/>
            <w:noWrap/>
            <w:vAlign w:val="center"/>
          </w:tcPr>
          <w:p>
            <w:pPr>
              <w:widowControl/>
              <w:jc w:val="center"/>
              <w:rPr>
                <w:rFonts w:ascii="宋体" w:hAnsi="宋体" w:cs="宋体"/>
                <w:color w:val="auto"/>
                <w:szCs w:val="21"/>
                <w:highlight w:val="none"/>
              </w:rPr>
            </w:pPr>
            <w:r>
              <w:rPr>
                <w:rFonts w:hint="eastAsia" w:ascii="宋体" w:hAnsi="宋体" w:cs="宋体"/>
                <w:color w:val="auto"/>
                <w:kern w:val="0"/>
                <w:sz w:val="24"/>
                <w:highlight w:val="none"/>
              </w:rPr>
              <w:t>555000.00</w:t>
            </w:r>
          </w:p>
        </w:tc>
      </w:tr>
    </w:tbl>
    <w:p>
      <w:pPr>
        <w:adjustRightInd w:val="0"/>
        <w:snapToGrid w:val="0"/>
        <w:spacing w:line="360" w:lineRule="auto"/>
        <w:ind w:firstLine="200" w:firstLineChars="200"/>
        <w:rPr>
          <w:rFonts w:ascii="宋体" w:hAnsi="宋体" w:cs="宋体"/>
          <w:color w:val="auto"/>
          <w:kern w:val="0"/>
          <w:sz w:val="10"/>
          <w:szCs w:val="10"/>
          <w:highlight w:val="none"/>
        </w:rPr>
      </w:pP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5.采购需求：</w:t>
      </w:r>
      <w:r>
        <w:rPr>
          <w:rFonts w:hint="eastAsia" w:ascii="宋体" w:hAnsi="宋体" w:cs="宋体"/>
          <w:color w:val="auto"/>
          <w:sz w:val="24"/>
          <w:highlight w:val="none"/>
        </w:rPr>
        <w:t>博爱县</w:t>
      </w:r>
      <w:r>
        <w:rPr>
          <w:rFonts w:hint="eastAsia" w:ascii="宋体" w:hAnsi="宋体" w:cs="宋体"/>
          <w:color w:val="auto"/>
          <w:sz w:val="24"/>
          <w:highlight w:val="none"/>
        </w:rPr>
        <w:t>特殊教育学校</w:t>
      </w:r>
      <w:r>
        <w:rPr>
          <w:rFonts w:hint="eastAsia" w:ascii="宋体" w:hAnsi="宋体" w:cs="宋体"/>
          <w:color w:val="auto"/>
          <w:kern w:val="0"/>
          <w:sz w:val="24"/>
          <w:highlight w:val="none"/>
        </w:rPr>
        <w:t>采购评估诊断区设备、心理辅导区设备、多媒体感统区设备、录播教室设备及信息化相关设备等（具体要求详见谈判文件）；</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6.供货安装期：合同签订后</w:t>
      </w:r>
      <w:r>
        <w:rPr>
          <w:rFonts w:ascii="宋体" w:hAnsi="宋体" w:cs="宋体"/>
          <w:color w:val="auto"/>
          <w:kern w:val="0"/>
          <w:sz w:val="24"/>
          <w:highlight w:val="none"/>
        </w:rPr>
        <w:t>15</w:t>
      </w:r>
      <w:r>
        <w:rPr>
          <w:rFonts w:hint="eastAsia" w:ascii="宋体" w:hAnsi="宋体" w:cs="宋体"/>
          <w:color w:val="auto"/>
          <w:kern w:val="0"/>
          <w:sz w:val="24"/>
          <w:highlight w:val="none"/>
        </w:rPr>
        <w:t>日历天；</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7.质保期：1年； </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8.质量要求：合格，符合国家及行业规范标准；</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9.本项目是否接受联合体投标：否；</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10.是否接受进口产品：否；</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11.是否只面向中小企业采购：否。</w:t>
      </w:r>
    </w:p>
    <w:p>
      <w:pPr>
        <w:adjustRightInd w:val="0"/>
        <w:snapToGrid w:val="0"/>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1.符合《中华人民共和国政府采购法》第二十二条之规定；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2.落实政府采购政策需满足的资格要求：促进中小企业和监狱企业发展扶持政策、政府强制采</w:t>
      </w:r>
      <w:r>
        <w:rPr>
          <w:rFonts w:hint="eastAsia" w:ascii="宋体" w:hAnsi="宋体" w:cs="宋体"/>
          <w:color w:val="auto"/>
          <w:sz w:val="24"/>
          <w:highlight w:val="none"/>
        </w:rPr>
        <w:t>购节能产品、节能产品及环境标志产品优先采购。</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3.1供应商须具有有效的营业执照；</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3.2信誉要求：按照《财政部关于在政府采购活动中查询及使用信用记录有关问题的通知》（财库〔2016〕125号）的要</w:t>
      </w:r>
      <w:r>
        <w:rPr>
          <w:rFonts w:hint="eastAsia" w:ascii="宋体" w:hAnsi="宋体" w:cs="宋体"/>
          <w:color w:val="auto"/>
          <w:sz w:val="24"/>
          <w:highlight w:val="none"/>
        </w:rPr>
        <w:t>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3.3本项目不接受联合体投标；</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3.4资格审查方式：资格后审。</w:t>
      </w:r>
    </w:p>
    <w:p>
      <w:pPr>
        <w:widowControl/>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日至2024年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w:t>
      </w:r>
      <w:r>
        <w:rPr>
          <w:rFonts w:hint="eastAsia" w:ascii="宋体" w:hAnsi="宋体" w:cs="宋体"/>
          <w:color w:val="auto"/>
          <w:sz w:val="24"/>
          <w:highlight w:val="none"/>
        </w:rPr>
        <w:t>，每天上午08:00至12:00，下午12:00至23:59（北京时间，法定节假日除外）；</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2.地点：焦作市公共资源交易中心网站；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3.方式：本项目采用电子开评标（不见面开标），凡有意参加投标者，请登陆焦作市公共资源交易中心网站交易平台“交易主体登录”栏目下载采购文件。</w:t>
      </w:r>
    </w:p>
    <w:p>
      <w:pPr>
        <w:adjustRightInd w:val="0"/>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四、投标截止时间及地点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1.截止时间：</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日09时00分（北京时间）</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2.地点：博爱县公共资源交易中心二楼不见</w:t>
      </w:r>
      <w:r>
        <w:rPr>
          <w:rFonts w:hint="eastAsia" w:ascii="宋体" w:hAnsi="宋体" w:cs="宋体"/>
          <w:color w:val="auto"/>
          <w:sz w:val="24"/>
          <w:highlight w:val="none"/>
        </w:rPr>
        <w:t>面开标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室。</w:t>
      </w:r>
    </w:p>
    <w:p>
      <w:pPr>
        <w:adjustRightInd w:val="0"/>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五、开标时间及地点</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日09 时00分（北京时</w:t>
      </w:r>
      <w:r>
        <w:rPr>
          <w:rFonts w:hint="eastAsia" w:ascii="宋体" w:hAnsi="宋体" w:cs="宋体"/>
          <w:color w:val="auto"/>
          <w:kern w:val="0"/>
          <w:sz w:val="24"/>
          <w:highlight w:val="none"/>
        </w:rPr>
        <w:t>间）；</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w:t>
      </w:r>
      <w:r>
        <w:rPr>
          <w:rFonts w:hint="eastAsia" w:ascii="宋体" w:hAnsi="宋体" w:cs="宋体"/>
          <w:color w:val="auto"/>
          <w:sz w:val="24"/>
          <w:highlight w:val="none"/>
          <w:shd w:val="clear" w:color="auto" w:fill="FFFFFF"/>
        </w:rPr>
        <w:t>二楼</w:t>
      </w:r>
      <w:r>
        <w:rPr>
          <w:rFonts w:hint="eastAsia" w:ascii="宋体" w:hAnsi="宋体" w:cs="宋体"/>
          <w:color w:val="auto"/>
          <w:kern w:val="0"/>
          <w:sz w:val="24"/>
          <w:highlight w:val="none"/>
        </w:rPr>
        <w:t>不见面</w:t>
      </w:r>
      <w:r>
        <w:rPr>
          <w:rFonts w:hint="eastAsia" w:ascii="宋体" w:hAnsi="宋体" w:cs="宋体"/>
          <w:color w:val="auto"/>
          <w:kern w:val="0"/>
          <w:sz w:val="24"/>
          <w:highlight w:val="none"/>
        </w:rPr>
        <w:t>开标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二</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室。</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六、发布公告的媒介及公告期限</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次公告在《中国招标投标公共服务平台》、《河南省政府采购网》、《焦作市政府采购网》、《焦作市公共资源交易中心网》、《博爱县人民政府网》、《博爱县公共资源交易中心网》http://www.baxggzyjyzx.cn/上发布。公告期限为三个工作日。 </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七、其他补充事宜</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采购人：博爱县特殊教育学校</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址：博爱县清化镇鸿昌路与滨河路十字口东南（清化中心学校东邻）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联系人：李豪情</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话：13839106190</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称：智博国际工程咨询有限公司</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址：郑州市西三环与北三环交叉口大学科技园（东区）18号楼D座2层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联系人：黄天鹏、刘莎、刘勇琪、李志强、郭少辉    </w:t>
      </w:r>
    </w:p>
    <w:p>
      <w:pPr>
        <w:autoSpaceDE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  话：0371-68638111 </w:t>
      </w:r>
    </w:p>
    <w:p>
      <w:pPr>
        <w:autoSpaceDE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utoSpaceDE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联系人：黄天鹏、刘莎、刘勇琪</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话：0371-68638111</w:t>
      </w:r>
    </w:p>
    <w:p>
      <w:pPr>
        <w:rPr>
          <w:color w:val="auto"/>
          <w:highlight w:val="none"/>
        </w:rPr>
      </w:pPr>
    </w:p>
    <w:p>
      <w:pPr>
        <w:rPr>
          <w:color w:val="auto"/>
          <w:highlight w:val="none"/>
        </w:rPr>
      </w:pPr>
    </w:p>
    <w:p>
      <w:pPr>
        <w:widowControl/>
        <w:spacing w:line="360" w:lineRule="auto"/>
        <w:jc w:val="right"/>
        <w:rPr>
          <w:rFonts w:ascii="宋体" w:hAnsi="宋体" w:cs="宋体"/>
          <w:color w:val="auto"/>
          <w:sz w:val="24"/>
          <w:highlight w:val="none"/>
        </w:rPr>
      </w:pPr>
      <w:r>
        <w:rPr>
          <w:rFonts w:hint="eastAsia" w:ascii="宋体" w:hAnsi="宋体" w:cs="宋体"/>
          <w:color w:val="auto"/>
          <w:sz w:val="24"/>
          <w:highlight w:val="none"/>
        </w:rPr>
        <w:t>采 购 人：博爱县特殊教育学校</w:t>
      </w:r>
    </w:p>
    <w:p>
      <w:pPr>
        <w:widowControl/>
        <w:spacing w:line="360" w:lineRule="auto"/>
        <w:jc w:val="right"/>
        <w:rPr>
          <w:rFonts w:ascii="宋体" w:hAnsi="宋体" w:cs="宋体"/>
          <w:color w:val="auto"/>
          <w:sz w:val="24"/>
          <w:highlight w:val="none"/>
        </w:rPr>
      </w:pPr>
      <w:r>
        <w:rPr>
          <w:rFonts w:hint="eastAsia" w:ascii="宋体" w:hAnsi="宋体" w:cs="宋体"/>
          <w:color w:val="auto"/>
          <w:sz w:val="24"/>
          <w:highlight w:val="none"/>
        </w:rPr>
        <w:t>采购代理机构：智博国际工程咨询有限公司</w:t>
      </w:r>
    </w:p>
    <w:p>
      <w:pPr>
        <w:widowControl/>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发布时间：2024年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日</w:t>
      </w:r>
    </w:p>
    <w:p>
      <w:pPr>
        <w:pStyle w:val="3"/>
        <w:spacing w:before="0" w:after="0" w:line="360" w:lineRule="auto"/>
        <w:jc w:val="center"/>
        <w:rPr>
          <w:color w:val="auto"/>
          <w:kern w:val="0"/>
          <w:sz w:val="28"/>
          <w:szCs w:val="28"/>
          <w:highlight w:val="none"/>
        </w:rPr>
      </w:pPr>
      <w:r>
        <w:rPr>
          <w:rFonts w:hint="eastAsia"/>
          <w:color w:val="auto"/>
          <w:kern w:val="0"/>
          <w:highlight w:val="none"/>
        </w:rPr>
        <w:br w:type="page"/>
      </w:r>
      <w:bookmarkStart w:id="5" w:name="_Toc28653"/>
      <w:r>
        <w:rPr>
          <w:rFonts w:hint="eastAsia"/>
          <w:color w:val="auto"/>
          <w:kern w:val="0"/>
          <w:sz w:val="28"/>
          <w:szCs w:val="28"/>
          <w:highlight w:val="none"/>
        </w:rPr>
        <w:t>投标须知前附表</w:t>
      </w:r>
      <w:bookmarkEnd w:id="0"/>
      <w:bookmarkEnd w:id="1"/>
      <w:bookmarkEnd w:id="2"/>
      <w:bookmarkEnd w:id="5"/>
    </w:p>
    <w:tbl>
      <w:tblPr>
        <w:tblStyle w:val="29"/>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73"/>
              <w:widowControl w:val="0"/>
              <w:pBdr>
                <w:bottom w:val="none" w:color="auto" w:sz="0" w:space="0"/>
              </w:pBdr>
              <w:spacing w:beforeAutospacing="0" w:afterAutospacing="0" w:line="360" w:lineRule="auto"/>
              <w:textAlignment w:val="auto"/>
              <w:rPr>
                <w:rFonts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8547" w:type="dxa"/>
          </w:tcPr>
          <w:p>
            <w:pPr>
              <w:pStyle w:val="73"/>
              <w:widowControl w:val="0"/>
              <w:pBdr>
                <w:bottom w:val="none" w:color="auto" w:sz="0" w:space="0"/>
              </w:pBdr>
              <w:spacing w:beforeAutospacing="0" w:afterAutospacing="0" w:line="360" w:lineRule="auto"/>
              <w:textAlignment w:val="auto"/>
              <w:rPr>
                <w:rFonts w:ascii="宋体" w:eastAsia="宋体" w:cs="宋体"/>
                <w:color w:val="auto"/>
                <w:sz w:val="24"/>
                <w:szCs w:val="24"/>
                <w:highlight w:val="none"/>
              </w:rPr>
            </w:pPr>
            <w:r>
              <w:rPr>
                <w:rFonts w:hint="eastAsia" w:asci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1</w:t>
            </w:r>
          </w:p>
        </w:tc>
        <w:tc>
          <w:tcPr>
            <w:tcW w:w="8547" w:type="dxa"/>
            <w:vAlign w:val="center"/>
          </w:tcPr>
          <w:p>
            <w:pPr>
              <w:adjustRightInd w:val="0"/>
              <w:snapToGrid w:val="0"/>
              <w:spacing w:line="460" w:lineRule="exact"/>
              <w:ind w:firstLine="240" w:firstLineChars="100"/>
              <w:rPr>
                <w:rFonts w:ascii="宋体" w:cs="宋体"/>
                <w:bCs/>
                <w:color w:val="auto"/>
                <w:sz w:val="24"/>
                <w:highlight w:val="none"/>
              </w:rPr>
            </w:pPr>
            <w:r>
              <w:rPr>
                <w:rFonts w:hint="eastAsia" w:ascii="宋体" w:hAnsi="宋体" w:cs="宋体"/>
                <w:bCs/>
                <w:color w:val="auto"/>
                <w:sz w:val="24"/>
                <w:highlight w:val="none"/>
              </w:rPr>
              <w:t>项目名称：</w:t>
            </w:r>
            <w:r>
              <w:rPr>
                <w:rFonts w:hint="eastAsia" w:ascii="宋体" w:cs="宋体"/>
                <w:bCs/>
                <w:color w:val="auto"/>
                <w:sz w:val="24"/>
                <w:highlight w:val="none"/>
              </w:rPr>
              <w:t>博爱县县级特殊教育资源中心建设采购项目</w:t>
            </w:r>
          </w:p>
          <w:p>
            <w:pPr>
              <w:adjustRightInd w:val="0"/>
              <w:snapToGrid w:val="0"/>
              <w:spacing w:line="460" w:lineRule="exact"/>
              <w:ind w:firstLine="240" w:firstLineChars="100"/>
              <w:rPr>
                <w:rFonts w:ascii="宋体" w:hAnsi="宋体" w:cs="宋体"/>
                <w:color w:val="auto"/>
                <w:kern w:val="0"/>
                <w:sz w:val="24"/>
                <w:highlight w:val="none"/>
              </w:rPr>
            </w:pPr>
            <w:r>
              <w:rPr>
                <w:rFonts w:hint="eastAsia" w:ascii="宋体" w:hAnsi="宋体" w:cs="宋体"/>
                <w:bCs/>
                <w:color w:val="auto"/>
                <w:sz w:val="24"/>
                <w:highlight w:val="none"/>
              </w:rPr>
              <w:t>采购内容：</w:t>
            </w:r>
            <w:r>
              <w:rPr>
                <w:rFonts w:hint="eastAsia" w:ascii="宋体" w:hAnsi="宋体" w:cs="宋体"/>
                <w:color w:val="auto"/>
                <w:sz w:val="24"/>
                <w:highlight w:val="none"/>
              </w:rPr>
              <w:t>博爱县特殊教育学校</w:t>
            </w:r>
            <w:r>
              <w:rPr>
                <w:rFonts w:hint="eastAsia" w:ascii="宋体" w:hAnsi="宋体" w:cs="宋体"/>
                <w:color w:val="auto"/>
                <w:kern w:val="0"/>
                <w:sz w:val="24"/>
                <w:highlight w:val="none"/>
              </w:rPr>
              <w:t xml:space="preserve">采购评估诊断区设备、心理辅导区设备、多媒体感统区设备、录播教室设备及信息化相关设备等（具体要求详见谈判文件）。 </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kern w:val="2"/>
                <w:sz w:val="24"/>
                <w:szCs w:val="24"/>
                <w:highlight w:val="none"/>
              </w:rPr>
            </w:pPr>
            <w:r>
              <w:rPr>
                <w:rFonts w:hint="eastAsia" w:ascii="宋体" w:eastAsia="宋体" w:cs="宋体"/>
                <w:b w:val="0"/>
                <w:bCs/>
                <w:color w:val="auto"/>
                <w:kern w:val="2"/>
                <w:sz w:val="24"/>
                <w:szCs w:val="24"/>
                <w:highlight w:val="none"/>
              </w:rPr>
              <w:t>质量标准：合格，符合国家及行业规范标准。</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kern w:val="2"/>
                <w:sz w:val="24"/>
                <w:szCs w:val="24"/>
                <w:highlight w:val="none"/>
              </w:rPr>
            </w:pPr>
            <w:r>
              <w:rPr>
                <w:rFonts w:hint="eastAsia" w:ascii="宋体" w:eastAsia="宋体" w:cs="宋体"/>
                <w:b w:val="0"/>
                <w:bCs/>
                <w:color w:val="auto"/>
                <w:kern w:val="2"/>
                <w:sz w:val="24"/>
                <w:szCs w:val="24"/>
                <w:highlight w:val="none"/>
              </w:rPr>
              <w:t>供货安装期：合</w:t>
            </w:r>
            <w:r>
              <w:rPr>
                <w:rFonts w:hint="eastAsia" w:ascii="宋体" w:eastAsia="宋体" w:cs="宋体"/>
                <w:b w:val="0"/>
                <w:bCs/>
                <w:color w:val="auto"/>
                <w:kern w:val="2"/>
                <w:sz w:val="24"/>
                <w:szCs w:val="24"/>
                <w:highlight w:val="none"/>
              </w:rPr>
              <w:t>同签订后</w:t>
            </w:r>
            <w:r>
              <w:rPr>
                <w:rFonts w:ascii="宋体" w:eastAsia="宋体" w:cs="宋体"/>
                <w:b w:val="0"/>
                <w:bCs/>
                <w:color w:val="auto"/>
                <w:kern w:val="2"/>
                <w:sz w:val="24"/>
                <w:szCs w:val="24"/>
                <w:highlight w:val="none"/>
              </w:rPr>
              <w:t>15</w:t>
            </w:r>
            <w:r>
              <w:rPr>
                <w:rFonts w:hint="eastAsia" w:ascii="宋体" w:eastAsia="宋体" w:cs="宋体"/>
                <w:b w:val="0"/>
                <w:bCs/>
                <w:color w:val="auto"/>
                <w:kern w:val="2"/>
                <w:sz w:val="24"/>
                <w:szCs w:val="24"/>
                <w:highlight w:val="none"/>
              </w:rPr>
              <w:t>日历天。</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kern w:val="2"/>
                <w:sz w:val="24"/>
                <w:szCs w:val="24"/>
                <w:highlight w:val="none"/>
              </w:rPr>
            </w:pPr>
            <w:r>
              <w:rPr>
                <w:rFonts w:hint="eastAsia" w:ascii="宋体" w:eastAsia="宋体" w:cs="宋体"/>
                <w:b w:val="0"/>
                <w:bCs/>
                <w:color w:val="auto"/>
                <w:kern w:val="2"/>
                <w:sz w:val="24"/>
                <w:szCs w:val="24"/>
                <w:highlight w:val="none"/>
              </w:rPr>
              <w:t>采购方式：竞争性谈判。</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资格审查方式：资格后审。</w:t>
            </w:r>
          </w:p>
          <w:p>
            <w:pPr>
              <w:widowControl/>
              <w:spacing w:line="460" w:lineRule="exact"/>
              <w:ind w:firstLine="240" w:firstLineChars="100"/>
              <w:jc w:val="left"/>
              <w:rPr>
                <w:rFonts w:ascii="宋体" w:hAnsi="宋体" w:cs="宋体"/>
                <w:b/>
                <w:color w:val="auto"/>
                <w:sz w:val="24"/>
                <w:highlight w:val="none"/>
              </w:rPr>
            </w:pPr>
            <w:r>
              <w:rPr>
                <w:rFonts w:hint="eastAsia" w:ascii="宋体" w:cs="宋体"/>
                <w:bCs/>
                <w:color w:val="auto"/>
                <w:sz w:val="24"/>
                <w:highlight w:val="none"/>
              </w:rPr>
              <w:t>付款方</w:t>
            </w:r>
            <w:r>
              <w:rPr>
                <w:rFonts w:hint="eastAsia" w:ascii="宋体" w:cs="宋体"/>
                <w:color w:val="auto"/>
                <w:sz w:val="24"/>
                <w:highlight w:val="none"/>
              </w:rPr>
              <w:t>式：签订合同、供货完毕设备安装完成、验收合格后，按合同总额的97％支付，剩余3%在验收完成日1年后进行支付。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2</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3</w:t>
            </w:r>
          </w:p>
        </w:tc>
        <w:tc>
          <w:tcPr>
            <w:tcW w:w="8547" w:type="dxa"/>
            <w:vAlign w:val="center"/>
          </w:tcPr>
          <w:p>
            <w:pPr>
              <w:adjustRightInd w:val="0"/>
              <w:snapToGrid w:val="0"/>
              <w:spacing w:line="460" w:lineRule="exact"/>
              <w:ind w:firstLine="241" w:firstLineChars="100"/>
              <w:rPr>
                <w:rFonts w:ascii="宋体" w:hAnsi="宋体" w:cs="宋体"/>
                <w:color w:val="auto"/>
                <w:sz w:val="24"/>
                <w:highlight w:val="none"/>
              </w:rPr>
            </w:pPr>
            <w:r>
              <w:rPr>
                <w:rFonts w:hint="eastAsia" w:ascii="宋体" w:hAnsi="宋体" w:cs="宋体"/>
                <w:b/>
                <w:bCs/>
                <w:color w:val="auto"/>
                <w:sz w:val="24"/>
                <w:highlight w:val="none"/>
              </w:rPr>
              <w:t>获取采购文件时间：</w:t>
            </w:r>
            <w:r>
              <w:rPr>
                <w:rFonts w:hint="eastAsia" w:ascii="宋体" w:hAnsi="宋体" w:cs="宋体"/>
                <w:b/>
                <w:bCs/>
                <w:color w:val="auto"/>
                <w:sz w:val="24"/>
                <w:highlight w:val="none"/>
              </w:rPr>
              <w:t>2024年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03</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04</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日至2024年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03</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06</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rPr>
              <w:t>（北京时间）；</w:t>
            </w:r>
            <w:r>
              <w:rPr>
                <w:rFonts w:hint="eastAsia" w:ascii="宋体" w:hAnsi="宋体" w:cs="宋体"/>
                <w:color w:val="auto"/>
                <w:sz w:val="24"/>
                <w:highlight w:val="none"/>
              </w:rPr>
              <w:t> </w:t>
            </w:r>
          </w:p>
          <w:p>
            <w:pPr>
              <w:adjustRightInd w:val="0"/>
              <w:snapToGrid w:val="0"/>
              <w:spacing w:line="4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地点：焦作市公共资源交易中心网站会员系统  </w:t>
            </w:r>
          </w:p>
          <w:p>
            <w:pPr>
              <w:adjustRightInd w:val="0"/>
              <w:snapToGrid w:val="0"/>
              <w:spacing w:line="4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方式：凡有意参加投标者，请登录焦作市公共资源交易中心官网站进行网上下载谈判文件。</w:t>
            </w:r>
            <w:r>
              <w:rPr>
                <w:rFonts w:hint="eastAsia" w:ascii="宋体" w:hAnsi="宋体" w:cs="宋体"/>
                <w:b/>
                <w:bCs/>
                <w:color w:val="auto"/>
                <w:kern w:val="0"/>
                <w:sz w:val="24"/>
                <w:highlight w:val="none"/>
              </w:rPr>
              <w:t>未通过会员系统完成下载文件，响应性文件</w:t>
            </w:r>
            <w:r>
              <w:rPr>
                <w:rFonts w:hint="eastAsia" w:ascii="宋体" w:hAnsi="宋体" w:cs="宋体"/>
                <w:b/>
                <w:bCs/>
                <w:color w:val="auto"/>
                <w:sz w:val="24"/>
                <w:highlight w:val="none"/>
              </w:rPr>
              <w:t>视为无效</w:t>
            </w:r>
            <w:r>
              <w:rPr>
                <w:rFonts w:hint="eastAsia" w:ascii="宋体" w:hAnsi="宋体" w:cs="宋体"/>
                <w:color w:val="auto"/>
                <w:sz w:val="24"/>
                <w:highlight w:val="none"/>
              </w:rPr>
              <w:t>（联系电话：0391-3568920，QQ：232850725、361532918（群））。</w:t>
            </w:r>
          </w:p>
          <w:p>
            <w:pPr>
              <w:adjustRightInd w:val="0"/>
              <w:snapToGrid w:val="0"/>
              <w:spacing w:line="460" w:lineRule="exact"/>
              <w:ind w:firstLine="240" w:firstLineChars="100"/>
              <w:rPr>
                <w:rFonts w:ascii="宋体" w:hAnsi="宋体" w:cs="宋体"/>
                <w:color w:val="auto"/>
                <w:kern w:val="0"/>
                <w:sz w:val="24"/>
                <w:highlight w:val="none"/>
              </w:rPr>
            </w:pPr>
            <w:r>
              <w:rPr>
                <w:rFonts w:hint="eastAsia" w:ascii="宋体" w:hAnsi="宋体" w:cs="宋体"/>
                <w:color w:val="auto"/>
                <w:sz w:val="24"/>
                <w:highlight w:val="none"/>
              </w:rPr>
              <w:t>采购文件售价：0元。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4</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sz w:val="24"/>
                <w:szCs w:val="24"/>
                <w:highlight w:val="none"/>
                <w:u w:val="single"/>
              </w:rPr>
            </w:pPr>
            <w:r>
              <w:rPr>
                <w:rFonts w:hint="eastAsia" w:ascii="宋体" w:eastAsia="宋体" w:cs="宋体"/>
                <w:b w:val="0"/>
                <w:bCs/>
                <w:color w:val="auto"/>
                <w:sz w:val="24"/>
                <w:szCs w:val="24"/>
                <w:highlight w:val="none"/>
              </w:rPr>
              <w:t>响应文件份数：加密的电子响应文件壹份（.jztf 格式在会员系统指定位置上传）。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sz w:val="24"/>
                <w:szCs w:val="24"/>
                <w:highlight w:val="none"/>
              </w:rPr>
            </w:pPr>
            <w:r>
              <w:rPr>
                <w:rFonts w:hint="eastAsia" w:ascii="宋体" w:eastAsia="宋体" w:cs="宋体"/>
                <w:b w:val="0"/>
                <w:bCs/>
                <w:color w:val="auto"/>
                <w:sz w:val="24"/>
                <w:szCs w:val="24"/>
                <w:highlight w:val="none"/>
              </w:rPr>
              <w:t>投标保证金：无。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sz w:val="24"/>
                <w:szCs w:val="24"/>
                <w:highlight w:val="none"/>
              </w:rPr>
            </w:pPr>
            <w:r>
              <w:rPr>
                <w:rFonts w:hint="eastAsia" w:ascii="宋体" w:eastAsia="宋体" w:cs="宋体"/>
                <w:b w:val="0"/>
                <w:bCs/>
                <w:color w:val="auto"/>
                <w:sz w:val="24"/>
                <w:szCs w:val="24"/>
                <w:highlight w:val="none"/>
              </w:rPr>
              <w:t>履约保证金：无。</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sz w:val="24"/>
                <w:szCs w:val="24"/>
                <w:highlight w:val="none"/>
              </w:rPr>
            </w:pPr>
            <w:r>
              <w:rPr>
                <w:rFonts w:hint="eastAsia" w:ascii="宋体" w:eastAsia="宋体" w:cs="宋体"/>
                <w:b w:val="0"/>
                <w:bCs/>
                <w:color w:val="auto"/>
                <w:sz w:val="24"/>
                <w:szCs w:val="24"/>
                <w:highlight w:val="none"/>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bCs/>
                <w:color w:val="auto"/>
                <w:sz w:val="24"/>
                <w:szCs w:val="24"/>
                <w:highlight w:val="none"/>
              </w:rPr>
            </w:pPr>
            <w:r>
              <w:rPr>
                <w:rFonts w:hint="eastAsia" w:ascii="宋体" w:eastAsia="宋体" w:cs="宋体"/>
                <w:b w:val="0"/>
                <w:bCs/>
                <w:color w:val="auto"/>
                <w:sz w:val="24"/>
                <w:szCs w:val="24"/>
                <w:highlight w:val="none"/>
              </w:rPr>
              <w:t>5</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响应文件递交截止时间：</w:t>
            </w:r>
            <w:r>
              <w:rPr>
                <w:rFonts w:hint="eastAsia" w:ascii="宋体" w:eastAsia="宋体" w:cs="宋体"/>
                <w:bCs/>
                <w:color w:val="auto"/>
                <w:sz w:val="24"/>
                <w:szCs w:val="24"/>
                <w:highlight w:val="none"/>
              </w:rPr>
              <w:t>202</w:t>
            </w:r>
            <w:r>
              <w:rPr>
                <w:rFonts w:hint="eastAsia" w:ascii="宋体" w:cs="宋体"/>
                <w:bCs/>
                <w:color w:val="auto"/>
                <w:sz w:val="24"/>
                <w:szCs w:val="24"/>
                <w:highlight w:val="none"/>
              </w:rPr>
              <w:t>4</w:t>
            </w:r>
            <w:r>
              <w:rPr>
                <w:rFonts w:hint="eastAsia" w:ascii="宋体" w:eastAsia="宋体" w:cs="宋体"/>
                <w:bCs/>
                <w:color w:val="auto"/>
                <w:sz w:val="24"/>
                <w:szCs w:val="24"/>
                <w:highlight w:val="none"/>
              </w:rPr>
              <w:t>年</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u w:val="single"/>
                <w:lang w:val="en-US" w:eastAsia="zh-CN"/>
              </w:rPr>
              <w:t>03</w:t>
            </w:r>
            <w:r>
              <w:rPr>
                <w:rFonts w:hint="eastAsia" w:ascii="宋体" w:cs="宋体"/>
                <w:bCs/>
                <w:color w:val="auto"/>
                <w:sz w:val="24"/>
                <w:szCs w:val="24"/>
                <w:highlight w:val="none"/>
                <w:u w:val="single"/>
              </w:rPr>
              <w:t xml:space="preserve"> </w:t>
            </w:r>
            <w:r>
              <w:rPr>
                <w:rFonts w:hint="eastAsia" w:ascii="宋体" w:eastAsia="宋体" w:cs="宋体"/>
                <w:bCs/>
                <w:color w:val="auto"/>
                <w:sz w:val="24"/>
                <w:szCs w:val="24"/>
                <w:highlight w:val="none"/>
              </w:rPr>
              <w:t>月</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u w:val="single"/>
                <w:lang w:val="en-US" w:eastAsia="zh-CN"/>
              </w:rPr>
              <w:t>07</w:t>
            </w:r>
            <w:r>
              <w:rPr>
                <w:rFonts w:hint="eastAsia" w:ascii="宋体" w:eastAsia="宋体" w:cs="宋体"/>
                <w:bCs/>
                <w:color w:val="auto"/>
                <w:sz w:val="24"/>
                <w:szCs w:val="24"/>
                <w:highlight w:val="none"/>
                <w:u w:val="single"/>
              </w:rPr>
              <w:t xml:space="preserve"> </w:t>
            </w:r>
            <w:r>
              <w:rPr>
                <w:rFonts w:hint="eastAsia" w:ascii="宋体" w:eastAsia="宋体" w:cs="宋体"/>
                <w:bCs/>
                <w:color w:val="auto"/>
                <w:sz w:val="24"/>
                <w:szCs w:val="24"/>
                <w:highlight w:val="none"/>
              </w:rPr>
              <w:t>日</w:t>
            </w:r>
            <w:r>
              <w:rPr>
                <w:rFonts w:hint="eastAsia" w:ascii="宋体" w:eastAsia="宋体" w:cs="宋体"/>
                <w:bCs/>
                <w:color w:val="auto"/>
                <w:sz w:val="24"/>
                <w:szCs w:val="24"/>
                <w:highlight w:val="none"/>
                <w:u w:val="single"/>
              </w:rPr>
              <w:t>09</w:t>
            </w:r>
            <w:r>
              <w:rPr>
                <w:rFonts w:hint="eastAsia" w:ascii="宋体" w:eastAsia="宋体" w:cs="宋体"/>
                <w:bCs/>
                <w:color w:val="auto"/>
                <w:sz w:val="24"/>
                <w:szCs w:val="24"/>
                <w:highlight w:val="none"/>
              </w:rPr>
              <w:t>时</w:t>
            </w:r>
            <w:r>
              <w:rPr>
                <w:rFonts w:hint="eastAsia" w:ascii="宋体" w:eastAsia="宋体" w:cs="宋体"/>
                <w:bCs/>
                <w:color w:val="auto"/>
                <w:sz w:val="24"/>
                <w:szCs w:val="24"/>
                <w:highlight w:val="none"/>
                <w:u w:val="single"/>
              </w:rPr>
              <w:t>00</w:t>
            </w:r>
            <w:r>
              <w:rPr>
                <w:rFonts w:hint="eastAsia" w:ascii="宋体" w:eastAsia="宋体" w:cs="宋体"/>
                <w:bCs/>
                <w:color w:val="auto"/>
                <w:sz w:val="24"/>
                <w:szCs w:val="24"/>
                <w:highlight w:val="none"/>
              </w:rPr>
              <w:t>分（北京时间）；</w:t>
            </w:r>
            <w:r>
              <w:rPr>
                <w:rFonts w:hint="eastAsia" w:ascii="宋体" w:eastAsia="宋体" w:cs="宋体"/>
                <w:color w:val="auto"/>
                <w:sz w:val="24"/>
                <w:highlight w:val="none"/>
              </w:rPr>
              <w:t> </w:t>
            </w:r>
          </w:p>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bCs/>
                <w:color w:val="auto"/>
                <w:sz w:val="24"/>
                <w:szCs w:val="24"/>
                <w:highlight w:val="none"/>
              </w:rPr>
            </w:pPr>
            <w:r>
              <w:rPr>
                <w:rFonts w:hint="eastAsia" w:ascii="宋体" w:eastAsia="宋体" w:cs="宋体"/>
                <w:b w:val="0"/>
                <w:color w:val="auto"/>
                <w:sz w:val="24"/>
                <w:szCs w:val="24"/>
                <w:highlight w:val="none"/>
              </w:rPr>
              <w:t>响应文件递交地点：博爱县公共资源交易中心不见</w:t>
            </w:r>
            <w:r>
              <w:rPr>
                <w:rFonts w:hint="eastAsia" w:ascii="宋体" w:eastAsia="宋体" w:cs="宋体"/>
                <w:b w:val="0"/>
                <w:color w:val="auto"/>
                <w:sz w:val="24"/>
                <w:szCs w:val="24"/>
                <w:highlight w:val="none"/>
              </w:rPr>
              <w:t>面开标</w:t>
            </w:r>
            <w:r>
              <w:rPr>
                <w:rFonts w:hint="eastAsia" w:ascii="宋体" w:eastAsia="宋体" w:cs="宋体"/>
                <w:b w:val="0"/>
                <w:color w:val="auto"/>
                <w:sz w:val="24"/>
                <w:szCs w:val="24"/>
                <w:highlight w:val="none"/>
                <w:u w:val="single"/>
              </w:rPr>
              <w:t xml:space="preserve"> </w:t>
            </w:r>
            <w:r>
              <w:rPr>
                <w:rFonts w:hint="eastAsia" w:ascii="宋体" w:eastAsia="宋体" w:cs="宋体"/>
                <w:b w:val="0"/>
                <w:color w:val="auto"/>
                <w:sz w:val="24"/>
                <w:szCs w:val="24"/>
                <w:highlight w:val="none"/>
                <w:u w:val="single"/>
                <w:lang w:eastAsia="zh-CN"/>
              </w:rPr>
              <w:t>二</w:t>
            </w:r>
            <w:r>
              <w:rPr>
                <w:rFonts w:hint="eastAsia" w:ascii="宋体" w:eastAsia="宋体" w:cs="宋体"/>
                <w:b w:val="0"/>
                <w:color w:val="auto"/>
                <w:sz w:val="24"/>
                <w:szCs w:val="24"/>
                <w:highlight w:val="none"/>
                <w:u w:val="single"/>
              </w:rPr>
              <w:t xml:space="preserve">  </w:t>
            </w:r>
            <w:r>
              <w:rPr>
                <w:rFonts w:hint="eastAsia" w:ascii="宋体" w:eastAsia="宋体" w:cs="宋体"/>
                <w:b w:val="0"/>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6</w:t>
            </w:r>
          </w:p>
        </w:tc>
        <w:tc>
          <w:tcPr>
            <w:tcW w:w="8547" w:type="dxa"/>
            <w:vAlign w:val="center"/>
          </w:tcPr>
          <w:p>
            <w:pPr>
              <w:widowControl/>
              <w:spacing w:line="4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采购事项答疑: 本项目不再统一召开答疑会，供应商如有疑问，请在响应文件递交截止时间1个工作日前与采购人或采购代理机构以书面形式提出。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7</w:t>
            </w:r>
          </w:p>
        </w:tc>
        <w:tc>
          <w:tcPr>
            <w:tcW w:w="8547" w:type="dxa"/>
            <w:vAlign w:val="center"/>
          </w:tcPr>
          <w:p>
            <w:pPr>
              <w:autoSpaceDE w:val="0"/>
              <w:autoSpaceDN w:val="0"/>
              <w:adjustRightInd w:val="0"/>
              <w:spacing w:line="460" w:lineRule="exact"/>
              <w:ind w:firstLine="240" w:firstLineChars="100"/>
              <w:rPr>
                <w:rFonts w:ascii="宋体" w:hAnsi="宋体" w:cs="宋体"/>
                <w:bCs/>
                <w:color w:val="auto"/>
                <w:kern w:val="0"/>
                <w:sz w:val="24"/>
                <w:highlight w:val="none"/>
              </w:rPr>
            </w:pPr>
            <w:r>
              <w:rPr>
                <w:rFonts w:hint="eastAsia" w:ascii="宋体" w:hAnsi="宋体" w:cs="宋体"/>
                <w:bCs/>
                <w:color w:val="auto"/>
                <w:kern w:val="0"/>
                <w:sz w:val="24"/>
                <w:highlight w:val="none"/>
              </w:rPr>
              <w:t>开标时间：同</w:t>
            </w:r>
            <w:r>
              <w:rPr>
                <w:rFonts w:hint="eastAsia" w:ascii="宋体" w:hAnsi="宋体" w:cs="宋体"/>
                <w:color w:val="auto"/>
                <w:sz w:val="24"/>
                <w:highlight w:val="none"/>
              </w:rPr>
              <w:t>响应文件递交截止时间</w:t>
            </w:r>
            <w:r>
              <w:rPr>
                <w:rFonts w:hint="eastAsia" w:ascii="宋体" w:hAnsi="宋体" w:cs="宋体"/>
                <w:bCs/>
                <w:color w:val="auto"/>
                <w:kern w:val="0"/>
                <w:sz w:val="24"/>
                <w:highlight w:val="none"/>
              </w:rPr>
              <w:t>。供应商应当登录远程开标大厅，凭制作响应性文件所用的企业 CA 密匙在线签到、解密文件等，解密时间为投标截止时后30分钟内。</w:t>
            </w:r>
          </w:p>
          <w:p>
            <w:pPr>
              <w:autoSpaceDE w:val="0"/>
              <w:autoSpaceDN w:val="0"/>
              <w:adjustRightInd w:val="0"/>
              <w:spacing w:line="460" w:lineRule="exact"/>
              <w:ind w:firstLine="240" w:firstLineChars="100"/>
              <w:rPr>
                <w:rFonts w:ascii="宋体" w:hAnsi="宋体" w:cs="宋体"/>
                <w:b/>
                <w:color w:val="auto"/>
                <w:sz w:val="24"/>
                <w:highlight w:val="none"/>
              </w:rPr>
            </w:pPr>
            <w:r>
              <w:rPr>
                <w:rFonts w:hint="eastAsia" w:ascii="宋体" w:hAnsi="宋体" w:cs="宋体"/>
                <w:bCs/>
                <w:color w:val="auto"/>
                <w:kern w:val="0"/>
                <w:sz w:val="24"/>
                <w:highlight w:val="none"/>
              </w:rPr>
              <w:t>不见面开标地点：博爱县公共资源交易中</w:t>
            </w:r>
            <w:r>
              <w:rPr>
                <w:rFonts w:hint="eastAsia" w:ascii="宋体" w:hAnsi="宋体" w:cs="宋体"/>
                <w:bCs/>
                <w:color w:val="auto"/>
                <w:kern w:val="0"/>
                <w:sz w:val="24"/>
                <w:highlight w:val="none"/>
              </w:rPr>
              <w:t>心第</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eastAsia="zh-CN"/>
              </w:rPr>
              <w:t>二</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开标室</w:t>
            </w:r>
            <w:r>
              <w:rPr>
                <w:rFonts w:hint="eastAsia" w:ascii="宋体" w:hAnsi="宋体" w:cs="宋体"/>
                <w:bCs/>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8</w:t>
            </w:r>
          </w:p>
        </w:tc>
        <w:tc>
          <w:tcPr>
            <w:tcW w:w="8547" w:type="dxa"/>
            <w:vAlign w:val="center"/>
          </w:tcPr>
          <w:p>
            <w:pPr>
              <w:widowControl/>
              <w:spacing w:line="460" w:lineRule="exact"/>
              <w:ind w:firstLine="240" w:firstLineChars="1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递交响应性文件方式：</w:t>
            </w:r>
          </w:p>
          <w:p>
            <w:pPr>
              <w:widowControl/>
              <w:spacing w:line="460" w:lineRule="exact"/>
              <w:ind w:firstLine="240" w:firstLineChars="1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本项目采用“远程不见面”开标方式，远程开标大厅网址为http://122.112.246.33/BidOpening/bidopeninghallaction/hall/login。供应商不需到开标现场参加开标会议，不需提交原件资料等。 </w:t>
            </w:r>
          </w:p>
          <w:p>
            <w:pPr>
              <w:widowControl/>
              <w:spacing w:line="460" w:lineRule="exact"/>
              <w:ind w:firstLine="240" w:firstLineChars="100"/>
              <w:jc w:val="left"/>
              <w:rPr>
                <w:rFonts w:ascii="宋体" w:hAnsi="宋体" w:cs="宋体"/>
                <w:bCs/>
                <w:color w:val="auto"/>
                <w:kern w:val="0"/>
                <w:sz w:val="24"/>
                <w:highlight w:val="none"/>
              </w:rPr>
            </w:pPr>
            <w:r>
              <w:rPr>
                <w:rFonts w:hint="eastAsia" w:ascii="宋体" w:hAnsi="宋体" w:cs="宋体"/>
                <w:bCs/>
                <w:color w:val="auto"/>
                <w:kern w:val="0"/>
                <w:sz w:val="24"/>
                <w:highlight w:val="none"/>
              </w:rPr>
              <w:t>1.电子响应性文件的递交</w:t>
            </w:r>
          </w:p>
          <w:p>
            <w:pPr>
              <w:widowControl/>
              <w:spacing w:line="460" w:lineRule="exact"/>
              <w:ind w:firstLine="240" w:firstLineChars="100"/>
              <w:jc w:val="left"/>
              <w:rPr>
                <w:rFonts w:ascii="宋体" w:hAnsi="宋体" w:cs="宋体"/>
                <w:bCs/>
                <w:color w:val="auto"/>
                <w:kern w:val="0"/>
                <w:sz w:val="24"/>
                <w:highlight w:val="none"/>
              </w:rPr>
            </w:pPr>
            <w:r>
              <w:rPr>
                <w:rFonts w:hint="eastAsia" w:ascii="宋体" w:hAnsi="宋体" w:cs="宋体"/>
                <w:bCs/>
                <w:color w:val="auto"/>
                <w:kern w:val="0"/>
                <w:sz w:val="24"/>
                <w:highlight w:val="none"/>
              </w:rPr>
              <w:t>1.1 各供应商应在投标截止时间前上传加密的电子响应性文件</w:t>
            </w:r>
          </w:p>
          <w:p>
            <w:pPr>
              <w:widowControl/>
              <w:spacing w:line="460" w:lineRule="exact"/>
              <w:ind w:firstLine="240" w:firstLineChars="100"/>
              <w:jc w:val="left"/>
              <w:rPr>
                <w:rFonts w:ascii="宋体" w:hAnsi="宋体" w:cs="宋体"/>
                <w:bCs/>
                <w:color w:val="auto"/>
                <w:kern w:val="0"/>
                <w:sz w:val="24"/>
                <w:highlight w:val="none"/>
              </w:rPr>
            </w:pPr>
            <w:r>
              <w:rPr>
                <w:rFonts w:hint="eastAsia" w:ascii="宋体" w:hAnsi="宋体" w:cs="宋体"/>
                <w:bCs/>
                <w:color w:val="auto"/>
                <w:kern w:val="0"/>
                <w:sz w:val="24"/>
                <w:highlight w:val="none"/>
              </w:rPr>
              <w:t>（.jztf 格式）到会员系统的指定位置。上传时必须得到电脑“上传成功”的确认回复。请供应商在上传时认真检查上传响应性文件是否完整、正确。</w:t>
            </w:r>
          </w:p>
          <w:p>
            <w:pPr>
              <w:widowControl/>
              <w:spacing w:line="460" w:lineRule="exact"/>
              <w:ind w:firstLine="240" w:firstLineChars="100"/>
              <w:jc w:val="left"/>
              <w:rPr>
                <w:rFonts w:ascii="宋体" w:hAnsi="宋体" w:cs="宋体"/>
                <w:color w:val="auto"/>
                <w:kern w:val="0"/>
                <w:sz w:val="24"/>
                <w:szCs w:val="21"/>
                <w:highlight w:val="none"/>
              </w:rPr>
            </w:pPr>
            <w:r>
              <w:rPr>
                <w:rFonts w:hint="eastAsia" w:ascii="宋体" w:hAnsi="宋体" w:cs="宋体"/>
                <w:bCs/>
                <w:color w:val="auto"/>
                <w:kern w:val="0"/>
                <w:sz w:val="24"/>
                <w:highlight w:val="none"/>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9</w:t>
            </w:r>
          </w:p>
        </w:tc>
        <w:tc>
          <w:tcPr>
            <w:tcW w:w="8547" w:type="dxa"/>
            <w:vAlign w:val="center"/>
          </w:tcPr>
          <w:p>
            <w:pPr>
              <w:widowControl/>
              <w:spacing w:line="460" w:lineRule="exact"/>
              <w:ind w:firstLine="241" w:firstLineChars="100"/>
              <w:jc w:val="left"/>
              <w:rPr>
                <w:rFonts w:ascii="宋体" w:hAnsi="宋体" w:cs="宋体"/>
                <w:b/>
                <w:color w:val="auto"/>
                <w:kern w:val="0"/>
                <w:sz w:val="24"/>
                <w:highlight w:val="none"/>
              </w:rPr>
            </w:pPr>
            <w:r>
              <w:rPr>
                <w:rFonts w:hint="eastAsia" w:ascii="宋体" w:hAnsi="宋体" w:cs="宋体"/>
                <w:b/>
                <w:color w:val="auto"/>
                <w:kern w:val="0"/>
                <w:sz w:val="24"/>
                <w:highlight w:val="none"/>
              </w:rPr>
              <w:t>采购预算控制金额（大写）：</w:t>
            </w:r>
            <w:r>
              <w:rPr>
                <w:rFonts w:hint="eastAsia" w:ascii="宋体" w:hAnsi="宋体" w:cs="宋体"/>
                <w:b/>
                <w:color w:val="auto"/>
                <w:kern w:val="0"/>
                <w:sz w:val="24"/>
                <w:highlight w:val="none"/>
                <w:u w:val="single"/>
              </w:rPr>
              <w:t>伍拾伍万伍仟元整</w:t>
            </w:r>
            <w:r>
              <w:rPr>
                <w:rFonts w:hint="eastAsia" w:ascii="宋体" w:hAnsi="宋体" w:cs="宋体"/>
                <w:b/>
                <w:color w:val="auto"/>
                <w:kern w:val="0"/>
                <w:sz w:val="24"/>
                <w:highlight w:val="none"/>
              </w:rPr>
              <w:t>（</w:t>
            </w:r>
            <w:r>
              <w:rPr>
                <w:rFonts w:hint="eastAsia" w:ascii="宋体" w:hAnsi="宋体"/>
                <w:b/>
                <w:color w:val="auto"/>
                <w:kern w:val="0"/>
                <w:sz w:val="24"/>
                <w:highlight w:val="none"/>
              </w:rPr>
              <w:t>￥</w:t>
            </w:r>
            <w:r>
              <w:rPr>
                <w:rFonts w:hint="eastAsia" w:ascii="宋体" w:hAnsi="宋体" w:cs="宋体"/>
                <w:b/>
                <w:color w:val="auto"/>
                <w:kern w:val="0"/>
                <w:sz w:val="24"/>
                <w:highlight w:val="none"/>
              </w:rPr>
              <w:t>555000.00.00元）</w:t>
            </w:r>
          </w:p>
          <w:p>
            <w:pPr>
              <w:widowControl/>
              <w:spacing w:line="460" w:lineRule="exact"/>
              <w:ind w:firstLine="240" w:firstLineChars="100"/>
              <w:rPr>
                <w:rFonts w:ascii="宋体" w:hAnsi="宋体" w:cs="宋体"/>
                <w:color w:val="auto"/>
                <w:highlight w:val="none"/>
              </w:rPr>
            </w:pPr>
            <w:r>
              <w:rPr>
                <w:rFonts w:hint="eastAsia" w:ascii="宋体" w:hAnsi="宋体" w:cs="宋体"/>
                <w:bCs/>
                <w:color w:val="auto"/>
                <w:kern w:val="0"/>
                <w:sz w:val="24"/>
                <w:highlight w:val="none"/>
              </w:rPr>
              <w:t>供应商的投标报价高于采购预算控制金额的视为无效报价，其投标予以拒绝；当成交人的投标价高于控制价的95%时，该成交人的成交价按控制价的95%执行。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10</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投标有效期：60日历天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11</w:t>
            </w:r>
          </w:p>
        </w:tc>
        <w:tc>
          <w:tcPr>
            <w:tcW w:w="8547" w:type="dxa"/>
            <w:vAlign w:val="center"/>
          </w:tcPr>
          <w:p>
            <w:pPr>
              <w:widowControl/>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1.采购人：博爱县特殊教育学校  </w:t>
            </w:r>
          </w:p>
          <w:p>
            <w:pPr>
              <w:widowControl/>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联系人：李豪情 </w:t>
            </w:r>
          </w:p>
          <w:p>
            <w:pPr>
              <w:adjustRightInd w:val="0"/>
              <w:snapToGrid w:val="0"/>
              <w:spacing w:line="4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联系电话：13839106190 </w:t>
            </w:r>
          </w:p>
          <w:p>
            <w:pPr>
              <w:widowControl/>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联系地址：博爱县清化镇鸿昌路与滨河路十字口东南（清化中心学校东邻）</w:t>
            </w:r>
          </w:p>
          <w:p>
            <w:pPr>
              <w:widowControl/>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2.采购代理机构：智博国际工程咨询有限公司</w:t>
            </w:r>
          </w:p>
          <w:p>
            <w:pPr>
              <w:widowControl/>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联系人：黄天鹏、刘莎、刘勇琪、李志强、郭少辉     </w:t>
            </w:r>
          </w:p>
          <w:p>
            <w:pPr>
              <w:widowControl/>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联系电话：0371-68638111    </w:t>
            </w:r>
          </w:p>
          <w:p>
            <w:pPr>
              <w:widowControl/>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联系地址：郑州市西三环与北三环交叉口大学科技园（东区）18号楼D座2层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sz w:val="21"/>
                <w:szCs w:val="21"/>
                <w:highlight w:val="none"/>
              </w:rPr>
            </w:pPr>
            <w:r>
              <w:rPr>
                <w:rFonts w:hint="eastAsia" w:ascii="宋体" w:eastAsia="宋体" w:cs="宋体"/>
                <w:b w:val="0"/>
                <w:color w:val="auto"/>
                <w:sz w:val="21"/>
                <w:szCs w:val="21"/>
                <w:highlight w:val="none"/>
              </w:rPr>
              <w:t>12</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kern w:val="2"/>
                <w:sz w:val="24"/>
                <w:szCs w:val="24"/>
                <w:highlight w:val="none"/>
              </w:rPr>
            </w:pPr>
            <w:r>
              <w:rPr>
                <w:rFonts w:hint="eastAsia" w:ascii="宋体" w:eastAsia="宋体" w:cs="宋体"/>
                <w:b w:val="0"/>
                <w:color w:val="auto"/>
                <w:kern w:val="2"/>
                <w:sz w:val="24"/>
                <w:szCs w:val="24"/>
                <w:highlight w:val="none"/>
              </w:rPr>
              <w:t>代理服务费：依据预算金额参照豫招协[2023]002号《河南省招标代理服务收费指导意见》中的标准向成交人收取代理服务费,由成交人在领取成交通知书前，向代理机构足额缴纳。</w:t>
            </w:r>
          </w:p>
          <w:p>
            <w:pPr>
              <w:spacing w:line="46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采购代理账户信息：</w:t>
            </w:r>
          </w:p>
          <w:p>
            <w:pPr>
              <w:spacing w:line="460" w:lineRule="exact"/>
              <w:ind w:firstLine="241" w:firstLineChars="100"/>
              <w:rPr>
                <w:rFonts w:ascii="宋体" w:hAnsi="宋体" w:cs="宋体"/>
                <w:b/>
                <w:bCs/>
                <w:color w:val="auto"/>
                <w:kern w:val="0"/>
                <w:sz w:val="24"/>
                <w:highlight w:val="none"/>
              </w:rPr>
            </w:pPr>
            <w:r>
              <w:rPr>
                <w:rFonts w:hint="eastAsia" w:ascii="宋体" w:hAnsi="宋体" w:cs="宋体"/>
                <w:b/>
                <w:bCs/>
                <w:color w:val="auto"/>
                <w:sz w:val="24"/>
                <w:highlight w:val="none"/>
              </w:rPr>
              <w:t>单位名称：智博国际工程咨询有限公司</w:t>
            </w:r>
          </w:p>
          <w:p>
            <w:pPr>
              <w:spacing w:line="46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银行帐号：1310 1251 6010 0063 23</w:t>
            </w:r>
          </w:p>
          <w:p>
            <w:pPr>
              <w:pStyle w:val="73"/>
              <w:widowControl w:val="0"/>
              <w:pBdr>
                <w:bottom w:val="none" w:color="auto" w:sz="0" w:space="0"/>
              </w:pBdr>
              <w:spacing w:beforeAutospacing="0" w:afterAutospacing="0" w:line="460" w:lineRule="exact"/>
              <w:ind w:firstLine="241" w:firstLineChars="100"/>
              <w:jc w:val="both"/>
              <w:textAlignment w:val="auto"/>
              <w:rPr>
                <w:rFonts w:ascii="宋体" w:eastAsia="宋体" w:cs="宋体"/>
                <w:b w:val="0"/>
                <w:color w:val="auto"/>
                <w:kern w:val="2"/>
                <w:sz w:val="24"/>
                <w:szCs w:val="24"/>
                <w:highlight w:val="none"/>
              </w:rPr>
            </w:pPr>
            <w:r>
              <w:rPr>
                <w:rFonts w:hint="eastAsia" w:ascii="宋体" w:eastAsia="宋体" w:cs="宋体"/>
                <w:bCs/>
                <w:color w:val="auto"/>
                <w:sz w:val="24"/>
                <w:highlight w:val="none"/>
              </w:rPr>
              <w:t>开户银行：广发银行股份有限公司郑州淮河路支行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ascii="宋体" w:eastAsia="宋体" w:cs="宋体"/>
                <w:b w:val="0"/>
                <w:color w:val="auto"/>
                <w:kern w:val="2"/>
                <w:sz w:val="24"/>
                <w:szCs w:val="24"/>
                <w:highlight w:val="none"/>
              </w:rPr>
            </w:pPr>
            <w:bookmarkStart w:id="6" w:name="_Toc533668868"/>
            <w:bookmarkStart w:id="7" w:name="_Toc20290"/>
            <w:r>
              <w:rPr>
                <w:rFonts w:hint="eastAsia" w:ascii="宋体" w:eastAsia="宋体" w:cs="宋体"/>
                <w:b w:val="0"/>
                <w:color w:val="auto"/>
                <w:sz w:val="21"/>
                <w:szCs w:val="21"/>
                <w:highlight w:val="none"/>
              </w:rPr>
              <w:t>13</w:t>
            </w:r>
          </w:p>
        </w:tc>
        <w:tc>
          <w:tcPr>
            <w:tcW w:w="8547" w:type="dxa"/>
            <w:vAlign w:val="center"/>
          </w:tcPr>
          <w:p>
            <w:pPr>
              <w:pStyle w:val="73"/>
              <w:widowControl w:val="0"/>
              <w:pBdr>
                <w:bottom w:val="none" w:color="auto" w:sz="0" w:space="0"/>
              </w:pBdr>
              <w:spacing w:beforeAutospacing="0" w:afterAutospacing="0" w:line="460" w:lineRule="exact"/>
              <w:ind w:firstLine="240" w:firstLineChars="100"/>
              <w:jc w:val="both"/>
              <w:textAlignment w:val="auto"/>
              <w:rPr>
                <w:rFonts w:ascii="宋体" w:eastAsia="宋体" w:cs="宋体"/>
                <w:b w:val="0"/>
                <w:color w:val="auto"/>
                <w:kern w:val="2"/>
                <w:sz w:val="24"/>
                <w:szCs w:val="24"/>
                <w:highlight w:val="none"/>
              </w:rPr>
            </w:pPr>
            <w:r>
              <w:rPr>
                <w:rFonts w:hint="eastAsia" w:ascii="宋体" w:eastAsia="宋体" w:cs="宋体"/>
                <w:b w:val="0"/>
                <w:color w:val="auto"/>
                <w:kern w:val="2"/>
                <w:sz w:val="24"/>
                <w:szCs w:val="24"/>
                <w:highlight w:val="none"/>
              </w:rPr>
              <w:t>本项目采购货物在质保期内属于货物质量问题的，成交供应商应免费维修，不能维修的应及时更换新设备，供应商须针对质保期内的质量问题提供承诺函。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hint="default" w:asci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14</w:t>
            </w:r>
          </w:p>
        </w:tc>
        <w:tc>
          <w:tcPr>
            <w:tcW w:w="8547" w:type="dxa"/>
            <w:vAlign w:val="center"/>
          </w:tcPr>
          <w:p>
            <w:pPr>
              <w:adjustRightInd w:val="0"/>
              <w:snapToGrid w:val="0"/>
              <w:spacing w:line="360" w:lineRule="auto"/>
              <w:ind w:firstLine="241" w:firstLineChars="100"/>
              <w:rPr>
                <w:rFonts w:hint="eastAsia" w:ascii="宋体" w:eastAsia="宋体" w:cs="宋体"/>
                <w:bCs/>
                <w:color w:val="auto"/>
                <w:kern w:val="2"/>
                <w:sz w:val="24"/>
                <w:szCs w:val="24"/>
                <w:highlight w:val="none"/>
              </w:rPr>
            </w:pPr>
            <w:r>
              <w:rPr>
                <w:rFonts w:hint="eastAsia" w:ascii="宋体" w:hAnsi="宋体" w:cs="宋体"/>
                <w:b/>
                <w:bCs/>
                <w:color w:val="auto"/>
                <w:sz w:val="24"/>
                <w:highlight w:val="none"/>
              </w:rPr>
              <w:t>本项目成交公告发布后，成交人须打印纸质版文件4份（含响应文件及第二轮报价文件），纸质文件须与上传至焦作市公共资源交易中心电子交易平台文件保持一致，并送至采购代理机构处。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pPr>
              <w:pStyle w:val="73"/>
              <w:widowControl w:val="0"/>
              <w:pBdr>
                <w:bottom w:val="none" w:color="auto" w:sz="0" w:space="0"/>
              </w:pBdr>
              <w:spacing w:beforeAutospacing="0" w:afterAutospacing="0" w:line="360" w:lineRule="auto"/>
              <w:textAlignment w:val="auto"/>
              <w:rPr>
                <w:rFonts w:hint="default" w:ascii="宋体" w:eastAsia="宋体" w:cs="宋体"/>
                <w:b w:val="0"/>
                <w:color w:val="auto"/>
                <w:sz w:val="21"/>
                <w:szCs w:val="21"/>
                <w:highlight w:val="none"/>
                <w:lang w:val="en-US" w:eastAsia="zh-CN"/>
              </w:rPr>
            </w:pPr>
            <w:r>
              <w:rPr>
                <w:rFonts w:hint="eastAsia" w:ascii="宋体" w:eastAsia="宋体" w:cs="宋体"/>
                <w:b w:val="0"/>
                <w:color w:val="auto"/>
                <w:sz w:val="21"/>
                <w:szCs w:val="21"/>
                <w:highlight w:val="none"/>
                <w:lang w:val="en-US" w:eastAsia="zh-CN"/>
              </w:rPr>
              <w:t>15</w:t>
            </w:r>
          </w:p>
        </w:tc>
        <w:tc>
          <w:tcPr>
            <w:tcW w:w="8547" w:type="dxa"/>
            <w:vAlign w:val="center"/>
          </w:tcPr>
          <w:p>
            <w:pPr>
              <w:pStyle w:val="73"/>
              <w:widowControl w:val="0"/>
              <w:pBdr>
                <w:bottom w:val="none" w:color="auto" w:sz="0" w:space="0"/>
              </w:pBdr>
              <w:spacing w:beforeAutospacing="0" w:afterAutospacing="0" w:line="460" w:lineRule="exact"/>
              <w:ind w:firstLine="241" w:firstLineChars="100"/>
              <w:jc w:val="both"/>
              <w:textAlignment w:val="auto"/>
              <w:rPr>
                <w:rFonts w:ascii="宋体" w:eastAsia="宋体" w:cs="宋体"/>
                <w:bCs/>
                <w:color w:val="auto"/>
                <w:kern w:val="2"/>
                <w:sz w:val="24"/>
                <w:szCs w:val="24"/>
                <w:highlight w:val="none"/>
              </w:rPr>
            </w:pPr>
            <w:r>
              <w:rPr>
                <w:rFonts w:hint="eastAsia" w:ascii="宋体" w:eastAsia="宋体" w:cs="宋体"/>
                <w:bCs/>
                <w:color w:val="auto"/>
                <w:kern w:val="2"/>
                <w:sz w:val="24"/>
                <w:szCs w:val="24"/>
                <w:highlight w:val="none"/>
              </w:rPr>
              <w:t>本竞争性谈判文件解释权归采购人。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73"/>
              <w:widowControl w:val="0"/>
              <w:pBdr>
                <w:bottom w:val="none" w:color="auto" w:sz="0" w:space="0"/>
              </w:pBdr>
              <w:spacing w:beforeAutospacing="0" w:afterAutospacing="0" w:line="400" w:lineRule="exact"/>
              <w:textAlignment w:val="auto"/>
              <w:rPr>
                <w:rFonts w:ascii="宋体" w:eastAsia="宋体" w:cs="宋体"/>
                <w:b w:val="0"/>
                <w:color w:val="auto"/>
                <w:sz w:val="21"/>
                <w:szCs w:val="21"/>
                <w:highlight w:val="none"/>
              </w:rPr>
            </w:pPr>
            <w:r>
              <w:rPr>
                <w:rFonts w:hint="eastAsia" w:ascii="宋体" w:eastAsia="宋体" w:cs="宋体"/>
                <w:color w:val="auto"/>
                <w:sz w:val="24"/>
                <w:szCs w:val="24"/>
                <w:highlight w:val="none"/>
              </w:rPr>
              <w:t>特别提醒</w:t>
            </w:r>
          </w:p>
        </w:tc>
        <w:tc>
          <w:tcPr>
            <w:tcW w:w="8547" w:type="dxa"/>
            <w:vAlign w:val="center"/>
          </w:tcPr>
          <w:p>
            <w:pPr>
              <w:spacing w:line="480" w:lineRule="exact"/>
              <w:ind w:firstLine="241" w:firstLineChars="100"/>
              <w:rPr>
                <w:rFonts w:ascii="宋体" w:hAnsi="宋体" w:cs="宋体"/>
                <w:b/>
                <w:bCs/>
                <w:color w:val="auto"/>
                <w:sz w:val="24"/>
                <w:highlight w:val="none"/>
              </w:rPr>
            </w:pPr>
            <w:r>
              <w:rPr>
                <w:rFonts w:ascii="宋体" w:hAnsi="宋体" w:cs="宋体"/>
                <w:b/>
                <w:bCs/>
                <w:color w:val="auto"/>
                <w:sz w:val="24"/>
                <w:highlight w:val="none"/>
              </w:rPr>
              <w:t>1、因电子化评标需要，谈判小组要求供应商进行二轮报价以及作出澄清、说明或补正均采用网上方式进行。</w:t>
            </w:r>
          </w:p>
          <w:p>
            <w:pPr>
              <w:spacing w:line="480" w:lineRule="exact"/>
              <w:ind w:firstLine="241" w:firstLineChars="100"/>
              <w:rPr>
                <w:rFonts w:ascii="宋体" w:hAnsi="宋体" w:cs="宋体"/>
                <w:b/>
                <w:bCs/>
                <w:color w:val="auto"/>
                <w:sz w:val="24"/>
                <w:highlight w:val="none"/>
              </w:rPr>
            </w:pPr>
            <w:r>
              <w:rPr>
                <w:rFonts w:ascii="宋体" w:hAnsi="宋体" w:cs="宋体"/>
                <w:b/>
                <w:bCs/>
                <w:color w:val="auto"/>
                <w:sz w:val="24"/>
                <w:highlight w:val="none"/>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3"/>
        <w:spacing w:before="0" w:after="0" w:line="360" w:lineRule="auto"/>
        <w:ind w:firstLine="723" w:firstLineChars="200"/>
        <w:jc w:val="center"/>
        <w:rPr>
          <w:rFonts w:ascii="宋体" w:hAnsi="宋体"/>
          <w:color w:val="auto"/>
          <w:kern w:val="0"/>
          <w:sz w:val="48"/>
          <w:szCs w:val="48"/>
          <w:highlight w:val="none"/>
        </w:rPr>
      </w:pPr>
      <w:r>
        <w:rPr>
          <w:rFonts w:hint="eastAsia" w:ascii="宋体" w:hAnsi="宋体"/>
          <w:color w:val="auto"/>
          <w:kern w:val="0"/>
          <w:sz w:val="36"/>
          <w:szCs w:val="36"/>
          <w:highlight w:val="none"/>
        </w:rPr>
        <w:br w:type="page"/>
      </w:r>
      <w:bookmarkStart w:id="8" w:name="_Toc7945"/>
    </w:p>
    <w:p>
      <w:pPr>
        <w:pStyle w:val="3"/>
        <w:spacing w:before="0" w:after="0" w:line="360" w:lineRule="auto"/>
        <w:jc w:val="center"/>
        <w:rPr>
          <w:color w:val="auto"/>
          <w:kern w:val="0"/>
          <w:sz w:val="28"/>
          <w:szCs w:val="28"/>
          <w:highlight w:val="none"/>
        </w:rPr>
      </w:pPr>
      <w:bookmarkStart w:id="9" w:name="_Toc16130"/>
      <w:r>
        <w:rPr>
          <w:rFonts w:hint="eastAsia"/>
          <w:color w:val="auto"/>
          <w:kern w:val="0"/>
          <w:sz w:val="28"/>
          <w:szCs w:val="28"/>
          <w:highlight w:val="none"/>
        </w:rPr>
        <w:t>第一部分 采购项目相关内容及要求</w:t>
      </w:r>
      <w:bookmarkEnd w:id="6"/>
      <w:bookmarkEnd w:id="7"/>
      <w:bookmarkEnd w:id="8"/>
      <w:bookmarkEnd w:id="9"/>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项目基本情况</w:t>
      </w:r>
    </w:p>
    <w:p>
      <w:pPr>
        <w:widowControl/>
        <w:spacing w:line="500" w:lineRule="exact"/>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采 购 人：</w:t>
      </w:r>
      <w:r>
        <w:rPr>
          <w:rFonts w:hint="eastAsia" w:ascii="宋体" w:hAnsi="宋体" w:cs="宋体"/>
          <w:color w:val="auto"/>
          <w:sz w:val="24"/>
          <w:highlight w:val="none"/>
        </w:rPr>
        <w:t>博爱县特殊教育学校</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采购代理机构：智博国际工程咨询有限公司</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项目名称: 博爱县</w:t>
      </w:r>
      <w:r>
        <w:rPr>
          <w:rFonts w:hint="eastAsia" w:ascii="宋体" w:hAnsi="宋体"/>
          <w:color w:val="auto"/>
          <w:kern w:val="0"/>
          <w:sz w:val="24"/>
          <w:highlight w:val="none"/>
        </w:rPr>
        <w:t>县级特殊教育资源中心建设采购项目</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采购编号：</w:t>
      </w:r>
      <w:r>
        <w:rPr>
          <w:rFonts w:hint="eastAsia" w:ascii="宋体" w:hAnsi="宋体" w:cs="宋体"/>
          <w:color w:val="auto"/>
          <w:kern w:val="0"/>
          <w:sz w:val="24"/>
          <w:highlight w:val="none"/>
        </w:rPr>
        <w:t>博政采购（2024）5号</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资金来源：财政资金</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供应商资格要求</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2.1符合《中华人民共和国政府采购法》第二十二条之规定；</w:t>
      </w:r>
    </w:p>
    <w:p>
      <w:pPr>
        <w:adjustRightInd w:val="0"/>
        <w:snapToGrid w:val="0"/>
        <w:spacing w:line="500" w:lineRule="exact"/>
        <w:ind w:firstLine="480" w:firstLineChars="200"/>
        <w:rPr>
          <w:rFonts w:ascii="宋体" w:hAnsi="宋体" w:cs="宋体"/>
          <w:color w:val="auto"/>
          <w:kern w:val="0"/>
          <w:sz w:val="24"/>
          <w:highlight w:val="none"/>
        </w:rPr>
      </w:pPr>
      <w:r>
        <w:rPr>
          <w:rFonts w:hint="eastAsia" w:ascii="宋体" w:hAnsi="宋体"/>
          <w:color w:val="auto"/>
          <w:kern w:val="0"/>
          <w:sz w:val="24"/>
          <w:highlight w:val="none"/>
        </w:rPr>
        <w:t>2.2落实政府采购政策需满足的资格要求：</w:t>
      </w:r>
      <w:r>
        <w:rPr>
          <w:rFonts w:hint="eastAsia" w:ascii="宋体" w:hAnsi="宋体" w:cs="宋体"/>
          <w:color w:val="auto"/>
          <w:kern w:val="0"/>
          <w:sz w:val="24"/>
          <w:highlight w:val="none"/>
        </w:rPr>
        <w:t>促进中小企业和监狱企业发展扶持政策、政府强制采购节能产品、节能产品及</w:t>
      </w:r>
      <w:r>
        <w:rPr>
          <w:rFonts w:hint="eastAsia" w:ascii="宋体" w:hAnsi="宋体" w:cs="宋体"/>
          <w:color w:val="auto"/>
          <w:kern w:val="0"/>
          <w:sz w:val="24"/>
          <w:highlight w:val="none"/>
        </w:rPr>
        <w:t>环境标志产品优先采购。</w:t>
      </w:r>
    </w:p>
    <w:p>
      <w:pPr>
        <w:adjustRightInd w:val="0"/>
        <w:snapToGrid w:val="0"/>
        <w:spacing w:line="500" w:lineRule="exact"/>
        <w:ind w:firstLine="480" w:firstLineChars="200"/>
        <w:rPr>
          <w:rFonts w:ascii="宋体" w:hAnsi="宋体" w:cs="宋体"/>
          <w:color w:val="auto"/>
          <w:kern w:val="0"/>
          <w:sz w:val="24"/>
          <w:highlight w:val="none"/>
        </w:rPr>
      </w:pPr>
      <w:r>
        <w:rPr>
          <w:rFonts w:hint="eastAsia" w:ascii="宋体" w:hAnsi="宋体"/>
          <w:color w:val="auto"/>
          <w:kern w:val="0"/>
          <w:sz w:val="24"/>
          <w:highlight w:val="none"/>
        </w:rPr>
        <w:t>2.3</w:t>
      </w:r>
      <w:r>
        <w:rPr>
          <w:rFonts w:hint="eastAsia" w:ascii="宋体" w:hAnsi="宋体" w:cs="宋体"/>
          <w:color w:val="auto"/>
          <w:kern w:val="0"/>
          <w:sz w:val="24"/>
          <w:highlight w:val="none"/>
        </w:rPr>
        <w:t>供应商须具有有效的营业执照</w:t>
      </w:r>
      <w:r>
        <w:rPr>
          <w:rFonts w:hint="eastAsia" w:ascii="宋体" w:hAnsi="宋体" w:cs="宋体"/>
          <w:color w:val="auto"/>
          <w:sz w:val="24"/>
          <w:highlight w:val="none"/>
          <w:shd w:val="clear" w:color="auto" w:fill="FFFFFF"/>
        </w:rPr>
        <w:t>；</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2.3.2本项目不接受联合体投标；</w:t>
      </w:r>
    </w:p>
    <w:p>
      <w:pPr>
        <w:widowControl/>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2.3.3资格审查方式：资格后审。</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响应文件报价应是竞争性谈判文件和其他相关资料确定的全部工作内容的价格体现。</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供应商的响应文件应实质性响应竞争性谈判文件要求。</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响应文件递交截止时间之后，任何人不得更改响应文件。</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如有疑问，请与采购人或采购代理机构联系。</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合同由</w:t>
      </w:r>
      <w:r>
        <w:rPr>
          <w:rFonts w:hint="eastAsia" w:ascii="宋体" w:hAnsi="宋体"/>
          <w:color w:val="auto"/>
          <w:kern w:val="0"/>
          <w:sz w:val="24"/>
          <w:highlight w:val="none"/>
        </w:rPr>
        <w:t>成交人与博爱县特殊教育学校签订。</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成交人不</w:t>
      </w:r>
      <w:r>
        <w:rPr>
          <w:rFonts w:hint="eastAsia" w:ascii="宋体" w:hAnsi="宋体"/>
          <w:color w:val="auto"/>
          <w:kern w:val="0"/>
          <w:sz w:val="24"/>
          <w:highlight w:val="none"/>
        </w:rPr>
        <w:t>得转包项目，否则一经发现，采购人有权另行选择其它单位。</w:t>
      </w:r>
    </w:p>
    <w:p>
      <w:pPr>
        <w:pStyle w:val="89"/>
        <w:numPr>
          <w:ilvl w:val="0"/>
          <w:numId w:val="2"/>
        </w:numPr>
        <w:ind w:firstLineChars="0"/>
        <w:rPr>
          <w:rFonts w:ascii="宋体" w:hAnsi="宋体" w:cs="宋体"/>
          <w:bCs/>
          <w:color w:val="auto"/>
          <w:sz w:val="24"/>
          <w:highlight w:val="none"/>
        </w:rPr>
      </w:pPr>
      <w:r>
        <w:rPr>
          <w:rFonts w:hint="eastAsia" w:ascii="宋体" w:hAnsi="宋体"/>
          <w:color w:val="auto"/>
          <w:kern w:val="0"/>
          <w:sz w:val="24"/>
          <w:highlight w:val="none"/>
        </w:rPr>
        <w:t>付款方式：</w:t>
      </w:r>
      <w:r>
        <w:rPr>
          <w:rFonts w:hint="eastAsia" w:ascii="宋体" w:cs="宋体"/>
          <w:color w:val="auto"/>
          <w:sz w:val="24"/>
          <w:highlight w:val="none"/>
        </w:rPr>
        <w:t>签订合同、供</w:t>
      </w:r>
      <w:r>
        <w:rPr>
          <w:rFonts w:hint="eastAsia" w:ascii="宋体" w:cs="宋体"/>
          <w:color w:val="auto"/>
          <w:sz w:val="24"/>
          <w:highlight w:val="none"/>
        </w:rPr>
        <w:t>货完毕设备安装完成、验收合格后，按合同总额的97％支付，剩余3%在验收完成日1年后进行支付。</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质量要求：合格，符合国家、行业规范标准。</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质保期：1年。</w:t>
      </w:r>
    </w:p>
    <w:p>
      <w:pPr>
        <w:widowControl/>
        <w:numPr>
          <w:ilvl w:val="0"/>
          <w:numId w:val="2"/>
        </w:numPr>
        <w:spacing w:line="500" w:lineRule="exact"/>
        <w:ind w:left="0" w:firstLine="480"/>
        <w:rPr>
          <w:rFonts w:ascii="宋体" w:hAnsi="宋体"/>
          <w:color w:val="auto"/>
          <w:kern w:val="0"/>
          <w:sz w:val="24"/>
          <w:highlight w:val="none"/>
        </w:rPr>
      </w:pPr>
      <w:r>
        <w:rPr>
          <w:rFonts w:hint="eastAsia" w:ascii="宋体" w:hAnsi="宋体"/>
          <w:color w:val="auto"/>
          <w:kern w:val="0"/>
          <w:sz w:val="24"/>
          <w:highlight w:val="none"/>
        </w:rPr>
        <w:t>供货安装期：合同签订后</w:t>
      </w:r>
      <w:r>
        <w:rPr>
          <w:rFonts w:ascii="宋体" w:hAnsi="宋体"/>
          <w:color w:val="auto"/>
          <w:kern w:val="0"/>
          <w:sz w:val="24"/>
          <w:highlight w:val="none"/>
        </w:rPr>
        <w:t>15</w:t>
      </w:r>
      <w:r>
        <w:rPr>
          <w:rFonts w:hint="eastAsia" w:ascii="宋体" w:hAnsi="宋体"/>
          <w:color w:val="auto"/>
          <w:kern w:val="0"/>
          <w:sz w:val="24"/>
          <w:highlight w:val="none"/>
        </w:rPr>
        <w:t>日历天。</w:t>
      </w:r>
    </w:p>
    <w:p>
      <w:pPr>
        <w:rPr>
          <w:color w:val="auto"/>
          <w:highlight w:val="none"/>
        </w:rPr>
      </w:pPr>
      <w:bookmarkStart w:id="10" w:name="_Toc31607"/>
      <w:bookmarkStart w:id="11" w:name="_Toc533668869"/>
      <w:bookmarkStart w:id="12" w:name="_Toc27926"/>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5"/>
        <w:framePr w:wrap="around"/>
        <w:rPr>
          <w:color w:val="auto"/>
          <w:highlight w:val="none"/>
        </w:rPr>
      </w:pPr>
    </w:p>
    <w:p>
      <w:pPr>
        <w:pStyle w:val="11"/>
        <w:ind w:firstLine="420"/>
        <w:rPr>
          <w:color w:val="auto"/>
          <w:highlight w:val="none"/>
        </w:rPr>
      </w:pPr>
    </w:p>
    <w:p>
      <w:pPr>
        <w:rPr>
          <w:color w:val="auto"/>
          <w:highlight w:val="none"/>
        </w:rPr>
      </w:pPr>
    </w:p>
    <w:p>
      <w:pPr>
        <w:pStyle w:val="3"/>
        <w:spacing w:before="0" w:after="0" w:line="360" w:lineRule="auto"/>
        <w:jc w:val="center"/>
        <w:rPr>
          <w:color w:val="auto"/>
          <w:kern w:val="0"/>
          <w:sz w:val="28"/>
          <w:szCs w:val="28"/>
          <w:highlight w:val="none"/>
        </w:rPr>
      </w:pPr>
      <w:bookmarkStart w:id="13" w:name="_Toc18477"/>
      <w:r>
        <w:rPr>
          <w:rFonts w:hint="eastAsia"/>
          <w:color w:val="auto"/>
          <w:kern w:val="0"/>
          <w:sz w:val="28"/>
          <w:szCs w:val="28"/>
          <w:highlight w:val="none"/>
        </w:rPr>
        <w:t>第二部分 参与采购须知</w:t>
      </w:r>
      <w:bookmarkEnd w:id="10"/>
      <w:bookmarkEnd w:id="11"/>
      <w:bookmarkEnd w:id="12"/>
      <w:bookmarkEnd w:id="13"/>
    </w:p>
    <w:p>
      <w:pPr>
        <w:widowControl/>
        <w:spacing w:line="500" w:lineRule="exact"/>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一、总则</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根据《中华人民共和国政府采购法》以及相关的法律、法规、规章等，按照本文件中预定的评标方式择优选定成交人。</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本次竞争性谈判已按照有关规定向博爱县财政局采购办备案。</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 维护双方当事人的合法权益，反对不正当竞争。</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 供应商应仔细阅读竞争性谈判文件，一旦参与竞争性谈判，均认为响应该竞争性谈判文件中采购人的有关要求。</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 投标费用：供应商在投标过程中所发生的一切费用，不论成交与否，均由供应商自负，采购单位不承担任何责任。</w:t>
      </w:r>
    </w:p>
    <w:p>
      <w:pPr>
        <w:widowControl/>
        <w:spacing w:line="500" w:lineRule="exact"/>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二、采购内容及要求</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项目名称：博爱县县级特殊教育资源中心建设采购项目</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2. 采购内容：博爱县特殊教育学校采购评估诊断区设备、心理辅导区设备、多媒体感统区设备、录播教室设备及信息化相关设备等（具体要求详见谈判文件）。 </w:t>
      </w:r>
    </w:p>
    <w:p>
      <w:pPr>
        <w:widowControl/>
        <w:spacing w:line="500" w:lineRule="exact"/>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三、采购文件</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竞争性谈判文件包括本文件和所有按本文件规定发出的补充通知等。</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供应商的响应文件应实质上响应竞争性谈判文件的要求，否则，响应文件将被拒绝。</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 竞争性谈判文件的解释。</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供应商对收到的本项目竞争性谈判文件若有疑问，</w:t>
      </w:r>
      <w:r>
        <w:rPr>
          <w:rFonts w:hint="eastAsia" w:ascii="宋体" w:hAnsi="宋体" w:cs="宋体"/>
          <w:bCs/>
          <w:color w:val="auto"/>
          <w:sz w:val="24"/>
          <w:highlight w:val="none"/>
        </w:rPr>
        <w:t>应以书面形式向</w:t>
      </w:r>
      <w:r>
        <w:rPr>
          <w:rFonts w:hint="eastAsia" w:ascii="宋体" w:hAnsi="宋体" w:cs="宋体"/>
          <w:color w:val="auto"/>
          <w:kern w:val="0"/>
          <w:sz w:val="24"/>
          <w:highlight w:val="none"/>
        </w:rPr>
        <w:t>采购人、采购代理机构提出，采购人和采购代理机构将在提起之日起七个工作日内以书面形式给予答复。</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本竞争性谈判文件的解释权属于</w:t>
      </w:r>
      <w:r>
        <w:rPr>
          <w:rFonts w:hint="eastAsia" w:ascii="宋体" w:hAnsi="宋体" w:cs="宋体"/>
          <w:color w:val="auto"/>
          <w:sz w:val="24"/>
          <w:highlight w:val="none"/>
        </w:rPr>
        <w:t>采购人</w:t>
      </w:r>
      <w:r>
        <w:rPr>
          <w:rFonts w:hint="eastAsia" w:ascii="宋体" w:hAnsi="宋体" w:cs="宋体"/>
          <w:color w:val="auto"/>
          <w:kern w:val="0"/>
          <w:sz w:val="24"/>
          <w:highlight w:val="none"/>
        </w:rPr>
        <w:t>。</w:t>
      </w:r>
    </w:p>
    <w:p>
      <w:pPr>
        <w:widowControl/>
        <w:spacing w:line="500" w:lineRule="exact"/>
        <w:ind w:left="420"/>
        <w:rPr>
          <w:rFonts w:ascii="宋体" w:hAnsi="宋体" w:cs="宋体"/>
          <w:color w:val="auto"/>
          <w:kern w:val="0"/>
          <w:sz w:val="24"/>
          <w:highlight w:val="none"/>
        </w:rPr>
      </w:pPr>
      <w:r>
        <w:rPr>
          <w:rFonts w:hint="eastAsia" w:ascii="宋体" w:hAnsi="宋体" w:cs="宋体"/>
          <w:color w:val="auto"/>
          <w:kern w:val="0"/>
          <w:sz w:val="24"/>
          <w:highlight w:val="none"/>
        </w:rPr>
        <w:t>4.竞争性谈判文件的修改。</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 在竞争性谈判文件发出后，如需对文件进行修改，应在竞争性谈判开始前以补充通知的形式在相关网站发布。</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 竞争性谈判文件、补充通知内容相互矛盾时，以最后发出的通知为准。</w:t>
      </w:r>
    </w:p>
    <w:p>
      <w:pPr>
        <w:widowControl/>
        <w:spacing w:line="500" w:lineRule="exact"/>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四、采购要求</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确定成交人后，成交人要按照响应文件中承诺的内容履行合同。</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参加竞争性谈判的供应商应按竞争性谈判文件中提供的格式填写响应文件，否则将认为是对该竞争性谈判文件的不响应。</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 对竞争性谈判文件未作出实质性响应的供应商将被拒绝参与谈判。</w:t>
      </w:r>
    </w:p>
    <w:p>
      <w:pPr>
        <w:widowControl/>
        <w:spacing w:line="500" w:lineRule="exact"/>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五、响应文件的编制、递交和修改</w:t>
      </w:r>
    </w:p>
    <w:p>
      <w:pPr>
        <w:widowControl/>
        <w:spacing w:line="50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 响应文件的语言及格式</w:t>
      </w:r>
    </w:p>
    <w:p>
      <w:pPr>
        <w:widowControl/>
        <w:spacing w:line="5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1.1 供应商应按照竞争性谈判文件提供的格式编写响应性文件，但不得缺少或私自更改任何谈判文件要求填写的表格或提交的资料。谈判文件提供格式的可按格式填列，未提供格式的可自行拟定。</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 与报价有关的所有文件必须使用中文（本竞争性谈判文件中有特殊要求的情形除外），供应商必须使用竞争性谈判文件中规定的文件格式。</w:t>
      </w:r>
    </w:p>
    <w:p>
      <w:pPr>
        <w:widowControl/>
        <w:numPr>
          <w:ilvl w:val="0"/>
          <w:numId w:val="3"/>
        </w:numPr>
        <w:spacing w:line="50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响应文件的组成</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响应文件应主要包括下列部分：</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 投标函、投标报价明细表；</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 法定代表人身份证明；</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2.3 授权人委托书；</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2.4 供应商资格证明承诺函；</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2.5 供应商服务承诺和优惠承诺；</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2.6 供应商所投产品属于当期政府采购清单规定的节能环保产品的证明材料(如有)；</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2.7 投标承诺函；</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2.8 中小企业声明函（如有）；</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2.9 残疾人福利性单位声明函（如有）；</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2.10 竞争性谈判文件要求的或供应商认为需要加以说明的其他内容。</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全套响应文件应无涂改和行间插字，如有修改应在修改处加盖供应商的企业印章（即公章）或企业法定代表人或其委托代理人印章（或签字）。</w:t>
      </w:r>
    </w:p>
    <w:p>
      <w:pPr>
        <w:widowControl/>
        <w:spacing w:line="5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pPr>
        <w:widowControl/>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sz w:val="24"/>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宋体" w:hAnsi="宋体" w:cs="宋体"/>
          <w:b/>
          <w:bCs/>
          <w:color w:val="auto"/>
          <w:sz w:val="24"/>
          <w:highlight w:val="none"/>
        </w:rPr>
      </w:pPr>
      <w:bookmarkStart w:id="14" w:name="_Toc274249597"/>
      <w:bookmarkStart w:id="15" w:name="_Toc403122514"/>
      <w:bookmarkStart w:id="16" w:name="_Toc426369503"/>
      <w:bookmarkStart w:id="17" w:name="_Toc279599793"/>
      <w:r>
        <w:rPr>
          <w:rFonts w:hint="eastAsia" w:ascii="宋体" w:hAnsi="宋体" w:cs="宋体"/>
          <w:b/>
          <w:bCs/>
          <w:color w:val="auto"/>
          <w:sz w:val="24"/>
          <w:highlight w:val="none"/>
        </w:rPr>
        <w:t xml:space="preserve">3. </w:t>
      </w:r>
      <w:r>
        <w:rPr>
          <w:rFonts w:hint="eastAsia" w:ascii="宋体" w:hAnsi="宋体" w:cs="宋体"/>
          <w:b/>
          <w:bCs/>
          <w:color w:val="auto"/>
          <w:kern w:val="0"/>
          <w:sz w:val="24"/>
          <w:highlight w:val="none"/>
        </w:rPr>
        <w:t>响应</w:t>
      </w:r>
      <w:r>
        <w:rPr>
          <w:rFonts w:hint="eastAsia" w:ascii="宋体" w:hAnsi="宋体" w:cs="宋体"/>
          <w:b/>
          <w:bCs/>
          <w:color w:val="auto"/>
          <w:sz w:val="24"/>
          <w:highlight w:val="none"/>
        </w:rPr>
        <w:t>文件的编制</w:t>
      </w:r>
      <w:bookmarkEnd w:id="14"/>
      <w:bookmarkEnd w:id="15"/>
      <w:bookmarkEnd w:id="16"/>
      <w:bookmarkEnd w:id="17"/>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 响应文件应按竞争性谈判文件中要求使用焦作市公共资源交易系统</w:t>
      </w:r>
      <w:r>
        <w:rPr>
          <w:rFonts w:hint="eastAsia" w:ascii="宋体" w:hAnsi="宋体" w:cs="宋体"/>
          <w:bCs/>
          <w:color w:val="auto"/>
          <w:kern w:val="0"/>
          <w:sz w:val="24"/>
          <w:highlight w:val="none"/>
        </w:rPr>
        <w:t>响应性</w:t>
      </w:r>
      <w:r>
        <w:rPr>
          <w:rFonts w:hint="eastAsia" w:ascii="宋体" w:hAnsi="宋体" w:cs="宋体"/>
          <w:color w:val="auto"/>
          <w:sz w:val="24"/>
          <w:highlight w:val="none"/>
        </w:rPr>
        <w:t xml:space="preserve">文件制作专用工具软件编制。 </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 响应文件应当对竞争性谈判文件有关供货安装期、投标有效期、质量要求、采购要求及服务内容、等实质性内容作出承诺及响应。</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auto"/>
          <w:kern w:val="0"/>
          <w:sz w:val="24"/>
          <w:highlight w:val="none"/>
        </w:rPr>
        <w:t>响应性</w:t>
      </w:r>
      <w:r>
        <w:rPr>
          <w:rFonts w:hint="eastAsia" w:ascii="宋体" w:hAnsi="宋体" w:cs="宋体"/>
          <w:color w:val="auto"/>
          <w:sz w:val="24"/>
          <w:highlight w:val="none"/>
        </w:rPr>
        <w:t>文件制作和上传等。为避免网络拥堵等不可控因素影响投标文件的上传，请提前上传</w:t>
      </w:r>
      <w:r>
        <w:rPr>
          <w:rFonts w:hint="eastAsia" w:ascii="宋体" w:hAnsi="宋体" w:cs="宋体"/>
          <w:bCs/>
          <w:color w:val="auto"/>
          <w:kern w:val="0"/>
          <w:sz w:val="24"/>
          <w:highlight w:val="none"/>
        </w:rPr>
        <w:t>响应性</w:t>
      </w:r>
      <w:r>
        <w:rPr>
          <w:rFonts w:hint="eastAsia" w:ascii="宋体" w:hAnsi="宋体" w:cs="宋体"/>
          <w:color w:val="auto"/>
          <w:sz w:val="24"/>
          <w:highlight w:val="none"/>
        </w:rPr>
        <w:t>文件，按要求解密</w:t>
      </w:r>
      <w:r>
        <w:rPr>
          <w:rFonts w:hint="eastAsia" w:ascii="宋体" w:hAnsi="宋体" w:cs="宋体"/>
          <w:bCs/>
          <w:color w:val="auto"/>
          <w:kern w:val="0"/>
          <w:sz w:val="24"/>
          <w:highlight w:val="none"/>
        </w:rPr>
        <w:t>响应性</w:t>
      </w:r>
      <w:r>
        <w:rPr>
          <w:rFonts w:hint="eastAsia" w:ascii="宋体" w:hAnsi="宋体" w:cs="宋体"/>
          <w:color w:val="auto"/>
          <w:sz w:val="24"/>
          <w:highlight w:val="none"/>
        </w:rPr>
        <w:t>文件。因文件未及时上传导致投标失败的责任由供应商自行承担。</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 签字盖章要求：</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3.4.1 要求供应商加盖公章的地方都应加盖供应商单位的 CA 印章。</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3.4.2 要求法定代表人签字或盖章的，法定代表人在签字或盖章的地方上传手写签名的扫描件或加盖法定代表人 CA 印章。</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 要求委托代理人签字或盖章的，委托代理人在签字或盖章的地方上传手写签名的扫描件或加盖委托代理人 CA 印章。</w:t>
      </w:r>
    </w:p>
    <w:p>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 响应性文件的语言和计量单位</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 谈判文件以及供应商与采购人、采购代理机构就有关投标事宜的所有来往函电均应使用简体中文书写。</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4.2 关于投标计量单位，谈判文件已有明确规定的，使用响应性文件规定的计量单位；谈判文件没有规定的，应采用中华人民共和国法定计量单位。 </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4.4 本响应性文件所表述的时间均为北京时间。</w:t>
      </w:r>
    </w:p>
    <w:p>
      <w:pPr>
        <w:pStyle w:val="6"/>
        <w:spacing w:before="0" w:after="0" w:line="500" w:lineRule="exact"/>
        <w:ind w:firstLine="482" w:firstLineChars="200"/>
        <w:rPr>
          <w:rFonts w:ascii="宋体" w:hAnsi="宋体" w:cs="宋体"/>
          <w:bCs w:val="0"/>
          <w:color w:val="auto"/>
          <w:sz w:val="24"/>
          <w:szCs w:val="24"/>
          <w:highlight w:val="none"/>
        </w:rPr>
      </w:pPr>
      <w:r>
        <w:rPr>
          <w:rFonts w:hint="eastAsia" w:ascii="宋体" w:hAnsi="宋体" w:cs="宋体"/>
          <w:bCs w:val="0"/>
          <w:color w:val="auto"/>
          <w:sz w:val="24"/>
          <w:szCs w:val="24"/>
          <w:highlight w:val="none"/>
        </w:rPr>
        <w:t>5. 响应文件的补充与撤回</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5.1 供应商在投标截止时间前可对其响应性文件进行修改并重新上传或在焦作市电子招投标交易平台上进行撤回投标的操作。</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5.2 供应商在响应文件递交截止时间后不能修改、补充替代或撤回其响应文件。</w:t>
      </w:r>
    </w:p>
    <w:p>
      <w:pPr>
        <w:widowControl/>
        <w:spacing w:line="500" w:lineRule="exact"/>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六、投标报价</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控制价</w:t>
      </w:r>
    </w:p>
    <w:p>
      <w:pPr>
        <w:widowControl/>
        <w:spacing w:line="50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本项目预算控制金额</w:t>
      </w:r>
      <w:r>
        <w:rPr>
          <w:rFonts w:hint="eastAsia" w:ascii="宋体" w:hAnsi="宋体" w:cs="宋体"/>
          <w:b/>
          <w:bCs/>
          <w:color w:val="auto"/>
          <w:kern w:val="0"/>
          <w:sz w:val="24"/>
          <w:highlight w:val="none"/>
          <w:u w:val="single"/>
        </w:rPr>
        <w:t>555000.00.00元</w:t>
      </w:r>
      <w:r>
        <w:rPr>
          <w:rFonts w:hint="eastAsia" w:ascii="宋体" w:hAnsi="宋体" w:cs="宋体"/>
          <w:b/>
          <w:bCs/>
          <w:color w:val="auto"/>
          <w:kern w:val="0"/>
          <w:sz w:val="24"/>
          <w:highlight w:val="none"/>
        </w:rPr>
        <w:t>（大写</w:t>
      </w:r>
      <w:r>
        <w:rPr>
          <w:rFonts w:hint="eastAsia" w:ascii="宋体" w:hAnsi="宋体" w:cs="宋体"/>
          <w:b/>
          <w:bCs/>
          <w:color w:val="auto"/>
          <w:kern w:val="0"/>
          <w:sz w:val="24"/>
          <w:highlight w:val="none"/>
          <w:u w:val="single"/>
        </w:rPr>
        <w:t>：伍拾伍万伍仟元整</w:t>
      </w:r>
      <w:r>
        <w:rPr>
          <w:rFonts w:hint="eastAsia" w:ascii="宋体" w:hAnsi="宋体" w:cs="宋体"/>
          <w:b/>
          <w:bCs/>
          <w:color w:val="auto"/>
          <w:kern w:val="0"/>
          <w:sz w:val="24"/>
          <w:highlight w:val="none"/>
        </w:rPr>
        <w:t>）。</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供应商的投标报价高于招标控制价的视为无效报价，其投标予以拒绝。当成交人的投标价高于控制价的95%时，该成交人的成交价按控制价的95%执行。</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投标报价</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 投标报价应包括竞争性谈判文件确定采购范围的全部工作内容，以及其响应文件编制与递交所涉及的一切费用。供应商以人民币为计量币种报价，并以人民币币种签约、结算。</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 供应商的投标报价应包括货物本身的费用、包装费、运输费、装卸费、运输过程保险费、安装费、质量保证费、验收交付、相关的伴随服务费、货物本身已支付或将支付的各种税费以及其它交付使用前的所有费用。</w:t>
      </w:r>
    </w:p>
    <w:p>
      <w:pPr>
        <w:spacing w:line="500" w:lineRule="exact"/>
        <w:ind w:firstLine="480" w:firstLineChars="200"/>
        <w:rPr>
          <w:rFonts w:ascii="宋体" w:hAnsi="宋体" w:cs="宋体"/>
          <w:color w:val="auto"/>
          <w:sz w:val="30"/>
          <w:szCs w:val="30"/>
          <w:highlight w:val="none"/>
        </w:rPr>
      </w:pPr>
      <w:r>
        <w:rPr>
          <w:rFonts w:hint="eastAsia" w:ascii="宋体" w:hAnsi="宋体" w:cs="宋体"/>
          <w:color w:val="auto"/>
          <w:kern w:val="0"/>
          <w:sz w:val="24"/>
          <w:highlight w:val="none"/>
        </w:rPr>
        <w:t xml:space="preserve"> 投标价不是唯一的或不是固定不变的响应文件将被作为非响应性投标而予以拒绝，供应商所报的投标价在投标有效期内是固定不变的，供应商不得以任何理由予以变更。</w:t>
      </w:r>
    </w:p>
    <w:p>
      <w:pPr>
        <w:widowControl/>
        <w:spacing w:line="50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七、谈判程序</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 采购程序</w:t>
      </w:r>
    </w:p>
    <w:p>
      <w:pPr>
        <w:widowControl/>
        <w:spacing w:line="500" w:lineRule="exact"/>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1.采购人在规定的投标截止时间（开标时间）和投标须知前附表规定的地点公开开标。本项目采用“远程不见面”的开标方式,载明远程开标大厅网址（http://122.112.246.33/BidOpening/bidopeninghallaction/hall/login）。供应商无需到现场参加开标会议，无需到达现场提交原件资料。登录远程不见面开标大厅，在线准时参加开标活动。在规定时间内响应性文件未解密的供应商，视为放弃投标。</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2.所有</w:t>
      </w:r>
      <w:r>
        <w:rPr>
          <w:rFonts w:hint="eastAsia" w:ascii="宋体" w:hAnsi="宋体" w:cs="宋体"/>
          <w:bCs/>
          <w:color w:val="auto"/>
          <w:kern w:val="0"/>
          <w:sz w:val="24"/>
          <w:highlight w:val="none"/>
        </w:rPr>
        <w:t>响应性</w:t>
      </w:r>
      <w:r>
        <w:rPr>
          <w:rFonts w:hint="eastAsia" w:ascii="宋体" w:hAnsi="宋体" w:cs="宋体"/>
          <w:color w:val="auto"/>
          <w:kern w:val="0"/>
          <w:sz w:val="24"/>
          <w:highlight w:val="none"/>
        </w:rPr>
        <w:t>文件必须在本竞争性谈判文件中规定的</w:t>
      </w:r>
      <w:r>
        <w:rPr>
          <w:rFonts w:hint="eastAsia" w:ascii="宋体" w:hAnsi="宋体" w:cs="宋体"/>
          <w:color w:val="auto"/>
          <w:sz w:val="24"/>
          <w:highlight w:val="none"/>
        </w:rPr>
        <w:t>时间进行签到、文件解密、答疑澄清等</w:t>
      </w:r>
      <w:r>
        <w:rPr>
          <w:rFonts w:hint="eastAsia" w:ascii="宋体" w:hAnsi="宋体" w:cs="宋体"/>
          <w:color w:val="auto"/>
          <w:kern w:val="0"/>
          <w:sz w:val="24"/>
          <w:highlight w:val="none"/>
        </w:rPr>
        <w:t>，不能按时上传、解密者视为自动放弃投标。</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3.供应商不足3家的，不得开标。  </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00" w:lineRule="exact"/>
        <w:ind w:right="-53" w:rightChars="-25"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 供应商应准时参加开标会议，不能按时上传、解密者视为自动放弃投标。</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 会议由智博国际工程咨询有限公司主持：</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6.1公布在投标截止时间前递交响应性文件的供应商名称；</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6.2供应商通过电子招标投标交易平台对已递交的电子响应性文件在规定时间内进行解密；</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6.3批量导入文件；</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6.4代理机构将通过焦作市电子招投标交易平台进行唱标，并公布采购项目名称、供应商名称、供货安装期等其他内容，并记录在案；</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6.5采购人代表、监督人等有关人员按具体现场系统情况在开标记录上签字确认；</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6.6开标结束。</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6.7开标异议</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供应商对开标有异议的，应当在开标现场提出（</w:t>
      </w:r>
      <w:bookmarkStart w:id="18" w:name="_Toc12998"/>
      <w:r>
        <w:rPr>
          <w:rFonts w:hint="eastAsia" w:ascii="宋体" w:hAnsi="宋体" w:cs="宋体"/>
          <w:color w:val="auto"/>
          <w:kern w:val="0"/>
          <w:sz w:val="24"/>
          <w:highlight w:val="none"/>
        </w:rPr>
        <w:t>语音异议</w:t>
      </w:r>
      <w:bookmarkEnd w:id="18"/>
      <w:r>
        <w:rPr>
          <w:rFonts w:hint="eastAsia" w:ascii="宋体" w:hAnsi="宋体" w:cs="宋体"/>
          <w:color w:val="auto"/>
          <w:kern w:val="0"/>
          <w:sz w:val="24"/>
          <w:highlight w:val="none"/>
        </w:rPr>
        <w:t>、</w:t>
      </w:r>
      <w:bookmarkStart w:id="19" w:name="_Toc20745"/>
      <w:r>
        <w:rPr>
          <w:rFonts w:hint="eastAsia" w:ascii="宋体" w:hAnsi="宋体" w:cs="宋体"/>
          <w:color w:val="auto"/>
          <w:kern w:val="0"/>
          <w:sz w:val="24"/>
          <w:highlight w:val="none"/>
        </w:rPr>
        <w:t>文字异议</w:t>
      </w:r>
      <w:bookmarkEnd w:id="19"/>
      <w:r>
        <w:rPr>
          <w:rFonts w:hint="eastAsia" w:ascii="宋体" w:hAnsi="宋体" w:cs="宋体"/>
          <w:color w:val="auto"/>
          <w:kern w:val="0"/>
          <w:sz w:val="24"/>
          <w:highlight w:val="none"/>
        </w:rPr>
        <w:t>），采购人当场作出答复，并制作记录。</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6.8开标异常处理</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当出现以下情况时，应对未开标的项目中止电子开标，对原有资料及信息作出妥善保密处理，并在恢复正常后及时安排时间开标：</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6.8.1 系统服务器发生故障，无法访问或无法使用系统；</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6.8.2 系统的软件或数据库出现错误，不能进行正常操作；</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6.8.3 系统发现有安全漏洞，有潜在的泄密危险；</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6.8.4 出现断电事故且短时间内无法恢复供电；</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6.8.5 其他无法保证招投标过程正常进行的情形；</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6.9合格供应商不足3家的，将不再评标</w:t>
      </w:r>
    </w:p>
    <w:p>
      <w:pPr>
        <w:numPr>
          <w:ilvl w:val="0"/>
          <w:numId w:val="4"/>
        </w:num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组建谈判小组</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7.1采购人根据采购项目的特点依法组建竞争性谈判小组。</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本项目采用远程异地评标，竞争性谈判小组由采购人代表和政府采购专家库中随机抽取的评审专家共3人组成。</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7.2 谈判小组负责具体的评标事务，并独立履行以下职责：</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7.2.1审查、评价响应性文件是否符合谈判文件的实质性要求；</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7.2.2要求供应商对响应性文件有关事项作出澄清或者说明；</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7.2.3对响应性文件进行比较和评价；</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7.2.4推荐成交供应商名单；</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7.2.5 向采购人、采购代理机构或者有关部门报告评标中发现的违法行为。</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7.3评标中因谈判小组的缺席、回避或者健康等特殊原因导致谈判小组组成不符合本办法规定的，采购人或者采购代理机构应当依法补足后继续评标。被更换的谈判小组成员所作出的评标意见无效。</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7.4无法及时补足谈判小组成员的，采购人或者采购代理机构应当停止评标活动，封存所有响应性文件和开标、评标资料，依法重新组建谈判小组进行评标。原谈判小组所作出的评标意见无效。</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7.5采购人或者采购代理机构应当将变更、重新组建谈判小组的情况予以记录，并随采购文件一并存档。</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7.6谈判小组应当对符合资格的供应商的响应性文件进行资格性审查，以确定其是否满足竞争性谈判文件的实质性要求。</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8.符合性审查 </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8.1对资格性检查合格的供应商递交的响应性文件，依据竞争性谈判文件的规定，从响应性文件的有效性、完整性和对谈判文件的响应程度，审查响应性文件是否对谈判文件的实质性要求作出了响应。</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8.2本次招标采用电子化评标，如“焦作市电子招投标交易平台”系统出现故障，导致无法继续评审工作的，可暂停评标，对原有资料及信息作出妥善保密处理，待电子评标系统恢复正常之后组织评审。</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8.3实质性响应的投标是指与谈判文件的全部条款、条件和规格相符，没有重大偏离。</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8.5如果响应性文件实质上没有响应谈判文件的要求，将作为无效投标处理，供应商不得再对响应性文件进行任何修正从而使其投标成为实质上响应的投标。</w:t>
      </w:r>
    </w:p>
    <w:p>
      <w:p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8.6竞争性谈判小组审定响应文件的响应性只根据响应文件本身的内容而不寻求外部证据。</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8.7竞争性谈判小组对竞争性谈判响应文件进行审查、质疑、评估和比较。</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8.8竞争性谈判小组在竞争性谈判文件规定的时间和地点对供应商的响应性文件进行审查，竞争性谈判小组发起二轮报价，通过初步审查的供应商在规定时间内通过不见面开标系统进行二轮报价。</w:t>
      </w:r>
    </w:p>
    <w:p>
      <w:pPr>
        <w:widowControl/>
        <w:spacing w:line="50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投标供应商在系统进行第二轮报价时，需以附件方式上传第二轮报价表电子版(PDF格式)，未提供第二轮报价表电子版（PDF）的视为无效标处理。</w:t>
      </w:r>
    </w:p>
    <w:p>
      <w:pPr>
        <w:widowControl/>
        <w:autoSpaceDE w:val="0"/>
        <w:autoSpaceDN w:val="0"/>
        <w:spacing w:line="360" w:lineRule="auto"/>
        <w:ind w:firstLine="482" w:firstLineChars="200"/>
        <w:rPr>
          <w:rFonts w:ascii="宋体" w:hAnsi="宋体" w:cs="宋体"/>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投标供应商的第二轮报价如高于第一轮报价，则该投标供应商的投标价以第一轮报</w:t>
      </w:r>
      <w:r>
        <w:rPr>
          <w:rFonts w:hint="eastAsia" w:asciiTheme="minorEastAsia" w:hAnsiTheme="minorEastAsia" w:eastAsiaTheme="minorEastAsia" w:cstheme="minorEastAsia"/>
          <w:b/>
          <w:bCs/>
          <w:color w:val="auto"/>
          <w:kern w:val="0"/>
          <w:sz w:val="24"/>
          <w:highlight w:val="none"/>
        </w:rPr>
        <w:t>价为准</w:t>
      </w:r>
      <w:r>
        <w:rPr>
          <w:rFonts w:hint="eastAsia" w:ascii="宋体" w:hAnsi="宋体" w:cs="宋体"/>
          <w:b/>
          <w:bCs/>
          <w:color w:val="auto"/>
          <w:kern w:val="0"/>
          <w:sz w:val="24"/>
          <w:highlight w:val="none"/>
        </w:rPr>
        <w:t>。</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9.根据符合采购需求报价最低，将投标报价按由低到高的顺序进行排序，推荐3名成交候选供应商。</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10.采购代理机构应当自评审结束之日起2个工作日内将评审报告送交采购人。采购人应当自收到评审报告之日起5个工作日内，在评审报告推荐的成交候选人中按顺序确定成交供应商。</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11.签订合同：</w:t>
      </w:r>
      <w:r>
        <w:rPr>
          <w:rFonts w:hint="eastAsia" w:ascii="宋体" w:hAnsi="宋体" w:cs="宋体"/>
          <w:color w:val="auto"/>
          <w:sz w:val="24"/>
          <w:highlight w:val="none"/>
        </w:rPr>
        <w:t>成交通知书发出之日起15日内， 按照竞争性谈判文件确定的事项签订政府采购合同。采购人与成交人签订政府采购合同。合同中的主要条款要与竞争性谈判文件中的合同条款一致。</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12.合同签订后，采购人要在2个工作日内将采购合同在焦作市政府采购网公示并备案（签订合同时由成交人提供合同样本）；</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13.在谈判期间，供应商不得向竞争性谈判小组成员询问其它供应商谈判情况，不得进行影响成交结果的活动。</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采购小组不向未成交方解释原因，不退还响应文件。</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（三）采购成交原则</w:t>
      </w:r>
    </w:p>
    <w:p>
      <w:pPr>
        <w:widowControl/>
        <w:numPr>
          <w:ilvl w:val="0"/>
          <w:numId w:val="5"/>
        </w:numPr>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成交原则和方法</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 公开、公平、公正</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 技术可行，措施得当</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 符合采购需求,价格低者优先成交。在价格同等情况下，依次按质量及服务、提供的优惠条件等进行排序，推荐3名成交候选供应商。</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2.竞争性谈判小组对每个参加采购单位的响应文件的实质内容进行比较。</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3.竞争性谈判小组将符合竞争性谈判文件规定的最终有效投标报价按由低到高顺序排序，推荐3名成交候选供应商。</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6.1对小微企业投标的扶持：(如有)</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6.1.1投标供应商为小型或微型企业时，报价给予C1的价格扣除(C1的取值为20%)，即：评标价＝投标报价(最后报价)×(1－C1)；</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6.1.2小微企业应当提供《中小企业声明函》(见格式)。</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6.2按照《政府采购促进中小企业发展管理办法》有关规定，中小企业的标准为：</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6.2.1提供本企业制造的货物、承担的工程或者服务，或者提供其他中小企业制造的货物，不包括提供或使用大型企业注册商标的货物；</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6.2.2本规定所称中小企业划分标准，是指国务院有关部门根据企业从业人员、营业收入、资产总额等指标制定的中小企业划型标准(工信部联企业[2011]300号)；</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6.2.3小型、微型企业提供有中型企业制造的货物的，视同为中型企业；小型、微型、中型企业提供有大型企业制造的货物的，视同为大型企业。</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同一供应商，小微企业、监狱、残疾人福利性企业同一产品价格扣除优惠只享受一次，不得重复享受。</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（四）参加竞争性谈判单位的响应文件有下列情况之一的，视为无效响应文件。</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未按竞争性谈判文件明示的规定签字或盖章的；</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响应文件的关键内容（投标报价、供货安装期、质量要求、品牌、型号等）未填写或填写字迹模糊无法辨认的；</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 采购报价超出控制价的；</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 响应文件中对同一项目有两个或多个报价，且未声明哪一个有效的；</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 相关资格证明文件不合格的；</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 响应文件中附有采购人不能接受的条件的；</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 响应文件有明显不符合竞争性谈判文件其它要求和有关法律法规的；</w:t>
      </w:r>
    </w:p>
    <w:p>
      <w:pPr>
        <w:widowControl/>
        <w:spacing w:line="5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8. 评标过程中，如因两个或两个以上供应商在同一台计算或同一个IP上传响应文件，而被不见面开标系统提示为“投标文件制作机器码一致”的，则视其投标无效；</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 在评审过程中，谈判小组发现投标供应商有下列情形之一的，视为相互串通投标，按照无效投标处理并依据法律、法规追究其相关责任。具体表现形式如下：</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10.1 不同供应商的响应性文件由同一单位或者个人编制；</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10.2 不同供应商委托同一单位或者个人办理投标事宜；</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10.3 不同供应商的响应性文件载明的项目管理成员或者联系人员为同一人；</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10.4 不同供应商的响应性文件异常一致或者投标报价呈规律性差异；</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10.5 不同供应商的响应性文件相互混装；</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10.6 有证据证明供应商与采购人、采购代理机构或者其他供应商串通的其他情形；</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（五）授予合同</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 本合同将授予经过竞争性谈判小组确认的成交单位。</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成交人应当自成交通知书发出之日起15日内，按照竞争性谈判文件和成交人的响应文件与采购单位签订合同。</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 竞争性谈判文件、成交人的竞争性谈判文件及其澄清文件等均为签订合同的依据。</w:t>
      </w:r>
    </w:p>
    <w:p>
      <w:pPr>
        <w:widowControl/>
        <w:spacing w:line="5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 合同签订后，成交人应将合同在2个工作日内将合同在焦作市政府采购网公示并备案。</w:t>
      </w:r>
    </w:p>
    <w:p>
      <w:pPr>
        <w:pStyle w:val="11"/>
        <w:ind w:firstLine="480"/>
        <w:rPr>
          <w:rFonts w:ascii="宋体" w:hAnsi="宋体"/>
          <w:color w:val="auto"/>
          <w:kern w:val="0"/>
          <w:sz w:val="24"/>
          <w:highlight w:val="none"/>
        </w:rPr>
      </w:pPr>
    </w:p>
    <w:p>
      <w:pPr>
        <w:pStyle w:val="23"/>
        <w:rPr>
          <w:rFonts w:ascii="宋体" w:hAnsi="宋体"/>
          <w:color w:val="auto"/>
          <w:highlight w:val="none"/>
        </w:rPr>
      </w:pPr>
    </w:p>
    <w:p>
      <w:pPr>
        <w:pStyle w:val="11"/>
        <w:ind w:firstLine="480"/>
        <w:rPr>
          <w:rFonts w:ascii="宋体" w:hAnsi="宋体"/>
          <w:color w:val="auto"/>
          <w:kern w:val="0"/>
          <w:sz w:val="24"/>
          <w:highlight w:val="none"/>
        </w:rPr>
      </w:pPr>
    </w:p>
    <w:p>
      <w:pPr>
        <w:pStyle w:val="23"/>
        <w:rPr>
          <w:rFonts w:ascii="宋体" w:hAnsi="宋体"/>
          <w:color w:val="auto"/>
          <w:highlight w:val="none"/>
        </w:rPr>
      </w:pPr>
    </w:p>
    <w:p>
      <w:pPr>
        <w:pStyle w:val="11"/>
        <w:ind w:firstLine="480"/>
        <w:rPr>
          <w:rFonts w:ascii="宋体" w:hAnsi="宋体"/>
          <w:color w:val="auto"/>
          <w:kern w:val="0"/>
          <w:sz w:val="24"/>
          <w:highlight w:val="none"/>
        </w:rPr>
      </w:pPr>
    </w:p>
    <w:p>
      <w:pPr>
        <w:pStyle w:val="23"/>
        <w:rPr>
          <w:color w:val="auto"/>
          <w:highlight w:val="none"/>
        </w:rPr>
      </w:pPr>
    </w:p>
    <w:p>
      <w:pPr>
        <w:rPr>
          <w:color w:val="auto"/>
          <w:highlight w:val="none"/>
        </w:rPr>
      </w:pPr>
      <w:bookmarkStart w:id="20" w:name="_Toc9332"/>
      <w:bookmarkStart w:id="21" w:name="_Toc533668870"/>
      <w:bookmarkStart w:id="22" w:name="_Toc2540"/>
    </w:p>
    <w:p>
      <w:pPr>
        <w:pStyle w:val="2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3"/>
        <w:spacing w:before="0" w:after="0" w:line="360" w:lineRule="auto"/>
        <w:jc w:val="center"/>
        <w:rPr>
          <w:color w:val="auto"/>
          <w:kern w:val="0"/>
          <w:sz w:val="28"/>
          <w:szCs w:val="28"/>
          <w:highlight w:val="none"/>
        </w:rPr>
      </w:pPr>
      <w:bookmarkStart w:id="23" w:name="_Toc27037"/>
      <w:r>
        <w:rPr>
          <w:rFonts w:hint="eastAsia"/>
          <w:color w:val="auto"/>
          <w:kern w:val="0"/>
          <w:sz w:val="28"/>
          <w:szCs w:val="28"/>
          <w:highlight w:val="none"/>
        </w:rPr>
        <w:t>第三部分 其他要求</w:t>
      </w:r>
      <w:bookmarkEnd w:id="20"/>
      <w:bookmarkEnd w:id="21"/>
      <w:bookmarkEnd w:id="22"/>
      <w:bookmarkEnd w:id="23"/>
    </w:p>
    <w:p>
      <w:pPr>
        <w:rPr>
          <w:color w:val="auto"/>
          <w:highlight w:val="none"/>
        </w:rPr>
      </w:pP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供应商如有不清楚的地方可与采购人和代理机构联系。采购报价应包含所有费用。成交人在成交后不得以任何理由增加任何费用。</w:t>
      </w:r>
    </w:p>
    <w:p>
      <w:pPr>
        <w:rPr>
          <w:color w:val="auto"/>
          <w:highlight w:val="none"/>
        </w:rPr>
      </w:pPr>
    </w:p>
    <w:p>
      <w:pPr>
        <w:rPr>
          <w:color w:val="auto"/>
          <w:highlight w:val="none"/>
        </w:rPr>
      </w:pPr>
    </w:p>
    <w:p>
      <w:pPr>
        <w:pStyle w:val="11"/>
        <w:ind w:firstLine="420"/>
        <w:rPr>
          <w:color w:val="auto"/>
          <w:highlight w:val="none"/>
        </w:rPr>
      </w:pPr>
    </w:p>
    <w:p>
      <w:pPr>
        <w:pStyle w:val="23"/>
        <w:rPr>
          <w:color w:val="auto"/>
          <w:highlight w:val="none"/>
        </w:rPr>
      </w:pPr>
    </w:p>
    <w:p>
      <w:pPr>
        <w:rPr>
          <w:color w:val="auto"/>
          <w:highlight w:val="none"/>
        </w:rPr>
      </w:pPr>
    </w:p>
    <w:p>
      <w:pPr>
        <w:pStyle w:val="3"/>
        <w:spacing w:before="0" w:after="0" w:line="360" w:lineRule="auto"/>
        <w:ind w:left="439" w:leftChars="209" w:firstLine="7509" w:firstLineChars="1700"/>
        <w:rPr>
          <w:color w:val="auto"/>
          <w:highlight w:val="none"/>
        </w:rPr>
      </w:pPr>
      <w:r>
        <w:rPr>
          <w:rFonts w:hint="eastAsia"/>
          <w:color w:val="auto"/>
          <w:highlight w:val="none"/>
        </w:rPr>
        <w:t xml:space="preserve"> </w:t>
      </w:r>
    </w:p>
    <w:p>
      <w:pPr>
        <w:pStyle w:val="3"/>
        <w:spacing w:before="0" w:after="0" w:line="360" w:lineRule="auto"/>
        <w:jc w:val="center"/>
        <w:rPr>
          <w:color w:val="auto"/>
          <w:kern w:val="0"/>
          <w:sz w:val="28"/>
          <w:szCs w:val="28"/>
          <w:highlight w:val="none"/>
        </w:rPr>
      </w:pPr>
      <w:r>
        <w:rPr>
          <w:rFonts w:hint="eastAsia"/>
          <w:color w:val="auto"/>
          <w:highlight w:val="none"/>
        </w:rPr>
        <w:br w:type="page"/>
      </w:r>
      <w:bookmarkStart w:id="24" w:name="_Toc11753"/>
      <w:r>
        <w:rPr>
          <w:rFonts w:hint="eastAsia"/>
          <w:color w:val="auto"/>
          <w:kern w:val="0"/>
          <w:sz w:val="28"/>
          <w:szCs w:val="28"/>
          <w:highlight w:val="none"/>
        </w:rPr>
        <w:t>第四部分 质疑与投诉</w:t>
      </w:r>
      <w:bookmarkEnd w:id="24"/>
    </w:p>
    <w:p>
      <w:pPr>
        <w:rPr>
          <w:color w:val="auto"/>
          <w:highlight w:val="none"/>
        </w:rPr>
      </w:pPr>
    </w:p>
    <w:p>
      <w:pPr>
        <w:spacing w:line="52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一、质疑与答复</w:t>
      </w:r>
    </w:p>
    <w:p>
      <w:pPr>
        <w:pStyle w:val="27"/>
        <w:spacing w:after="0"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8"/>
        <w:spacing w:after="0" w:line="520" w:lineRule="exact"/>
        <w:ind w:left="0" w:leftChars="0" w:firstLine="480"/>
        <w:rPr>
          <w:rFonts w:ascii="宋体" w:hAnsi="宋体" w:cs="宋体"/>
          <w:color w:val="auto"/>
          <w:sz w:val="24"/>
          <w:highlight w:val="none"/>
        </w:rPr>
      </w:pPr>
      <w:r>
        <w:rPr>
          <w:rFonts w:hint="eastAsia" w:ascii="宋体" w:hAnsi="宋体" w:cs="宋体"/>
          <w:color w:val="auto"/>
          <w:sz w:val="24"/>
          <w:highlight w:val="none"/>
        </w:rPr>
        <w:t>2. 供应商提出质疑应当提交质疑函和必要的证明材料。政府采购供应商质疑函范本下载地址：</w:t>
      </w:r>
    </w:p>
    <w:p>
      <w:pPr>
        <w:pStyle w:val="28"/>
        <w:spacing w:after="0" w:line="520" w:lineRule="exact"/>
        <w:ind w:firstLine="0" w:firstLineChars="0"/>
        <w:rPr>
          <w:rFonts w:ascii="宋体" w:hAnsi="宋体" w:cs="宋体"/>
          <w:color w:val="auto"/>
          <w:sz w:val="24"/>
          <w:highlight w:val="none"/>
        </w:rPr>
      </w:pP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39"/>
          <w:rFonts w:hint="eastAsia" w:ascii="宋体" w:hAnsi="宋体" w:cs="宋体"/>
          <w:color w:val="auto"/>
          <w:sz w:val="24"/>
          <w:highlight w:val="none"/>
        </w:rPr>
        <w:t>http://download.ccgp.gov.cn/2018/zhiyihanfanben.zip；</w:t>
      </w:r>
      <w:r>
        <w:rPr>
          <w:rStyle w:val="39"/>
          <w:rFonts w:hint="eastAsia" w:ascii="宋体" w:hAnsi="宋体" w:cs="宋体"/>
          <w:color w:val="auto"/>
          <w:sz w:val="24"/>
          <w:highlight w:val="none"/>
        </w:rPr>
        <w:fldChar w:fldCharType="end"/>
      </w:r>
    </w:p>
    <w:p>
      <w:pPr>
        <w:numPr>
          <w:ilvl w:val="0"/>
          <w:numId w:val="5"/>
        </w:num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5"/>
        </w:num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供应商提出质疑应当提交质疑函和必要的证明材料。质疑函应当包括下列内容：</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供应商的姓名或者名称、地址、邮编、联系人及联系电话；</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质疑项目的名称、编号；</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具体、明确的质疑事项和与质疑事项相关的请求；</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事实依据；</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必要的法律依据；</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提出质疑的日期；</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获取招标文件的凭证；</w:t>
      </w:r>
    </w:p>
    <w:p>
      <w:pPr>
        <w:numPr>
          <w:ilvl w:val="1"/>
          <w:numId w:val="5"/>
        </w:numPr>
        <w:spacing w:line="520" w:lineRule="exact"/>
        <w:ind w:left="420" w:leftChars="200"/>
        <w:rPr>
          <w:rFonts w:ascii="宋体" w:hAnsi="宋体" w:cs="宋体"/>
          <w:color w:val="auto"/>
          <w:sz w:val="24"/>
          <w:highlight w:val="none"/>
        </w:rPr>
      </w:pPr>
      <w:r>
        <w:rPr>
          <w:rFonts w:hint="eastAsia" w:ascii="宋体" w:hAnsi="宋体" w:cs="宋体"/>
          <w:color w:val="auto"/>
          <w:sz w:val="24"/>
          <w:highlight w:val="none"/>
        </w:rPr>
        <w:t>以上资料一式二份（招标人、采购代理机构各执一份）。</w:t>
      </w:r>
    </w:p>
    <w:p>
      <w:pPr>
        <w:numPr>
          <w:ilvl w:val="0"/>
          <w:numId w:val="5"/>
        </w:num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供应商不得虚假质疑和恶意质疑，并对质疑内容的真实性承担责任。</w:t>
      </w:r>
    </w:p>
    <w:p>
      <w:pPr>
        <w:spacing w:line="52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二、投诉与处理</w:t>
      </w:r>
    </w:p>
    <w:p>
      <w:pPr>
        <w:pStyle w:val="27"/>
        <w:spacing w:after="0"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2、质疑供应商对采购人、采购代理机构的答复不满意，或者采购人、采购代理机构未在规定时间内作出答复的，可以在答复期满后15个工作日内向财政部门提起投诉。</w:t>
      </w:r>
    </w:p>
    <w:p>
      <w:pPr>
        <w:pStyle w:val="27"/>
        <w:spacing w:after="0"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7"/>
        <w:spacing w:after="0" w:line="520" w:lineRule="exact"/>
        <w:ind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39"/>
          <w:rFonts w:hint="eastAsia" w:ascii="宋体" w:hAnsi="宋体" w:cs="宋体"/>
          <w:color w:val="auto"/>
          <w:sz w:val="24"/>
          <w:highlight w:val="none"/>
        </w:rPr>
        <w:t>http://download.ccgp.gov.cn/2018/tousushufanben.zip</w:t>
      </w:r>
      <w:r>
        <w:rPr>
          <w:rStyle w:val="39"/>
          <w:rFonts w:hint="eastAsia" w:ascii="宋体" w:hAnsi="宋体" w:cs="宋体"/>
          <w:color w:val="auto"/>
          <w:sz w:val="24"/>
          <w:highlight w:val="none"/>
        </w:rPr>
        <w:fldChar w:fldCharType="end"/>
      </w:r>
    </w:p>
    <w:p>
      <w:pPr>
        <w:numPr>
          <w:ilvl w:val="0"/>
          <w:numId w:val="1"/>
        </w:num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财政部门自收到投诉之日起30个工作日内，对投诉事项作出处理决定并公示。</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投诉人在全国范围12个月内三次以上投诉查无实据的，由财政部门列入不良行为记录名单。</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5" w:name="_Toc4037"/>
      <w:bookmarkStart w:id="26" w:name="_Toc533668873"/>
      <w:bookmarkStart w:id="27" w:name="_Toc28662"/>
    </w:p>
    <w:p>
      <w:pPr>
        <w:pStyle w:val="3"/>
        <w:spacing w:before="0" w:after="0" w:line="520" w:lineRule="exact"/>
        <w:rPr>
          <w:color w:val="auto"/>
          <w:highlight w:val="none"/>
        </w:rPr>
      </w:pPr>
    </w:p>
    <w:p>
      <w:pPr>
        <w:spacing w:line="520" w:lineRule="exact"/>
        <w:rPr>
          <w:color w:val="auto"/>
          <w:highlight w:val="none"/>
        </w:rPr>
      </w:pPr>
    </w:p>
    <w:p>
      <w:pPr>
        <w:pStyle w:val="4"/>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before="0" w:after="0" w:line="360" w:lineRule="auto"/>
        <w:ind w:left="2310"/>
        <w:rPr>
          <w:color w:val="auto"/>
          <w:highlight w:val="none"/>
        </w:rPr>
      </w:pPr>
    </w:p>
    <w:p>
      <w:pPr>
        <w:rPr>
          <w:color w:val="auto"/>
          <w:highlight w:val="none"/>
        </w:rPr>
      </w:pPr>
    </w:p>
    <w:p>
      <w:pPr>
        <w:pStyle w:val="11"/>
        <w:ind w:firstLine="420"/>
        <w:rPr>
          <w:color w:val="auto"/>
          <w:highlight w:val="none"/>
        </w:rPr>
      </w:pPr>
    </w:p>
    <w:p>
      <w:pPr>
        <w:pStyle w:val="3"/>
        <w:spacing w:before="0" w:after="0" w:line="360" w:lineRule="auto"/>
        <w:jc w:val="center"/>
        <w:rPr>
          <w:color w:val="auto"/>
          <w:kern w:val="0"/>
          <w:sz w:val="28"/>
          <w:szCs w:val="28"/>
          <w:highlight w:val="none"/>
        </w:rPr>
      </w:pPr>
      <w:bookmarkStart w:id="28" w:name="_Toc2271"/>
      <w:r>
        <w:rPr>
          <w:rFonts w:hint="eastAsia"/>
          <w:color w:val="auto"/>
          <w:kern w:val="0"/>
          <w:sz w:val="28"/>
          <w:szCs w:val="28"/>
          <w:highlight w:val="none"/>
        </w:rPr>
        <w:t>第五部分  采购内容及要求</w:t>
      </w:r>
      <w:bookmarkEnd w:id="25"/>
      <w:bookmarkEnd w:id="26"/>
      <w:bookmarkEnd w:id="27"/>
      <w:bookmarkEnd w:id="28"/>
    </w:p>
    <w:p>
      <w:pPr>
        <w:pStyle w:val="3"/>
        <w:spacing w:before="0" w:after="0" w:line="360" w:lineRule="auto"/>
        <w:rPr>
          <w:rFonts w:ascii="宋体" w:hAnsi="宋体" w:cs="宋体"/>
          <w:color w:val="auto"/>
          <w:sz w:val="24"/>
          <w:szCs w:val="24"/>
          <w:highlight w:val="none"/>
        </w:rPr>
      </w:pPr>
      <w:bookmarkStart w:id="29" w:name="_Toc23390"/>
      <w:r>
        <w:rPr>
          <w:rFonts w:hint="eastAsia" w:ascii="宋体" w:hAnsi="宋体" w:cs="宋体"/>
          <w:color w:val="auto"/>
          <w:sz w:val="24"/>
          <w:szCs w:val="24"/>
          <w:highlight w:val="none"/>
        </w:rPr>
        <w:t>一、采购内容：</w:t>
      </w:r>
      <w:bookmarkEnd w:id="29"/>
    </w:p>
    <w:tbl>
      <w:tblPr>
        <w:tblStyle w:val="29"/>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850"/>
        <w:gridCol w:w="274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850" w:type="dxa"/>
            <w:vAlign w:val="center"/>
          </w:tcPr>
          <w:p>
            <w:pPr>
              <w:pStyle w:val="86"/>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项目名称</w:t>
            </w:r>
          </w:p>
        </w:tc>
        <w:tc>
          <w:tcPr>
            <w:tcW w:w="2748" w:type="dxa"/>
            <w:vAlign w:val="center"/>
          </w:tcPr>
          <w:p>
            <w:pPr>
              <w:pStyle w:val="86"/>
              <w:spacing w:line="360" w:lineRule="auto"/>
              <w:jc w:val="center"/>
              <w:rPr>
                <w:rFonts w:asciiTheme="minorEastAsia" w:hAnsiTheme="minorEastAsia" w:eastAsiaTheme="minorEastAsia" w:cstheme="minorEastAsia"/>
                <w:b/>
                <w:color w:val="auto"/>
                <w:w w:val="99"/>
                <w:sz w:val="24"/>
                <w:highlight w:val="none"/>
              </w:rPr>
            </w:pPr>
            <w:r>
              <w:rPr>
                <w:rFonts w:hint="eastAsia" w:asciiTheme="minorEastAsia" w:hAnsiTheme="minorEastAsia" w:eastAsiaTheme="minorEastAsia" w:cstheme="minorEastAsia"/>
                <w:b/>
                <w:color w:val="auto"/>
                <w:w w:val="99"/>
                <w:sz w:val="24"/>
                <w:highlight w:val="none"/>
              </w:rPr>
              <w:t>技术参数要求</w:t>
            </w:r>
          </w:p>
        </w:tc>
        <w:tc>
          <w:tcPr>
            <w:tcW w:w="1267" w:type="dxa"/>
            <w:vAlign w:val="center"/>
          </w:tcPr>
          <w:p>
            <w:pPr>
              <w:pStyle w:val="86"/>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w w:val="99"/>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85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评估诊断区设备</w:t>
            </w:r>
          </w:p>
        </w:tc>
        <w:tc>
          <w:tcPr>
            <w:tcW w:w="2748"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详见附表</w:t>
            </w:r>
          </w:p>
        </w:tc>
        <w:tc>
          <w:tcPr>
            <w:tcW w:w="1267"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85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心理辅导区设备</w:t>
            </w:r>
          </w:p>
        </w:tc>
        <w:tc>
          <w:tcPr>
            <w:tcW w:w="2748"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详见附表</w:t>
            </w:r>
          </w:p>
        </w:tc>
        <w:tc>
          <w:tcPr>
            <w:tcW w:w="1267"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85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多媒体感统区设备</w:t>
            </w:r>
          </w:p>
        </w:tc>
        <w:tc>
          <w:tcPr>
            <w:tcW w:w="2748"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详见附表</w:t>
            </w:r>
          </w:p>
        </w:tc>
        <w:tc>
          <w:tcPr>
            <w:tcW w:w="1267"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85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录播教室设备</w:t>
            </w:r>
          </w:p>
        </w:tc>
        <w:tc>
          <w:tcPr>
            <w:tcW w:w="2748" w:type="dxa"/>
            <w:vAlign w:val="center"/>
          </w:tcPr>
          <w:p>
            <w:pPr>
              <w:pStyle w:val="86"/>
              <w:spacing w:line="360" w:lineRule="auto"/>
              <w:jc w:val="center"/>
              <w:rPr>
                <w:rStyle w:val="85"/>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highlight w:val="none"/>
              </w:rPr>
              <w:t>详见附表</w:t>
            </w:r>
          </w:p>
        </w:tc>
        <w:tc>
          <w:tcPr>
            <w:tcW w:w="1267" w:type="dxa"/>
            <w:vAlign w:val="center"/>
          </w:tcPr>
          <w:p>
            <w:pPr>
              <w:spacing w:line="360" w:lineRule="auto"/>
              <w:jc w:val="center"/>
              <w:rPr>
                <w:rStyle w:val="85"/>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26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850"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信息化相关设备</w:t>
            </w:r>
          </w:p>
        </w:tc>
        <w:tc>
          <w:tcPr>
            <w:tcW w:w="2748" w:type="dxa"/>
            <w:vAlign w:val="center"/>
          </w:tcPr>
          <w:p>
            <w:pPr>
              <w:pStyle w:val="86"/>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详见附表</w:t>
            </w:r>
          </w:p>
        </w:tc>
        <w:tc>
          <w:tcPr>
            <w:tcW w:w="1267"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r>
    </w:tbl>
    <w:p>
      <w:pPr>
        <w:pStyle w:val="3"/>
        <w:spacing w:before="0" w:after="0" w:line="360" w:lineRule="auto"/>
        <w:rPr>
          <w:rFonts w:ascii="宋体" w:hAnsi="宋体" w:cs="宋体"/>
          <w:color w:val="auto"/>
          <w:sz w:val="24"/>
          <w:szCs w:val="24"/>
          <w:highlight w:val="none"/>
        </w:rPr>
      </w:pPr>
      <w:bookmarkStart w:id="30" w:name="_Toc26860"/>
      <w:r>
        <w:rPr>
          <w:rFonts w:hint="eastAsia" w:ascii="宋体" w:hAnsi="宋体" w:cs="宋体"/>
          <w:color w:val="auto"/>
          <w:sz w:val="24"/>
          <w:szCs w:val="24"/>
          <w:highlight w:val="none"/>
        </w:rPr>
        <w:t>二、技术参数要求：</w:t>
      </w:r>
      <w:bookmarkEnd w:id="30"/>
    </w:p>
    <w:p>
      <w:pPr>
        <w:pStyle w:val="45"/>
        <w:framePr w:wrap="around"/>
        <w:rPr>
          <w:color w:val="auto"/>
          <w:highlight w:val="none"/>
        </w:rPr>
      </w:pPr>
    </w:p>
    <w:p>
      <w:pPr>
        <w:pStyle w:val="3"/>
        <w:spacing w:before="0" w:after="0" w:line="360" w:lineRule="auto"/>
        <w:rPr>
          <w:rFonts w:ascii="宋体" w:hAnsi="宋体" w:cs="宋体"/>
          <w:color w:val="auto"/>
          <w:sz w:val="24"/>
          <w:szCs w:val="24"/>
          <w:highlight w:val="none"/>
        </w:rPr>
      </w:pPr>
      <w:bookmarkStart w:id="31" w:name="_Toc25492"/>
      <w:r>
        <w:rPr>
          <w:rFonts w:hint="eastAsia" w:ascii="宋体" w:hAnsi="宋体" w:cs="宋体"/>
          <w:color w:val="auto"/>
          <w:sz w:val="24"/>
          <w:szCs w:val="24"/>
          <w:highlight w:val="none"/>
        </w:rPr>
        <w:t>（一）评估诊断区设备</w:t>
      </w:r>
      <w:bookmarkEnd w:id="31"/>
    </w:p>
    <w:tbl>
      <w:tblPr>
        <w:tblStyle w:val="29"/>
        <w:tblW w:w="90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070"/>
        <w:gridCol w:w="6170"/>
        <w:gridCol w:w="610"/>
        <w:gridCol w:w="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87"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107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617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规格</w:t>
            </w:r>
          </w:p>
        </w:tc>
        <w:tc>
          <w:tcPr>
            <w:tcW w:w="61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661"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vAlign w:val="center"/>
          </w:tcPr>
          <w:p>
            <w:pPr>
              <w:pStyle w:val="88"/>
              <w:jc w:val="center"/>
              <w:rPr>
                <w:color w:val="auto"/>
                <w:sz w:val="21"/>
                <w:szCs w:val="21"/>
                <w:highlight w:val="none"/>
                <w:lang w:eastAsia="zh-CN"/>
              </w:rPr>
            </w:pPr>
            <w:r>
              <w:rPr>
                <w:rFonts w:hint="eastAsia"/>
                <w:color w:val="auto"/>
                <w:spacing w:val="-4"/>
                <w:sz w:val="21"/>
                <w:szCs w:val="21"/>
                <w:highlight w:val="none"/>
                <w:lang w:eastAsia="zh-CN"/>
              </w:rPr>
              <w:t>办公桌</w:t>
            </w:r>
          </w:p>
        </w:tc>
        <w:tc>
          <w:tcPr>
            <w:tcW w:w="6170" w:type="dxa"/>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桌子长宽高： ≥1200*600*750mm，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多功能柜长宽高： ≥900*300*580mm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材质：密度板+1mm厚度框型空心钢架</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.≥3cm加厚面板，板面光滑，无毛刺，牢固耐用；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.包含多功能储物柜，安装移动万向轮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.桌面厚度≥3cm；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.颜色樱桃木+暖白色/黑橡木色可选</w:t>
            </w:r>
          </w:p>
        </w:tc>
        <w:tc>
          <w:tcPr>
            <w:tcW w:w="610"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套</w:t>
            </w:r>
          </w:p>
        </w:tc>
        <w:tc>
          <w:tcPr>
            <w:tcW w:w="661"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2</w:t>
            </w:r>
          </w:p>
        </w:tc>
        <w:tc>
          <w:tcPr>
            <w:tcW w:w="1070"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办公椅</w:t>
            </w:r>
          </w:p>
        </w:tc>
        <w:tc>
          <w:tcPr>
            <w:tcW w:w="6170" w:type="dxa"/>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椅子长宽高： ≥580*580*950mm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1.含升降功能。</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2.优质网布</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3.高弹力海绵</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4.优质尼龙框架</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bidi="ar"/>
              </w:rPr>
              <w:t>5.连体定型扶手</w:t>
            </w:r>
          </w:p>
        </w:tc>
        <w:tc>
          <w:tcPr>
            <w:tcW w:w="610"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套</w:t>
            </w:r>
          </w:p>
        </w:tc>
        <w:tc>
          <w:tcPr>
            <w:tcW w:w="661"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3</w:t>
            </w:r>
          </w:p>
        </w:tc>
        <w:tc>
          <w:tcPr>
            <w:tcW w:w="1070"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电脑</w:t>
            </w:r>
          </w:p>
        </w:tc>
        <w:tc>
          <w:tcPr>
            <w:tcW w:w="6170" w:type="dxa"/>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规格：≥15.6英寸</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配置：I5-12500H /16G/1TB/独立显卡</w:t>
            </w:r>
          </w:p>
        </w:tc>
        <w:tc>
          <w:tcPr>
            <w:tcW w:w="610"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台</w:t>
            </w:r>
          </w:p>
        </w:tc>
        <w:tc>
          <w:tcPr>
            <w:tcW w:w="661"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4</w:t>
            </w:r>
          </w:p>
        </w:tc>
        <w:tc>
          <w:tcPr>
            <w:tcW w:w="1070"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打印机</w:t>
            </w:r>
          </w:p>
        </w:tc>
        <w:tc>
          <w:tcPr>
            <w:tcW w:w="6170"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规格：≥406*363*288mm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1.最佳打印分辨率≥600*600dpi，支持有线&amp;无线网络打印，支持usb、以太网、wifi端口，不支持输稿器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2.打印速度：≥24页/分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3.能效等级：一级能效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4.类型：彩色</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5.扫描功能：平板式</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6.基础功能：打印、扫描、复印</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7.打印功能：非自动双面</w:t>
            </w:r>
          </w:p>
        </w:tc>
        <w:tc>
          <w:tcPr>
            <w:tcW w:w="610"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台</w:t>
            </w:r>
          </w:p>
        </w:tc>
        <w:tc>
          <w:tcPr>
            <w:tcW w:w="661"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柜子</w:t>
            </w:r>
          </w:p>
        </w:tc>
        <w:tc>
          <w:tcPr>
            <w:tcW w:w="6170"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材质：≥0.6mm优质冷轧钢+玻璃</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规格：≥1800mm*850mm*390mm。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特点：通体玻璃柜，八层高度可调节</w:t>
            </w:r>
          </w:p>
        </w:tc>
        <w:tc>
          <w:tcPr>
            <w:tcW w:w="610"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661"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档案盒</w:t>
            </w:r>
          </w:p>
        </w:tc>
        <w:tc>
          <w:tcPr>
            <w:tcW w:w="6170"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规格：A4/55mm</w:t>
            </w:r>
          </w:p>
        </w:tc>
        <w:tc>
          <w:tcPr>
            <w:tcW w:w="610"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个</w:t>
            </w:r>
          </w:p>
        </w:tc>
        <w:tc>
          <w:tcPr>
            <w:tcW w:w="661"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椅子</w:t>
            </w:r>
          </w:p>
        </w:tc>
        <w:tc>
          <w:tcPr>
            <w:tcW w:w="6170"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儿童固定摆位椅</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规格：≥800*380*800mm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材质：实木</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bidi="ar"/>
              </w:rPr>
              <w:t>适合年龄：6-15岁</w:t>
            </w:r>
          </w:p>
        </w:tc>
        <w:tc>
          <w:tcPr>
            <w:tcW w:w="610"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个</w:t>
            </w:r>
          </w:p>
        </w:tc>
        <w:tc>
          <w:tcPr>
            <w:tcW w:w="661"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桌子</w:t>
            </w:r>
          </w:p>
        </w:tc>
        <w:tc>
          <w:tcPr>
            <w:tcW w:w="6170"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个训用桌椅套件</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材质：实木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桌子≥1200*600*500mm；椅子≥300*300*535mm</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bidi="ar"/>
              </w:rPr>
              <w:t>配套：一桌四椅</w:t>
            </w:r>
          </w:p>
        </w:tc>
        <w:tc>
          <w:tcPr>
            <w:tcW w:w="610"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661" w:type="dxa"/>
            <w:vAlign w:val="center"/>
          </w:tcPr>
          <w:p>
            <w:pPr>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587"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评估量表平台</w:t>
            </w:r>
          </w:p>
        </w:tc>
        <w:tc>
          <w:tcPr>
            <w:tcW w:w="6170"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平台提供国内外各类功能障碍或发展障碍的特殊儿童在线测评量表及测评标准和评分方法，并根据测评结果给予相关的建议分析、干预导向、方案推荐；包括症状筛查、功能评估、教育评估、发展评估、康复评定，涵盖感知觉、运动、认知、语言沟通、行为、情绪、社交、生活等功能领域；适用于孤独症、多动症、感统失调、智力障碍、精神障碍、语言障碍、言语障碍、听力障碍、脑性瘫痪、行为问题等特殊需要人群。</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2、量表评估功能模块</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提供国内外各类功能障碍或发展障碍的特殊儿童在线测评量表及测评标准和评分方法，并根据测评结果给予相关的建议分析、干预导向、方案推荐；量表评估涵盖四大领域的量表：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1.1症状评估：孤独症、智力障碍、脑性瘫痪、多动症、感统失调、言语障碍、语言障碍、听力障碍。</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1.2发育评估：智力、感知觉、运动、认知、言语和语言、情绪与行为、注意力、综合。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1.3特殊教育评估：能力评估、发育水平、训练评估、生活环境。</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1.4康复功能评估：日常生活活动能力、肢体功能、运动功能、言语功能、心理功能、感觉、神经反射；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内含量表如下：</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格里菲斯（Griffiths）发育评估量表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自闭症儿童训练系统</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ADHD注意力缺陷多动症测评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SIT儿童感觉统合能力发展测评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SRSA社会适应性测评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感觉统合评估训练系统</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ABC自闭症行为量表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ACHENBACH儿童行为测评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FMFM精细运动能力评估量表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C-WISC韦氏儿童智力量表（第三版）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儿童言语能力发育量表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SSCC学前儿童入学能力测评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3、信息管理：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提供信息化的云端档案管理和动态监控，包括学校教师/学生的档案管理，实时保存并动态更新教师的档案信息和测评方案，以及受测者的个人档案和评估数据。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提供信息登记表模块。能够收集记录：主要症状、伴随症状、服用药物状态、食物过敏情况、药物过敏情况、身心异常时间、特殊行为、特殊喜好、特殊厌恶等信息；以及既往病史、康复经历、教育经历等内容。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提供一键生成的信息及数据报告，无需再逐份档案查询，脱离繁多冗乱的文档表格，数据自动形成可视化图表报告，让数据呈现更加高效美观，促进机构信息化建设的发展。</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提供“一生一案”的信息资料管理功能，受测者所有的信息数据与资料储存基于阿里云服务器，采用可靠安全的分布式存储，多层沙箱防护及监控系统有效保障用户数据安全。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4、账号配置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用户登录：工作人员使用用户名密码登录综合评估业务管理系统，可以在系统中修改登录密码。</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用户管理：管理员管理综合评估业务管理系统的用户，设置用户名、用户权限。不同用户通过不同角色权限操作系统。系统提供密码重置功能，管理员可以为用户重置密码。</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运行环境：Windows7及以上系统带Office组件。</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 xml:space="preserve">5、自闭症儿童教育评估云Block： </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5.1：主要参数：</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5.1.1、儿童建档；</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5.1.2、自闭症儿童教育评估；</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5.1.3、个别化教育计划：认知觉项目：【1、旋开瓶盖；2、吹肥皂泡；3、目光追视；4、目光追视跨越中线；5、（触觉块）检视触觉块；6、（万花筒）使用万花筒；7、能够表现出使用惯用眼；8、（手摇铃）转向手摇铃；9、（警铃）模仿按动警铃；10、手指插入软体并作出凹位等。建立学习重点、目标、提示方式、成功标准、形式、计划时段、开始时间、结束时间。】</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6、SSCC学前儿童入学能力测评50项智能筛查量表；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6.1：主要参数：</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6.1.1、学龄前儿童50项智能测验题目。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6.1.2、50项量表是属于一种测查儿童综合性能力的筛查工具。内容必须为回答问题和操作两大类型题目。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6.1.3、以下测量题目须满足要求：</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7、给孩子看一张未画腿的人物画像（该题目中必须有人物画像图案）；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8、正确地说出下面的图形（该题目中必须有△ O口图案）；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9、说出红、黄、蓝、绿4种颜色（图形或实物，必须提供四种颜色图案）；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10、你用拼板照样拼椭圆形（该题目中必须提供椭圆形图案）；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11、看图，说出有什么不对的地方（该题目中必须提供鸡在水中游图案）；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 xml:space="preserve">12、请描绘下面图形（该题目中必须提供1  ——  0   /四个图案）；  </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13、看图，说出有什么不对的地方（该题目中必须提供雨下看书图案)；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14、看牛兔画说三处错误(该题目中牛尾，腿、兔耳，必须提供兔子、</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牛图案)；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15、工作人员讲一个短故事给孩子听，听完要他回答（全部答对才</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行，该题目中必须提供参考故事）；</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16、听故事后回答——小公鸡为什么脸红了?（该题目中必须提供参</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bidi="ar"/>
              </w:rPr>
              <w:t>考故事）；</w:t>
            </w:r>
          </w:p>
        </w:tc>
        <w:tc>
          <w:tcPr>
            <w:tcW w:w="610" w:type="dxa"/>
            <w:vAlign w:val="center"/>
          </w:tcPr>
          <w:p>
            <w:pPr>
              <w:spacing w:line="240" w:lineRule="exact"/>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661" w:type="dxa"/>
            <w:vAlign w:val="center"/>
          </w:tcPr>
          <w:p>
            <w:pPr>
              <w:spacing w:line="240" w:lineRule="exact"/>
              <w:jc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技术服务</w:t>
            </w:r>
          </w:p>
        </w:tc>
        <w:tc>
          <w:tcPr>
            <w:tcW w:w="6170" w:type="dxa"/>
            <w:vAlign w:val="center"/>
          </w:tcPr>
          <w:p>
            <w:pPr>
              <w:pStyle w:val="10"/>
              <w:rPr>
                <w:rFonts w:ascii="宋体" w:hAnsi="宋体" w:cs="宋体"/>
                <w:color w:val="auto"/>
                <w:kern w:val="0"/>
                <w:szCs w:val="21"/>
                <w:highlight w:val="none"/>
                <w:lang w:bidi="ar"/>
              </w:rPr>
            </w:pPr>
            <w:r>
              <w:rPr>
                <w:rFonts w:hint="eastAsia" w:ascii="宋体" w:hAnsi="宋体" w:cs="宋体"/>
                <w:color w:val="auto"/>
                <w:szCs w:val="21"/>
                <w:highlight w:val="none"/>
                <w:lang w:bidi="ar"/>
              </w:rPr>
              <w:t>含灯光、线材等辅料，房间规格：约7.4m*4.5m*3.7m；包含但不限于房间内部木地板、墙漆等内容，</w:t>
            </w:r>
            <w:r>
              <w:rPr>
                <w:rFonts w:hint="eastAsia"/>
                <w:color w:val="auto"/>
                <w:highlight w:val="none"/>
              </w:rPr>
              <w:t>具体实施内容根据评估诊断要求和现场环境进行布局，设计及施工按照校方要求进行。</w:t>
            </w:r>
          </w:p>
        </w:tc>
        <w:tc>
          <w:tcPr>
            <w:tcW w:w="610" w:type="dxa"/>
            <w:vAlign w:val="center"/>
          </w:tcPr>
          <w:p>
            <w:pPr>
              <w:jc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批</w:t>
            </w:r>
          </w:p>
        </w:tc>
        <w:tc>
          <w:tcPr>
            <w:tcW w:w="661" w:type="dxa"/>
            <w:vAlign w:val="center"/>
          </w:tcPr>
          <w:p>
            <w:pPr>
              <w:jc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w:t>
            </w:r>
          </w:p>
        </w:tc>
      </w:tr>
    </w:tbl>
    <w:p>
      <w:pPr>
        <w:pStyle w:val="3"/>
        <w:spacing w:before="0" w:after="0" w:line="360" w:lineRule="auto"/>
        <w:rPr>
          <w:rFonts w:ascii="宋体" w:hAnsi="宋体" w:cs="宋体"/>
          <w:color w:val="auto"/>
          <w:sz w:val="24"/>
          <w:szCs w:val="24"/>
          <w:highlight w:val="none"/>
        </w:rPr>
      </w:pPr>
      <w:bookmarkStart w:id="32" w:name="_Toc12884"/>
      <w:r>
        <w:rPr>
          <w:rFonts w:hint="eastAsia" w:ascii="宋体" w:hAnsi="宋体" w:cs="宋体"/>
          <w:color w:val="auto"/>
          <w:sz w:val="24"/>
          <w:szCs w:val="24"/>
          <w:highlight w:val="none"/>
        </w:rPr>
        <w:t>（二）心理辅导区设备</w:t>
      </w:r>
      <w:bookmarkEnd w:id="32"/>
    </w:p>
    <w:tbl>
      <w:tblPr>
        <w:tblStyle w:val="29"/>
        <w:tblW w:w="9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070"/>
        <w:gridCol w:w="6024"/>
        <w:gridCol w:w="760"/>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98" w:type="dxa"/>
            <w:vAlign w:val="center"/>
          </w:tcPr>
          <w:p>
            <w:pPr>
              <w:widowControl/>
              <w:spacing w:line="240" w:lineRule="exact"/>
              <w:jc w:val="center"/>
              <w:rPr>
                <w:rFonts w:ascii="宋体" w:hAnsi="宋体" w:cs="宋体"/>
                <w:color w:val="auto"/>
                <w:spacing w:val="-2"/>
                <w:szCs w:val="21"/>
                <w:highlight w:val="none"/>
              </w:rPr>
            </w:pPr>
            <w:r>
              <w:rPr>
                <w:rFonts w:hint="eastAsia" w:ascii="宋体" w:hAnsi="宋体" w:cs="宋体"/>
                <w:color w:val="auto"/>
                <w:kern w:val="0"/>
                <w:szCs w:val="21"/>
                <w:highlight w:val="none"/>
              </w:rPr>
              <w:t>编号</w:t>
            </w:r>
          </w:p>
        </w:tc>
        <w:tc>
          <w:tcPr>
            <w:tcW w:w="107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6024"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规格</w:t>
            </w:r>
          </w:p>
        </w:tc>
        <w:tc>
          <w:tcPr>
            <w:tcW w:w="76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802"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70" w:type="dxa"/>
            <w:vAlign w:val="center"/>
          </w:tcPr>
          <w:p>
            <w:pPr>
              <w:pStyle w:val="88"/>
              <w:jc w:val="center"/>
              <w:rPr>
                <w:color w:val="auto"/>
                <w:sz w:val="21"/>
                <w:szCs w:val="21"/>
                <w:highlight w:val="none"/>
                <w:lang w:eastAsia="zh-CN"/>
              </w:rPr>
            </w:pPr>
            <w:r>
              <w:rPr>
                <w:rFonts w:hint="eastAsia"/>
                <w:color w:val="auto"/>
                <w:spacing w:val="-4"/>
                <w:sz w:val="21"/>
                <w:szCs w:val="21"/>
                <w:highlight w:val="none"/>
                <w:lang w:eastAsia="zh-CN"/>
              </w:rPr>
              <w:t>办公桌</w:t>
            </w:r>
          </w:p>
        </w:tc>
        <w:tc>
          <w:tcPr>
            <w:tcW w:w="6024" w:type="dxa"/>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桌子长宽高： ≥1200*600*750mm，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多功能柜长宽高： ≥900*300*580mm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材质：密度板+钢架</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.3cm加厚面板，板面光滑，无毛刺，牢固耐用；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.包含多功能储物柜，安装移动万向轮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6</w:t>
            </w:r>
            <w:r>
              <w:rPr>
                <w:rFonts w:hint="eastAsia" w:ascii="宋体" w:hAnsi="宋体" w:cs="宋体"/>
                <w:color w:val="auto"/>
                <w:szCs w:val="21"/>
                <w:highlight w:val="none"/>
                <w:lang w:bidi="ar"/>
              </w:rPr>
              <w:t>.桌面厚度≥3cm；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.颜色樱桃木+暖白色/黑橡木色可选</w:t>
            </w:r>
          </w:p>
        </w:tc>
        <w:tc>
          <w:tcPr>
            <w:tcW w:w="760"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套</w:t>
            </w:r>
          </w:p>
        </w:tc>
        <w:tc>
          <w:tcPr>
            <w:tcW w:w="802"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2</w:t>
            </w:r>
          </w:p>
        </w:tc>
        <w:tc>
          <w:tcPr>
            <w:tcW w:w="1070"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办公椅</w:t>
            </w:r>
          </w:p>
        </w:tc>
        <w:tc>
          <w:tcPr>
            <w:tcW w:w="6024" w:type="dxa"/>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椅子长宽高： ≥580*580*950mm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1.含升降功能，高效辅助评估使用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2.优质网布</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3.高弹力海绵</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4.优质尼龙框架</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5.连体定型扶手</w:t>
            </w:r>
          </w:p>
        </w:tc>
        <w:tc>
          <w:tcPr>
            <w:tcW w:w="760"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套</w:t>
            </w:r>
          </w:p>
        </w:tc>
        <w:tc>
          <w:tcPr>
            <w:tcW w:w="802"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3</w:t>
            </w:r>
          </w:p>
        </w:tc>
        <w:tc>
          <w:tcPr>
            <w:tcW w:w="1070" w:type="dxa"/>
            <w:vAlign w:val="center"/>
          </w:tcPr>
          <w:p>
            <w:pPr>
              <w:pStyle w:val="88"/>
              <w:jc w:val="center"/>
              <w:rPr>
                <w:color w:val="auto"/>
                <w:spacing w:val="-4"/>
                <w:sz w:val="21"/>
                <w:szCs w:val="21"/>
                <w:highlight w:val="none"/>
                <w:lang w:eastAsia="zh-CN"/>
              </w:rPr>
            </w:pPr>
            <w:r>
              <w:rPr>
                <w:rFonts w:hint="eastAsia"/>
                <w:color w:val="auto"/>
                <w:spacing w:val="-4"/>
                <w:sz w:val="21"/>
                <w:szCs w:val="21"/>
                <w:highlight w:val="none"/>
                <w:lang w:eastAsia="zh-CN"/>
              </w:rPr>
              <w:t>电脑</w:t>
            </w:r>
          </w:p>
        </w:tc>
        <w:tc>
          <w:tcPr>
            <w:tcW w:w="6024" w:type="dxa"/>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规格：≥15.6英寸</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配置：I5-12500H /16G/1TB/独立显卡</w:t>
            </w:r>
          </w:p>
        </w:tc>
        <w:tc>
          <w:tcPr>
            <w:tcW w:w="760"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台</w:t>
            </w:r>
          </w:p>
        </w:tc>
        <w:tc>
          <w:tcPr>
            <w:tcW w:w="802" w:type="dxa"/>
            <w:vAlign w:val="center"/>
          </w:tcPr>
          <w:p>
            <w:pPr>
              <w:pStyle w:val="88"/>
              <w:jc w:val="center"/>
              <w:rPr>
                <w:color w:val="auto"/>
                <w:sz w:val="21"/>
                <w:szCs w:val="21"/>
                <w:highlight w:val="none"/>
                <w:lang w:eastAsia="zh-CN" w:bidi="ar"/>
              </w:rPr>
            </w:pPr>
            <w:r>
              <w:rPr>
                <w:rFonts w:hint="eastAsia"/>
                <w:color w:val="auto"/>
                <w:sz w:val="21"/>
                <w:szCs w:val="21"/>
                <w:highlight w:val="none"/>
                <w:lang w:eastAsia="zh-CN"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柜子</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材质：0.6mm优质冷轧钢+玻璃</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规格：≥高1800mm、宽850mm、深390mm。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特点：通体玻璃柜，八层高度可调节</w:t>
            </w:r>
          </w:p>
        </w:tc>
        <w:tc>
          <w:tcPr>
            <w:tcW w:w="760"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套</w:t>
            </w:r>
          </w:p>
        </w:tc>
        <w:tc>
          <w:tcPr>
            <w:tcW w:w="802"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档案盒</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规格：A4/55mm</w:t>
            </w:r>
          </w:p>
        </w:tc>
        <w:tc>
          <w:tcPr>
            <w:tcW w:w="760"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个</w:t>
            </w:r>
          </w:p>
        </w:tc>
        <w:tc>
          <w:tcPr>
            <w:tcW w:w="802"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饮水机</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规格：≥270/245/820mm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特点：立式冷热型饮水机，上下两门式设计</w:t>
            </w:r>
          </w:p>
        </w:tc>
        <w:tc>
          <w:tcPr>
            <w:tcW w:w="760"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台</w:t>
            </w:r>
          </w:p>
        </w:tc>
        <w:tc>
          <w:tcPr>
            <w:tcW w:w="802"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录音笔</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color w:val="auto"/>
                <w:highlight w:val="none"/>
              </w:rPr>
              <w:t>手持式录音笔</w:t>
            </w:r>
            <w:r>
              <w:rPr>
                <w:rFonts w:hint="eastAsia" w:ascii="宋体" w:hAnsi="宋体" w:cs="宋体"/>
                <w:color w:val="auto"/>
                <w:szCs w:val="21"/>
                <w:highlight w:val="none"/>
                <w:lang w:bidi="ar"/>
              </w:rPr>
              <w:t>，内存≥16G</w:t>
            </w:r>
          </w:p>
        </w:tc>
        <w:tc>
          <w:tcPr>
            <w:tcW w:w="760"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支</w:t>
            </w:r>
          </w:p>
        </w:tc>
        <w:tc>
          <w:tcPr>
            <w:tcW w:w="802"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598"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07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心理检测咨询档案管理平台系统</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心理检测咨询档案管理平台为B/S架构可以无缝对接云平台（免费提供），移动端扫一扫登陆，信息快速记录到云平台上。做完测评结果实时同步到移动端查看（包括测评结果、指导建议、对分数结果有异议直接远程对话心理咨询专家）首页创建个人账号、注册人员审核、查看报告、咨询管理、自动预警报告五种快捷方式展现。</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管理端：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1、用户管理：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1.1创建管理员：创建信息为用户名、密码、姓名、性别、出生年月日、学历、电子邮箱等。带*号为必填项。并且可实现≥13大类或≥62项小类进行权限管理。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1.2管理员管理：可针对用户名、姓名、性别、出生年月日区间、民族、学历、电子邮箱等进行检索。并且可以查看管理人员信息、权限管理和删除等功能。</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1.3创建被试账号：创建信息为用户名、密码、姓名、性别、出生年月日、民族、血型、电子邮箱、以及10级扩展字段。如输入错误可红字提醒必填项。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1.4批量创建账号：创建信息为固定标识、用户数量、起始账号、初始密码为统一的数字。可以同时为创建批量人员进行量表分配，大大节省管理员时间。</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1.5批量设定测试：可以通过用户名、姓名、性别、出生年月日区间、民族、学历、电子邮箱等进行检索并为批量被试人员赋予量表内容。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1.6测试记录：可针对被试人员进度（已完成、未完成）、量表、用户名、姓名、性别、起始日期、结束日期、民族、学历、电子邮箱进行测试记录查询删除。</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1.7批量导入账号：分为数据导入、模板系统录入字段、模板自定义扩展字段、下载模板。数据导入可以浏览系统固定模板进行导入。模板系统录入字段分为用户名、密码、姓名、性别、出生年月日、民族、血型、电子邮箱。模板自定义扩展字段为自定义信息添加。下载模板为CSV格式固定信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1.8用户信息管理：可对用户信息进行检索包括用户名、姓名、性别、起始日期、结束日期、民族、学历、电子邮箱等。检索出的信息可以进行查看、重置密码、量表选择、删除等操作。</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1.9注册人员审核：可针对客户端注册人员进行查询、审核、也可以进行删除。</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2、档案管理：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2.1测评档案：可针对被试人员量表名称、用户名、姓名、性别、出生日期、结束日期、民族、学历、电子邮箱、测试时间、结束时间进行测试记录查看删除。</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2.2调查档案：可针对被试人员调查名称、用户名、姓名、性别、出生日期、结束日期、民族、学历、电子邮箱、测试时间、结束时间进行测试记录查看。点击查看可以查询到档案信息及其调查内容。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2.3个案档案：可查看结案记录、基本信息、访谈内容、访谈时间、访谈地点、辅导人员、个案来源、个案类型、处理级别、总结信息、来访者问题时候解决、回访时间、回访人、下一步处理意见、咨询结案意见、个案现状、备注、结案时间等。</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2.4人员档案：可查看并修改用户名、姓名、性别、民族、血型、电子邮箱、出生日期、班级、年级信息。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综合报告管理：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3.1查询个人报告：可根据用户名、姓名、性别、年龄、量表名称、测试时间选择查看个人报告详细情况（包含用户信息、扩展字段信息、测试时长、测试时间、总分、所属类别、指导建议、分析说明、因子得分、维度结果分析及指导意见）。</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3.2查询团体报告：可根据用户名、姓名、性别、年龄、量表名称、测试时间选择查看团体报告。</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数据分析：</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4.1个人数据分析：可根据用户名、姓名、性别、年龄、量表名称、测试时间进行数据查看并导出。量表名称可进行勾选，并根据量表名称选择具体细分量表输入题号和得分。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（包含用户信息、扩展字段信息、测试时长、测试时间、总分、所属类别、指导建议、分析说明、因子得分、维度结果分析及指导意见）</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4.2团体数据分析：可根据用户名、姓名、性别、年龄、量表名称、测试时间、进行团体数据查看并导出。可进行量表名称筛选，因子得分等。</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个案管理：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5.1预约个案：可进行添加预约个案，可查询用户名、姓名、性别、出生日期、民族、学历信息，并进行预约，预约包含：个案来源、个案类型、处理级别、地点、访谈时间。</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5.2个案辅导：在查询用户名、姓名、性别、出生日期、民族、学历、个案来源、个案类型、处理级别、地点、时间信息进行选择辅导，并查看辅导记录。辅导记录包含：（社会关系情况、与父亲关系情况、与母亲关系情况、与兄弟姐妹关系情况、有无继父等主要问题、访谈过程、访谈时间等信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5.3个案总结：包含输入用户名、姓名、性别、出生日期、民族、学历、个案来源、个案类型、处理级别、是否结案进行查看结案信息 、总结等。</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 xml:space="preserve">5.4修改预约个案: 可对个案来源、个案类型、处理级别、地点、访谈时间进行提交修改。 </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网络调查：</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6.1网络调查管理：可对问卷名称、发布时间、进行选择查看统计。问卷列表可进行添加选项、删除问题、添加选项并进行保存，可进行问卷答案统计数据查看。</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6.2发布网络管理： 包括问题列表、问卷标题、题目、选项、添加选项、问题并进行保存。</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预警报告管理：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7.1异常心理报告：可根据用户名、姓名、性别、年龄、量表名称、测试时间等信息进行异常心理报告查看并导出（包含用户信息、扩展字段信息、测试时长、测试时间、总分、所属类别、指导建议、分析说明、因子得分、维度结果分析及指导意见）</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7.2自动预警报告：可根据用户名、姓名、性别、出生日期、民族、量表名称、测试时间、等信息选择转交个案。（转交个案包含：个案来源、个案类型、处理级别、地点、访谈时间）</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心理咨询：</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8.1查看留言：可根据用户基本信息（用户名、姓名、性别、出生日期、民族、留言标题、留言时间）进行查看。</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8.2预约管理：包含咨询师信息、预约时间（星期五 上午 星期五下午 星期一上午 星期一下午 星期二上午 星期二 下午 星期三上午 星期三 下午 星期四 上午 星期四下午 ）</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心理文章：</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9.1发表文章：可以自定义添加文章标题、文章类型、文章内容进行发表。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10查看文章：可查看文章标题、文章内容、发表时间选择查看、删除。</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量表管理：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11.1量表平台：可对量表类别及量表名称进行查询并选择查看。</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11.2手工录入：可根据用户名、姓名、性别、出生日期、民族、学历、电子邮箱选择录入。手工录入测评结果（可进行量表名称筛选、快速作答和审题作答、测试用时分钟、用户名、时间）可进行保存。</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11.3批量数据导入：可进行量表名称筛选、选择文件、下载模板，进行批量导入信息）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测试信息录入说明：(1)用户名请填写系统已经存在的用户 （2）测试时间请以hh:mm:ss方式填写，如：00：05：13 (3)选择答案请按照选项A填0，选项B填1的顺序依次类推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说明：此操作可批量导入测评答案，适用于大批量的纸笔测试后导入测评答案；可在指定的EXCEL模板基础上进行修改后导入，一次可最多导入5000条测评答案数据。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11.4量表研发：包含量表信息（量表名称、量表介绍、指导语、性别条件、年龄条件可添加年龄限制完善量表信息）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11.5自定义量表管理：可对量表名称进行修改删除量表预览。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11.6分配自定义量表：可根据用户名、姓名、性别、出生日期、民族、学历、电子邮箱进行量表选择。</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11.7自定义量表测试记录：可根据用户名、姓名、性别、出生日期、量表名称、状态，选择查看量表记录。</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心理资源库：</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12.1查询资源库：可输入标题查询资源库内容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12.2新增资源：可自定义添加标题及心理资源内容。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13、系统维护:</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13.1数据备份：可查看已备份数据并下载、恢复、删除。</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13.2扩展字段管理：可进行字段删除、类型选择、添加选项、添加字段保存。</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13.3修改密码：输入原密码、新密码、确认新密码后保存信息即可修改密码。</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用户端：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个人信息管理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1.1个人信息：包含姓名、性别、出生日期、民族、血型、电子邮箱、班级、年级如输入错误可红字提醒必填项，填完点击保存信息，并可对个人信息进行修改。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1.2修改密码：输入原密码、新密码、确认新密码后保存信息即可修改密码。</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1.3绑定微信：打开微信扫一扫即刻绑定账号。</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心理测评管理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2.1心理测评：包括心理健康、学习、人格、社交、生活等多个方面的130个量表，可选择要测试的量表进行测试。</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2.2查看测评报告：可进行测评报告结果查看，包含量表名称、测试时间。详细的心理测验报告：测试完成后，自动生成由用户信息、扩展字段信息、测试时长、测试时间、总分、所属类别、指导建议、分析说明、因子得分、维度结果分析及指导意见。被试者也可以在管理员的允许之下在用户端查看自己测验报告，大大的增加了反馈的效率。</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2.3自定义心理测评：可对量表名称进行预览。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2.4查看自定义测评报告：可查看量表名称、测试时间、选择查看测评报告内容。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咨询管理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3.1留言咨询：可将用户姓名、咨询标题、咨询内容进行添加留言，点击保存信息即可留言成功，留言成功后管理员端可查看留言信息。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3.2查看回复：可查看留言后的回复情况（咨询标题、咨询时间等内容）</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3.3咨询管理：包含咨询师信息、预约时间（星期五 上午 星期五下午 星期一上午 星期一下午 星期二上午 星期二 下午 星期三上午 星期三 下午 星期四 上午 星期四下午 ）进行预约咨询并可查看文章，极大提高了心理咨询效率。</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危机管理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4.1危机上报：上报内容包括：危机人员名称、危机人员班级、危机等级、危机类型信息。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4.2日结束登记：登记内容包括：接触对象、活动内容、危机地点、危机类型、危机内容说明，做到了危机上报的及时性（经度 纬度 是否经过偏移）。</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4.3及时信息登记：登记内容包括危及地点、活动内容，后点击提交即可（经度 纬度 是否经过偏移）。</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问卷调查</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可根据问卷名称、发布时间选择点击答题即可。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心理音乐干预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包含序号、音乐类型、音乐名称、播放音乐选项。提供常用的放松减压，积极心态，焦虑心态，抗压，情绪训练，社会适应，睡眠障碍，危机干预及冥想、放松治疗音乐。</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心理游戏干预</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提供记忆能力、注意广度、长度知觉、运动视力、汉语理解、大脑年龄、勾画、记忆画图等心理游戏≥54个。</w:t>
            </w:r>
          </w:p>
        </w:tc>
        <w:tc>
          <w:tcPr>
            <w:tcW w:w="760" w:type="dxa"/>
            <w:vAlign w:val="center"/>
          </w:tcPr>
          <w:p>
            <w:pPr>
              <w:spacing w:line="240" w:lineRule="exact"/>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套</w:t>
            </w:r>
          </w:p>
        </w:tc>
        <w:tc>
          <w:tcPr>
            <w:tcW w:w="802" w:type="dxa"/>
            <w:vAlign w:val="center"/>
          </w:tcPr>
          <w:p>
            <w:pPr>
              <w:spacing w:line="240" w:lineRule="exact"/>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个体沙盘</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沙具：至少包含9大类57小类。材质分陶瓷、树脂、木质、塑料、橡胶、玻璃多样（人物类、动物类、植物类、建筑类、生活用品类、交通运输类）</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沙盘：进口优质无结松木材质，表面光滑不伤手 标准尺寸长72cm*宽57cm*高7cm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支架：优质实木 尺寸（高68cm）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陈列柜：进口优质无结松木材质，尺寸（高160cm宽100cm深35cm）</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专用沙：颗粒细腻光滑、大小均匀、高温消毒水洗。</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内容包含以下主要技术性能</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1、可以随意绘制各种形态的海水和天空、绘制的不满意，也可以清除重新来</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2、可以对沙具进行放大、缩小、删除、旋转、镜像等操作，沙具使用更加的灵活。</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3、沙盘中设有雨、雪、阴、晴，来访者可以设计不同的天气景象。</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沙盘软件包含可以使用人物类沙具≥200件、可以使用交通类沙具≥90件、可以使用建筑类沙具≥100件、可以使用动物类沙具≥100件、可以使用植物类沙具≥80件、可以使用自然类沙具≥90件、可以使用军事类沙具≥70件、可以使用家居类沙具≥100件、可以使用其他类沙具≥90件</w:t>
            </w:r>
          </w:p>
        </w:tc>
        <w:tc>
          <w:tcPr>
            <w:tcW w:w="760"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套</w:t>
            </w:r>
          </w:p>
        </w:tc>
        <w:tc>
          <w:tcPr>
            <w:tcW w:w="802"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音乐放松椅</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 xml:space="preserve">音乐舒缓功能，可坐可躺。配备专业心理舒缓音乐，自带音响，配高保真耳机。配备专业心理舒缓音乐。具体要求：1.技术参数：1舒适沙发椅、电动控制系统，符合人体工学原理，调适角度范围90度到160度，背座腿联动、零重力睡躺； </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1.1产品尺寸：105cm（长）*110cm（宽）*105cm（高），放松椅椅背平展时：160cm（长）*110cm（宽）*60cm（高）</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1.2控制系统：采用人体工学结构设计，柔软舒适，可控制椅子的升降角度。满足训练者躺、仰、坐姿势，靠背100度-180度，腿部90度-180度任意调节。</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1.3播音系统：内置防磁高保真音箱，支持AUX、蓝牙、USB等多种音乐播放模式。</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1.4背部臀部采用的最先进仿真人3D机械手设计，自动程序专业按摩手法。</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数字播放系统一套：</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规格：15寸高清播放器。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2.2支持音乐、心理图片、心理文章、心理电影等多种格式文件。</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2.3带背景指导语专业减压、放松、催眠系列音乐包含如下专业放松音乐 α脑波放松：α脑波共振放松音乐01.引子-02.聚气如溪、α脑波共振放松音乐-03.生机之门(松静版).、α脑波共振放松音乐-04.身如云(松静版)、α脑波共振放松音乐-05.飘香(松静版)、α脑波共振放松音乐-06.百脉归海.禅修内观：禅修内观-01.禅悟、禅修内观-02.吐息.、禅修内观-03.忘忧.、禅修内观-04.尘世.、禅修内观-05.寒山僧踪.、禅修内观-06.内观音乐。</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2.4心理图片：放松图、错觉图。</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2.5心理视频：心理电影等。</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2.6存储系统：随机配置8G高速存储卡，可无限扩充，支持SD、CF卡及USB存储设备等。</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3..铝制万向显示器支架一个：</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3.1支持方位调节，便于使用者调节显示器角度调整到适合自己的位置放置。</w:t>
            </w:r>
          </w:p>
        </w:tc>
        <w:tc>
          <w:tcPr>
            <w:tcW w:w="760"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套</w:t>
            </w:r>
          </w:p>
        </w:tc>
        <w:tc>
          <w:tcPr>
            <w:tcW w:w="802"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598"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07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情绪宣泄器材套装</w:t>
            </w:r>
          </w:p>
        </w:tc>
        <w:tc>
          <w:tcPr>
            <w:tcW w:w="6024" w:type="dxa"/>
            <w:vAlign w:val="center"/>
          </w:tcPr>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1、硅胶宣泄人：总重量：大于等于35KG总高度应≥170cm 主体高度≥100cm 装水底座≥60cm。人形肩宽≥65cm 底座直径≥60cm 环保高弹性发泡料主体硅胶厚度至少为3mm，数量1套</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2、宣泄柱 ：重量≥38KG，总高度≥170CM  主体高度≥100CM  主体直径≥30CM 底座直径≥60CM  厚度至少为0.3CM，数量2件；击打部分硬度≥35度 单个可以转动，填充物PE纤维布，数量1套；</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3、宣泄手套2副；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4、宣泄棒2支；</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5、宣泄球2个；</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6、宣泄脸谱2个；</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7、宣泄挂图2副；8、赠惨叫鸡1只；9、摔打宣泄球2个；</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bidi="ar"/>
              </w:rPr>
              <w:t>10、宣泄墙一套</w:t>
            </w:r>
          </w:p>
        </w:tc>
        <w:tc>
          <w:tcPr>
            <w:tcW w:w="760"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套</w:t>
            </w:r>
          </w:p>
        </w:tc>
        <w:tc>
          <w:tcPr>
            <w:tcW w:w="802" w:type="dxa"/>
            <w:vAlign w:val="center"/>
          </w:tcPr>
          <w:p>
            <w:pPr>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59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0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技术服务</w:t>
            </w:r>
          </w:p>
        </w:tc>
        <w:tc>
          <w:tcPr>
            <w:tcW w:w="6024" w:type="dxa"/>
            <w:vAlign w:val="center"/>
          </w:tcPr>
          <w:p>
            <w:pPr>
              <w:jc w:val="left"/>
              <w:rPr>
                <w:rFonts w:ascii="宋体" w:hAnsi="宋体" w:cs="宋体"/>
                <w:color w:val="auto"/>
                <w:kern w:val="0"/>
                <w:szCs w:val="21"/>
                <w:highlight w:val="none"/>
                <w:lang w:bidi="ar"/>
              </w:rPr>
            </w:pPr>
            <w:r>
              <w:rPr>
                <w:rFonts w:hint="eastAsia" w:ascii="宋体" w:hAnsi="宋体" w:cs="宋体"/>
                <w:color w:val="auto"/>
                <w:szCs w:val="21"/>
                <w:highlight w:val="none"/>
                <w:lang w:bidi="ar"/>
              </w:rPr>
              <w:t>含灯光、线材等辅料，房间规格：约7.4m*4.5m*3.7m；包含但不限于房间内部木地板、墙漆、能保证学生安全的软包等内容，</w:t>
            </w:r>
            <w:r>
              <w:rPr>
                <w:rFonts w:hint="eastAsia"/>
                <w:color w:val="auto"/>
                <w:highlight w:val="none"/>
              </w:rPr>
              <w:t>具体实施内容根据心理辅导要求和现场环境进行布局，设计及施工按照校方要求进行。</w:t>
            </w:r>
          </w:p>
        </w:tc>
        <w:tc>
          <w:tcPr>
            <w:tcW w:w="760"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批</w:t>
            </w:r>
          </w:p>
        </w:tc>
        <w:tc>
          <w:tcPr>
            <w:tcW w:w="802" w:type="dxa"/>
            <w:vAlign w:val="center"/>
          </w:tcPr>
          <w:p>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r>
    </w:tbl>
    <w:p>
      <w:pPr>
        <w:pStyle w:val="3"/>
        <w:numPr>
          <w:ilvl w:val="0"/>
          <w:numId w:val="6"/>
        </w:numPr>
        <w:spacing w:before="0" w:after="0" w:line="360" w:lineRule="auto"/>
        <w:rPr>
          <w:rFonts w:ascii="宋体" w:hAnsi="宋体" w:cs="宋体"/>
          <w:color w:val="auto"/>
          <w:sz w:val="24"/>
          <w:szCs w:val="24"/>
          <w:highlight w:val="none"/>
        </w:rPr>
      </w:pPr>
      <w:bookmarkStart w:id="33" w:name="_Toc20444"/>
      <w:r>
        <w:rPr>
          <w:rFonts w:hint="eastAsia" w:ascii="宋体" w:hAnsi="宋体" w:cs="宋体"/>
          <w:color w:val="auto"/>
          <w:sz w:val="24"/>
          <w:szCs w:val="24"/>
          <w:highlight w:val="none"/>
        </w:rPr>
        <w:t>多媒体感统区设备</w:t>
      </w:r>
      <w:bookmarkEnd w:id="33"/>
    </w:p>
    <w:tbl>
      <w:tblPr>
        <w:tblStyle w:val="29"/>
        <w:tblpPr w:leftFromText="180" w:rightFromText="180" w:vertAnchor="text" w:horzAnchor="page" w:tblpXSpec="center" w:tblpY="562"/>
        <w:tblOverlap w:val="never"/>
        <w:tblW w:w="92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852"/>
        <w:gridCol w:w="6276"/>
        <w:gridCol w:w="770"/>
        <w:gridCol w:w="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86"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852" w:type="dxa"/>
            <w:shd w:val="clear" w:color="auto" w:fill="auto"/>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6276" w:type="dxa"/>
            <w:shd w:val="clear" w:color="auto" w:fill="auto"/>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规格</w:t>
            </w:r>
          </w:p>
        </w:tc>
        <w:tc>
          <w:tcPr>
            <w:tcW w:w="77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813"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86" w:type="dxa"/>
            <w:vAlign w:val="center"/>
          </w:tcPr>
          <w:p>
            <w:pPr>
              <w:pStyle w:val="7"/>
              <w:spacing w:line="240" w:lineRule="exact"/>
              <w:jc w:val="center"/>
              <w:rPr>
                <w:rFonts w:ascii="宋体" w:hAnsi="宋体" w:eastAsia="宋体" w:cs="宋体"/>
                <w:b w:val="0"/>
                <w:color w:val="auto"/>
                <w:sz w:val="21"/>
                <w:highlight w:val="none"/>
                <w:lang w:eastAsia="zh-CN"/>
              </w:rPr>
            </w:pPr>
            <w:r>
              <w:rPr>
                <w:rFonts w:hint="eastAsia" w:ascii="宋体" w:hAnsi="宋体" w:eastAsia="宋体" w:cs="宋体"/>
                <w:b w:val="0"/>
                <w:color w:val="auto"/>
                <w:sz w:val="21"/>
                <w:highlight w:val="none"/>
                <w:lang w:eastAsia="zh-CN"/>
              </w:rPr>
              <w:t>1</w:t>
            </w:r>
          </w:p>
        </w:tc>
        <w:tc>
          <w:tcPr>
            <w:tcW w:w="852" w:type="dxa"/>
            <w:shd w:val="clear" w:color="auto" w:fill="auto"/>
            <w:vAlign w:val="center"/>
          </w:tcPr>
          <w:p>
            <w:pPr>
              <w:pStyle w:val="7"/>
              <w:spacing w:line="240" w:lineRule="exact"/>
              <w:rPr>
                <w:rFonts w:ascii="宋体" w:hAnsi="宋体" w:eastAsia="宋体" w:cs="宋体"/>
                <w:color w:val="auto"/>
                <w:sz w:val="21"/>
                <w:highlight w:val="none"/>
                <w:lang w:eastAsia="zh-CN"/>
              </w:rPr>
            </w:pPr>
            <w:r>
              <w:rPr>
                <w:rFonts w:hint="eastAsia" w:ascii="宋体" w:hAnsi="宋体" w:eastAsia="宋体" w:cs="宋体"/>
                <w:b w:val="0"/>
                <w:color w:val="auto"/>
                <w:sz w:val="21"/>
                <w:highlight w:val="none"/>
                <w:lang w:eastAsia="zh-CN"/>
              </w:rPr>
              <w:t>多感官互动情景训练系统</w:t>
            </w:r>
          </w:p>
        </w:tc>
        <w:tc>
          <w:tcPr>
            <w:tcW w:w="6276" w:type="dxa"/>
            <w:shd w:val="clear" w:color="auto" w:fill="auto"/>
            <w:vAlign w:val="center"/>
          </w:tcPr>
          <w:p>
            <w:pPr>
              <w:numPr>
                <w:ilvl w:val="0"/>
                <w:numId w:val="7"/>
              </w:num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系统功能要求</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通过听视觉同步互动，可提高生活自理能力、观察力、记忆力、注意力、数学、英语、乐器、交通安全教育、日常物品认知能力、眼上肢体协调能力、眼下肢体协调能力、身体平衡能力、逻辑推理能力与想象力等均具有提高作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二、功能参数要求：</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1、认知能力训练：互动投影训练系统不但满足儿童的心理需求，而且能够帮助儿童形成良好习惯、品质以及独立勇敢的性格，促进儿童心理和认知能力健康、快速地发展。</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2、社会行为训练：社会行为训练是指儿童与自身、儿童与他人（家长和儿童）以及人与社会的关系，通过互动投影训练系统能够培养儿童与人的交流沟通的语言表达能力和技巧，有利于儿童形成正确价值观，促进环保、和平和公平竞争等良好社会意识的形成。</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3、促进智力发展：互动训练系统对儿童的观察力、记忆力、注意力与想象力等均具有提高作用， 儿童在训练过程中不但可以体验到快乐和乐趣感到愉悦，而且还能培养儿童的学习兴趣、思维想象能力和创造力。</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4、提高生活自理能力：训练过程中可时时锻炼用户的本体感觉，增强训练专注力，提高身体运动协调能力和思维辨别能力，提高生活自理能力；</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5、改善情绪行为障碍：训练过程轻松、愉悦，可缓解常规训练时产生的肌肉痉挛，激发用户想象力，降低焦虑烦躁情绪；</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6、训练方案：系统集成几十种以上的互动训练游戏特效，康复师可根据不同类型用户选择训练方案。</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7、训练项目分类：至少包含六类（互动感知、互动情景、逻辑认知、视觉追踪、听觉训练、虚拟体验）。分类功能可以让客户一目了然的看到自己想要的信息，便于辅导老师有针对性对每个不同的个体制定康复锻炼方案。减轻辅导老师工作量并提高辅导老师的教学效率。</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8、平板客户端程序支持远程一键开关机。</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8.1具备训练记录功能、训练项目排序功能：训练项目在轮播模式下播放顺序，可进行手工设置排序。</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8.2训练时长：训练项目在轮播模式下播放时间，轮播模式在使用客户端选择指定训练，选择的训练结束时间为这里训练时长。</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8.3是否启用：训练项目有效性，可对训练模式播放方式进行自由选择。</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8.4自动顺序：能够在训练自启动后按照设置界面中顺序轮播。</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8.5自动随机：在训练自启动后随机播放界面中训练项目。</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8.6运行手动启动。</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三、硬件配置：高清数字捕捉设备、地面超短焦成像设备、触摸式控制主机及平板客户端、音箱及吊架、功放主机、控制主机、控制台车、控制屏、配套线材等。</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硬件主要技术参数要求：</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高清数字捕捉设备: 电源电压：DC5V</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支持网络协议，定位范围：6MX6M，定位精度：误差&lt;1cm，检测范围：360度，角度分析度0.27，侦则速度: ≥20ms，通讯界面: Ethermet port。</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触摸式控制主机及客户端：实现对控制主机的可视化触摸式遥控，从而达到对整个系统的操控。屏幕尺寸:10.1英寸屏幕分辨率:1280×800，远程客户端1套</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地面超短焦成像设备:投影亮度不低于3500流明,3D投影支持,标准分辨率1024×768,最大分辨率 1600×1200,配套专用支架1套。投射面积为4*4.3米大幅控制画面。</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音箱及吊架：高功率高音效，10寸低音2只。</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功放主机：纯后级功放机，专业功放，输出功率≥200W,保护功能包括峰值限幅，过载，直接，短路，过热，软启动等。</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控制主机：CPU: Intel≥3.0GHz,4M缓存，显卡：1G独立显存，硬盘：固态128GB ，内存： 4GB DDR3 1600，USB:3.0,防潮、防锈、防酸、防尘、防静电、防漏电处理。</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控制台车：工作推车，尺寸根据设备量身定制。</w:t>
            </w:r>
          </w:p>
          <w:p>
            <w:pPr>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1、提供生产厂家该软件著作权</w:t>
            </w:r>
            <w:r>
              <w:rPr>
                <w:rFonts w:hint="eastAsia" w:ascii="宋体" w:hAnsi="宋体" w:cs="宋体"/>
                <w:color w:val="auto"/>
                <w:szCs w:val="21"/>
                <w:highlight w:val="none"/>
                <w:lang w:eastAsia="zh-CN" w:bidi="ar"/>
              </w:rPr>
              <w:t>登记证书</w:t>
            </w:r>
            <w:r>
              <w:rPr>
                <w:rFonts w:hint="eastAsia" w:ascii="宋体" w:hAnsi="宋体" w:cs="宋体"/>
                <w:color w:val="auto"/>
                <w:szCs w:val="21"/>
                <w:highlight w:val="none"/>
                <w:lang w:bidi="ar"/>
              </w:rPr>
              <w:t>，且厂家产品软件著作权</w:t>
            </w:r>
            <w:r>
              <w:rPr>
                <w:rFonts w:hint="eastAsia" w:ascii="宋体" w:hAnsi="宋体" w:cs="宋体"/>
                <w:color w:val="auto"/>
                <w:szCs w:val="21"/>
                <w:highlight w:val="none"/>
                <w:lang w:eastAsia="zh-CN" w:bidi="ar"/>
              </w:rPr>
              <w:t>登记证书</w:t>
            </w:r>
            <w:r>
              <w:rPr>
                <w:rFonts w:hint="eastAsia" w:ascii="宋体" w:hAnsi="宋体" w:cs="宋体"/>
                <w:color w:val="auto"/>
                <w:szCs w:val="21"/>
                <w:highlight w:val="none"/>
                <w:lang w:bidi="ar"/>
              </w:rPr>
              <w:t>取得时间不得晚于招标公告发布日期(复印件须加盖生产企业红章)。</w:t>
            </w:r>
          </w:p>
          <w:p>
            <w:pPr>
              <w:spacing w:line="240" w:lineRule="exact"/>
              <w:rPr>
                <w:color w:val="auto"/>
                <w:highlight w:val="none"/>
              </w:rPr>
            </w:pPr>
            <w:r>
              <w:rPr>
                <w:rFonts w:hint="eastAsia" w:ascii="宋体" w:hAnsi="宋体" w:cs="宋体"/>
                <w:color w:val="auto"/>
                <w:szCs w:val="21"/>
                <w:highlight w:val="none"/>
                <w:lang w:bidi="ar"/>
              </w:rPr>
              <w:t>2、投标人所投产品必须完全符合招标文件对本产品功能的要求（中标后三个工作日之内向采购方展示该产品功能）。</w:t>
            </w:r>
          </w:p>
          <w:p>
            <w:pPr>
              <w:adjustRightInd w:val="0"/>
              <w:snapToGrid w:val="0"/>
              <w:jc w:val="left"/>
              <w:rPr>
                <w:color w:val="auto"/>
                <w:highlight w:val="none"/>
              </w:rPr>
            </w:pPr>
            <w:r>
              <w:rPr>
                <w:rFonts w:hint="eastAsia" w:ascii="宋体" w:hAnsi="宋体" w:cs="宋体"/>
                <w:color w:val="auto"/>
                <w:szCs w:val="21"/>
                <w:highlight w:val="none"/>
                <w:lang w:bidi="ar"/>
              </w:rPr>
              <w:t>3、验收时提供生产厂家该软件国家级检测报告，且厂家产品检测报告权取得时间不得晚于招标公告发布日期(复印件须加盖生产企业红章)</w:t>
            </w:r>
          </w:p>
          <w:p>
            <w:pPr>
              <w:numPr>
                <w:ilvl w:val="0"/>
                <w:numId w:val="8"/>
              </w:numPr>
              <w:spacing w:line="240" w:lineRule="exact"/>
              <w:rPr>
                <w:color w:val="auto"/>
                <w:highlight w:val="none"/>
              </w:rPr>
            </w:pPr>
            <w:r>
              <w:rPr>
                <w:rFonts w:hint="eastAsia" w:ascii="宋体" w:hAnsi="宋体" w:cs="宋体"/>
                <w:color w:val="auto"/>
                <w:szCs w:val="21"/>
                <w:highlight w:val="none"/>
                <w:lang w:bidi="ar"/>
              </w:rPr>
              <w:t>照明、灯光、环境改善。房间规格：约7.4m*7.1m*3.7m；包含但不限于房间内部木地板、墙漆、能保证学生安全运动的软包等内容，</w:t>
            </w:r>
            <w:r>
              <w:rPr>
                <w:rFonts w:hint="eastAsia"/>
                <w:color w:val="auto"/>
                <w:highlight w:val="none"/>
              </w:rPr>
              <w:t>具体实施内容根据多媒体感统区要求和现场环境进行布局，设计及施工按照校方要求进行。</w:t>
            </w:r>
          </w:p>
        </w:tc>
        <w:tc>
          <w:tcPr>
            <w:tcW w:w="770" w:type="dxa"/>
            <w:vAlign w:val="center"/>
          </w:tcPr>
          <w:p>
            <w:pPr>
              <w:spacing w:line="240" w:lineRule="exact"/>
              <w:jc w:val="center"/>
              <w:rPr>
                <w:rFonts w:ascii="宋体" w:hAnsi="宋体" w:cs="宋体"/>
                <w:color w:val="auto"/>
                <w:szCs w:val="21"/>
                <w:highlight w:val="none"/>
                <w:lang w:bidi="ar"/>
              </w:rPr>
            </w:pPr>
            <w:r>
              <w:rPr>
                <w:rFonts w:hint="eastAsia" w:ascii="宋体" w:hAnsi="宋体" w:cs="宋体"/>
                <w:color w:val="auto"/>
                <w:szCs w:val="21"/>
                <w:highlight w:val="none"/>
              </w:rPr>
              <w:t>套</w:t>
            </w:r>
          </w:p>
        </w:tc>
        <w:tc>
          <w:tcPr>
            <w:tcW w:w="813" w:type="dxa"/>
            <w:vAlign w:val="center"/>
          </w:tcPr>
          <w:p>
            <w:pPr>
              <w:spacing w:line="240" w:lineRule="exact"/>
              <w:jc w:val="center"/>
              <w:rPr>
                <w:rFonts w:ascii="宋体" w:hAnsi="宋体" w:cs="宋体"/>
                <w:color w:val="auto"/>
                <w:szCs w:val="21"/>
                <w:highlight w:val="none"/>
                <w:lang w:bidi="ar"/>
              </w:rPr>
            </w:pPr>
            <w:r>
              <w:rPr>
                <w:rFonts w:hint="eastAsia" w:ascii="宋体" w:hAnsi="宋体" w:cs="宋体"/>
                <w:color w:val="auto"/>
                <w:szCs w:val="21"/>
                <w:highlight w:val="none"/>
              </w:rPr>
              <w:t>1</w:t>
            </w:r>
          </w:p>
        </w:tc>
      </w:tr>
    </w:tbl>
    <w:p>
      <w:pPr>
        <w:rPr>
          <w:color w:val="auto"/>
          <w:highlight w:val="none"/>
        </w:rPr>
      </w:pPr>
    </w:p>
    <w:p>
      <w:pPr>
        <w:pStyle w:val="3"/>
        <w:spacing w:before="0" w:after="0" w:line="360" w:lineRule="auto"/>
        <w:rPr>
          <w:rFonts w:ascii="宋体" w:hAnsi="宋体" w:cs="宋体"/>
          <w:color w:val="auto"/>
          <w:sz w:val="24"/>
          <w:szCs w:val="24"/>
          <w:highlight w:val="none"/>
        </w:rPr>
      </w:pPr>
      <w:bookmarkStart w:id="34" w:name="_Toc18466"/>
      <w:r>
        <w:rPr>
          <w:rFonts w:hint="eastAsia" w:ascii="宋体" w:hAnsi="宋体" w:cs="宋体"/>
          <w:color w:val="auto"/>
          <w:sz w:val="24"/>
          <w:szCs w:val="24"/>
          <w:highlight w:val="none"/>
        </w:rPr>
        <w:t>（四）录播教室设备</w:t>
      </w:r>
      <w:bookmarkEnd w:id="34"/>
    </w:p>
    <w:tbl>
      <w:tblPr>
        <w:tblStyle w:val="29"/>
        <w:tblW w:w="93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920"/>
        <w:gridCol w:w="6240"/>
        <w:gridCol w:w="770"/>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78"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92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624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规格</w:t>
            </w:r>
          </w:p>
        </w:tc>
        <w:tc>
          <w:tcPr>
            <w:tcW w:w="77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818"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互动录播电脑主机</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1.主机需采用ARM架构的处理器，具备至少8核CPU，其中主频至少2.4GHz的芯片，≥4个主频1.8GHz的芯片≥4个，。采用嵌入式Linux定制操作系统。主机系统内存≥8GB，存储容量≥1TB。主机采用无风扇设计。</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 内置蓝牙无线物联模块，主机无需线缆就可以实现音箱的音量控制，也可通过讲台实现对主机开关机控制。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 支持标准USB音视频信号输出，可以同时支持UVC和UAC协议，通过主机TypeC接口可以实现图像和声音同步输出，支持不小于4K图像输出，输出音频可通过主机控制软件实现混音，兼容主流视频会议软件。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 主机支持断电情况下，录播主机输入音频仍可输出通道输出，实现扩声功能。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 内置专业音频隔离模块，3.5mm音频通道均可实现音频隔离，</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 主机能够独立完成视频采集、音频采集、音频编码、视频编码、音频处理、视频处理表、直播、录制、互动、远程运维、参数设置功能。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7.可通过 IOT 物联平台实现对设备的远程升级，可按照区域升级；支持本地通过U盘进行升级。</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 内置音频接收模块。无需外接无线音频接收模块，即可完成无线音频采集，支持同时≥2个无线麦克风接入，且同时支持≥2种对频模式。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 支持≥2个HDMI高清采集接口，支持分辨率包含：3840×2160p@30Hz、1920×1080p@60Hz、1920×1080p@30Hz并向下兼容，支持≥1路HDMI输入通道具备音频同步采集能力，可通过系统设置音频采集打开或者关闭。</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 支持≥4路高清视频输出，视频输出可同一时间输出不同视频源，且输出分辨率不小于4K，其中HDMI信号输出≥3路且UVC视频输出≥1路。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11. 支持≥5个RJ45接口，其中≥3个支持POE。支持≥5个USB类型接口，其中USB-A接口≥3个，Type-C接口≥2个。</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12. 支持≥2个线路信号输入，且输入接口采用不同的运放倍数设计，可满足不同类型的音频信号接入，支持≥2个线性立体声音频输出，可独立设置任意一个输出接口的混音模式。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13. 支持≥1个阵列麦克风输入接口，可在不接入音频处理器的情况下，阵列麦克风支持串联且可以实现两个麦克风的供电、音频信号传输、音频参数设置等功能。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14. 通过互动录播电脑主机一体化触控屏支持调用系统内置输入法进行对已经录制的文件重命名。</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15. 主机具有液晶电容屏 ，尺寸≥13英寸、分辨率≥1920*1080。16. 屏幕需满足无蓝光危害，符合IEC 62471:2006要求，即在10000s（约2.8h）内不造成对视网膜蓝光危害（LB）,其LB需达到≤100 W·m-2·sr-1。</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台</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2</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主机导播系统</w:t>
            </w:r>
          </w:p>
        </w:tc>
        <w:tc>
          <w:tcPr>
            <w:tcW w:w="624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1.支持设定自动导播默认画面，画面可以保持在默认画面，支持设置自动导播画面的保护时间和保持时间，支持自定义选择参与自动导播的画面。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2.支持单画面、画中画、左右等分、三画面、四画面的画面合成功能，支持自动导播、手动导播，可通过录播主机触控屏实现模式选择。</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3.可设定导播优先级，支持定时切换设置，可自由选择切换时间和切换画面，支持根据学生、老师行为状态实现画面智能切换。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5.支持课件画面自动检测，可设置检测灵敏度；支持课件画面检测区域设定，可屏蔽电脑弹窗区域。</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6.支持导入与导出互动录播主机配置文件，进行升级和调试。</w:t>
            </w:r>
          </w:p>
        </w:tc>
        <w:tc>
          <w:tcPr>
            <w:tcW w:w="77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3</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主机互动系统</w:t>
            </w:r>
          </w:p>
        </w:tc>
        <w:tc>
          <w:tcPr>
            <w:tcW w:w="624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1)支持自动接听，设置自动接听后，听课端会自动接通来自主讲端的互动请求，可选择设置关闭，同时支持手动接听。</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2)支持标准 SIP 互动协议，支持与标准 SIP 终端实现音视频互动，支持 1080p@30fps 高清视频互动。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3)支持互动清晰度设置：支持 1080p@30fps，分辨率可选择 1080p、720p、VGA、QVGA，帧率可选择 30fps、25fps。互动画质可选择好、一般、流畅三个等级。</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4)支持双流自动发送，设置自动发送后，建立呼叫，主讲教室自动发送双流。</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5)支持微信扫码登录，无需单独输入账号，使用微信扫描录播主机上显示的二维码即可登录互动系统，登陆后显示用户头像和用户名。</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6)支持手动切换发给远端的画面。支持通过触控录播主机实现音量大小调整、静音。支持互动过程中一键全屏，全屏放大主画面，隐藏所有图标。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互动过程中可随时邀请新的听课端加入，支持拨号呼叫，可通过触控录播主机上的拨号键盘实现拨号呼叫；支持互动通讯录功能，通讯录可显示最近呼叫的账号信息，可通过通讯录实现一键呼叫。支持一键结束互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8)支持通过触控录播主机实现导播控制，过程中可选择自动导播/手动导播；支持通过 PC 客户端软件进行远程导播控制。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无需通过任何第三方软件即可进行网络监测，并在录播主机上显示教室网络状态；实现对网络联通性、网络稳定性、上行速度、下行速度、网络追踪性、网卡信息实时检测；在一段时间内，支持以折线图方式实时呈现网络稳定性、上行速度和下行速度。支持开始互动同步开始录制，用户可选择进入互动后是否自动开启录制。互动过程中可通过互动录播电脑主机一体化触控屏实现录制和直播控制，互动过程中可以控制开始录制、结束录制、开始直播、结束直播。</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4</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主机视频处理系统</w:t>
            </w:r>
          </w:p>
        </w:tc>
        <w:tc>
          <w:tcPr>
            <w:tcW w:w="624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1)支持合成1920*1080的PGM画面，包含导播画面、教师全景画面、教师特写画面、学生全景画面、学生特写画面。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2)主机支持多种类型视频信号接入，支持标准网络视频信号接入、高速数字信号接入。</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3)主机可通过rtsp协议接入第三方摄像机视频流。</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4)支持≥3种编码复杂度，支持Baseline Profile、Main profile、High profile</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5)支持≥2种码率控制方式，支持CBR（Constant Bit Rate）、VBR（Variable Bit Rate）。</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6)主机可通过网络实现对接入摄像机的设备信息检索。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7)POE视频接入单元支持802.3af标准协议，可实现POE摄像机接入。</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8）HDMI采集通道支持画面缩放，可完成4K图像采集。</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5</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教师摄像机</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1.镜头水平视场角≥40°。</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2.摄像机采用一体化集成设计，支持4K超高清，最大可提供4K图像编码输出，同时向下兼容1080p，720p分辨率。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3.内置图像识别跟踪算法，搭配隐藏式微型云台，保证清晰度的同时，也减小对课堂的干扰。</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4.镜头采用无畸变设计，保证拍摄画面无畸变，减少畸变校正造成的图像质量损失。</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5.全景画面与特写画面采用同系列图像传感器和图像处理器，确保两者图像输出亮度、颜色、风格等保持一致。</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6.摄像机接口支持RJ45≥1路，Type-C≥1路，Line in接口≥1路。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7.支持POE有线网络供电，只需要1路网线，即可实现供电及信号传输，支持同时输出特写和全景等多路画面。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8.传感器尺寸 CMOS ≥ 1/2.8英寸。</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9.全景图像传感器有效像素≥400万，特写图像传感器有效像素≥800万。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10.摄像机采用逐行扫描方式 。</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11.摄像机最低照度：0.5 Lux@（F2.0, AGC ON） 。</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12.摄像机电子快门：1/30s ~ 1/10000s。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13.支持自动白平衡。</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14.支持2D&amp;3D数字降噪，信噪比≥55dB。</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15.支持标准USB音视频信号输出，可以同时支持UVC和UAC协议，通过主机TypeC接口可以实现图像和声音同步输出，最大支持最大支持4K@30fps输出，兼容主流视频会议软件。</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台</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6</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教师摄像机图像处理系统</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1.摄像机内嵌智能跟踪算法，无需单独安装定位跟踪主机及其他任何辅助拍摄设备，即可实现跟踪定位控制功能。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2.系统应采用智能图像识别算法，高清摄像机同时输出2路场景画面并分析计算，实现1台摄像机的2景位拍摄，通过导播跟踪系统，实现所有画面的自动导播切换：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a)当教师在讲台区域站立授课时，自动切换为教师特写，当教师在讲台区域进行走动时，自动切换到教师全景；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b)当教师切换多媒体授课时，自动切换为多媒体特写画面。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3.支持设置摄像机分辨率、帧率、码率。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4.支持设置摄像机亮度、饱和度、对比度、锐度、色度、快门速度。</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5.图像支持左右镜像、上下翻转，默认不开启。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6.支持对摄像机网络进行管理，包括设置IP地址/网关/DNS等，支持组播协议搜索IP地址，并修改摄像机IP。</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7</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学生摄像机</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 镜头水平视场角≥80°。</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 摄像机采用一体化集成设计，支持4K超高清，最大可提供4K图像编码输出，同时向下兼容1080p，720p分辨率。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 内置图像识别跟踪算法，搭配隐藏式微型云台，保证清晰度的同时，也减小对课堂的干扰。</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 镜头采用无畸变设计，保证拍摄画面无畸变，减少畸变校正造成的图像质量损失。</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 全景画面与特写画面采用同系列图像传感器和图像处理器，确保两者图像输出亮度、颜色、风格等保持一致。</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 摄像机接口支持RJ45≥1路，Type-C≥1路，Line in接口≥1路。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 支持POE有线网络供电，只需要1路网线，即可实现供电及信号传输，支持同时输出特写和全景等多路画面。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 传感器尺寸 CMOS ≥ 1/2.8英寸。</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 全景图像传感器有效像素≥400万，特写图像传感器有效像素≥800万。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 摄像机采用逐行扫描方式 。</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11. 摄像机最低照度：0.5 Lux@（F2.0, AGC ON） 。</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12. 摄像机电子快门：1/30s ~ 1/10000s。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13. 支持自动白平衡。</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14. 支持2D&amp;3D数字降噪，信噪比≥55dB。</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15. 支持标准USB音视频信号输出，可以同时支持UVC和UAC协议，通过主机TypeC接口可以实现图像和声音同步输出，最大支持最大支持4K@30fps输出，兼容主流视频会议软件。</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台</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8</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学生摄像机图像处理系统</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1.摄像机内嵌智能跟踪算法，无需单独安装定位跟踪主机及其他任何辅助拍摄设备，即可实现跟踪定位控制功能。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2.系统应采用智能图像识别算法，高清摄像机同时输出2路场景画面并分析计算，实现1台摄像机的2景位拍摄，通过导播跟踪系统，实现所有画面的自动导播切换：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a)学生起立发言时，首先切换为学生全景，再过渡为发言学生的特写画面，当多名学生站立时，自动切换到学生全景；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b)学生跟踪具备人脸检测辅助识别功能。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3.支持设置摄像机分辨率、帧率、码率。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4.支持设置摄像机亮度、饱和度、对比度、锐度、色度、快门速度。</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5.图像支持左右镜像、上下翻转，默认不开启。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6.支持对摄像机网络进行管理，包括设置IP地址/网关/DNS等，支持组播协议搜索IP地址，并修改摄像机IP。</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9</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远程互动助手</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1.软件应支持微信扫码登录，无需输入帐号密码即可实现登录，用户可便捷、快速进入课堂。</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2.支持按天显示预约的活动信息，包括直播活动、互动课堂、网络教研的活动类型、活动名称、活动时间、活动状态。</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3.支持搭配录播主机，进入录制视频、直播活动、互动课堂、网络教研等活动；支持在课前设置录播机的录制画面、导播模式，在课中更改导播模式。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用户无需通过平台，直接创建公网直播，即时生成直播二维码，支持不少于200点同时观看高清直播功能。支持用户通过公网点开直播链接，观看已结束的直播活动视频，视频至少在云端保存七天，并支持下载MP4格式到本地。</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5.支持用户无需通过平台，直接创建网络教研，即时生成教研二维码，扫码可进行查看教研简介、发送点评等。</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6.互动课堂连接支持按键拨号形式，可直接拨号呼叫，账号为11位手机号码，充分考虑用户的日常使用习惯，无需额外学习即可快速掌握使用方法。</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7.可查看参与互动的教室的网络连接情况，了解彼此的设备网络环境。</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系统具备前向纠错、丢包重传等功能，支持冗余数据（FEC）和重传策略（ARQ）的动态平衡，既保障宽带的充分利用，又可避免抢带宽造成的链路自身拥塞。根据应用场景实现码率和帧率的智能调节，保障画质和流畅性的平衡效果。</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10.软件具有多系统兼容性。除适配Windows操作系统外，至少能与主流国产操作系统（鸿蒙、UOS、麒麟、深度）其中一个适配并正常安装运行。</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11.云课件：支持用户在线打开云课件列表，无需下载至本地，即可在线打开云课件进行展示及讲授。</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12.课堂活动：支持用户在云课件中进行远程同步课堂游戏，异地教室的学生可同时在大屏上进行知识竞赛，以左右分屏形式实现两个教室的学生同台竞争。支持至少6种类型、50个模板的课堂活动。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13.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15.乐器同步：授课过程中支持用户调起乐器工具，提供虚拟键盘，不少于36个 琴键，授课端弹奏的内容可同步到所有听课端；听课端也可弹奏并反向同步到所有授课端和听课端。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16.支持互动课堂中可对本地班级、听课</w:t>
            </w:r>
            <w:r>
              <w:rPr>
                <w:rFonts w:hint="eastAsia" w:ascii="宋体" w:hAnsi="宋体" w:cs="宋体"/>
                <w:color w:val="auto"/>
                <w:szCs w:val="21"/>
                <w:highlight w:val="none"/>
                <w:lang w:bidi="ar"/>
              </w:rPr>
              <w:t>班级中表现好的班级发送点评奖励，每堂课可统计各班点评总分，并在课上一键展示最高得分的班级进行表扬。</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17.提供不少于四个通用工具，八个学科工具，支持语文、数学、英语、美术、地理等学科使用，并支持授课端与听课端多方交互触控。</w:t>
            </w:r>
          </w:p>
          <w:p>
            <w:pPr>
              <w:pStyle w:val="2"/>
              <w:rPr>
                <w:color w:val="auto"/>
                <w:highlight w:val="none"/>
                <w:lang w:bidi="ar"/>
              </w:rPr>
            </w:pPr>
            <w:r>
              <w:rPr>
                <w:rFonts w:hint="eastAsia"/>
                <w:color w:val="auto"/>
                <w:highlight w:val="none"/>
                <w:lang w:bidi="ar"/>
              </w:rPr>
              <w:t>（验收时需提供检测报告复印件并加盖厂家公章）</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10</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阵列麦克风</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1.麦克风采用≥4核的国产音频芯片。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2.麦克风频率响应范围不低于50Hz~16KHz。</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3.麦克风拾音半径≥8m。</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4.麦克风信噪比≥68dB。</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5.麦克风声压级≥130dBSPL，10%THD@1 KHz。</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6.麦克风无需额外适配器供电，能够通过网线实现麦克风供电、音频信号传输、参数调整。</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7.麦克风具备≥1个状态指示灯，可显示麦克风工作状态。</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8.麦克风采用标准1/4吋螺口，适配各种类型标准吊杆。</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9.麦克风支持≥2个数字音频接口，每个接口都具备输入接口和输出接口能力，支持盲插。</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10.麦克风支持≥1个Type-C接口。</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11.麦克风内置≥8个硅麦传感器单元。</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12.麦克风支持在线OTA，可在线对麦克风进行升级，无需人员现场维护。</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13.麦克风支持降噪、回声抵消、混响抑制、自动增益控制、多麦融合多种音频算法。</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14.麦克风支持无损数字音频传输，避免模拟信号传输导致的电流干扰。</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11</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麦克风音频处理系统</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1.支持全频带全双工自适应回声消除算法。</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2.支持全频自适应AI降噪技术，降噪电平≥24dB。</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3.支持自动增益控制。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4.支持啸叫抑制。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5.支持智能混音，可智能选择最佳麦克风采集音频。</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6.支持多通道音频矩阵，可根据场景需求进行相应设置。</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7.支持音频参数调节。</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8.支持波束成形。</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9.支持远程OTA升级。</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10.支持连接录播主机作为录播音频输入设备使用，也可连接Windows系统，并为其提供音频输入。</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12</w:t>
            </w:r>
          </w:p>
        </w:tc>
        <w:tc>
          <w:tcPr>
            <w:tcW w:w="92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无线麦克风</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1.麦克风支持≥1个3.5mm音频接口，可输入头戴麦音频信号，输出幅值≥2V（RMS）。整机3.5mm音频接口≥2个。</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2.麦克风整机≥1个USB Type-C接口。</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3.麦克风支持≥1个Pogo pin接口，支持通过Pogo pin接口进行充电。整机Pogo pin接口≥2个。</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4.麦克风支持≥1个三合一按键，可控制麦克风的开关机、静音和配对。</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5.麦克风支持≥2个音量控制按钮，可通过音量“+”“—”按钮控制麦克风输出音量。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6.麦克风单体重量≤30g。</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7.麦克风标配充电仓，方便快速充电及收纳。</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8.麦克风充电仓支持电量指示，通过灯珠亮灭数量充电仓剩余电量及充电状态。</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9.麦克风支持≥4种佩戴方式。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10.麦克风领夹角度支持自由调节，调节角度≥±90°，以适配不同的使用者衣物；调节至0°位置时会有“卡扣感”,方便回归标准位置。</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11.整机标配两个无线麦克风，且两个麦克风支持同时工作。</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12.麦克风支持≥2种开机方式，可通过短按按键开机、打开充电仓并取出麦克风自动开机。</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13.麦克风支持≥3种关机方式，可通过长按按键关机、长时间无配对或配对后无使用自动关机、麦克风放回充电仓自动关机。</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14.麦克风支持≥2种配对方式，可通过麦克风从充电仓拿出自动开始配对、短按按键开始配对，配对完成时间≤5s。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15.麦克风支持≥2种断开连接方式，可通过麦克风放入充电仓自动断开连接、关机自动断开连接。</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16.麦克风支持一键开启静音模式。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17.麦克风支持通过音量调节按钮调节输出音量；音量调节过程中通过麦克风一体化屏幕动态提示当前音量等级。</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18.麦克风支持音量记忆功能，重启后麦克风恢复关机前的音量等级。</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19.麦克风支持息屏时任意按键亮屏；亮屏后10s无按键操作息屏。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20.支持任意两个麦克风放入同一个充电仓完成配对，配对后两个麦克风可同时连接一个接收端.</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13</w:t>
            </w:r>
          </w:p>
        </w:tc>
        <w:tc>
          <w:tcPr>
            <w:tcW w:w="92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无线麦克风音频处理系统</w:t>
            </w:r>
          </w:p>
        </w:tc>
        <w:tc>
          <w:tcPr>
            <w:tcW w:w="624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1.麦克风采用基于Bluetooth 5.2的LE Audio技术标准，保证高品质抗干扰、低功耗、低延时传输。</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2.麦克风音频编码方式采用LC3 plus。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3.支持啸叫抑制算法，当音箱安装在正常高度（2.5m）时，本地扩声教室后排9m距离音量为75dB时，通过算法可实现本地扩声无啸叫现象。</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4.支持全频自适应降噪技术。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5.支持全频自适应降噪技术。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6.支持智能混音，支持多通道输入混音。</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套</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14</w:t>
            </w:r>
          </w:p>
        </w:tc>
        <w:tc>
          <w:tcPr>
            <w:tcW w:w="92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有源音箱</w:t>
            </w:r>
          </w:p>
        </w:tc>
        <w:tc>
          <w:tcPr>
            <w:tcW w:w="624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1)采用功放与互动音箱一体化设计，帮助教师实现多媒体扩音以及本地扩声功能。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2)双音箱有线连接，机箱采用塑胶材质，保护设备免受环境影响。</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3)输出额定功率≥2*15W。</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4)配置独立音频数字信号处理芯片，支持啸叫抑制功能。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5)支持教师扩声和输入音源叠加输出。</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对</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15</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智慧黑板</w:t>
            </w:r>
          </w:p>
        </w:tc>
        <w:tc>
          <w:tcPr>
            <w:tcW w:w="624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一、整体设计：</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1．整机采用采用86英寸UHD超高清LED液晶屏，显示比例16:9，分辨率≥3840×2160。整体外观尺寸：宽≥4200mm，高≥1200mm，厚≤95mm。</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2．整机采用全金属外壳，三拼接平面一体化设计，屏幕边缘采用金属圆角包边防护，整机背板采用金属材质。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3．整机采用防眩光玻璃，屏幕支持防眩光功能。采用全物理钢化玻璃，有效保护屏幕显示画面。钢化玻璃表面硬度≥9H。</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整机具备前置Type-C接口，通过Type-C接口实现音视频输入，外接电脑设备经双头Type-C线连接至整机，可把外接电脑设备画面投到整机上，同时可在整机上操作画面，可实现触摸电脑的操作，无需再连接触控USB线。</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6．整机嵌入式系统版本不低于Android 11；</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7．采用电容触控技术，整机支持Windows系统中进行40点或以上触控，支持在Android系统中进行32点或以上触控。</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8．整机系统支持书写触控延迟≤25ms。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9．整机内置2.2声道扬声器。</w:t>
            </w:r>
            <w:r>
              <w:rPr>
                <w:rFonts w:ascii="宋体" w:hAnsi="宋体" w:cs="宋体"/>
                <w:color w:val="auto"/>
                <w:szCs w:val="21"/>
                <w:highlight w:val="none"/>
                <w:lang w:bidi="ar"/>
              </w:rPr>
              <w:t xml:space="preserve"> </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10．采用内置摄像头、麦克风、扬声器。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ascii="宋体" w:hAnsi="宋体" w:cs="宋体"/>
                <w:color w:val="auto"/>
                <w:szCs w:val="21"/>
                <w:highlight w:val="none"/>
                <w:lang w:bidi="ar"/>
              </w:rPr>
              <w:t>1</w:t>
            </w:r>
            <w:r>
              <w:rPr>
                <w:rFonts w:hint="eastAsia" w:ascii="宋体" w:hAnsi="宋体" w:cs="宋体"/>
                <w:color w:val="auto"/>
                <w:szCs w:val="21"/>
                <w:highlight w:val="none"/>
                <w:lang w:bidi="ar"/>
              </w:rPr>
              <w:t>．支持纸质护眼模式，在任意通道任意画面任意软件所在显示内容下可实时调整画面纹理。画面纹理的类型有牛皮纸、素描纸、宣纸、水彩纸、水纹纸。同时支持色温调节和透明度调节。</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ascii="宋体" w:hAnsi="宋体" w:cs="宋体"/>
                <w:color w:val="auto"/>
                <w:szCs w:val="21"/>
                <w:highlight w:val="none"/>
                <w:lang w:bidi="ar"/>
              </w:rPr>
              <w:t>2</w:t>
            </w:r>
            <w:r>
              <w:rPr>
                <w:rFonts w:hint="eastAsia" w:ascii="宋体" w:hAnsi="宋体" w:cs="宋体"/>
                <w:color w:val="auto"/>
                <w:szCs w:val="21"/>
                <w:highlight w:val="none"/>
                <w:lang w:bidi="ar"/>
              </w:rPr>
              <w:t>．纸质护眼模式下，显示画面各像素点灰度不规则，减少背景干扰。</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13</w:t>
            </w:r>
            <w:r>
              <w:rPr>
                <w:rFonts w:hint="eastAsia" w:ascii="宋体" w:hAnsi="宋体" w:cs="宋体"/>
                <w:color w:val="auto"/>
                <w:szCs w:val="21"/>
                <w:highlight w:val="none"/>
                <w:lang w:bidi="ar"/>
              </w:rPr>
              <w:t>．支持经典护眼模式，可通过前置面板物理功能按键一键启用经典护眼模式。</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14</w:t>
            </w:r>
            <w:r>
              <w:rPr>
                <w:rFonts w:hint="eastAsia" w:ascii="宋体" w:hAnsi="宋体" w:cs="宋体"/>
                <w:color w:val="auto"/>
                <w:szCs w:val="21"/>
                <w:highlight w:val="none"/>
                <w:lang w:bidi="ar"/>
              </w:rPr>
              <w:t>．整机支持蓝牙Bluetooth 5.2标准。</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15</w:t>
            </w:r>
            <w:r>
              <w:rPr>
                <w:rFonts w:hint="eastAsia" w:ascii="宋体" w:hAnsi="宋体" w:cs="宋体"/>
                <w:color w:val="auto"/>
                <w:szCs w:val="21"/>
                <w:highlight w:val="none"/>
                <w:lang w:bidi="ar"/>
              </w:rPr>
              <w:t>．Wi-Fi及AP热点支持频段2.4GHz/5GHz 。支持版本Wi-Fi6。</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16</w:t>
            </w:r>
            <w:r>
              <w:rPr>
                <w:rFonts w:hint="eastAsia" w:ascii="宋体" w:hAnsi="宋体" w:cs="宋体"/>
                <w:color w:val="auto"/>
                <w:szCs w:val="21"/>
                <w:highlight w:val="none"/>
                <w:lang w:bidi="ar"/>
              </w:rPr>
              <w:t>．高清摄像头，可用于远程巡课，可AI识别人像。支持同时显示标记不少于60人。</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二、电脑模块：</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1．采用按压式卡扣设计，无需工具就可快速拆卸电脑模块。</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2．和整机的连接采用万兆级接口，传输速率≥10Gbps。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3．配置：CPU≥Intel ：I5第11代性能配置，内存≥ 8GB DDR4，硬盘≥256GB SSD固态硬盘。</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三、常态化互动教学软件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2．统计考勤：支持无感考勤签到功能，学生连接成功进入课堂后，名字可自动显示在签到列表上，签到列表可实时统计已签到人数，并支持查看未到的人员。</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3．无线传屏：教师端工具栏支持无线传屏，点击开启无线传屏则打开传屏码，老师自带笔记本在互动教学软件输入传屏码即可进行无线传屏。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4．批注分发：教师端批注功能支持在课中任意时刻对教师端内容进行批注，并且支持批注内容一键保存，自动上传到教师空间，同时支持将批注内容一键发送到全员学生端，便于学生同步查看。</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5．授课小工具：教师播放课件时，提供授课小工具，包括画笔、橡皮擦、板中板、放大镜和批注分享功能等。</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领导视窗：支持同时查看至少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台</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16</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视频展台</w:t>
            </w:r>
          </w:p>
        </w:tc>
        <w:tc>
          <w:tcPr>
            <w:tcW w:w="624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1.采用≥800万像素摄像头；采用 USB五伏电源直接供电，无需额外配置电源适配器，环保无辐射；箱内USB连线采用隐藏式设计，箱内无可见连线且USB口下出，有效防止积尘，且方便布线和返修。</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2.A4大小拍摄幅面，1080P动态视频预览达到≥30帧/秒；托板及挂墙部分采用金属加强，托板可承重3kg，整机壁挂式安装。</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3.支持展台成像画面实时批注，预设多种笔划粗细及颜色供选择，且支持对展台成像画面联同批注内容进行同步缩放、移动。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4.整机采用圆弧式设计，无锐角；同时托板采用磁吸吸附式机构，防止托板打落，方便打开及固定，避免机械式锁具故障率高的问题。</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5.展示托板正上方具备LED补光灯，保证展示区域的亮度及展示效果，补光灯开关采用触摸按键设计，同时可通过交互智能平板中的软件直接控制开关；</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带自动对焦摄像头；外壳在摄像头部分带保护镜片密封，防止灰尘沾染摄像头，防护等级达到IP4X级别。7.具有故障自动检测功能：在调用展台却无法出现镜头采集画面信号时，可自动出现检测链接，并给出导致性原因（如硬件连接、摄像头占用、配套软件版本等问题）。</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台</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17</w:t>
            </w:r>
          </w:p>
        </w:tc>
        <w:tc>
          <w:tcPr>
            <w:tcW w:w="92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智能讲台</w:t>
            </w:r>
          </w:p>
        </w:tc>
        <w:tc>
          <w:tcPr>
            <w:tcW w:w="624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1．智能讲台结构：木结构部分均采用E0级木质板材结构，甲醛释放量≤0.05mg/m³，桌面防静电。</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2．智能讲台尺寸及外观：（长×宽×高）≥ 1100mm× 550mm× 900mm，讲台三面环抱式设计，根据人体力学设计，讲台桌面高度合适老师放置教学用品，讲台产品外观桌面平整，悬浮式设计，边缘光滑，无棱角处理，保护师生安全。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3．智能讲台包含至少21.5英寸电容触摸屏幕，支持10点同时触摸。</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5．智能讲台触控屏幕稳定固定在讲台中，无突出边角，屏幕无法在没有工具的情况下拆除。</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6．智能讲台支持通过触控屏幕对一体机的画面进行控制，同时支持同步显示一体机画面，老师讲课无需转身背对学生，提高授课效率。</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7．智能讲台设置物理实体快捷按键，两侧按键共≥5个。</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8．智能讲台具备独立的快捷按键，用户可通过快捷按键对一体机进行进行一键熄屏、音量加控制、音量减控制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9．智能讲台支持对自身智能讲台触控屏幕的一键息屏、一键开/关机的快捷控制。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10．智能讲台至少具备1个可自定义功能按键，可通过软件设置选择按键功能，包括一键启动白板、一键启动视频展台，一键关闭当前应用程序选项功能。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13．智能讲台台面有效置物面积≥6张A4纸平铺等效面积，设置有收纳抽屉和隔板 ,提供更充裕的常用教具、资料收纳空间。</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14．智能讲台支持蓝牙BLE功能，可以无线控制支持蓝牙功能的一体机产品开机，减少额外连线或二次装修部署。</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台</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8"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18</w:t>
            </w:r>
          </w:p>
        </w:tc>
        <w:tc>
          <w:tcPr>
            <w:tcW w:w="920" w:type="dxa"/>
            <w:vAlign w:val="center"/>
          </w:tcPr>
          <w:p>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技术服务</w:t>
            </w:r>
          </w:p>
        </w:tc>
        <w:tc>
          <w:tcPr>
            <w:tcW w:w="6240" w:type="dxa"/>
            <w:vAlign w:val="center"/>
          </w:tcPr>
          <w:p>
            <w:pPr>
              <w:adjustRightInd w:val="0"/>
              <w:snapToGrid w:val="0"/>
              <w:jc w:val="left"/>
              <w:textAlignment w:val="center"/>
              <w:rPr>
                <w:color w:val="auto"/>
                <w:highlight w:val="none"/>
              </w:rPr>
            </w:pPr>
            <w:r>
              <w:rPr>
                <w:rFonts w:hint="eastAsia" w:ascii="宋体" w:hAnsi="宋体" w:cs="宋体"/>
                <w:color w:val="auto"/>
                <w:szCs w:val="21"/>
                <w:highlight w:val="none"/>
                <w:lang w:bidi="ar"/>
              </w:rPr>
              <w:t>房间规格：约7.4m*7.1m*3.7m；房间内部利用吸音材料进行吸音处理，保证整体音质水平，以及其他灯光、线材等内容，</w:t>
            </w:r>
            <w:r>
              <w:rPr>
                <w:rFonts w:hint="eastAsia"/>
                <w:color w:val="auto"/>
                <w:highlight w:val="none"/>
              </w:rPr>
              <w:t>具体实施内容根据录播教室要求和现场环境进行布局，设计及施工按照校方要求进行。</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批</w:t>
            </w:r>
          </w:p>
        </w:tc>
        <w:tc>
          <w:tcPr>
            <w:tcW w:w="818"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1</w:t>
            </w:r>
          </w:p>
        </w:tc>
      </w:tr>
    </w:tbl>
    <w:p>
      <w:pPr>
        <w:pStyle w:val="3"/>
        <w:spacing w:before="0" w:after="0" w:line="360" w:lineRule="auto"/>
        <w:rPr>
          <w:rFonts w:ascii="宋体" w:hAnsi="宋体" w:cs="宋体"/>
          <w:color w:val="auto"/>
          <w:sz w:val="24"/>
          <w:szCs w:val="24"/>
          <w:highlight w:val="none"/>
        </w:rPr>
      </w:pPr>
      <w:bookmarkStart w:id="35" w:name="_Toc25123"/>
      <w:r>
        <w:rPr>
          <w:rFonts w:hint="eastAsia" w:ascii="宋体" w:hAnsi="宋体" w:cs="宋体"/>
          <w:color w:val="auto"/>
          <w:sz w:val="24"/>
          <w:szCs w:val="24"/>
          <w:highlight w:val="none"/>
        </w:rPr>
        <w:t>（五）信息化相关设备</w:t>
      </w:r>
      <w:bookmarkEnd w:id="35"/>
    </w:p>
    <w:tbl>
      <w:tblPr>
        <w:tblStyle w:val="29"/>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950"/>
        <w:gridCol w:w="6210"/>
        <w:gridCol w:w="770"/>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574"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95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621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规格</w:t>
            </w:r>
          </w:p>
        </w:tc>
        <w:tc>
          <w:tcPr>
            <w:tcW w:w="770"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834" w:type="dxa"/>
            <w:vAlign w:val="center"/>
          </w:tcPr>
          <w:p>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4"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w:t>
            </w:r>
          </w:p>
        </w:tc>
        <w:tc>
          <w:tcPr>
            <w:tcW w:w="95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电脑</w:t>
            </w:r>
          </w:p>
        </w:tc>
        <w:tc>
          <w:tcPr>
            <w:tcW w:w="6210" w:type="dxa"/>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规格：屏幕≥23英寸</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配置：i5-13400/16G/512G固态+1T机械/WIFI</w:t>
            </w:r>
          </w:p>
        </w:tc>
        <w:tc>
          <w:tcPr>
            <w:tcW w:w="770" w:type="dxa"/>
            <w:vAlign w:val="center"/>
          </w:tcPr>
          <w:p>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台</w:t>
            </w:r>
          </w:p>
        </w:tc>
        <w:tc>
          <w:tcPr>
            <w:tcW w:w="834" w:type="dxa"/>
            <w:vAlign w:val="center"/>
          </w:tcPr>
          <w:p>
            <w:pPr>
              <w:jc w:val="center"/>
              <w:textAlignment w:val="center"/>
              <w:rPr>
                <w:rFonts w:ascii="宋体" w:hAnsi="宋体" w:cs="宋体"/>
                <w:color w:val="auto"/>
                <w:szCs w:val="21"/>
                <w:highlight w:val="none"/>
                <w:lang w:bidi="ar"/>
              </w:rPr>
            </w:pPr>
            <w:r>
              <w:rPr>
                <w:rFonts w:hint="eastAsia" w:ascii="宋体" w:hAnsi="宋体" w:cs="宋体"/>
                <w:snapToGrid w:val="0"/>
                <w:color w:val="auto"/>
                <w:kern w:val="0"/>
                <w:szCs w:val="21"/>
                <w:highlight w:val="none"/>
                <w:lang w:bidi="ar"/>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74" w:type="dxa"/>
            <w:vAlign w:val="center"/>
          </w:tcPr>
          <w:p>
            <w:pPr>
              <w:jc w:val="center"/>
              <w:textAlignment w:val="center"/>
              <w:rPr>
                <w:rFonts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2</w:t>
            </w:r>
          </w:p>
        </w:tc>
        <w:tc>
          <w:tcPr>
            <w:tcW w:w="95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智慧黑板</w:t>
            </w:r>
          </w:p>
        </w:tc>
        <w:tc>
          <w:tcPr>
            <w:tcW w:w="6210" w:type="dxa"/>
            <w:vAlign w:val="center"/>
          </w:tcPr>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一、整体设计：</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1．整机采用采用86英寸UHD超高清LED液晶屏，显示比例16:9，分辨率≥3840×2160。整体外观尺寸：宽≥4200mm，高≥1200mm，厚≤95mm。</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2．整机采用全金属外壳，三拼接平面一体化设计，屏幕边缘采用金属圆角包边防护，整机背板采用金属材质。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3．整机采用防眩光玻璃，屏幕支持防眩光功能。采用全物理钢化玻璃，有效保护屏幕显示画面。钢化玻璃表面硬度≥9H。</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整机具备前置Type-C接口，通过Type-C接口实现音视频输入，外接电脑设备经双头Type-C线连接至整机，可把外接电脑设备画面投到整机上，同时可在整机上操作画面，可实现触摸电脑的操作，无需再连接触控USB线。</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6．整机嵌入式系统版本不低于Android 11；</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7．采用电容触控技术，整机支持Windows系统中进行40点或以上触控，支持在Android系统中进行32点或以上触控。</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8．整机系统支持书写触控延迟≤25ms。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9．整机内置2.2声道扬声器。</w:t>
            </w:r>
            <w:r>
              <w:rPr>
                <w:rFonts w:ascii="宋体" w:hAnsi="宋体" w:cs="宋体"/>
                <w:color w:val="auto"/>
                <w:szCs w:val="21"/>
                <w:highlight w:val="none"/>
                <w:lang w:bidi="ar"/>
              </w:rPr>
              <w:t xml:space="preserve"> </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10．采用内置摄像头、麦克风、扬声器。</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ascii="宋体" w:hAnsi="宋体" w:cs="宋体"/>
                <w:color w:val="auto"/>
                <w:szCs w:val="21"/>
                <w:highlight w:val="none"/>
                <w:lang w:bidi="ar"/>
              </w:rPr>
              <w:t>1</w:t>
            </w:r>
            <w:r>
              <w:rPr>
                <w:rFonts w:hint="eastAsia" w:ascii="宋体" w:hAnsi="宋体" w:cs="宋体"/>
                <w:color w:val="auto"/>
                <w:szCs w:val="21"/>
                <w:highlight w:val="none"/>
                <w:lang w:bidi="ar"/>
              </w:rPr>
              <w:t>．支持纸质护眼模式，在任意通道任意画面任意软件所在显示内容下可实时调整画面纹理。画面纹理的类型有牛皮纸、素描纸、宣纸、水彩纸、水纹纸。同时支持色温调节和透明度调节。</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ascii="宋体" w:hAnsi="宋体" w:cs="宋体"/>
                <w:color w:val="auto"/>
                <w:szCs w:val="21"/>
                <w:highlight w:val="none"/>
                <w:lang w:bidi="ar"/>
              </w:rPr>
              <w:t>2</w:t>
            </w:r>
            <w:r>
              <w:rPr>
                <w:rFonts w:hint="eastAsia" w:ascii="宋体" w:hAnsi="宋体" w:cs="宋体"/>
                <w:color w:val="auto"/>
                <w:szCs w:val="21"/>
                <w:highlight w:val="none"/>
                <w:lang w:bidi="ar"/>
              </w:rPr>
              <w:t>．纸质护眼模式下，显示画面各像素点灰度不规则，减少背景干扰。</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13</w:t>
            </w:r>
            <w:r>
              <w:rPr>
                <w:rFonts w:hint="eastAsia" w:ascii="宋体" w:hAnsi="宋体" w:cs="宋体"/>
                <w:color w:val="auto"/>
                <w:szCs w:val="21"/>
                <w:highlight w:val="none"/>
                <w:lang w:bidi="ar"/>
              </w:rPr>
              <w:t>．支持经典护眼模式，可通过前置面板物理功能按键一键启用经典护眼模式。</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14</w:t>
            </w:r>
            <w:r>
              <w:rPr>
                <w:rFonts w:hint="eastAsia" w:ascii="宋体" w:hAnsi="宋体" w:cs="宋体"/>
                <w:color w:val="auto"/>
                <w:szCs w:val="21"/>
                <w:highlight w:val="none"/>
                <w:lang w:bidi="ar"/>
              </w:rPr>
              <w:t>．整机支持蓝牙Bluetooth 5.2标准。</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15</w:t>
            </w:r>
            <w:r>
              <w:rPr>
                <w:rFonts w:hint="eastAsia" w:ascii="宋体" w:hAnsi="宋体" w:cs="宋体"/>
                <w:color w:val="auto"/>
                <w:szCs w:val="21"/>
                <w:highlight w:val="none"/>
                <w:lang w:bidi="ar"/>
              </w:rPr>
              <w:t>．Wi-Fi及AP热点支持频段2.4GHz/5GHz 。支持版本Wi-Fi6。</w:t>
            </w:r>
          </w:p>
          <w:p>
            <w:pPr>
              <w:adjustRightInd w:val="0"/>
              <w:snapToGrid w:val="0"/>
              <w:jc w:val="left"/>
              <w:textAlignment w:val="center"/>
              <w:rPr>
                <w:rFonts w:ascii="宋体" w:hAnsi="宋体" w:cs="宋体"/>
                <w:color w:val="auto"/>
                <w:szCs w:val="21"/>
                <w:highlight w:val="none"/>
                <w:lang w:bidi="ar"/>
              </w:rPr>
            </w:pPr>
            <w:r>
              <w:rPr>
                <w:rFonts w:ascii="宋体" w:hAnsi="宋体" w:cs="宋体"/>
                <w:color w:val="auto"/>
                <w:szCs w:val="21"/>
                <w:highlight w:val="none"/>
                <w:lang w:bidi="ar"/>
              </w:rPr>
              <w:t>16</w:t>
            </w:r>
            <w:r>
              <w:rPr>
                <w:rFonts w:hint="eastAsia" w:ascii="宋体" w:hAnsi="宋体" w:cs="宋体"/>
                <w:color w:val="auto"/>
                <w:szCs w:val="21"/>
                <w:highlight w:val="none"/>
                <w:lang w:bidi="ar"/>
              </w:rPr>
              <w:t>．高清摄像头，可用于远程巡课，可AI识别人像。支持同时显示标记不少于60人。</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二、电脑模块：</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1．采用按压式卡扣设计，无需工具就可快速拆卸电脑模块。</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2．和整机的连接采用万兆级接口，传输速率≥10Gbps。</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3．配置：CPU≥Intel ：I5第11代性能配置，内存≥ 8GB DDR4，硬盘≥256GB SSD固态硬盘。</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三、常态化互动教学软件</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2．统计考勤：支持无感考勤签到功能，学生连接成功进入课堂后，名字可自动显示在签到列表上，签到列表可实时统计已签到人数，并支持查看未到的人员。</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3．无线传屏：教师端工具栏支持无线传屏，点击开启无线传屏则打开传屏码，老师自带笔记本在互动教学软件输入传屏码即可进行无线传屏。</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4．批注分发：教师端批注功能支持在课中任意时刻对教师端内容进行批注，并且支持批注内容一键保存，自动上传到教师空间，同时支持将批注内容一键发送到全员学生端，便于学生同步查看。</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5．授课小工具：教师播放课件时，提供授课小工具，包括画笔、橡皮擦、板中板、放大镜和批注分享功能等。</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6．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7．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pPr>
              <w:adjustRightInd w:val="0"/>
              <w:snapToGrid w:val="0"/>
              <w:ind w:firstLine="210" w:firstLineChars="10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领导视窗：支持同时查看至少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w:t>
            </w:r>
            <w:r>
              <w:rPr>
                <w:rFonts w:hint="eastAsia" w:ascii="宋体" w:hAnsi="宋体" w:cs="宋体"/>
                <w:color w:val="auto"/>
                <w:szCs w:val="21"/>
                <w:highlight w:val="none"/>
                <w:lang w:bidi="ar"/>
              </w:rPr>
              <w:t>行为时，可远程发消息、发语音直接干预，也可记录备注，事后教育。支持记录所有管理员的巡视记录，方便回溯。</w:t>
            </w:r>
          </w:p>
          <w:p>
            <w:pPr>
              <w:adjustRightInd w:val="0"/>
              <w:snapToGrid w:val="0"/>
              <w:jc w:val="lef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（验收时提供检测报告复印件并加盖厂家公章）</w:t>
            </w:r>
          </w:p>
        </w:tc>
        <w:tc>
          <w:tcPr>
            <w:tcW w:w="770"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套</w:t>
            </w:r>
          </w:p>
        </w:tc>
        <w:tc>
          <w:tcPr>
            <w:tcW w:w="834" w:type="dxa"/>
            <w:vAlign w:val="center"/>
          </w:tcPr>
          <w:p>
            <w:pPr>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lang w:bidi="ar"/>
              </w:rPr>
              <w:t>1</w:t>
            </w:r>
          </w:p>
        </w:tc>
      </w:tr>
    </w:tbl>
    <w:p>
      <w:pPr>
        <w:rPr>
          <w:color w:val="auto"/>
          <w:highlight w:val="none"/>
        </w:rPr>
      </w:pPr>
    </w:p>
    <w:p>
      <w:pPr>
        <w:widowControl/>
        <w:spacing w:line="56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注：本招标项目必须要实质性满足技术要求和商务要</w:t>
      </w:r>
      <w:r>
        <w:rPr>
          <w:rFonts w:hint="eastAsia" w:asciiTheme="minorEastAsia" w:hAnsiTheme="minorEastAsia" w:eastAsiaTheme="minorEastAsia" w:cstheme="minorEastAsia"/>
          <w:b/>
          <w:bCs/>
          <w:color w:val="auto"/>
          <w:sz w:val="24"/>
          <w:highlight w:val="none"/>
        </w:rPr>
        <w:t>求：</w:t>
      </w:r>
    </w:p>
    <w:p>
      <w:pPr>
        <w:widowControl/>
        <w:spacing w:line="56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1、供应商提供的货物必须是原装全新、高于或等于竞争性谈判文件规定技术参数的产品。</w:t>
      </w:r>
    </w:p>
    <w:p>
      <w:pPr>
        <w:widowControl/>
        <w:spacing w:line="56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2、属于节能产品政府采购品目清单规定必须强制采购的；必须采购当期节能产品政府采购品目清单内设备或产品；在价格、技术、服务等指标同等条件下，优先采购节能、环保产品（需提供供应商所</w:t>
      </w:r>
      <w:r>
        <w:rPr>
          <w:rFonts w:hint="eastAsia" w:asciiTheme="minorEastAsia" w:hAnsiTheme="minorEastAsia" w:eastAsiaTheme="minorEastAsia" w:cstheme="minorEastAsia"/>
          <w:b/>
          <w:bCs/>
          <w:color w:val="auto"/>
          <w:sz w:val="24"/>
          <w:highlight w:val="none"/>
        </w:rPr>
        <w:t>投产品属于政府采购品目清单规定的节能环保产品的证明材料）。</w:t>
      </w:r>
    </w:p>
    <w:p>
      <w:pPr>
        <w:spacing w:line="560" w:lineRule="exact"/>
        <w:ind w:firstLine="482"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3.本项目核心产品： 评估量表平台、多感官互动情景训练系统 、智慧黑板。</w:t>
      </w:r>
    </w:p>
    <w:p>
      <w:pPr>
        <w:pStyle w:val="3"/>
        <w:spacing w:before="0" w:after="0" w:line="360" w:lineRule="auto"/>
        <w:ind w:firstLine="482" w:firstLineChars="200"/>
        <w:rPr>
          <w:color w:val="auto"/>
          <w:kern w:val="0"/>
          <w:sz w:val="28"/>
          <w:szCs w:val="28"/>
          <w:highlight w:val="none"/>
        </w:rPr>
      </w:pPr>
      <w:r>
        <w:rPr>
          <w:rFonts w:hint="eastAsia" w:asciiTheme="minorEastAsia" w:hAnsiTheme="minorEastAsia" w:eastAsiaTheme="minorEastAsia" w:cstheme="minorEastAsia"/>
          <w:color w:val="auto"/>
          <w:sz w:val="24"/>
          <w:highlight w:val="none"/>
        </w:rPr>
        <w:t>4.本标的所属行业：工业。</w:t>
      </w:r>
      <w:r>
        <w:rPr>
          <w:rFonts w:hint="eastAsia"/>
          <w:color w:val="auto"/>
          <w:kern w:val="0"/>
          <w:highlight w:val="none"/>
        </w:rPr>
        <w:br w:type="page"/>
      </w:r>
      <w:bookmarkStart w:id="36" w:name="_Toc27476"/>
      <w:r>
        <w:rPr>
          <w:rFonts w:hint="eastAsia"/>
          <w:color w:val="auto"/>
          <w:kern w:val="0"/>
          <w:highlight w:val="none"/>
        </w:rPr>
        <w:t xml:space="preserve">           </w:t>
      </w:r>
      <w:r>
        <w:rPr>
          <w:rFonts w:hint="eastAsia"/>
          <w:color w:val="auto"/>
          <w:kern w:val="0"/>
          <w:sz w:val="28"/>
          <w:szCs w:val="28"/>
          <w:highlight w:val="none"/>
        </w:rPr>
        <w:t>第六部分 合同格式及主要条款</w:t>
      </w:r>
      <w:bookmarkEnd w:id="36"/>
    </w:p>
    <w:p>
      <w:pPr>
        <w:rPr>
          <w:color w:val="auto"/>
          <w:highlight w:val="none"/>
        </w:rPr>
      </w:pP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甲方：（采购单位）</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乙方：（供应商 ）</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甲、乙双方持采购人、采购代理公司签发的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采购项目成交通知书，根据采购文件、响应性文件的内容，并经双方协商一致，达成以下合同条款：</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一、本合同所指货物为此次采购的货物（注明品名、规格、数量、单价等技术要求），合同总价款为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二、货物质量要求及乙方对质量负责条件和期限：</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乙方提供的货物是达到乙方响应文件及澄清中的技术标准。（售后服务要求按采购文件及响应性文件相应条款制订）</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三、交货时间、地点、方式、验收：</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乙方应于 2024 年  </w:t>
      </w:r>
      <w:r>
        <w:rPr>
          <w:rFonts w:hint="eastAsia" w:ascii="宋体" w:hAnsi="宋体" w:cs="宋体"/>
          <w:color w:val="auto"/>
          <w:sz w:val="24"/>
          <w:highlight w:val="none"/>
        </w:rPr>
        <w:t xml:space="preserve">月  日前按甲方要求在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（甲方指定地点）将货物运送达到验收条件。货物运送产生的费用由乙方负责。由甲方组织相关人员进行验收。</w:t>
      </w:r>
    </w:p>
    <w:p>
      <w:pPr>
        <w:pStyle w:val="89"/>
        <w:numPr>
          <w:ilvl w:val="0"/>
          <w:numId w:val="2"/>
        </w:numPr>
        <w:ind w:firstLineChars="0"/>
        <w:rPr>
          <w:rFonts w:ascii="宋体" w:hAnsi="宋体" w:cs="宋体"/>
          <w:color w:val="auto"/>
          <w:sz w:val="24"/>
          <w:highlight w:val="none"/>
        </w:rPr>
      </w:pPr>
      <w:r>
        <w:rPr>
          <w:rFonts w:hint="eastAsia" w:ascii="宋体" w:hAnsi="宋体" w:cs="宋体"/>
          <w:color w:val="auto"/>
          <w:sz w:val="24"/>
          <w:highlight w:val="none"/>
        </w:rPr>
        <w:t>付款方式：签订合同、供货完毕设备安装完成、验收合格后，按合同总额的97％支付，剩余3%在验收完成日1年后进行支付。</w:t>
      </w:r>
    </w:p>
    <w:p>
      <w:pPr>
        <w:pStyle w:val="89"/>
        <w:numPr>
          <w:ilvl w:val="0"/>
          <w:numId w:val="2"/>
        </w:numPr>
        <w:ind w:firstLineChars="0"/>
        <w:rPr>
          <w:rFonts w:ascii="宋体" w:hAnsi="宋体" w:cs="宋体"/>
          <w:color w:val="auto"/>
          <w:sz w:val="24"/>
          <w:highlight w:val="none"/>
        </w:rPr>
      </w:pPr>
      <w:r>
        <w:rPr>
          <w:rFonts w:hint="eastAsia" w:ascii="宋体" w:hAnsi="宋体" w:cs="宋体"/>
          <w:color w:val="auto"/>
          <w:sz w:val="24"/>
          <w:highlight w:val="none"/>
        </w:rPr>
        <w:t>违约责任：甲方无正当理由拒收货物、拒付货款的，向乙方偿付拒收拒付部分货物款总额的________违约金。</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乙方所交货物的规格型号、技术要求、质</w:t>
      </w:r>
      <w:r>
        <w:rPr>
          <w:rFonts w:hint="eastAsia" w:ascii="宋体" w:hAnsi="宋体" w:cs="宋体"/>
          <w:color w:val="auto"/>
          <w:sz w:val="24"/>
          <w:highlight w:val="none"/>
        </w:rPr>
        <w:t>量品质等不符合合同规定，甲方有权拒收货物，乙方应负责更换并承担因更换而支付的全部实际费用。因更换而造成逾期交货，则按逾期交货处理。</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乙方不能交付货物的，乙方向甲方支付未交付部分货物款总额____违约金。</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若因中标人（成交人）原因不能按期按质供货的，将扣除中标人（成交人）2万元的违约金，同时每超过一天另扣除合同金额的千分之一。</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六、因货物的质量问题发生争议，由甲方所在地市级技术监督单位进行质量鉴定。</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七、甲乙双方应严格遵守投标要求和供应商须知，如有违反，按投标要求和供应商须知规定予以处理。</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八、采购文件及其修改补充、投标文件及其修改补充澄清均为本合同的组成部分。</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十、合同生效及其它：</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甲方：</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地址：</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法定代表人：                   法定代表人：</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委托代理人：                   委托代理人：</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rPr>
        <w:tab/>
      </w:r>
      <w:r>
        <w:rPr>
          <w:rFonts w:hint="eastAsia" w:ascii="宋体" w:hAnsi="宋体" w:cs="宋体"/>
          <w:color w:val="auto"/>
          <w:sz w:val="24"/>
          <w:highlight w:val="none"/>
        </w:rPr>
        <w:t xml:space="preserve">                         电话：</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rPr>
        <w:tab/>
      </w:r>
      <w:r>
        <w:rPr>
          <w:rFonts w:hint="eastAsia" w:ascii="宋体" w:hAnsi="宋体" w:cs="宋体"/>
          <w:color w:val="auto"/>
          <w:sz w:val="24"/>
          <w:highlight w:val="none"/>
        </w:rPr>
        <w:t xml:space="preserve">                  开户银行：</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银行账号：</w:t>
      </w:r>
      <w:r>
        <w:rPr>
          <w:rFonts w:hint="eastAsia" w:ascii="宋体" w:hAnsi="宋体" w:cs="宋体"/>
          <w:color w:val="auto"/>
          <w:sz w:val="24"/>
          <w:highlight w:val="none"/>
        </w:rPr>
        <w:tab/>
      </w:r>
      <w:r>
        <w:rPr>
          <w:rFonts w:hint="eastAsia" w:ascii="宋体" w:hAnsi="宋体" w:cs="宋体"/>
          <w:color w:val="auto"/>
          <w:sz w:val="24"/>
          <w:highlight w:val="none"/>
        </w:rPr>
        <w:t xml:space="preserve">                  银行账号：</w:t>
      </w:r>
    </w:p>
    <w:p>
      <w:pPr>
        <w:adjustRightIn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签约时间：                     签约地点：</w:t>
      </w:r>
    </w:p>
    <w:p>
      <w:pPr>
        <w:adjustRightInd w:val="0"/>
        <w:spacing w:line="360" w:lineRule="auto"/>
        <w:ind w:firstLine="480" w:firstLineChars="200"/>
        <w:textAlignment w:val="baseline"/>
        <w:rPr>
          <w:rFonts w:ascii="宋体" w:hAnsi="宋体" w:cs="宋体"/>
          <w:color w:val="auto"/>
          <w:sz w:val="24"/>
          <w:highlight w:val="none"/>
        </w:rPr>
      </w:pPr>
      <w:r>
        <w:rPr>
          <w:rFonts w:hint="eastAsia" w:ascii="黑体" w:hAnsi="黑体" w:eastAsia="黑体" w:cs="黑体"/>
          <w:color w:val="auto"/>
          <w:sz w:val="24"/>
          <w:highlight w:val="none"/>
        </w:rPr>
        <w:t>重要提示：</w:t>
      </w:r>
      <w:r>
        <w:rPr>
          <w:rFonts w:hint="eastAsia" w:ascii="宋体" w:hAnsi="宋体" w:cs="宋体"/>
          <w:color w:val="auto"/>
          <w:sz w:val="24"/>
          <w:highlight w:val="none"/>
        </w:rPr>
        <w:t>以上合同文本作为签订合同的重要依据，涉及付款方式、供应商名称等实质性内容不得变更。其他部分按照竞争性谈判文件及采购资料增减确定。</w:t>
      </w:r>
    </w:p>
    <w:p>
      <w:pPr>
        <w:pStyle w:val="27"/>
        <w:spacing w:after="0" w:line="360" w:lineRule="auto"/>
        <w:ind w:firstLine="1040" w:firstLineChars="200"/>
        <w:jc w:val="center"/>
        <w:rPr>
          <w:color w:val="auto"/>
          <w:sz w:val="52"/>
          <w:szCs w:val="52"/>
          <w:highlight w:val="none"/>
        </w:rPr>
      </w:pPr>
    </w:p>
    <w:p>
      <w:pPr>
        <w:pStyle w:val="28"/>
        <w:rPr>
          <w:color w:val="auto"/>
          <w:highlight w:val="none"/>
        </w:rPr>
      </w:pPr>
    </w:p>
    <w:p>
      <w:pPr>
        <w:pStyle w:val="3"/>
        <w:spacing w:before="0" w:after="0" w:line="360" w:lineRule="auto"/>
        <w:jc w:val="center"/>
        <w:rPr>
          <w:color w:val="auto"/>
          <w:kern w:val="0"/>
          <w:sz w:val="28"/>
          <w:szCs w:val="28"/>
          <w:highlight w:val="none"/>
        </w:rPr>
      </w:pPr>
      <w:bookmarkStart w:id="37" w:name="_Toc27415"/>
      <w:r>
        <w:rPr>
          <w:rFonts w:hint="eastAsia"/>
          <w:color w:val="auto"/>
          <w:kern w:val="0"/>
          <w:sz w:val="28"/>
          <w:szCs w:val="28"/>
          <w:highlight w:val="none"/>
        </w:rPr>
        <w:t>第七部分 履约验收</w:t>
      </w:r>
      <w:bookmarkEnd w:id="37"/>
    </w:p>
    <w:p>
      <w:pPr>
        <w:pStyle w:val="28"/>
        <w:rPr>
          <w:color w:val="auto"/>
          <w:highlight w:val="none"/>
        </w:rPr>
      </w:pPr>
    </w:p>
    <w:p>
      <w:pPr>
        <w:pStyle w:val="27"/>
        <w:spacing w:after="0" w:line="360" w:lineRule="auto"/>
        <w:ind w:firstLine="480" w:firstLineChars="200"/>
        <w:rPr>
          <w:color w:val="auto"/>
          <w:sz w:val="24"/>
          <w:highlight w:val="none"/>
        </w:rPr>
      </w:pPr>
      <w:r>
        <w:rPr>
          <w:rFonts w:hint="eastAsia"/>
          <w:color w:val="auto"/>
          <w:sz w:val="24"/>
          <w:highlight w:val="none"/>
        </w:rPr>
        <w:t>供应商履约完成后，向采购人提出验收建议，采购人自收到验收建议之日起五个工作日内，采购人组织供应商参与，共同完成验收。技术复杂、专业性强等项目可适当延长验收时间。验收流程如下：</w:t>
      </w:r>
    </w:p>
    <w:p>
      <w:pPr>
        <w:pStyle w:val="27"/>
        <w:numPr>
          <w:ilvl w:val="0"/>
          <w:numId w:val="9"/>
        </w:numPr>
        <w:spacing w:after="0" w:line="360" w:lineRule="auto"/>
        <w:ind w:firstLine="480" w:firstLineChars="200"/>
        <w:rPr>
          <w:color w:val="auto"/>
          <w:sz w:val="24"/>
          <w:highlight w:val="none"/>
        </w:rPr>
      </w:pPr>
      <w:r>
        <w:rPr>
          <w:rFonts w:hint="eastAsia"/>
          <w:color w:val="auto"/>
          <w:sz w:val="24"/>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7"/>
        <w:numPr>
          <w:ilvl w:val="0"/>
          <w:numId w:val="9"/>
        </w:numPr>
        <w:spacing w:after="0" w:line="360" w:lineRule="auto"/>
        <w:ind w:firstLine="480" w:firstLineChars="200"/>
        <w:rPr>
          <w:color w:val="auto"/>
          <w:sz w:val="24"/>
          <w:highlight w:val="none"/>
        </w:rPr>
      </w:pPr>
      <w:r>
        <w:rPr>
          <w:rFonts w:hint="eastAsia"/>
          <w:color w:val="auto"/>
          <w:sz w:val="24"/>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7"/>
        <w:numPr>
          <w:ilvl w:val="0"/>
          <w:numId w:val="9"/>
        </w:numPr>
        <w:spacing w:after="0" w:line="360" w:lineRule="auto"/>
        <w:ind w:firstLine="480" w:firstLineChars="200"/>
        <w:rPr>
          <w:color w:val="auto"/>
          <w:sz w:val="24"/>
          <w:highlight w:val="none"/>
        </w:rPr>
      </w:pPr>
      <w:r>
        <w:rPr>
          <w:rFonts w:hint="eastAsia"/>
          <w:color w:val="auto"/>
          <w:sz w:val="24"/>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7"/>
        <w:numPr>
          <w:ilvl w:val="0"/>
          <w:numId w:val="9"/>
        </w:numPr>
        <w:spacing w:after="0" w:line="360" w:lineRule="auto"/>
        <w:ind w:firstLine="480" w:firstLineChars="200"/>
        <w:rPr>
          <w:color w:val="auto"/>
          <w:sz w:val="24"/>
          <w:highlight w:val="none"/>
        </w:rPr>
      </w:pPr>
      <w:r>
        <w:rPr>
          <w:rFonts w:hint="eastAsia"/>
          <w:color w:val="auto"/>
          <w:sz w:val="24"/>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3"/>
        <w:spacing w:before="0" w:after="0" w:line="360" w:lineRule="auto"/>
        <w:ind w:firstLine="482" w:firstLineChars="200"/>
        <w:jc w:val="center"/>
        <w:rPr>
          <w:rFonts w:ascii="宋体" w:hAnsi="宋体" w:cs="宋体"/>
          <w:color w:val="auto"/>
          <w:kern w:val="0"/>
          <w:sz w:val="24"/>
          <w:highlight w:val="none"/>
        </w:rPr>
      </w:pPr>
      <w:r>
        <w:rPr>
          <w:rFonts w:ascii="宋体" w:hAnsi="宋体" w:cs="宋体"/>
          <w:color w:val="auto"/>
          <w:kern w:val="0"/>
          <w:sz w:val="24"/>
          <w:highlight w:val="none"/>
        </w:rPr>
        <w:br w:type="page"/>
      </w:r>
    </w:p>
    <w:p>
      <w:pPr>
        <w:pStyle w:val="3"/>
        <w:spacing w:before="0" w:after="0" w:line="360" w:lineRule="auto"/>
        <w:jc w:val="center"/>
        <w:rPr>
          <w:color w:val="auto"/>
          <w:kern w:val="0"/>
          <w:sz w:val="28"/>
          <w:szCs w:val="28"/>
          <w:highlight w:val="none"/>
        </w:rPr>
      </w:pPr>
      <w:bookmarkStart w:id="38" w:name="_Toc30461"/>
      <w:r>
        <w:rPr>
          <w:rFonts w:hint="eastAsia"/>
          <w:color w:val="auto"/>
          <w:kern w:val="0"/>
          <w:sz w:val="28"/>
          <w:szCs w:val="28"/>
          <w:highlight w:val="none"/>
        </w:rPr>
        <w:t>第八部分  附件—供应商响应文件格式</w:t>
      </w:r>
      <w:bookmarkEnd w:id="38"/>
    </w:p>
    <w:p>
      <w:pPr>
        <w:widowControl/>
        <w:snapToGrid w:val="0"/>
        <w:spacing w:line="360" w:lineRule="auto"/>
        <w:jc w:val="right"/>
        <w:rPr>
          <w:color w:val="auto"/>
          <w:kern w:val="0"/>
          <w:sz w:val="24"/>
          <w:highlight w:val="none"/>
        </w:rPr>
      </w:pPr>
      <w:r>
        <w:rPr>
          <w:rFonts w:ascii="华文中宋" w:hAnsi="华文中宋"/>
          <w:b/>
          <w:bCs/>
          <w:color w:val="auto"/>
          <w:kern w:val="0"/>
          <w:sz w:val="32"/>
          <w:szCs w:val="32"/>
          <w:highlight w:val="none"/>
        </w:rPr>
        <w:t>（正/副）本</w:t>
      </w:r>
    </w:p>
    <w:p>
      <w:pPr>
        <w:adjustRightInd w:val="0"/>
        <w:snapToGrid w:val="0"/>
        <w:spacing w:line="360" w:lineRule="auto"/>
        <w:jc w:val="center"/>
        <w:rPr>
          <w:rFonts w:ascii="宋体" w:hAnsi="宋体"/>
          <w:color w:val="auto"/>
          <w:sz w:val="32"/>
          <w:szCs w:val="32"/>
          <w:highlight w:val="none"/>
          <w:u w:val="single"/>
        </w:rPr>
      </w:pPr>
    </w:p>
    <w:p>
      <w:pPr>
        <w:adjustRightInd w:val="0"/>
        <w:snapToGrid w:val="0"/>
        <w:spacing w:line="360" w:lineRule="auto"/>
        <w:jc w:val="center"/>
        <w:rPr>
          <w:rFonts w:ascii="宋体" w:hAnsi="宋体"/>
          <w:b/>
          <w:bCs/>
          <w:color w:val="auto"/>
          <w:sz w:val="32"/>
          <w:szCs w:val="32"/>
          <w:highlight w:val="none"/>
        </w:rPr>
      </w:pPr>
      <w:r>
        <w:rPr>
          <w:rFonts w:hint="eastAsia" w:ascii="宋体" w:hAnsi="宋体"/>
          <w:color w:val="auto"/>
          <w:sz w:val="32"/>
          <w:szCs w:val="32"/>
          <w:highlight w:val="none"/>
          <w:u w:val="single"/>
        </w:rPr>
        <w:t xml:space="preserve">（项目名称 </w:t>
      </w:r>
      <w:r>
        <w:rPr>
          <w:rFonts w:ascii="宋体" w:hAnsi="宋体"/>
          <w:color w:val="auto"/>
          <w:sz w:val="32"/>
          <w:szCs w:val="32"/>
          <w:highlight w:val="none"/>
          <w:u w:val="singl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w:t>
      </w:r>
    </w:p>
    <w:p>
      <w:pPr>
        <w:spacing w:line="360" w:lineRule="auto"/>
        <w:jc w:val="center"/>
        <w:rPr>
          <w:rFonts w:ascii="宋体" w:hAnsi="宋体"/>
          <w:b/>
          <w:color w:val="auto"/>
          <w:sz w:val="96"/>
          <w:szCs w:val="90"/>
          <w:highlight w:val="none"/>
        </w:rPr>
      </w:pPr>
    </w:p>
    <w:p>
      <w:pPr>
        <w:spacing w:line="360" w:lineRule="auto"/>
        <w:jc w:val="center"/>
        <w:rPr>
          <w:rFonts w:ascii="宋体" w:hAnsi="宋体"/>
          <w:b/>
          <w:color w:val="auto"/>
          <w:sz w:val="96"/>
          <w:szCs w:val="90"/>
          <w:highlight w:val="none"/>
        </w:rPr>
      </w:pPr>
      <w:r>
        <w:rPr>
          <w:rFonts w:hint="eastAsia" w:ascii="宋体" w:hAnsi="宋体"/>
          <w:b/>
          <w:color w:val="auto"/>
          <w:sz w:val="96"/>
          <w:szCs w:val="90"/>
          <w:highlight w:val="none"/>
        </w:rPr>
        <w:t>响应文件</w:t>
      </w:r>
    </w:p>
    <w:p>
      <w:pPr>
        <w:spacing w:line="360" w:lineRule="auto"/>
        <w:jc w:val="center"/>
        <w:rPr>
          <w:rFonts w:ascii="宋体" w:hAnsi="宋体"/>
          <w:color w:val="auto"/>
          <w:highlight w:val="none"/>
        </w:rPr>
      </w:pPr>
      <w:r>
        <w:rPr>
          <w:rFonts w:hint="eastAsia" w:ascii="宋体" w:hAnsi="宋体"/>
          <w:color w:val="auto"/>
          <w:highlight w:val="none"/>
        </w:rPr>
        <w:t>（封面格式）</w:t>
      </w: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ind w:firstLine="1059" w:firstLineChars="353"/>
        <w:rPr>
          <w:rFonts w:ascii="宋体" w:hAnsi="宋体"/>
          <w:color w:val="auto"/>
          <w:sz w:val="30"/>
          <w:szCs w:val="30"/>
          <w:highlight w:val="none"/>
          <w:u w:val="single"/>
        </w:rPr>
      </w:pPr>
      <w:r>
        <w:rPr>
          <w:rFonts w:hint="eastAsia" w:ascii="宋体" w:hAnsi="宋体"/>
          <w:color w:val="auto"/>
          <w:sz w:val="30"/>
          <w:szCs w:val="30"/>
          <w:highlight w:val="none"/>
        </w:rPr>
        <w:t>供 应 商：</w:t>
      </w:r>
      <w:r>
        <w:rPr>
          <w:rFonts w:hint="eastAsia" w:ascii="宋体" w:hAnsi="宋体"/>
          <w:color w:val="auto"/>
          <w:sz w:val="30"/>
          <w:szCs w:val="30"/>
          <w:highlight w:val="none"/>
          <w:u w:val="single"/>
        </w:rPr>
        <w:t xml:space="preserve">                                  </w:t>
      </w:r>
    </w:p>
    <w:p>
      <w:pPr>
        <w:spacing w:line="360" w:lineRule="auto"/>
        <w:ind w:firstLine="1059" w:firstLineChars="353"/>
        <w:rPr>
          <w:rFonts w:ascii="宋体" w:hAnsi="宋体"/>
          <w:color w:val="auto"/>
          <w:sz w:val="30"/>
          <w:szCs w:val="30"/>
          <w:highlight w:val="none"/>
        </w:rPr>
      </w:pPr>
      <w:r>
        <w:rPr>
          <w:rFonts w:hint="eastAsia" w:ascii="宋体" w:hAnsi="宋体"/>
          <w:color w:val="auto"/>
          <w:sz w:val="30"/>
          <w:szCs w:val="30"/>
          <w:highlight w:val="none"/>
        </w:rPr>
        <w:t>法定代表人（授权委托人）：</w:t>
      </w:r>
      <w:r>
        <w:rPr>
          <w:rFonts w:hint="eastAsia" w:ascii="宋体" w:hAnsi="宋体"/>
          <w:color w:val="auto"/>
          <w:sz w:val="30"/>
          <w:szCs w:val="30"/>
          <w:highlight w:val="none"/>
          <w:u w:val="single"/>
        </w:rPr>
        <w:t xml:space="preserve">    （签字或盖章）</w:t>
      </w:r>
      <w:r>
        <w:rPr>
          <w:rFonts w:hint="eastAsia" w:ascii="宋体" w:hAnsi="宋体"/>
          <w:color w:val="auto"/>
          <w:sz w:val="30"/>
          <w:szCs w:val="30"/>
          <w:highlight w:val="none"/>
        </w:rPr>
        <w:t xml:space="preserve"> </w:t>
      </w:r>
    </w:p>
    <w:p>
      <w:pPr>
        <w:spacing w:line="360" w:lineRule="auto"/>
        <w:ind w:firstLine="1059" w:firstLineChars="353"/>
        <w:rPr>
          <w:rFonts w:ascii="宋体" w:hAnsi="宋体"/>
          <w:color w:val="auto"/>
          <w:highlight w:val="none"/>
        </w:rPr>
      </w:pPr>
      <w:r>
        <w:rPr>
          <w:rFonts w:hint="eastAsia" w:ascii="宋体" w:hAnsi="宋体"/>
          <w:color w:val="auto"/>
          <w:sz w:val="30"/>
          <w:szCs w:val="30"/>
          <w:highlight w:val="none"/>
        </w:rPr>
        <w:t>日      期：      年   月   日</w:t>
      </w:r>
    </w:p>
    <w:p>
      <w:pPr>
        <w:widowControl/>
        <w:spacing w:line="360" w:lineRule="auto"/>
        <w:jc w:val="left"/>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pPr>
        <w:spacing w:line="360" w:lineRule="auto"/>
        <w:ind w:right="-92" w:rightChars="-44"/>
        <w:jc w:val="center"/>
        <w:rPr>
          <w:rFonts w:ascii="宋体" w:hAnsi="宋体"/>
          <w:color w:val="auto"/>
          <w:kern w:val="0"/>
          <w:sz w:val="44"/>
          <w:szCs w:val="44"/>
          <w:highlight w:val="none"/>
        </w:rPr>
      </w:pPr>
      <w:r>
        <w:rPr>
          <w:rFonts w:hint="eastAsia" w:ascii="宋体" w:hAnsi="宋体"/>
          <w:b/>
          <w:bCs/>
          <w:color w:val="auto"/>
          <w:kern w:val="0"/>
          <w:sz w:val="44"/>
          <w:szCs w:val="44"/>
          <w:highlight w:val="none"/>
        </w:rPr>
        <w:t>目  录</w:t>
      </w:r>
    </w:p>
    <w:p>
      <w:pPr>
        <w:widowControl/>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（格式自拟）</w:t>
      </w:r>
    </w:p>
    <w:p>
      <w:pPr>
        <w:pStyle w:val="4"/>
        <w:spacing w:before="0" w:after="0" w:line="360" w:lineRule="auto"/>
        <w:rPr>
          <w:rFonts w:ascii="宋体" w:hAnsi="宋体" w:cs="宋体"/>
          <w:color w:val="auto"/>
          <w:sz w:val="28"/>
          <w:szCs w:val="28"/>
          <w:highlight w:val="none"/>
        </w:rPr>
      </w:pPr>
      <w:r>
        <w:rPr>
          <w:rFonts w:ascii="宋体" w:hAnsi="宋体"/>
          <w:b w:val="0"/>
          <w:color w:val="auto"/>
          <w:kern w:val="0"/>
          <w:sz w:val="28"/>
          <w:szCs w:val="28"/>
          <w:highlight w:val="none"/>
        </w:rPr>
        <w:br w:type="page"/>
      </w:r>
      <w:bookmarkStart w:id="39" w:name="_Toc23083"/>
      <w:r>
        <w:rPr>
          <w:rFonts w:hint="eastAsia" w:ascii="宋体" w:hAnsi="宋体" w:cs="宋体"/>
          <w:color w:val="auto"/>
          <w:sz w:val="28"/>
          <w:szCs w:val="28"/>
          <w:highlight w:val="none"/>
        </w:rPr>
        <w:t>附件1：</w:t>
      </w:r>
      <w:bookmarkEnd w:id="39"/>
    </w:p>
    <w:p>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投标函</w:t>
      </w:r>
    </w:p>
    <w:p>
      <w:pPr>
        <w:pStyle w:val="4"/>
        <w:rPr>
          <w:color w:val="auto"/>
          <w:highlight w:val="none"/>
        </w:rPr>
      </w:pPr>
    </w:p>
    <w:p>
      <w:pPr>
        <w:widowControl/>
        <w:spacing w:line="360" w:lineRule="auto"/>
        <w:ind w:firstLine="562" w:firstLineChars="200"/>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7"/>
        <w:spacing w:after="0" w:line="360" w:lineRule="auto"/>
        <w:ind w:firstLine="480" w:firstLineChars="200"/>
        <w:rPr>
          <w:color w:val="auto"/>
          <w:highlight w:val="none"/>
        </w:rPr>
      </w:pPr>
      <w:r>
        <w:rPr>
          <w:rFonts w:hint="eastAsia" w:ascii="宋体" w:hAnsi="宋体"/>
          <w:color w:val="auto"/>
          <w:sz w:val="24"/>
          <w:highlight w:val="none"/>
        </w:rPr>
        <w:t>我单位</w:t>
      </w:r>
      <w:r>
        <w:rPr>
          <w:rFonts w:hint="eastAsia" w:ascii="宋体" w:hAnsi="宋体" w:cs="宋体"/>
          <w:color w:val="auto"/>
          <w:sz w:val="24"/>
          <w:highlight w:val="none"/>
        </w:rPr>
        <w:t xml:space="preserve">已收到的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采购文件及有关纪要通知，现</w:t>
      </w:r>
      <w:r>
        <w:rPr>
          <w:rFonts w:hint="eastAsia" w:ascii="宋体" w:hAnsi="宋体"/>
          <w:color w:val="auto"/>
          <w:sz w:val="24"/>
          <w:highlight w:val="none"/>
        </w:rPr>
        <w:t>对参与投标及成交后工作，做出如下郑重承诺：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1、我方愿以总价为人民币（大写）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（小写）￥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olor w:val="auto"/>
          <w:kern w:val="0"/>
          <w:sz w:val="24"/>
          <w:highlight w:val="none"/>
        </w:rPr>
        <w:t>供货安装期</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，按合同约定实施和完成本项目。 </w:t>
      </w:r>
    </w:p>
    <w:p>
      <w:pPr>
        <w:widowControl/>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olor w:val="auto"/>
          <w:kern w:val="0"/>
          <w:sz w:val="24"/>
          <w:highlight w:val="none"/>
        </w:rPr>
      </w:pPr>
    </w:p>
    <w:p>
      <w:pPr>
        <w:widowControl/>
        <w:spacing w:line="360" w:lineRule="auto"/>
        <w:ind w:firstLine="480" w:firstLineChars="200"/>
        <w:rPr>
          <w:rFonts w:ascii="宋体" w:hAnsi="宋体"/>
          <w:color w:val="auto"/>
          <w:kern w:val="0"/>
          <w:sz w:val="24"/>
          <w:highlight w:val="none"/>
        </w:rPr>
      </w:pPr>
    </w:p>
    <w:p>
      <w:pPr>
        <w:widowControl/>
        <w:spacing w:line="360" w:lineRule="auto"/>
        <w:ind w:firstLine="480" w:firstLineChars="200"/>
        <w:rPr>
          <w:rFonts w:ascii="宋体" w:hAnsi="宋体"/>
          <w:color w:val="auto"/>
          <w:kern w:val="0"/>
          <w:sz w:val="24"/>
          <w:highlight w:val="none"/>
        </w:rPr>
      </w:pP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供应商：（盖章）</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widowControl/>
        <w:spacing w:line="360" w:lineRule="auto"/>
        <w:ind w:firstLine="480" w:firstLineChars="200"/>
        <w:rPr>
          <w:rFonts w:ascii="宋体" w:hAnsi="宋体"/>
          <w:b/>
          <w:bCs/>
          <w:color w:val="auto"/>
          <w:kern w:val="0"/>
          <w:sz w:val="32"/>
          <w:szCs w:val="32"/>
          <w:highlight w:val="none"/>
        </w:rPr>
      </w:pPr>
      <w:r>
        <w:rPr>
          <w:rFonts w:hint="eastAsia" w:ascii="宋体" w:hAnsi="宋体"/>
          <w:color w:val="auto"/>
          <w:kern w:val="0"/>
          <w:sz w:val="24"/>
          <w:highlight w:val="none"/>
        </w:rPr>
        <w:t>年      月      日</w:t>
      </w:r>
    </w:p>
    <w:p>
      <w:pPr>
        <w:widowControl/>
        <w:spacing w:line="360" w:lineRule="auto"/>
        <w:ind w:firstLine="643" w:firstLineChars="200"/>
        <w:jc w:val="center"/>
        <w:rPr>
          <w:rFonts w:ascii="宋体" w:hAnsi="宋体"/>
          <w:b/>
          <w:bCs/>
          <w:color w:val="auto"/>
          <w:kern w:val="0"/>
          <w:sz w:val="32"/>
          <w:szCs w:val="32"/>
          <w:highlight w:val="none"/>
        </w:rPr>
      </w:pPr>
    </w:p>
    <w:p>
      <w:pPr>
        <w:widowControl/>
        <w:spacing w:line="360" w:lineRule="auto"/>
        <w:ind w:firstLine="643" w:firstLineChars="200"/>
        <w:jc w:val="center"/>
        <w:rPr>
          <w:rFonts w:ascii="宋体" w:hAnsi="宋体"/>
          <w:b/>
          <w:bCs/>
          <w:color w:val="auto"/>
          <w:kern w:val="0"/>
          <w:sz w:val="32"/>
          <w:szCs w:val="32"/>
          <w:highlight w:val="none"/>
        </w:rPr>
      </w:pPr>
    </w:p>
    <w:p>
      <w:pPr>
        <w:widowControl/>
        <w:spacing w:line="360" w:lineRule="auto"/>
        <w:ind w:firstLine="643" w:firstLineChars="200"/>
        <w:jc w:val="center"/>
        <w:rPr>
          <w:rFonts w:ascii="宋体" w:hAnsi="宋体"/>
          <w:b/>
          <w:bCs/>
          <w:color w:val="auto"/>
          <w:kern w:val="0"/>
          <w:sz w:val="32"/>
          <w:szCs w:val="32"/>
          <w:highlight w:val="none"/>
        </w:rPr>
      </w:pPr>
    </w:p>
    <w:p>
      <w:pPr>
        <w:widowControl/>
        <w:spacing w:line="360" w:lineRule="auto"/>
        <w:jc w:val="center"/>
        <w:rPr>
          <w:color w:val="auto"/>
          <w:sz w:val="28"/>
          <w:szCs w:val="28"/>
          <w:highlight w:val="none"/>
        </w:rPr>
      </w:pPr>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u w:val="single"/>
        </w:rPr>
        <w:t xml:space="preserve"> 一 </w:t>
      </w:r>
      <w:r>
        <w:rPr>
          <w:rFonts w:hint="eastAsia" w:ascii="宋体" w:hAnsi="宋体"/>
          <w:b/>
          <w:bCs/>
          <w:color w:val="auto"/>
          <w:kern w:val="0"/>
          <w:sz w:val="28"/>
          <w:szCs w:val="28"/>
          <w:highlight w:val="none"/>
        </w:rPr>
        <w:t>轮报价表</w:t>
      </w:r>
    </w:p>
    <w:p>
      <w:pPr>
        <w:pStyle w:val="68"/>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说明：1、供应商单位应将第一轮报价填入下表并按要求签字或盖章，本表要附在响应文件中。</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pPr>
              <w:spacing w:line="360" w:lineRule="auto"/>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项目名称</w:t>
            </w:r>
          </w:p>
        </w:tc>
        <w:tc>
          <w:tcPr>
            <w:tcW w:w="6471" w:type="dxa"/>
            <w:vAlign w:val="center"/>
          </w:tcPr>
          <w:p>
            <w:pPr>
              <w:spacing w:line="360" w:lineRule="auto"/>
              <w:rPr>
                <w:rFonts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pPr>
              <w:spacing w:line="360" w:lineRule="auto"/>
              <w:jc w:val="center"/>
              <w:rPr>
                <w:rFonts w:ascii="宋体" w:hAnsi="宋体"/>
                <w:color w:val="auto"/>
                <w:sz w:val="24"/>
                <w:highlight w:val="none"/>
                <w:shd w:val="clear" w:color="auto" w:fill="FFFFFF"/>
              </w:rPr>
            </w:pPr>
            <w:r>
              <w:rPr>
                <w:rFonts w:hint="eastAsia" w:ascii="宋体" w:hAnsi="宋体"/>
                <w:color w:val="auto"/>
                <w:sz w:val="24"/>
                <w:highlight w:val="none"/>
              </w:rPr>
              <w:t>供应商</w:t>
            </w:r>
          </w:p>
        </w:tc>
        <w:tc>
          <w:tcPr>
            <w:tcW w:w="6471" w:type="dxa"/>
            <w:vAlign w:val="center"/>
          </w:tcPr>
          <w:p>
            <w:pPr>
              <w:spacing w:line="360" w:lineRule="auto"/>
              <w:rPr>
                <w:rFonts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pPr>
              <w:spacing w:line="360" w:lineRule="auto"/>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投标报价</w:t>
            </w:r>
          </w:p>
        </w:tc>
        <w:tc>
          <w:tcPr>
            <w:tcW w:w="6471" w:type="dxa"/>
            <w:vAlign w:val="center"/>
          </w:tcPr>
          <w:p>
            <w:pPr>
              <w:spacing w:line="360" w:lineRule="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（大写）</w:t>
            </w:r>
            <w:r>
              <w:rPr>
                <w:rFonts w:hint="eastAsia" w:ascii="宋体" w:hAnsi="宋体"/>
                <w:color w:val="auto"/>
                <w:sz w:val="24"/>
                <w:highlight w:val="none"/>
                <w:u w:val="single"/>
                <w:shd w:val="clear" w:color="auto" w:fill="FFFFFF"/>
              </w:rPr>
              <w:t xml:space="preserve">                                </w:t>
            </w:r>
          </w:p>
          <w:p>
            <w:pPr>
              <w:spacing w:line="360" w:lineRule="auto"/>
              <w:rPr>
                <w:rFonts w:ascii="宋体" w:hAnsi="宋体"/>
                <w:color w:val="auto"/>
                <w:sz w:val="24"/>
                <w:highlight w:val="none"/>
                <w:u w:val="single"/>
                <w:shd w:val="clear" w:color="auto" w:fill="FFFFFF"/>
              </w:rPr>
            </w:pPr>
            <w:r>
              <w:rPr>
                <w:rFonts w:hint="eastAsia" w:ascii="宋体" w:hAnsi="宋体"/>
                <w:color w:val="auto"/>
                <w:sz w:val="24"/>
                <w:highlight w:val="none"/>
                <w:shd w:val="clear" w:color="auto" w:fill="FFFFFF"/>
              </w:rPr>
              <w:t>（小写）</w:t>
            </w:r>
            <w:r>
              <w:rPr>
                <w:rFonts w:hint="eastAsia" w:ascii="宋体" w:hAnsi="宋体"/>
                <w:color w:val="auto"/>
                <w:sz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auto"/>
                <w:sz w:val="24"/>
                <w:highlight w:val="none"/>
                <w:shd w:val="clear" w:color="auto" w:fill="FFFFFF"/>
              </w:rPr>
            </w:pPr>
            <w:r>
              <w:rPr>
                <w:rFonts w:hint="eastAsia" w:ascii="宋体" w:hAnsi="宋体"/>
                <w:color w:val="auto"/>
                <w:kern w:val="0"/>
                <w:sz w:val="24"/>
                <w:highlight w:val="none"/>
              </w:rPr>
              <w:t>供货安装期</w:t>
            </w:r>
          </w:p>
        </w:tc>
        <w:tc>
          <w:tcPr>
            <w:tcW w:w="6471" w:type="dxa"/>
            <w:vAlign w:val="center"/>
          </w:tcPr>
          <w:p>
            <w:pPr>
              <w:spacing w:line="360" w:lineRule="auto"/>
              <w:jc w:val="center"/>
              <w:rPr>
                <w:rFonts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质量要求</w:t>
            </w:r>
          </w:p>
        </w:tc>
        <w:tc>
          <w:tcPr>
            <w:tcW w:w="6471" w:type="dxa"/>
            <w:vAlign w:val="center"/>
          </w:tcPr>
          <w:p>
            <w:pPr>
              <w:spacing w:line="360" w:lineRule="auto"/>
              <w:jc w:val="center"/>
              <w:rPr>
                <w:rFonts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质保期</w:t>
            </w:r>
          </w:p>
        </w:tc>
        <w:tc>
          <w:tcPr>
            <w:tcW w:w="6471" w:type="dxa"/>
            <w:vAlign w:val="center"/>
          </w:tcPr>
          <w:p>
            <w:pPr>
              <w:spacing w:line="360" w:lineRule="auto"/>
              <w:jc w:val="center"/>
              <w:rPr>
                <w:rFonts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pPr>
              <w:spacing w:line="360" w:lineRule="auto"/>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投标有效期</w:t>
            </w:r>
          </w:p>
        </w:tc>
        <w:tc>
          <w:tcPr>
            <w:tcW w:w="6471" w:type="dxa"/>
            <w:vAlign w:val="center"/>
          </w:tcPr>
          <w:p>
            <w:pPr>
              <w:spacing w:line="360" w:lineRule="auto"/>
              <w:jc w:val="center"/>
              <w:rPr>
                <w:rFonts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pPr>
              <w:spacing w:line="360" w:lineRule="auto"/>
              <w:ind w:firstLine="482" w:firstLineChars="200"/>
              <w:jc w:val="left"/>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spacing w:line="360" w:lineRule="auto"/>
              <w:ind w:firstLine="482" w:firstLineChars="200"/>
              <w:jc w:val="left"/>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（可另附页）</w:t>
            </w:r>
          </w:p>
        </w:tc>
      </w:tr>
    </w:tbl>
    <w:p>
      <w:pPr>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供应商（盖章）：                               </w:t>
      </w:r>
    </w:p>
    <w:p>
      <w:pPr>
        <w:spacing w:line="360" w:lineRule="auto"/>
        <w:jc w:val="right"/>
        <w:rPr>
          <w:rFonts w:ascii="宋体" w:hAnsi="宋体"/>
          <w:color w:val="auto"/>
          <w:sz w:val="24"/>
          <w:highlight w:val="none"/>
        </w:rPr>
      </w:pPr>
      <w:r>
        <w:rPr>
          <w:rFonts w:hint="eastAsia" w:ascii="宋体" w:hAnsi="宋体"/>
          <w:color w:val="auto"/>
          <w:sz w:val="24"/>
          <w:highlight w:val="none"/>
        </w:rPr>
        <w:t xml:space="preserve">法人代表或授权代表（签字或盖章）：                                                </w:t>
      </w:r>
    </w:p>
    <w:p>
      <w:pPr>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 xml:space="preserve">                                       年    月    日   </w:t>
      </w:r>
    </w:p>
    <w:p>
      <w:pPr>
        <w:widowControl/>
        <w:spacing w:line="360" w:lineRule="auto"/>
        <w:rPr>
          <w:rFonts w:ascii="宋体" w:hAnsi="宋体"/>
          <w:b/>
          <w:bCs/>
          <w:color w:val="auto"/>
          <w:kern w:val="0"/>
          <w:sz w:val="28"/>
          <w:szCs w:val="28"/>
          <w:highlight w:val="none"/>
        </w:rPr>
      </w:pPr>
      <w:bookmarkStart w:id="40" w:name="_Toc23799"/>
      <w:bookmarkStart w:id="41" w:name="_Toc12799"/>
    </w:p>
    <w:p>
      <w:pPr>
        <w:widowControl/>
        <w:spacing w:line="360" w:lineRule="auto"/>
        <w:jc w:val="center"/>
        <w:rPr>
          <w:rFonts w:ascii="宋体" w:hAnsi="宋体"/>
          <w:b/>
          <w:bCs/>
          <w:color w:val="auto"/>
          <w:kern w:val="0"/>
          <w:sz w:val="28"/>
          <w:szCs w:val="28"/>
          <w:highlight w:val="none"/>
        </w:rPr>
      </w:pPr>
      <w:r>
        <w:rPr>
          <w:rFonts w:hint="eastAsia" w:ascii="宋体" w:hAnsi="宋体"/>
          <w:b/>
          <w:bCs/>
          <w:color w:val="auto"/>
          <w:kern w:val="0"/>
          <w:sz w:val="28"/>
          <w:szCs w:val="28"/>
          <w:highlight w:val="none"/>
        </w:rPr>
        <w:t>投标报价明细表</w:t>
      </w:r>
      <w:bookmarkEnd w:id="40"/>
      <w:bookmarkEnd w:id="41"/>
    </w:p>
    <w:tbl>
      <w:tblPr>
        <w:tblStyle w:val="29"/>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所投设备</w:t>
            </w:r>
          </w:p>
        </w:tc>
        <w:tc>
          <w:tcPr>
            <w:tcW w:w="839"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单位</w:t>
            </w:r>
          </w:p>
        </w:tc>
        <w:tc>
          <w:tcPr>
            <w:tcW w:w="986"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数量</w:t>
            </w:r>
          </w:p>
        </w:tc>
        <w:tc>
          <w:tcPr>
            <w:tcW w:w="1121"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单价（元）</w:t>
            </w:r>
          </w:p>
        </w:tc>
        <w:tc>
          <w:tcPr>
            <w:tcW w:w="892"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合价（元）</w:t>
            </w:r>
          </w:p>
        </w:tc>
        <w:tc>
          <w:tcPr>
            <w:tcW w:w="1472"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品牌</w:t>
            </w:r>
          </w:p>
        </w:tc>
        <w:tc>
          <w:tcPr>
            <w:tcW w:w="865"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型号</w:t>
            </w:r>
          </w:p>
        </w:tc>
        <w:tc>
          <w:tcPr>
            <w:tcW w:w="862"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r>
              <w:rPr>
                <w:rFonts w:hint="eastAsia"/>
                <w:bCs/>
                <w:color w:val="auto"/>
                <w:highlight w:val="none"/>
              </w:rPr>
              <w:t>技术参数</w:t>
            </w:r>
          </w:p>
        </w:tc>
        <w:tc>
          <w:tcPr>
            <w:tcW w:w="839"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p>
        </w:tc>
        <w:tc>
          <w:tcPr>
            <w:tcW w:w="986"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p>
        </w:tc>
        <w:tc>
          <w:tcPr>
            <w:tcW w:w="1121"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ind w:firstLine="235" w:firstLineChars="98"/>
              <w:jc w:val="center"/>
              <w:rPr>
                <w:bCs/>
                <w:color w:val="auto"/>
                <w:highlight w:val="none"/>
              </w:rPr>
            </w:pPr>
          </w:p>
        </w:tc>
        <w:tc>
          <w:tcPr>
            <w:tcW w:w="892"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460" w:lineRule="exact"/>
              <w:jc w:val="center"/>
              <w:rPr>
                <w:bCs/>
                <w:color w:val="auto"/>
                <w:highlight w:val="none"/>
              </w:rPr>
            </w:pPr>
          </w:p>
        </w:tc>
        <w:tc>
          <w:tcPr>
            <w:tcW w:w="1472" w:type="dxa"/>
            <w:vMerge w:val="continue"/>
            <w:tcBorders>
              <w:left w:val="single" w:color="auto" w:sz="4" w:space="0"/>
              <w:bottom w:val="single" w:color="auto" w:sz="4" w:space="0"/>
              <w:right w:val="single" w:color="auto" w:sz="4" w:space="0"/>
            </w:tcBorders>
          </w:tcPr>
          <w:p>
            <w:pPr>
              <w:pStyle w:val="24"/>
              <w:widowControl w:val="0"/>
              <w:adjustRightInd w:val="0"/>
              <w:spacing w:before="0" w:beforeAutospacing="0" w:after="0" w:afterAutospacing="0" w:line="46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r>
              <w:rPr>
                <w:rFonts w:hint="eastAsia" w:ascii="宋体" w:hAnsi="宋体" w:cs="宋体"/>
                <w:bCs/>
                <w:color w:val="auto"/>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Style w:val="85"/>
                <w:color w:val="auto"/>
                <w:sz w:val="24"/>
                <w:szCs w:val="24"/>
                <w:highlight w:val="none"/>
                <w:lang w:val="en-US"/>
              </w:rPr>
            </w:pPr>
          </w:p>
        </w:tc>
        <w:tc>
          <w:tcPr>
            <w:tcW w:w="85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89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7892" w:type="dxa"/>
            <w:gridSpan w:val="8"/>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bCs/>
                <w:color w:val="auto"/>
                <w:sz w:val="24"/>
                <w:highlight w:val="none"/>
              </w:rPr>
            </w:pPr>
            <w:r>
              <w:rPr>
                <w:rFonts w:hint="eastAsia" w:ascii="宋体" w:hAnsi="宋体" w:cs="宋体"/>
                <w:b/>
                <w:color w:val="auto"/>
                <w:sz w:val="24"/>
                <w:highlight w:val="none"/>
              </w:rPr>
              <w:t>重要提示：1、本表的每一页须加盖企业印章；2、本表内容涉及有国家标准的产品，须填写名称、品牌、型号及技术参数、报价等（若品牌、型号等填写的与实际不符，按照无效标处理）</w:t>
            </w:r>
          </w:p>
        </w:tc>
      </w:tr>
    </w:tbl>
    <w:p>
      <w:pPr>
        <w:pStyle w:val="16"/>
        <w:adjustRightInd w:val="0"/>
        <w:snapToGrid w:val="0"/>
        <w:spacing w:line="360" w:lineRule="auto"/>
        <w:ind w:firstLine="480" w:firstLineChars="200"/>
        <w:jc w:val="right"/>
        <w:rPr>
          <w:rFonts w:hAnsi="Calibri"/>
          <w:color w:val="auto"/>
          <w:sz w:val="24"/>
          <w:szCs w:val="24"/>
          <w:highlight w:val="none"/>
        </w:rPr>
      </w:pPr>
      <w:r>
        <w:rPr>
          <w:rFonts w:hint="eastAsia" w:hAnsi="Calibri"/>
          <w:color w:val="auto"/>
          <w:sz w:val="24"/>
          <w:szCs w:val="24"/>
          <w:highlight w:val="none"/>
        </w:rPr>
        <w:t>供应商：（盖章）</w:t>
      </w:r>
    </w:p>
    <w:p>
      <w:pPr>
        <w:pStyle w:val="16"/>
        <w:adjustRightInd w:val="0"/>
        <w:snapToGrid w:val="0"/>
        <w:spacing w:line="360" w:lineRule="auto"/>
        <w:ind w:firstLine="480" w:firstLineChars="200"/>
        <w:jc w:val="right"/>
        <w:rPr>
          <w:rFonts w:hAnsi="Calibri"/>
          <w:color w:val="auto"/>
          <w:sz w:val="24"/>
          <w:szCs w:val="24"/>
          <w:highlight w:val="none"/>
        </w:rPr>
      </w:pPr>
      <w:r>
        <w:rPr>
          <w:rFonts w:hint="eastAsia" w:hAnsi="Calibri"/>
          <w:color w:val="auto"/>
          <w:sz w:val="24"/>
          <w:szCs w:val="24"/>
          <w:highlight w:val="none"/>
        </w:rPr>
        <w:t>法定代表人或授权委托代理人：（签字或盖章）</w:t>
      </w:r>
    </w:p>
    <w:p>
      <w:pPr>
        <w:pStyle w:val="16"/>
        <w:adjustRightInd w:val="0"/>
        <w:snapToGrid w:val="0"/>
        <w:spacing w:line="360" w:lineRule="auto"/>
        <w:ind w:firstLine="480" w:firstLineChars="200"/>
        <w:jc w:val="right"/>
        <w:rPr>
          <w:rFonts w:hAnsi="Calibri"/>
          <w:color w:val="auto"/>
          <w:sz w:val="24"/>
          <w:szCs w:val="24"/>
          <w:highlight w:val="none"/>
        </w:rPr>
      </w:pPr>
      <w:r>
        <w:rPr>
          <w:rFonts w:hint="eastAsia" w:hAnsi="Calibri"/>
          <w:color w:val="auto"/>
          <w:sz w:val="24"/>
          <w:szCs w:val="24"/>
          <w:highlight w:val="none"/>
        </w:rPr>
        <w:t>年    月     日</w:t>
      </w:r>
    </w:p>
    <w:p>
      <w:pPr>
        <w:pStyle w:val="16"/>
        <w:adjustRightInd w:val="0"/>
        <w:snapToGrid w:val="0"/>
        <w:spacing w:line="360" w:lineRule="auto"/>
        <w:ind w:firstLine="480" w:firstLineChars="200"/>
        <w:jc w:val="right"/>
        <w:rPr>
          <w:rFonts w:hAnsi="Calibri"/>
          <w:color w:val="auto"/>
          <w:sz w:val="24"/>
          <w:szCs w:val="24"/>
          <w:highlight w:val="none"/>
        </w:rPr>
      </w:pPr>
    </w:p>
    <w:p>
      <w:pPr>
        <w:pStyle w:val="16"/>
        <w:adjustRightInd w:val="0"/>
        <w:snapToGrid w:val="0"/>
        <w:spacing w:line="360" w:lineRule="auto"/>
        <w:ind w:firstLine="480" w:firstLineChars="200"/>
        <w:jc w:val="right"/>
        <w:rPr>
          <w:rFonts w:hAnsi="Calibri"/>
          <w:color w:val="auto"/>
          <w:sz w:val="24"/>
          <w:szCs w:val="24"/>
          <w:highlight w:val="none"/>
        </w:rPr>
      </w:pPr>
    </w:p>
    <w:p>
      <w:pPr>
        <w:pStyle w:val="16"/>
        <w:adjustRightInd w:val="0"/>
        <w:snapToGrid w:val="0"/>
        <w:spacing w:line="360" w:lineRule="auto"/>
        <w:ind w:firstLine="480" w:firstLineChars="200"/>
        <w:jc w:val="right"/>
        <w:rPr>
          <w:rFonts w:hAnsi="Calibri"/>
          <w:color w:val="auto"/>
          <w:sz w:val="24"/>
          <w:szCs w:val="24"/>
          <w:highlight w:val="none"/>
        </w:rPr>
      </w:pPr>
    </w:p>
    <w:p>
      <w:pPr>
        <w:pStyle w:val="16"/>
        <w:adjustRightInd w:val="0"/>
        <w:snapToGrid w:val="0"/>
        <w:spacing w:line="360" w:lineRule="auto"/>
        <w:ind w:firstLine="480" w:firstLineChars="200"/>
        <w:jc w:val="right"/>
        <w:rPr>
          <w:rFonts w:hAnsi="Calibri"/>
          <w:color w:val="auto"/>
          <w:sz w:val="24"/>
          <w:szCs w:val="24"/>
          <w:highlight w:val="none"/>
        </w:rPr>
      </w:pPr>
    </w:p>
    <w:p>
      <w:pPr>
        <w:widowControl/>
        <w:spacing w:line="360" w:lineRule="auto"/>
        <w:jc w:val="center"/>
        <w:rPr>
          <w:rFonts w:ascii="宋体" w:hAnsi="宋体"/>
          <w:b/>
          <w:bCs/>
          <w:color w:val="auto"/>
          <w:kern w:val="0"/>
          <w:sz w:val="28"/>
          <w:szCs w:val="28"/>
          <w:highlight w:val="none"/>
        </w:rPr>
      </w:pPr>
      <w:r>
        <w:rPr>
          <w:rFonts w:hint="eastAsia" w:ascii="宋体" w:hAnsi="宋体"/>
          <w:b/>
          <w:bCs/>
          <w:color w:val="auto"/>
          <w:kern w:val="0"/>
          <w:sz w:val="28"/>
          <w:szCs w:val="28"/>
          <w:highlight w:val="none"/>
        </w:rPr>
        <w:t>第二轮报价表</w:t>
      </w:r>
    </w:p>
    <w:tbl>
      <w:tblPr>
        <w:tblStyle w:val="29"/>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所投设备</w:t>
            </w:r>
          </w:p>
        </w:tc>
        <w:tc>
          <w:tcPr>
            <w:tcW w:w="83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单位</w:t>
            </w:r>
          </w:p>
        </w:tc>
        <w:tc>
          <w:tcPr>
            <w:tcW w:w="980"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数量</w:t>
            </w:r>
          </w:p>
        </w:tc>
        <w:tc>
          <w:tcPr>
            <w:tcW w:w="1114"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单价（元）</w:t>
            </w:r>
          </w:p>
        </w:tc>
        <w:tc>
          <w:tcPr>
            <w:tcW w:w="886" w:type="dxa"/>
            <w:vMerge w:val="restart"/>
            <w:tcBorders>
              <w:top w:val="single" w:color="auto" w:sz="4" w:space="0"/>
              <w:left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合价（元）</w:t>
            </w:r>
          </w:p>
        </w:tc>
        <w:tc>
          <w:tcPr>
            <w:tcW w:w="1462" w:type="dxa"/>
            <w:vMerge w:val="restart"/>
            <w:tcBorders>
              <w:top w:val="single" w:color="auto" w:sz="4" w:space="0"/>
              <w:left w:val="single" w:color="auto" w:sz="4" w:space="0"/>
              <w:right w:val="single" w:color="auto" w:sz="4" w:space="0"/>
            </w:tcBorders>
          </w:tcPr>
          <w:p>
            <w:pPr>
              <w:pStyle w:val="24"/>
              <w:widowControl w:val="0"/>
              <w:adjustRightInd w:val="0"/>
              <w:spacing w:before="0" w:beforeAutospacing="0" w:after="0" w:afterAutospacing="0" w:line="360" w:lineRule="auto"/>
              <w:rPr>
                <w:bCs/>
                <w:color w:val="auto"/>
                <w:highlight w:val="none"/>
              </w:rPr>
            </w:pPr>
            <w:r>
              <w:rPr>
                <w:rFonts w:hint="eastAsia"/>
                <w:bCs/>
                <w:color w:val="auto"/>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品牌</w:t>
            </w:r>
          </w:p>
        </w:tc>
        <w:tc>
          <w:tcPr>
            <w:tcW w:w="822"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型号</w:t>
            </w:r>
          </w:p>
        </w:tc>
        <w:tc>
          <w:tcPr>
            <w:tcW w:w="857" w:type="dxa"/>
            <w:tcBorders>
              <w:top w:val="single" w:color="auto" w:sz="4" w:space="0"/>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技术参数</w:t>
            </w:r>
          </w:p>
        </w:tc>
        <w:tc>
          <w:tcPr>
            <w:tcW w:w="83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p>
        </w:tc>
        <w:tc>
          <w:tcPr>
            <w:tcW w:w="980"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p>
        </w:tc>
        <w:tc>
          <w:tcPr>
            <w:tcW w:w="1114"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ind w:firstLine="235" w:firstLineChars="98"/>
              <w:jc w:val="center"/>
              <w:rPr>
                <w:bCs/>
                <w:color w:val="auto"/>
                <w:highlight w:val="none"/>
              </w:rPr>
            </w:pPr>
          </w:p>
        </w:tc>
        <w:tc>
          <w:tcPr>
            <w:tcW w:w="886" w:type="dxa"/>
            <w:vMerge w:val="continue"/>
            <w:tcBorders>
              <w:left w:val="single" w:color="auto" w:sz="4" w:space="0"/>
              <w:bottom w:val="single" w:color="auto" w:sz="4" w:space="0"/>
              <w:right w:val="single" w:color="auto" w:sz="4" w:space="0"/>
            </w:tcBorders>
            <w:vAlign w:val="center"/>
          </w:tcPr>
          <w:p>
            <w:pPr>
              <w:pStyle w:val="24"/>
              <w:widowControl w:val="0"/>
              <w:adjustRightInd w:val="0"/>
              <w:spacing w:before="0" w:beforeAutospacing="0" w:after="0" w:afterAutospacing="0" w:line="360" w:lineRule="auto"/>
              <w:jc w:val="center"/>
              <w:rPr>
                <w:bCs/>
                <w:color w:val="auto"/>
                <w:highlight w:val="none"/>
              </w:rPr>
            </w:pPr>
          </w:p>
        </w:tc>
        <w:tc>
          <w:tcPr>
            <w:tcW w:w="1462" w:type="dxa"/>
            <w:vMerge w:val="continue"/>
            <w:tcBorders>
              <w:left w:val="single" w:color="auto" w:sz="4" w:space="0"/>
              <w:bottom w:val="single" w:color="auto" w:sz="4" w:space="0"/>
              <w:right w:val="single" w:color="auto" w:sz="4" w:space="0"/>
            </w:tcBorders>
          </w:tcPr>
          <w:p>
            <w:pPr>
              <w:pStyle w:val="24"/>
              <w:widowControl w:val="0"/>
              <w:adjustRightInd w:val="0"/>
              <w:spacing w:before="0" w:beforeAutospacing="0" w:after="0" w:afterAutospacing="0" w:line="360" w:lineRule="auto"/>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jc w:val="center"/>
              <w:rPr>
                <w:rStyle w:val="85"/>
                <w:color w:val="auto"/>
                <w:sz w:val="24"/>
                <w:szCs w:val="24"/>
                <w:highlight w:val="none"/>
                <w:lang w:val="en-US"/>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highlight w:val="none"/>
              </w:rPr>
            </w:pPr>
          </w:p>
        </w:tc>
        <w:tc>
          <w:tcPr>
            <w:tcW w:w="88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合计（元）</w:t>
            </w:r>
          </w:p>
        </w:tc>
        <w:tc>
          <w:tcPr>
            <w:tcW w:w="7842"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highlight w:val="none"/>
              </w:rPr>
            </w:pPr>
            <w:r>
              <w:rPr>
                <w:rFonts w:hint="eastAsia" w:ascii="宋体" w:hAnsi="宋体" w:cs="宋体"/>
                <w:b/>
                <w:color w:val="auto"/>
                <w:sz w:val="24"/>
                <w:highlight w:val="none"/>
              </w:rPr>
              <w:t>重要提示：1、本表的每一页须加盖企业印章；2、本表内容涉及有国家标准的产品，须填写名称、品牌、型号及技术参数、报价等（若品牌、型号等填写的与实际不符，按照无效标处理）</w:t>
            </w:r>
          </w:p>
        </w:tc>
      </w:tr>
    </w:tbl>
    <w:p>
      <w:pPr>
        <w:pStyle w:val="16"/>
        <w:adjustRightInd w:val="0"/>
        <w:snapToGrid w:val="0"/>
        <w:spacing w:line="360" w:lineRule="auto"/>
        <w:ind w:firstLine="482" w:firstLineChars="200"/>
        <w:rPr>
          <w:rFonts w:hAnsi="宋体" w:cs="宋体"/>
          <w:b/>
          <w:color w:val="auto"/>
          <w:sz w:val="24"/>
          <w:highlight w:val="none"/>
          <w:lang w:bidi="ar"/>
        </w:rPr>
      </w:pPr>
      <w:r>
        <w:rPr>
          <w:rFonts w:hint="eastAsia" w:hAnsi="宋体"/>
          <w:b/>
          <w:bCs/>
          <w:color w:val="auto"/>
          <w:kern w:val="0"/>
          <w:sz w:val="24"/>
          <w:highlight w:val="none"/>
        </w:rPr>
        <w:t>注：投标供应商在系统进行第二轮报价时，需以附件方式上传第二轮报价表电子版(PDF格式)，未提供第二轮报价表电子版（PDF）的视为无效标处理。</w:t>
      </w:r>
    </w:p>
    <w:p>
      <w:pPr>
        <w:pStyle w:val="16"/>
        <w:adjustRightInd w:val="0"/>
        <w:snapToGrid w:val="0"/>
        <w:spacing w:line="360" w:lineRule="auto"/>
        <w:rPr>
          <w:rFonts w:hAnsi="Calibri"/>
          <w:color w:val="auto"/>
          <w:sz w:val="24"/>
          <w:szCs w:val="24"/>
          <w:highlight w:val="none"/>
        </w:rPr>
      </w:pPr>
    </w:p>
    <w:p>
      <w:pPr>
        <w:pStyle w:val="16"/>
        <w:adjustRightInd w:val="0"/>
        <w:snapToGrid w:val="0"/>
        <w:spacing w:line="360" w:lineRule="auto"/>
        <w:ind w:firstLine="480" w:firstLineChars="200"/>
        <w:jc w:val="right"/>
        <w:rPr>
          <w:rFonts w:hAnsi="Calibri"/>
          <w:color w:val="auto"/>
          <w:sz w:val="24"/>
          <w:szCs w:val="24"/>
          <w:highlight w:val="none"/>
        </w:rPr>
      </w:pPr>
      <w:r>
        <w:rPr>
          <w:rFonts w:hint="eastAsia" w:hAnsi="Calibri"/>
          <w:color w:val="auto"/>
          <w:sz w:val="24"/>
          <w:szCs w:val="24"/>
          <w:highlight w:val="none"/>
        </w:rPr>
        <w:t>供应商：（盖章）</w:t>
      </w:r>
    </w:p>
    <w:p>
      <w:pPr>
        <w:pStyle w:val="16"/>
        <w:adjustRightInd w:val="0"/>
        <w:snapToGrid w:val="0"/>
        <w:spacing w:line="360" w:lineRule="auto"/>
        <w:ind w:firstLine="480" w:firstLineChars="200"/>
        <w:jc w:val="right"/>
        <w:rPr>
          <w:rFonts w:hAnsi="Calibri"/>
          <w:color w:val="auto"/>
          <w:sz w:val="24"/>
          <w:szCs w:val="24"/>
          <w:highlight w:val="none"/>
        </w:rPr>
      </w:pPr>
      <w:r>
        <w:rPr>
          <w:rFonts w:hint="eastAsia" w:hAnsi="Calibri"/>
          <w:color w:val="auto"/>
          <w:sz w:val="24"/>
          <w:szCs w:val="24"/>
          <w:highlight w:val="none"/>
        </w:rPr>
        <w:t>法定代表人或授权委托代理人：（签字或盖章）</w:t>
      </w:r>
    </w:p>
    <w:p>
      <w:pPr>
        <w:pStyle w:val="16"/>
        <w:adjustRightInd w:val="0"/>
        <w:snapToGrid w:val="0"/>
        <w:spacing w:line="360" w:lineRule="auto"/>
        <w:ind w:firstLine="480" w:firstLineChars="200"/>
        <w:jc w:val="right"/>
        <w:rPr>
          <w:rFonts w:hAnsi="Calibri"/>
          <w:color w:val="auto"/>
          <w:sz w:val="24"/>
          <w:szCs w:val="24"/>
          <w:highlight w:val="none"/>
        </w:rPr>
      </w:pPr>
      <w:r>
        <w:rPr>
          <w:rFonts w:hint="eastAsia" w:hAnsi="Calibri"/>
          <w:color w:val="auto"/>
          <w:sz w:val="24"/>
          <w:szCs w:val="24"/>
          <w:highlight w:val="none"/>
        </w:rPr>
        <w:t>年    月     日</w:t>
      </w:r>
    </w:p>
    <w:p>
      <w:pPr>
        <w:pStyle w:val="4"/>
        <w:spacing w:before="0" w:after="0" w:line="360" w:lineRule="auto"/>
        <w:rPr>
          <w:rFonts w:ascii="宋体" w:hAnsi="宋体" w:cs="宋体"/>
          <w:color w:val="auto"/>
          <w:sz w:val="28"/>
          <w:szCs w:val="28"/>
          <w:highlight w:val="none"/>
        </w:rPr>
      </w:pPr>
      <w:bookmarkStart w:id="42" w:name="_Toc25259"/>
      <w:r>
        <w:rPr>
          <w:rFonts w:hint="eastAsia" w:ascii="宋体" w:hAnsi="宋体" w:cs="宋体"/>
          <w:color w:val="auto"/>
          <w:sz w:val="28"/>
          <w:szCs w:val="28"/>
          <w:highlight w:val="none"/>
        </w:rPr>
        <w:t>附件2：</w:t>
      </w:r>
      <w:bookmarkEnd w:id="42"/>
    </w:p>
    <w:p>
      <w:pPr>
        <w:rPr>
          <w:color w:val="auto"/>
          <w:highlight w:val="none"/>
        </w:rPr>
      </w:pPr>
    </w:p>
    <w:p>
      <w:pPr>
        <w:spacing w:line="360" w:lineRule="auto"/>
        <w:ind w:firstLine="562" w:firstLineChars="200"/>
        <w:jc w:val="center"/>
        <w:rPr>
          <w:b/>
          <w:bCs/>
          <w:color w:val="auto"/>
          <w:sz w:val="28"/>
          <w:szCs w:val="28"/>
          <w:highlight w:val="none"/>
        </w:rPr>
      </w:pPr>
      <w:r>
        <w:rPr>
          <w:rFonts w:hint="eastAsia"/>
          <w:b/>
          <w:bCs/>
          <w:color w:val="auto"/>
          <w:sz w:val="28"/>
          <w:szCs w:val="28"/>
          <w:highlight w:val="none"/>
        </w:rPr>
        <w:t>法定代表人身份证明</w:t>
      </w:r>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pPr>
        <w:pStyle w:val="4"/>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ascii="宋体" w:hAnsi="宋体"/>
          <w:color w:val="auto"/>
          <w:sz w:val="24"/>
          <w:highlight w:val="none"/>
        </w:rPr>
      </w:pPr>
    </w:p>
    <w:p>
      <w:pPr>
        <w:pStyle w:val="4"/>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r>
                        <w:rPr>
                          <w:rFonts w:hint="eastAsia" w:ascii="宋体" w:hAnsi="宋体"/>
                          <w:sz w:val="24"/>
                        </w:rPr>
                        <w:t>法定代表人身份证复印件粘贴处（正面）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r>
                        <w:rPr>
                          <w:rFonts w:hint="eastAsia" w:ascii="宋体" w:hAnsi="宋体"/>
                          <w:sz w:val="24"/>
                        </w:rPr>
                        <w:t>法定代表人身份证复印件粘贴处（背面）</w:t>
                      </w:r>
                    </w:p>
                  </w:txbxContent>
                </v:textbox>
              </v:shape>
            </w:pict>
          </mc:Fallback>
        </mc:AlternateContent>
      </w:r>
    </w:p>
    <w:p>
      <w:pP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 （盖单位章）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6480" w:firstLineChars="2700"/>
        <w:rPr>
          <w:rFonts w:ascii="宋体" w:hAnsi="宋体"/>
          <w:color w:val="auto"/>
          <w:sz w:val="24"/>
          <w:highlight w:val="none"/>
        </w:rPr>
      </w:pPr>
      <w:r>
        <w:rPr>
          <w:rFonts w:hint="eastAsia" w:ascii="宋体" w:hAnsi="宋体"/>
          <w:color w:val="auto"/>
          <w:sz w:val="24"/>
          <w:highlight w:val="none"/>
        </w:rPr>
        <w:t>年    月     日</w:t>
      </w:r>
    </w:p>
    <w:p>
      <w:pPr>
        <w:pStyle w:val="4"/>
        <w:spacing w:before="0" w:after="0" w:line="360" w:lineRule="auto"/>
        <w:rPr>
          <w:rFonts w:ascii="宋体" w:hAnsi="宋体" w:cs="宋体"/>
          <w:color w:val="auto"/>
          <w:highlight w:val="none"/>
        </w:rPr>
      </w:pPr>
      <w:bookmarkStart w:id="43" w:name="_Toc28332"/>
      <w:r>
        <w:rPr>
          <w:rFonts w:hint="eastAsia" w:ascii="宋体" w:hAnsi="宋体" w:cs="宋体"/>
          <w:color w:val="auto"/>
          <w:highlight w:val="none"/>
        </w:rPr>
        <w:t>附件3：</w:t>
      </w:r>
      <w:bookmarkEnd w:id="43"/>
    </w:p>
    <w:p>
      <w:pPr>
        <w:spacing w:line="360" w:lineRule="auto"/>
        <w:jc w:val="center"/>
        <w:rPr>
          <w:b/>
          <w:bCs/>
          <w:color w:val="auto"/>
          <w:sz w:val="28"/>
          <w:szCs w:val="28"/>
          <w:highlight w:val="none"/>
        </w:rPr>
      </w:pPr>
      <w:r>
        <w:rPr>
          <w:rFonts w:hint="eastAsia"/>
          <w:b/>
          <w:bCs/>
          <w:color w:val="auto"/>
          <w:sz w:val="28"/>
          <w:szCs w:val="28"/>
          <w:highlight w:val="none"/>
        </w:rPr>
        <w:t>授权委托书</w:t>
      </w:r>
    </w:p>
    <w:p>
      <w:pPr>
        <w:rPr>
          <w:color w:val="auto"/>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360" w:lineRule="auto"/>
        <w:ind w:firstLine="480" w:firstLineChars="200"/>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spacing w:line="360" w:lineRule="auto"/>
        <w:ind w:firstLine="480" w:firstLineChars="200"/>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5040" w:firstLineChars="2100"/>
        <w:rPr>
          <w:rFonts w:ascii="宋体" w:hAnsi="宋体"/>
          <w:color w:val="auto"/>
          <w:sz w:val="24"/>
          <w:highlight w:val="none"/>
        </w:rPr>
      </w:pPr>
    </w:p>
    <w:p>
      <w:pPr>
        <w:spacing w:line="360" w:lineRule="auto"/>
        <w:ind w:firstLine="5040" w:firstLineChars="2100"/>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spacing w:line="360" w:lineRule="auto"/>
        <w:jc w:val="left"/>
        <w:rPr>
          <w:rFonts w:ascii="宋体" w:hAnsi="宋体"/>
          <w:b/>
          <w:color w:val="auto"/>
          <w:sz w:val="28"/>
          <w:szCs w:val="28"/>
          <w:highlight w:val="none"/>
        </w:rPr>
      </w:pPr>
    </w:p>
    <w:p>
      <w:pPr>
        <w:widowControl/>
        <w:spacing w:line="360" w:lineRule="auto"/>
        <w:jc w:val="left"/>
        <w:rPr>
          <w:rFonts w:ascii="宋体" w:hAnsi="宋体"/>
          <w:b/>
          <w:color w:val="auto"/>
          <w:sz w:val="28"/>
          <w:szCs w:val="28"/>
          <w:highlight w:val="none"/>
        </w:rPr>
      </w:pPr>
      <w:r>
        <w:rPr>
          <w:rFonts w:hint="eastAsia" w:ascii="宋体" w:hAnsi="宋体"/>
          <w:b/>
          <w:color w:val="auto"/>
          <w:sz w:val="28"/>
          <w:szCs w:val="28"/>
          <w:highlight w:val="none"/>
        </w:rPr>
        <w:t>附件4：</w:t>
      </w:r>
    </w:p>
    <w:p>
      <w:pPr>
        <w:spacing w:line="360" w:lineRule="auto"/>
        <w:jc w:val="center"/>
        <w:rPr>
          <w:b/>
          <w:bCs/>
          <w:color w:val="auto"/>
          <w:sz w:val="28"/>
          <w:szCs w:val="28"/>
          <w:highlight w:val="none"/>
        </w:rPr>
      </w:pPr>
      <w:r>
        <w:rPr>
          <w:rFonts w:hint="eastAsia"/>
          <w:b/>
          <w:bCs/>
          <w:color w:val="auto"/>
          <w:sz w:val="28"/>
          <w:szCs w:val="28"/>
          <w:highlight w:val="none"/>
        </w:rPr>
        <w:t>供应商的资格证明承诺函</w:t>
      </w:r>
    </w:p>
    <w:p>
      <w:pPr>
        <w:rPr>
          <w:color w:val="auto"/>
          <w:highlight w:val="none"/>
        </w:rPr>
      </w:pPr>
    </w:p>
    <w:p>
      <w:pPr>
        <w:widowControl/>
        <w:spacing w:line="360" w:lineRule="auto"/>
        <w:jc w:val="left"/>
        <w:rPr>
          <w:rFonts w:ascii="宋体" w:hAnsi="宋体"/>
          <w:color w:val="auto"/>
          <w:sz w:val="24"/>
          <w:szCs w:val="21"/>
          <w:highlight w:val="none"/>
        </w:rPr>
      </w:pPr>
      <w:r>
        <w:rPr>
          <w:rFonts w:hint="eastAsia" w:ascii="宋体" w:hAnsi="宋体"/>
          <w:color w:val="auto"/>
          <w:sz w:val="24"/>
          <w:szCs w:val="21"/>
          <w:highlight w:val="none"/>
        </w:rPr>
        <w:t xml:space="preserve">致 (采购人)：_________________________________ </w:t>
      </w:r>
    </w:p>
    <w:p>
      <w:pPr>
        <w:widowControl/>
        <w:spacing w:line="360" w:lineRule="auto"/>
        <w:jc w:val="left"/>
        <w:rPr>
          <w:rFonts w:ascii="宋体" w:hAnsi="宋体"/>
          <w:color w:val="auto"/>
          <w:sz w:val="24"/>
          <w:szCs w:val="21"/>
          <w:highlight w:val="none"/>
        </w:rPr>
      </w:pPr>
      <w:r>
        <w:rPr>
          <w:rFonts w:hint="eastAsia" w:ascii="宋体" w:hAnsi="宋体"/>
          <w:color w:val="auto"/>
          <w:sz w:val="24"/>
          <w:szCs w:val="21"/>
          <w:highlight w:val="none"/>
        </w:rPr>
        <w:t>供应商名称： _________________________________</w:t>
      </w:r>
    </w:p>
    <w:p>
      <w:pPr>
        <w:widowControl/>
        <w:spacing w:line="360" w:lineRule="auto"/>
        <w:jc w:val="left"/>
        <w:rPr>
          <w:rFonts w:ascii="宋体" w:hAnsi="宋体"/>
          <w:color w:val="auto"/>
          <w:sz w:val="24"/>
          <w:szCs w:val="21"/>
          <w:highlight w:val="none"/>
        </w:rPr>
      </w:pPr>
      <w:r>
        <w:rPr>
          <w:rFonts w:hint="eastAsia" w:ascii="宋体" w:hAnsi="宋体"/>
          <w:color w:val="auto"/>
          <w:sz w:val="24"/>
          <w:szCs w:val="21"/>
          <w:highlight w:val="none"/>
        </w:rPr>
        <w:t xml:space="preserve">统一社会信用代码：_________________________________ </w:t>
      </w:r>
    </w:p>
    <w:p>
      <w:pPr>
        <w:widowControl/>
        <w:spacing w:line="360" w:lineRule="auto"/>
        <w:jc w:val="left"/>
        <w:rPr>
          <w:rFonts w:ascii="宋体" w:hAnsi="宋体"/>
          <w:color w:val="auto"/>
          <w:sz w:val="24"/>
          <w:szCs w:val="21"/>
          <w:highlight w:val="none"/>
        </w:rPr>
      </w:pPr>
      <w:r>
        <w:rPr>
          <w:rFonts w:hint="eastAsia" w:ascii="宋体" w:hAnsi="宋体"/>
          <w:color w:val="auto"/>
          <w:sz w:val="24"/>
          <w:szCs w:val="21"/>
          <w:highlight w:val="none"/>
        </w:rPr>
        <w:t>供应商地址：_________________________________</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我单位自愿参加本次政府采购活动，严格遵守《中华人民共和国政府采购法》及相关法律法规，依法诚信经营，无条件遵守本次政府采购活动的各项规定。我单位郑重承诺：</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一、我单位具有有效的营业执照（三证合一）</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 xml:space="preserve">二、我单位符合《中华人民共和国政府采购法》第二十二条规定的条件： </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 xml:space="preserve">1.我单位具有符合采购文件资格要求的独立承担民事责任的能力。 </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 xml:space="preserve">2.我单位具有符合采购文件资格要求的财务状况报告。 </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 xml:space="preserve">3.我单位具有符合采购文件资格要求的依法缴纳税收和社会保障记录的良好记录。 </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 xml:space="preserve">4.我单位具有符合采购文件资格要求的履行合同所必需的设备和专业技术能力。 </w:t>
      </w:r>
    </w:p>
    <w:p>
      <w:pPr>
        <w:widowControl/>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 xml:space="preserve">5.我单位参加政府采购活动前三年内，在经营活动中没有重大违法记录。 </w:t>
      </w:r>
    </w:p>
    <w:p>
      <w:pPr>
        <w:rPr>
          <w:color w:val="auto"/>
          <w:highlight w:val="none"/>
        </w:rPr>
      </w:pPr>
    </w:p>
    <w:p>
      <w:pPr>
        <w:pStyle w:val="4"/>
        <w:spacing w:line="400" w:lineRule="exact"/>
        <w:ind w:firstLine="482" w:firstLineChars="200"/>
        <w:rPr>
          <w:rFonts w:ascii="宋体" w:hAnsi="宋体"/>
          <w:color w:val="auto"/>
          <w:sz w:val="24"/>
          <w:szCs w:val="21"/>
          <w:highlight w:val="none"/>
        </w:rPr>
      </w:pPr>
      <w:bookmarkStart w:id="44" w:name="_Toc7407"/>
      <w:r>
        <w:rPr>
          <w:rFonts w:hint="eastAsia" w:ascii="宋体" w:hAnsi="宋体"/>
          <w:color w:val="auto"/>
          <w:sz w:val="24"/>
          <w:szCs w:val="21"/>
          <w:highlight w:val="none"/>
        </w:rPr>
        <w:t>若我单位承诺不实，自愿承担提供虚假材料谋取中标、成交的法律责任。</w:t>
      </w:r>
      <w:bookmarkEnd w:id="44"/>
      <w:r>
        <w:rPr>
          <w:rFonts w:hint="eastAsia" w:ascii="宋体" w:hAnsi="宋体"/>
          <w:color w:val="auto"/>
          <w:sz w:val="24"/>
          <w:szCs w:val="21"/>
          <w:highlight w:val="none"/>
        </w:rPr>
        <w:t xml:space="preserve"> </w:t>
      </w:r>
    </w:p>
    <w:p>
      <w:pPr>
        <w:rPr>
          <w:color w:val="auto"/>
          <w:highlight w:val="none"/>
        </w:rPr>
      </w:pPr>
    </w:p>
    <w:p>
      <w:pPr>
        <w:widowControl/>
        <w:spacing w:line="480" w:lineRule="exact"/>
        <w:jc w:val="right"/>
        <w:rPr>
          <w:rFonts w:ascii="宋体" w:hAnsi="宋体"/>
          <w:color w:val="auto"/>
          <w:sz w:val="24"/>
          <w:szCs w:val="21"/>
          <w:highlight w:val="none"/>
        </w:rPr>
      </w:pPr>
      <w:r>
        <w:rPr>
          <w:rFonts w:hint="eastAsia" w:ascii="宋体" w:hAnsi="宋体"/>
          <w:color w:val="auto"/>
          <w:sz w:val="24"/>
          <w:szCs w:val="21"/>
          <w:highlight w:val="none"/>
        </w:rPr>
        <w:t xml:space="preserve">承诺供应商（全称并加盖公章）：__________________ </w:t>
      </w:r>
    </w:p>
    <w:p>
      <w:pPr>
        <w:widowControl/>
        <w:spacing w:line="480" w:lineRule="exact"/>
        <w:jc w:val="right"/>
        <w:rPr>
          <w:rFonts w:ascii="宋体" w:hAnsi="宋体"/>
          <w:color w:val="auto"/>
          <w:sz w:val="24"/>
          <w:szCs w:val="21"/>
          <w:highlight w:val="none"/>
        </w:rPr>
      </w:pPr>
      <w:r>
        <w:rPr>
          <w:rFonts w:hint="eastAsia" w:ascii="宋体" w:hAnsi="宋体"/>
          <w:color w:val="auto"/>
          <w:sz w:val="24"/>
          <w:szCs w:val="21"/>
          <w:highlight w:val="none"/>
        </w:rPr>
        <w:t xml:space="preserve">法定代表人或授权代表(签字或盖章)：__________________ </w:t>
      </w:r>
    </w:p>
    <w:p>
      <w:pPr>
        <w:widowControl/>
        <w:spacing w:line="480" w:lineRule="exact"/>
        <w:jc w:val="right"/>
        <w:rPr>
          <w:rFonts w:ascii="宋体" w:hAnsi="宋体"/>
          <w:color w:val="auto"/>
          <w:sz w:val="24"/>
          <w:szCs w:val="21"/>
          <w:highlight w:val="none"/>
        </w:rPr>
      </w:pPr>
      <w:r>
        <w:rPr>
          <w:rFonts w:hint="eastAsia" w:ascii="宋体" w:hAnsi="宋体"/>
          <w:color w:val="auto"/>
          <w:sz w:val="24"/>
          <w:szCs w:val="21"/>
          <w:highlight w:val="none"/>
        </w:rPr>
        <w:t>日期：_____年___ 月____日</w:t>
      </w:r>
    </w:p>
    <w:p>
      <w:pPr>
        <w:spacing w:line="520" w:lineRule="exact"/>
        <w:ind w:firstLine="480" w:firstLineChars="200"/>
        <w:jc w:val="left"/>
        <w:rPr>
          <w:rFonts w:ascii="宋体" w:hAnsi="宋体"/>
          <w:color w:val="auto"/>
          <w:sz w:val="24"/>
          <w:highlight w:val="none"/>
        </w:rPr>
      </w:pPr>
    </w:p>
    <w:p>
      <w:pPr>
        <w:spacing w:line="360" w:lineRule="auto"/>
        <w:rPr>
          <w:b/>
          <w:color w:val="auto"/>
          <w:sz w:val="32"/>
          <w:szCs w:val="32"/>
          <w:highlight w:val="none"/>
        </w:rPr>
      </w:pPr>
      <w:r>
        <w:rPr>
          <w:rFonts w:hint="eastAsia" w:ascii="宋体" w:hAnsi="宋体"/>
          <w:b/>
          <w:color w:val="auto"/>
          <w:sz w:val="28"/>
          <w:szCs w:val="28"/>
          <w:highlight w:val="none"/>
        </w:rPr>
        <w:t>附件5：</w:t>
      </w:r>
    </w:p>
    <w:p>
      <w:pPr>
        <w:spacing w:line="360" w:lineRule="auto"/>
        <w:ind w:firstLine="643" w:firstLineChars="200"/>
        <w:jc w:val="center"/>
        <w:rPr>
          <w:b/>
          <w:color w:val="auto"/>
          <w:sz w:val="32"/>
          <w:szCs w:val="32"/>
          <w:highlight w:val="none"/>
        </w:rPr>
      </w:pPr>
    </w:p>
    <w:p>
      <w:pPr>
        <w:spacing w:line="360" w:lineRule="auto"/>
        <w:ind w:firstLine="562" w:firstLineChars="200"/>
        <w:jc w:val="center"/>
        <w:rPr>
          <w:b/>
          <w:bCs/>
          <w:color w:val="auto"/>
          <w:sz w:val="28"/>
          <w:szCs w:val="28"/>
          <w:highlight w:val="none"/>
        </w:rPr>
      </w:pPr>
      <w:r>
        <w:rPr>
          <w:rFonts w:hint="eastAsia"/>
          <w:b/>
          <w:bCs/>
          <w:color w:val="auto"/>
          <w:sz w:val="28"/>
          <w:szCs w:val="28"/>
          <w:highlight w:val="none"/>
        </w:rPr>
        <w:t>供应商的服务承诺及优惠承诺</w:t>
      </w:r>
    </w:p>
    <w:p>
      <w:pPr>
        <w:widowControl/>
        <w:spacing w:line="360" w:lineRule="auto"/>
        <w:jc w:val="left"/>
        <w:rPr>
          <w:rFonts w:ascii="宋体" w:hAnsi="宋体"/>
          <w:color w:val="auto"/>
          <w:kern w:val="0"/>
          <w:sz w:val="2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spacing w:line="360" w:lineRule="auto"/>
        <w:ind w:firstLine="643" w:firstLineChars="200"/>
        <w:jc w:val="center"/>
        <w:rPr>
          <w:b/>
          <w:color w:val="auto"/>
          <w:sz w:val="32"/>
          <w:szCs w:val="32"/>
          <w:highlight w:val="none"/>
        </w:rPr>
      </w:pPr>
    </w:p>
    <w:p>
      <w:pPr>
        <w:spacing w:line="360" w:lineRule="auto"/>
        <w:jc w:val="center"/>
        <w:rPr>
          <w:b/>
          <w:bCs/>
          <w:color w:val="auto"/>
          <w:sz w:val="28"/>
          <w:szCs w:val="28"/>
          <w:highlight w:val="none"/>
        </w:rPr>
      </w:pPr>
      <w:r>
        <w:rPr>
          <w:rFonts w:hint="eastAsia"/>
          <w:b/>
          <w:bCs/>
          <w:color w:val="auto"/>
          <w:sz w:val="28"/>
          <w:szCs w:val="28"/>
          <w:highlight w:val="none"/>
        </w:rPr>
        <w:t>供应商所投产品属于政府采购清单规定的节能环保产品的证明材料</w:t>
      </w:r>
    </w:p>
    <w:p>
      <w:pPr>
        <w:spacing w:line="360" w:lineRule="auto"/>
        <w:jc w:val="center"/>
        <w:rPr>
          <w:b/>
          <w:bCs/>
          <w:color w:val="auto"/>
          <w:sz w:val="28"/>
          <w:szCs w:val="28"/>
          <w:highlight w:val="none"/>
        </w:rPr>
      </w:pPr>
      <w:r>
        <w:rPr>
          <w:rFonts w:hint="eastAsia"/>
          <w:b/>
          <w:bCs/>
          <w:color w:val="auto"/>
          <w:sz w:val="28"/>
          <w:szCs w:val="28"/>
          <w:highlight w:val="none"/>
        </w:rPr>
        <w:t>（如有）</w:t>
      </w:r>
    </w:p>
    <w:p>
      <w:pPr>
        <w:widowControl/>
        <w:spacing w:line="360" w:lineRule="auto"/>
        <w:jc w:val="left"/>
        <w:rPr>
          <w:b/>
          <w:color w:val="auto"/>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spacing w:line="360" w:lineRule="auto"/>
        <w:jc w:val="center"/>
        <w:rPr>
          <w:b/>
          <w:bCs/>
          <w:color w:val="auto"/>
          <w:sz w:val="28"/>
          <w:szCs w:val="28"/>
          <w:highlight w:val="none"/>
        </w:rPr>
      </w:pPr>
      <w:r>
        <w:rPr>
          <w:rFonts w:hint="eastAsia"/>
          <w:b/>
          <w:bCs/>
          <w:color w:val="auto"/>
          <w:sz w:val="28"/>
          <w:szCs w:val="28"/>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，我单位不得要求退出竞标或者修改响应性文件且</w:t>
      </w:r>
      <w:r>
        <w:rPr>
          <w:rFonts w:ascii="宋体" w:hAnsi="宋体"/>
          <w:color w:val="auto"/>
          <w:sz w:val="24"/>
          <w:highlight w:val="none"/>
        </w:rPr>
        <w:t>对递交的</w:t>
      </w:r>
      <w:r>
        <w:rPr>
          <w:rFonts w:hint="eastAsia" w:ascii="宋体" w:hAnsi="宋体"/>
          <w:color w:val="auto"/>
          <w:sz w:val="24"/>
          <w:highlight w:val="none"/>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360" w:lineRule="auto"/>
        <w:ind w:firstLine="480" w:firstLineChars="200"/>
        <w:jc w:val="left"/>
        <w:rPr>
          <w:color w:val="auto"/>
          <w:highlight w:val="none"/>
        </w:rPr>
      </w:pPr>
      <w:r>
        <w:rPr>
          <w:rFonts w:hint="eastAsia" w:ascii="宋体" w:hAnsi="宋体"/>
          <w:color w:val="auto"/>
          <w:sz w:val="24"/>
          <w:highlight w:val="none"/>
        </w:rPr>
        <w:t>4、</w:t>
      </w:r>
      <w:r>
        <w:rPr>
          <w:rFonts w:hint="eastAsia" w:ascii="宋体" w:hAnsi="宋体" w:cs="宋体"/>
          <w:color w:val="auto"/>
          <w:sz w:val="24"/>
          <w:highlight w:val="none"/>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6、不存在法律法规规定的其他违法违规行为。</w:t>
      </w:r>
    </w:p>
    <w:p>
      <w:pPr>
        <w:rPr>
          <w:color w:val="auto"/>
          <w:highlight w:val="none"/>
        </w:rPr>
      </w:pPr>
    </w:p>
    <w:p>
      <w:pPr>
        <w:pStyle w:val="16"/>
        <w:adjustRightInd w:val="0"/>
        <w:snapToGrid w:val="0"/>
        <w:spacing w:line="360" w:lineRule="auto"/>
        <w:ind w:firstLine="480" w:firstLineChars="200"/>
        <w:jc w:val="right"/>
        <w:rPr>
          <w:rFonts w:hAnsi="宋体"/>
          <w:color w:val="auto"/>
          <w:sz w:val="24"/>
          <w:highlight w:val="none"/>
        </w:rPr>
      </w:pPr>
      <w:r>
        <w:rPr>
          <w:rFonts w:hint="eastAsia" w:hAnsi="宋体"/>
          <w:color w:val="auto"/>
          <w:sz w:val="24"/>
          <w:highlight w:val="none"/>
        </w:rPr>
        <w:t xml:space="preserve">                  供应商（盖章）： </w:t>
      </w:r>
    </w:p>
    <w:p>
      <w:pPr>
        <w:pStyle w:val="16"/>
        <w:adjustRightInd w:val="0"/>
        <w:snapToGrid w:val="0"/>
        <w:spacing w:line="360" w:lineRule="auto"/>
        <w:ind w:firstLine="480" w:firstLineChars="200"/>
        <w:jc w:val="right"/>
        <w:rPr>
          <w:rFonts w:hAnsi="Calibri"/>
          <w:color w:val="auto"/>
          <w:sz w:val="24"/>
          <w:szCs w:val="24"/>
          <w:highlight w:val="none"/>
        </w:rPr>
      </w:pPr>
      <w:r>
        <w:rPr>
          <w:rFonts w:hint="eastAsia" w:hAnsi="宋体"/>
          <w:color w:val="auto"/>
          <w:sz w:val="24"/>
          <w:highlight w:val="none"/>
        </w:rPr>
        <w:t xml:space="preserve"> </w:t>
      </w:r>
      <w:r>
        <w:rPr>
          <w:rFonts w:hint="eastAsia" w:hAnsi="Calibri"/>
          <w:color w:val="auto"/>
          <w:sz w:val="24"/>
          <w:szCs w:val="24"/>
          <w:highlight w:val="none"/>
        </w:rPr>
        <w:t>年    月     日</w:t>
      </w:r>
    </w:p>
    <w:p>
      <w:pPr>
        <w:spacing w:line="520" w:lineRule="exact"/>
        <w:rPr>
          <w:b/>
          <w:color w:val="auto"/>
          <w:sz w:val="44"/>
          <w:szCs w:val="44"/>
          <w:highlight w:val="none"/>
        </w:rPr>
      </w:pPr>
      <w:r>
        <w:rPr>
          <w:rFonts w:hint="eastAsia" w:ascii="宋体" w:hAnsi="宋体"/>
          <w:b/>
          <w:color w:val="auto"/>
          <w:sz w:val="28"/>
          <w:szCs w:val="28"/>
          <w:highlight w:val="none"/>
        </w:rPr>
        <w:t>附件8：</w:t>
      </w:r>
      <w:r>
        <w:rPr>
          <w:rFonts w:hint="eastAsia" w:ascii="宋体" w:hAnsi="宋体"/>
          <w:color w:val="auto"/>
          <w:sz w:val="24"/>
          <w:highlight w:val="none"/>
        </w:rPr>
        <w:t xml:space="preserve">    </w:t>
      </w:r>
    </w:p>
    <w:p>
      <w:pPr>
        <w:spacing w:line="360" w:lineRule="auto"/>
        <w:ind w:firstLine="562" w:firstLineChars="200"/>
        <w:jc w:val="center"/>
        <w:rPr>
          <w:b/>
          <w:bCs/>
          <w:color w:val="auto"/>
          <w:sz w:val="28"/>
          <w:szCs w:val="28"/>
          <w:highlight w:val="none"/>
        </w:rPr>
      </w:pPr>
      <w:r>
        <w:rPr>
          <w:rFonts w:hint="eastAsia"/>
          <w:b/>
          <w:bCs/>
          <w:color w:val="auto"/>
          <w:sz w:val="28"/>
          <w:szCs w:val="28"/>
          <w:highlight w:val="none"/>
        </w:rPr>
        <w:t>中小企业声明函（如有）</w:t>
      </w:r>
    </w:p>
    <w:p>
      <w:pPr>
        <w:jc w:val="center"/>
        <w:rPr>
          <w:rFonts w:ascii="宋体" w:hAnsi="宋体" w:cs="宋体"/>
          <w:b/>
          <w:bCs/>
          <w:color w:val="auto"/>
          <w:sz w:val="28"/>
          <w:szCs w:val="28"/>
          <w:highlight w:val="none"/>
        </w:rPr>
      </w:pPr>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 企业发展管理办法》（财库﹝2020﹞46 号）的规定，本公司 （联合体）参加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pPr>
        <w:numPr>
          <w:ilvl w:val="0"/>
          <w:numId w:val="10"/>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（中型企业、小型企业、微型企业）</w:t>
      </w:r>
      <w:r>
        <w:rPr>
          <w:rFonts w:ascii="宋体" w:hAnsi="宋体" w:cs="宋体"/>
          <w:color w:val="auto"/>
          <w:sz w:val="24"/>
          <w:highlight w:val="none"/>
        </w:rPr>
        <w:t>；</w:t>
      </w:r>
    </w:p>
    <w:p>
      <w:pPr>
        <w:numPr>
          <w:ilvl w:val="0"/>
          <w:numId w:val="10"/>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（中型企业、小型企业、微型企业）</w:t>
      </w:r>
      <w:r>
        <w:rPr>
          <w:rFonts w:ascii="宋体" w:hAnsi="宋体" w:cs="宋体"/>
          <w:color w:val="auto"/>
          <w:sz w:val="24"/>
          <w:highlight w:val="none"/>
        </w:rPr>
        <w:t>；</w:t>
      </w:r>
    </w:p>
    <w:p>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企业名称（盖章）：</w:t>
      </w: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pPr>
        <w:pStyle w:val="28"/>
        <w:ind w:firstLine="480"/>
        <w:rPr>
          <w:rFonts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45" w:name="_Toc12390"/>
      <w:bookmarkStart w:id="46" w:name="_Toc352061202"/>
      <w:bookmarkStart w:id="47" w:name="_Toc309736882"/>
    </w:p>
    <w:bookmarkEnd w:id="45"/>
    <w:bookmarkEnd w:id="46"/>
    <w:bookmarkEnd w:id="47"/>
    <w:p>
      <w:pPr>
        <w:widowControl/>
        <w:tabs>
          <w:tab w:val="left" w:pos="735"/>
        </w:tabs>
        <w:spacing w:line="360" w:lineRule="auto"/>
        <w:rPr>
          <w:rFonts w:ascii="宋体" w:hAnsi="宋体"/>
          <w:b/>
          <w:color w:val="auto"/>
          <w:sz w:val="28"/>
          <w:szCs w:val="28"/>
          <w:highlight w:val="none"/>
        </w:rPr>
      </w:pPr>
    </w:p>
    <w:p>
      <w:pPr>
        <w:pStyle w:val="45"/>
        <w:framePr w:wrap="around"/>
        <w:rPr>
          <w:rFonts w:ascii="宋体" w:hAnsi="宋体"/>
          <w:b/>
          <w:color w:val="auto"/>
          <w:sz w:val="28"/>
          <w:szCs w:val="28"/>
          <w:highlight w:val="none"/>
        </w:rPr>
      </w:pPr>
    </w:p>
    <w:p>
      <w:pPr>
        <w:pStyle w:val="11"/>
        <w:ind w:firstLine="420"/>
        <w:rPr>
          <w:color w:val="auto"/>
          <w:highlight w:val="none"/>
        </w:rPr>
      </w:pPr>
    </w:p>
    <w:p>
      <w:pPr>
        <w:widowControl/>
        <w:tabs>
          <w:tab w:val="left" w:pos="735"/>
        </w:tabs>
        <w:spacing w:line="360" w:lineRule="auto"/>
        <w:rPr>
          <w:rFonts w:ascii="宋体" w:hAnsi="宋体"/>
          <w:color w:val="auto"/>
          <w:kern w:val="0"/>
          <w:sz w:val="24"/>
          <w:highlight w:val="none"/>
        </w:rPr>
      </w:pPr>
      <w:r>
        <w:rPr>
          <w:rFonts w:hint="eastAsia" w:ascii="宋体" w:hAnsi="宋体"/>
          <w:b/>
          <w:color w:val="auto"/>
          <w:sz w:val="28"/>
          <w:szCs w:val="28"/>
          <w:highlight w:val="none"/>
        </w:rPr>
        <w:t>附件9：</w:t>
      </w:r>
    </w:p>
    <w:p>
      <w:pPr>
        <w:spacing w:line="360" w:lineRule="auto"/>
        <w:ind w:firstLine="562" w:firstLineChars="200"/>
        <w:jc w:val="center"/>
        <w:rPr>
          <w:b/>
          <w:bCs/>
          <w:color w:val="auto"/>
          <w:sz w:val="28"/>
          <w:szCs w:val="28"/>
          <w:highlight w:val="none"/>
        </w:rPr>
      </w:pPr>
      <w:bookmarkStart w:id="48" w:name="_Toc30170"/>
      <w:bookmarkStart w:id="49" w:name="_Toc14292"/>
    </w:p>
    <w:p>
      <w:pPr>
        <w:spacing w:line="360" w:lineRule="auto"/>
        <w:ind w:firstLine="562" w:firstLineChars="200"/>
        <w:jc w:val="center"/>
        <w:rPr>
          <w:b/>
          <w:bCs/>
          <w:color w:val="auto"/>
          <w:sz w:val="28"/>
          <w:szCs w:val="28"/>
          <w:highlight w:val="none"/>
        </w:rPr>
      </w:pPr>
      <w:r>
        <w:rPr>
          <w:rFonts w:hint="eastAsia"/>
          <w:b/>
          <w:bCs/>
          <w:color w:val="auto"/>
          <w:sz w:val="28"/>
          <w:szCs w:val="28"/>
          <w:highlight w:val="none"/>
        </w:rPr>
        <w:t>残疾人福利性单位声明函（如有）</w:t>
      </w:r>
    </w:p>
    <w:bookmarkEnd w:id="48"/>
    <w:bookmarkEnd w:id="49"/>
    <w:p>
      <w:pPr>
        <w:widowControl/>
        <w:tabs>
          <w:tab w:val="left" w:pos="735"/>
        </w:tabs>
        <w:spacing w:line="360" w:lineRule="auto"/>
        <w:rPr>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附件10：</w:t>
      </w:r>
    </w:p>
    <w:p>
      <w:pPr>
        <w:spacing w:line="360" w:lineRule="auto"/>
        <w:ind w:firstLine="643" w:firstLineChars="200"/>
        <w:jc w:val="center"/>
        <w:rPr>
          <w:b/>
          <w:color w:val="auto"/>
          <w:sz w:val="32"/>
          <w:szCs w:val="32"/>
          <w:highlight w:val="none"/>
        </w:rPr>
      </w:pPr>
    </w:p>
    <w:p>
      <w:pPr>
        <w:spacing w:line="360" w:lineRule="auto"/>
        <w:ind w:firstLine="562" w:firstLineChars="200"/>
        <w:jc w:val="center"/>
        <w:rPr>
          <w:b/>
          <w:bCs/>
          <w:color w:val="auto"/>
          <w:sz w:val="28"/>
          <w:szCs w:val="28"/>
          <w:highlight w:val="none"/>
        </w:rPr>
      </w:pPr>
      <w:r>
        <w:rPr>
          <w:rFonts w:hint="eastAsia"/>
          <w:b/>
          <w:bCs/>
          <w:color w:val="auto"/>
          <w:sz w:val="28"/>
          <w:szCs w:val="28"/>
          <w:highlight w:val="none"/>
        </w:rPr>
        <w:t>竞争性谈判文件要求的或供应商认为需要加以说明的其他内容</w:t>
      </w:r>
    </w:p>
    <w:p>
      <w:pPr>
        <w:spacing w:line="360" w:lineRule="auto"/>
        <w:ind w:firstLine="562" w:firstLineChars="200"/>
        <w:jc w:val="center"/>
        <w:rPr>
          <w:b/>
          <w:bCs/>
          <w:color w:val="auto"/>
          <w:sz w:val="28"/>
          <w:szCs w:val="28"/>
          <w:highlight w:val="none"/>
        </w:rPr>
      </w:pPr>
      <w:r>
        <w:rPr>
          <w:rFonts w:hint="eastAsia"/>
          <w:b/>
          <w:bCs/>
          <w:color w:val="auto"/>
          <w:sz w:val="28"/>
          <w:szCs w:val="28"/>
          <w:highlight w:val="none"/>
        </w:rPr>
        <w:br w:type="page"/>
      </w:r>
    </w:p>
    <w:p>
      <w:pPr>
        <w:pStyle w:val="3"/>
        <w:spacing w:before="100" w:after="90" w:line="579" w:lineRule="auto"/>
        <w:jc w:val="center"/>
        <w:rPr>
          <w:rFonts w:ascii="微软雅黑" w:hAnsi="微软雅黑" w:eastAsia="微软雅黑" w:cs="微软雅黑"/>
          <w:b w:val="0"/>
          <w:bCs w:val="0"/>
          <w:color w:val="auto"/>
          <w:highlight w:val="none"/>
        </w:rPr>
      </w:pPr>
      <w:bookmarkStart w:id="50" w:name="_Toc21790"/>
      <w:r>
        <w:rPr>
          <w:rFonts w:hint="eastAsia" w:ascii="微软雅黑" w:hAnsi="微软雅黑" w:eastAsia="微软雅黑" w:cs="微软雅黑"/>
          <w:b w:val="0"/>
          <w:bCs w:val="0"/>
          <w:color w:val="auto"/>
          <w:highlight w:val="none"/>
        </w:rPr>
        <w:t>优化和提升政府采购政策</w:t>
      </w:r>
      <w:bookmarkEnd w:id="50"/>
    </w:p>
    <w:p>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rPr>
        <w:t>6%</w:t>
      </w:r>
      <w:r>
        <w:rPr>
          <w:rFonts w:hint="eastAsia" w:ascii="仿宋_GB2312" w:hAnsi="宋体" w:eastAsia="仿宋_GB2312" w:cs="宋体"/>
          <w:color w:val="auto"/>
          <w:sz w:val="28"/>
          <w:szCs w:val="28"/>
          <w:highlight w:val="none"/>
        </w:rPr>
        <w:t>，并按约定的时间和条件退还。</w:t>
      </w:r>
    </w:p>
    <w:p>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三、评标结果确认时限。自评标（评审）结束后应2个工作日内确定中标（成交）供应商，5个工作日内公告结果，同时发送中标（成交）通知书。</w:t>
      </w:r>
    </w:p>
    <w:p>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监督单位：博爱县财政局政府采购监督管理办公室</w:t>
      </w:r>
    </w:p>
    <w:p>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地址：博爱县发展大道188号机关综合办公楼主楼1213室</w:t>
      </w:r>
    </w:p>
    <w:p>
      <w:pPr>
        <w:spacing w:line="360" w:lineRule="auto"/>
        <w:ind w:firstLine="883" w:firstLineChars="200"/>
        <w:jc w:val="center"/>
        <w:rPr>
          <w:rFonts w:ascii="宋体" w:hAnsi="宋体" w:cs="宋体"/>
          <w:b/>
          <w:color w:val="auto"/>
          <w:sz w:val="44"/>
          <w:szCs w:val="44"/>
          <w:highlight w:val="none"/>
        </w:rPr>
      </w:pPr>
    </w:p>
    <w:p>
      <w:pPr>
        <w:pStyle w:val="45"/>
        <w:framePr w:wrap="around"/>
        <w:rPr>
          <w:rFonts w:ascii="宋体" w:hAnsi="宋体" w:cs="宋体"/>
          <w:b/>
          <w:color w:val="auto"/>
          <w:sz w:val="44"/>
          <w:szCs w:val="44"/>
          <w:highlight w:val="none"/>
        </w:rPr>
      </w:pPr>
    </w:p>
    <w:p>
      <w:pPr>
        <w:pStyle w:val="11"/>
        <w:ind w:firstLine="420"/>
        <w:rPr>
          <w:color w:val="auto"/>
          <w:highlight w:val="none"/>
        </w:rPr>
      </w:pPr>
    </w:p>
    <w:p>
      <w:pPr>
        <w:pStyle w:val="3"/>
        <w:spacing w:before="100" w:after="90" w:line="579" w:lineRule="auto"/>
        <w:jc w:val="center"/>
        <w:rPr>
          <w:rFonts w:ascii="微软雅黑" w:hAnsi="微软雅黑" w:eastAsia="微软雅黑" w:cs="微软雅黑"/>
          <w:b w:val="0"/>
          <w:bCs w:val="0"/>
          <w:color w:val="auto"/>
          <w:highlight w:val="none"/>
        </w:rPr>
      </w:pPr>
      <w:bookmarkStart w:id="51" w:name="_Toc11991"/>
      <w:r>
        <w:rPr>
          <w:rFonts w:hint="eastAsia" w:ascii="微软雅黑" w:hAnsi="微软雅黑" w:eastAsia="微软雅黑" w:cs="微软雅黑"/>
          <w:b w:val="0"/>
          <w:bCs w:val="0"/>
          <w:color w:val="auto"/>
          <w:highlight w:val="none"/>
        </w:rPr>
        <w:t>政府采购合同融资政策</w:t>
      </w:r>
      <w:bookmarkEnd w:id="51"/>
    </w:p>
    <w:p>
      <w:pPr>
        <w:spacing w:line="360" w:lineRule="auto"/>
        <w:ind w:firstLine="600" w:firstLineChars="200"/>
        <w:rPr>
          <w:rFonts w:ascii="仿宋_GB2312" w:eastAsia="仿宋_GB2312"/>
          <w:color w:val="auto"/>
          <w:sz w:val="30"/>
          <w:szCs w:val="30"/>
          <w:highlight w:val="none"/>
        </w:rPr>
      </w:pPr>
      <w:r>
        <w:rPr>
          <w:rFonts w:hint="eastAsia" w:ascii="仿宋_GB2312" w:hAnsi="宋体" w:eastAsia="仿宋_GB2312" w:cs="宋体"/>
          <w:color w:val="auto"/>
          <w:sz w:val="30"/>
          <w:szCs w:val="30"/>
          <w:highlight w:val="none"/>
        </w:rPr>
        <w:t>为充分发挥政府采购合同资金支付有保障的优势，</w:t>
      </w:r>
      <w:r>
        <w:rPr>
          <w:rFonts w:hint="eastAsia" w:ascii="仿宋_GB2312" w:eastAsia="仿宋_GB2312"/>
          <w:color w:val="auto"/>
          <w:sz w:val="30"/>
          <w:szCs w:val="30"/>
          <w:highlight w:val="none"/>
        </w:rPr>
        <w:t>进一步优化我市营商环境，针对中小微企业融资难、融资贵问题，焦作市财政局联合有关部门推出了</w:t>
      </w:r>
      <w:r>
        <w:rPr>
          <w:rFonts w:ascii="仿宋_GB2312" w:eastAsia="仿宋_GB2312"/>
          <w:color w:val="auto"/>
          <w:sz w:val="30"/>
          <w:szCs w:val="30"/>
          <w:highlight w:val="none"/>
        </w:rPr>
        <w:t>以政府采购</w:t>
      </w:r>
      <w:r>
        <w:rPr>
          <w:rFonts w:hint="eastAsia" w:ascii="仿宋_GB2312" w:eastAsia="仿宋_GB2312"/>
          <w:color w:val="auto"/>
          <w:sz w:val="30"/>
          <w:szCs w:val="30"/>
          <w:highlight w:val="none"/>
        </w:rPr>
        <w:t>合同</w:t>
      </w:r>
      <w:r>
        <w:rPr>
          <w:rFonts w:ascii="仿宋_GB2312" w:eastAsia="仿宋_GB2312"/>
          <w:color w:val="auto"/>
          <w:sz w:val="30"/>
          <w:szCs w:val="30"/>
          <w:highlight w:val="none"/>
        </w:rPr>
        <w:t>预期支付能力为信用</w:t>
      </w:r>
      <w:r>
        <w:rPr>
          <w:rFonts w:hint="eastAsia" w:ascii="仿宋_GB2312" w:eastAsia="仿宋_GB2312"/>
          <w:color w:val="auto"/>
          <w:sz w:val="30"/>
          <w:szCs w:val="30"/>
          <w:highlight w:val="none"/>
        </w:rPr>
        <w:t>的融资政策。</w:t>
      </w:r>
    </w:p>
    <w:p>
      <w:pPr>
        <w:spacing w:line="360" w:lineRule="auto"/>
        <w:ind w:firstLine="600" w:firstLineChars="200"/>
        <w:rPr>
          <w:rFonts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0"/>
          <w:szCs w:val="30"/>
          <w:highlight w:val="none"/>
        </w:rPr>
        <w:t>无抵押、免担保、低利率的的</w:t>
      </w:r>
      <w:r>
        <w:rPr>
          <w:rFonts w:hint="eastAsia" w:ascii="仿宋_GB2312" w:hAnsi="宋体" w:eastAsia="仿宋_GB2312" w:cs="宋体"/>
          <w:color w:val="auto"/>
          <w:sz w:val="30"/>
          <w:szCs w:val="30"/>
          <w:highlight w:val="none"/>
        </w:rPr>
        <w:t>融资产品。</w:t>
      </w:r>
    </w:p>
    <w:p>
      <w:pPr>
        <w:spacing w:line="360" w:lineRule="auto"/>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政府采购项目中标（成交）的供应商，有融资意向的，</w:t>
      </w:r>
      <w:r>
        <w:rPr>
          <w:rFonts w:hint="eastAsia" w:ascii="仿宋_GB2312" w:hAnsi="方正仿宋_GBK" w:eastAsia="仿宋_GB2312"/>
          <w:color w:val="auto"/>
          <w:sz w:val="30"/>
          <w:szCs w:val="30"/>
          <w:highlight w:val="none"/>
        </w:rPr>
        <w:t>可登陆“焦作市政府采购网”（网址：</w:t>
      </w:r>
      <w:r>
        <w:rPr>
          <w:color w:val="auto"/>
          <w:highlight w:val="none"/>
        </w:rPr>
        <w:fldChar w:fldCharType="begin"/>
      </w:r>
      <w:r>
        <w:rPr>
          <w:color w:val="auto"/>
          <w:highlight w:val="none"/>
        </w:rPr>
        <w:instrText xml:space="preserve"> HYPERLINK "http://jiaozuo.hngp.gov.cn）de" </w:instrText>
      </w:r>
      <w:r>
        <w:rPr>
          <w:color w:val="auto"/>
          <w:highlight w:val="none"/>
        </w:rPr>
        <w:fldChar w:fldCharType="separate"/>
      </w:r>
      <w:r>
        <w:rPr>
          <w:rStyle w:val="39"/>
          <w:rFonts w:ascii="仿宋_GB2312" w:hAnsi="方正仿宋_GBK"/>
          <w:color w:val="auto"/>
          <w:sz w:val="30"/>
          <w:szCs w:val="30"/>
          <w:highlight w:val="none"/>
        </w:rPr>
        <w:t>http://jiaozuo.hngp.gov.cn</w:t>
      </w:r>
      <w:r>
        <w:rPr>
          <w:rStyle w:val="39"/>
          <w:rFonts w:hint="eastAsia" w:ascii="仿宋_GB2312" w:hAnsi="方正仿宋_GBK"/>
          <w:color w:val="auto"/>
          <w:sz w:val="30"/>
          <w:szCs w:val="30"/>
          <w:highlight w:val="none"/>
        </w:rPr>
        <w:t>）</w:t>
      </w:r>
      <w:r>
        <w:rPr>
          <w:rStyle w:val="39"/>
          <w:rFonts w:hint="eastAsia" w:ascii="仿宋_GB2312" w:hAnsi="方正仿宋_GBK"/>
          <w:color w:val="auto"/>
          <w:sz w:val="30"/>
          <w:szCs w:val="30"/>
          <w:highlight w:val="none"/>
        </w:rPr>
        <w:fldChar w:fldCharType="end"/>
      </w:r>
      <w:r>
        <w:rPr>
          <w:rFonts w:hint="eastAsia" w:ascii="仿宋_GB2312" w:hAnsi="方正仿宋_GBK" w:eastAsia="仿宋_GB2312"/>
          <w:color w:val="auto"/>
          <w:sz w:val="30"/>
          <w:szCs w:val="30"/>
          <w:highlight w:val="none"/>
        </w:rPr>
        <w:t>的政府采购合同融资平台，查看各融资服务机构的融资产品，同时可在线</w:t>
      </w:r>
      <w:r>
        <w:rPr>
          <w:rFonts w:hint="eastAsia" w:ascii="仿宋_GB2312" w:eastAsia="仿宋_GB2312"/>
          <w:color w:val="auto"/>
          <w:sz w:val="30"/>
          <w:szCs w:val="30"/>
          <w:highlight w:val="none"/>
        </w:rPr>
        <w:t>向融资服务机构申请贷款，</w:t>
      </w:r>
      <w:r>
        <w:rPr>
          <w:rFonts w:hint="eastAsia" w:ascii="仿宋_GB2312" w:hAnsi="宋体" w:eastAsia="仿宋_GB2312" w:cs="宋体"/>
          <w:color w:val="auto"/>
          <w:sz w:val="30"/>
          <w:szCs w:val="30"/>
          <w:highlight w:val="none"/>
        </w:rPr>
        <w:t>融资服务机构</w:t>
      </w:r>
      <w:r>
        <w:rPr>
          <w:rFonts w:hint="eastAsia" w:ascii="仿宋_GB2312" w:eastAsia="仿宋_GB2312"/>
          <w:color w:val="auto"/>
          <w:sz w:val="30"/>
          <w:szCs w:val="30"/>
          <w:highlight w:val="none"/>
        </w:rPr>
        <w:t>按照</w:t>
      </w:r>
      <w:r>
        <w:rPr>
          <w:rFonts w:hint="eastAsia" w:ascii="仿宋_GB2312" w:hAnsi="方正仿宋_GBK" w:eastAsia="仿宋_GB2312"/>
          <w:color w:val="auto"/>
          <w:sz w:val="30"/>
          <w:szCs w:val="30"/>
          <w:highlight w:val="none"/>
        </w:rPr>
        <w:t>程序</w:t>
      </w:r>
      <w:r>
        <w:rPr>
          <w:rFonts w:hint="eastAsia" w:ascii="仿宋_GB2312" w:eastAsia="仿宋_GB2312"/>
          <w:color w:val="auto"/>
          <w:sz w:val="30"/>
          <w:szCs w:val="30"/>
          <w:highlight w:val="none"/>
        </w:rPr>
        <w:t>向您提供便捷、高效、优惠的贷款服务。</w:t>
      </w:r>
    </w:p>
    <w:p>
      <w:pPr>
        <w:rPr>
          <w:color w:val="auto"/>
          <w:highlight w:val="none"/>
        </w:rPr>
      </w:pPr>
    </w:p>
    <w:p>
      <w:pPr>
        <w:rPr>
          <w:color w:val="auto"/>
          <w:highlight w:val="none"/>
        </w:rPr>
      </w:pPr>
    </w:p>
    <w:p>
      <w:pPr>
        <w:rPr>
          <w:rFonts w:ascii="仿宋_GB2312" w:eastAsia="仿宋_GB2312"/>
          <w:color w:val="auto"/>
          <w:sz w:val="32"/>
          <w:szCs w:val="32"/>
          <w:highlight w:val="none"/>
        </w:rPr>
      </w:pPr>
    </w:p>
    <w:p>
      <w:pPr>
        <w:pStyle w:val="3"/>
        <w:spacing w:before="100" w:after="90" w:line="579" w:lineRule="auto"/>
        <w:jc w:val="center"/>
        <w:rPr>
          <w:rFonts w:ascii="微软雅黑" w:hAnsi="微软雅黑" w:eastAsia="微软雅黑" w:cs="微软雅黑"/>
          <w:b w:val="0"/>
          <w:bCs w:val="0"/>
          <w:color w:val="auto"/>
          <w:highlight w:val="none"/>
        </w:rPr>
      </w:pPr>
      <w:bookmarkStart w:id="52" w:name="_Toc31054"/>
      <w:r>
        <w:rPr>
          <w:rFonts w:hint="eastAsia" w:ascii="微软雅黑" w:hAnsi="微软雅黑" w:eastAsia="微软雅黑" w:cs="微软雅黑"/>
          <w:b w:val="0"/>
          <w:bCs w:val="0"/>
          <w:color w:val="auto"/>
          <w:highlight w:val="none"/>
        </w:rPr>
        <w:t>政府采购合同融资操作流</w:t>
      </w:r>
      <w:bookmarkEnd w:id="52"/>
    </w:p>
    <w:p>
      <w:pPr>
        <w:widowControl/>
        <w:shd w:val="clear" w:color="auto" w:fill="FFFFFF"/>
        <w:tabs>
          <w:tab w:val="left" w:pos="0"/>
        </w:tabs>
        <w:spacing w:line="360" w:lineRule="auto"/>
        <w:ind w:left="-1" w:leftChars="-95" w:hanging="198" w:hangingChars="62"/>
        <w:jc w:val="center"/>
        <w:rPr>
          <w:rFonts w:ascii="微软雅黑" w:hAnsi="黑体" w:eastAsia="微软雅黑"/>
          <w:color w:val="auto"/>
          <w:sz w:val="44"/>
          <w:szCs w:val="44"/>
          <w:highlight w:val="none"/>
        </w:rPr>
        <w:sectPr>
          <w:footerReference r:id="rId8" w:type="default"/>
          <w:pgSz w:w="11905" w:h="16838"/>
          <w:pgMar w:top="1440" w:right="1463" w:bottom="1440" w:left="1463" w:header="567" w:footer="998" w:gutter="0"/>
          <w:pgNumType w:start="1"/>
          <w:cols w:space="0" w:num="1"/>
          <w:docGrid w:type="lines" w:linePitch="389"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中小微企业申请</w:t>
                        </w:r>
                      </w:p>
                      <w:p>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Style w:val="3"/>
        <w:spacing w:before="100" w:after="90" w:line="579" w:lineRule="auto"/>
        <w:jc w:val="center"/>
        <w:rPr>
          <w:rFonts w:ascii="微软雅黑" w:hAnsi="微软雅黑" w:eastAsia="微软雅黑" w:cs="微软雅黑"/>
          <w:b w:val="0"/>
          <w:bCs w:val="0"/>
          <w:color w:val="auto"/>
          <w:sz w:val="40"/>
          <w:szCs w:val="40"/>
          <w:highlight w:val="none"/>
        </w:rPr>
      </w:pPr>
      <w:bookmarkStart w:id="53" w:name="_Toc14260"/>
      <w:r>
        <w:rPr>
          <w:rFonts w:hint="eastAsia" w:ascii="微软雅黑" w:hAnsi="微软雅黑" w:eastAsia="微软雅黑" w:cs="微软雅黑"/>
          <w:b w:val="0"/>
          <w:bCs w:val="0"/>
          <w:color w:val="auto"/>
          <w:sz w:val="40"/>
          <w:szCs w:val="40"/>
          <w:highlight w:val="none"/>
        </w:rPr>
        <w:t>融资服务机构名单</w:t>
      </w:r>
      <w:bookmarkEnd w:id="53"/>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pPr>
              <w:widowControl/>
              <w:tabs>
                <w:tab w:val="left" w:pos="0"/>
              </w:tabs>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名称</w:t>
            </w:r>
          </w:p>
        </w:tc>
        <w:tc>
          <w:tcPr>
            <w:tcW w:w="1230" w:type="dxa"/>
            <w:vAlign w:val="center"/>
          </w:tcPr>
          <w:p>
            <w:pPr>
              <w:widowControl/>
              <w:tabs>
                <w:tab w:val="left" w:pos="0"/>
              </w:tabs>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联系人</w:t>
            </w:r>
          </w:p>
        </w:tc>
        <w:tc>
          <w:tcPr>
            <w:tcW w:w="1876" w:type="dxa"/>
            <w:vAlign w:val="center"/>
          </w:tcPr>
          <w:p>
            <w:pPr>
              <w:widowControl/>
              <w:tabs>
                <w:tab w:val="left" w:pos="0"/>
              </w:tabs>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联系电话</w:t>
            </w:r>
          </w:p>
        </w:tc>
        <w:tc>
          <w:tcPr>
            <w:tcW w:w="2325" w:type="dxa"/>
            <w:vAlign w:val="center"/>
          </w:tcPr>
          <w:p>
            <w:pPr>
              <w:widowControl/>
              <w:tabs>
                <w:tab w:val="left" w:pos="0"/>
              </w:tabs>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vAlign w:val="center"/>
          </w:tcPr>
          <w:p>
            <w:pPr>
              <w:widowControl/>
              <w:tabs>
                <w:tab w:val="left" w:pos="0"/>
              </w:tabs>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widowControl/>
              <w:tabs>
                <w:tab w:val="left" w:pos="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vAlign w:val="center"/>
          </w:tcPr>
          <w:p>
            <w:pPr>
              <w:shd w:val="solid" w:color="FFFFFF" w:fill="auto"/>
              <w:autoSpaceDN w:val="0"/>
              <w:spacing w:line="360" w:lineRule="auto"/>
              <w:jc w:val="center"/>
              <w:textAlignment w:val="center"/>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pPr>
        <w:widowControl/>
        <w:tabs>
          <w:tab w:val="left" w:pos="0"/>
        </w:tabs>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pPr>
        <w:spacing w:line="360" w:lineRule="auto"/>
        <w:rPr>
          <w:rFonts w:asciiTheme="minorEastAsia" w:hAnsiTheme="minorEastAsia" w:eastAsiaTheme="minorEastAsia" w:cstheme="minorEastAsia"/>
          <w:color w:val="auto"/>
          <w:sz w:val="24"/>
          <w:highlight w:val="none"/>
        </w:rPr>
      </w:pPr>
    </w:p>
    <w:sectPr>
      <w:footerReference r:id="rId9" w:type="default"/>
      <w:endnotePr>
        <w:numFmt w:val="decimal"/>
      </w:endnotePr>
      <w:pgSz w:w="11905" w:h="16838"/>
      <w:pgMar w:top="1440" w:right="1463" w:bottom="1440" w:left="1463" w:header="567" w:footer="998"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E22264C-56B9-4FA1-9C19-9D5CB8B50BE8}"/>
  </w:font>
  <w:font w:name="黑体">
    <w:panose1 w:val="02010609060101010101"/>
    <w:charset w:val="86"/>
    <w:family w:val="auto"/>
    <w:pitch w:val="default"/>
    <w:sig w:usb0="800002BF" w:usb1="38CF7CFA" w:usb2="00000016" w:usb3="00000000" w:csb0="00040001" w:csb1="00000000"/>
    <w:embedRegular r:id="rId2" w:fontKey="{04176748-FA47-4FDF-92FC-C2F7062EEB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4C2118C-64AD-40D1-BC80-86F65B59A054}"/>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4968017E-F71D-40E1-A59C-3A8EB460FC29}"/>
  </w:font>
  <w:font w:name="微软雅黑">
    <w:panose1 w:val="020B0503020204020204"/>
    <w:charset w:val="86"/>
    <w:family w:val="swiss"/>
    <w:pitch w:val="default"/>
    <w:sig w:usb0="80000287" w:usb1="280F3C52" w:usb2="00000016" w:usb3="00000000" w:csb0="0004001F" w:csb1="00000000"/>
    <w:embedRegular r:id="rId5" w:fontKey="{CF5713D8-A02D-4387-A2FB-EF5F57261A36}"/>
  </w:font>
  <w:font w:name="华文中宋">
    <w:panose1 w:val="02010600040101010101"/>
    <w:charset w:val="86"/>
    <w:family w:val="auto"/>
    <w:pitch w:val="default"/>
    <w:sig w:usb0="00000287" w:usb1="080F0000" w:usb2="00000000" w:usb3="00000000" w:csb0="0004009F" w:csb1="DFD70000"/>
    <w:embedRegular r:id="rId6" w:fontKey="{C806813C-46B4-4BF4-B41E-04BBDF24588F}"/>
  </w:font>
  <w:font w:name="方正仿宋_GBK">
    <w:panose1 w:val="02000000000000000000"/>
    <w:charset w:val="86"/>
    <w:family w:val="script"/>
    <w:pitch w:val="default"/>
    <w:sig w:usb0="A00002BF" w:usb1="38CF7CFA" w:usb2="00082016" w:usb3="00000000" w:csb0="00040001" w:csb1="00000000"/>
    <w:embedRegular r:id="rId7" w:fontKey="{B744CEE7-6D91-4ED1-9E3A-CF8751AC7DA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p>
                          <w:pPr>
                            <w:pStyle w:val="19"/>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pPr>
                      <w:pStyle w:val="19"/>
                    </w:pPr>
                  </w:p>
                  <w:p>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hAnsi="宋体"/>
        <w:sz w:val="24"/>
        <w:szCs w:val="24"/>
      </w:rPr>
    </w:pP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p>
                          <w:pPr>
                            <w:pStyle w:val="19"/>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pPr>
                      <w:pStyle w:val="19"/>
                    </w:pPr>
                  </w:p>
                  <w:p>
                    <w:pPr>
                      <w:pStyle w:val="1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pPr>
      <w:pStyle w:val="19"/>
      <w:jc w:val="center"/>
    </w:pPr>
    <w:r>
      <w:rPr>
        <w:rFonts w:hint="eastAsia"/>
      </w:rPr>
      <w:t xml:space="preserve">                                                         </w:t>
    </w:r>
  </w:p>
  <w:p>
    <w:pPr>
      <w:pStyle w:val="19"/>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pPr>
                      <w:pStyle w:val="19"/>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CB70E"/>
    <w:multiLevelType w:val="singleLevel"/>
    <w:tmpl w:val="A22CB70E"/>
    <w:lvl w:ilvl="0" w:tentative="0">
      <w:start w:val="3"/>
      <w:numFmt w:val="chineseCounting"/>
      <w:suff w:val="nothing"/>
      <w:lvlText w:val="（%1）"/>
      <w:lvlJc w:val="left"/>
      <w:rPr>
        <w:rFonts w:hint="eastAsia"/>
      </w:rPr>
    </w:lvl>
  </w:abstractNum>
  <w:abstractNum w:abstractNumId="1">
    <w:nsid w:val="A58974FB"/>
    <w:multiLevelType w:val="singleLevel"/>
    <w:tmpl w:val="A58974FB"/>
    <w:lvl w:ilvl="0" w:tentative="0">
      <w:start w:val="1"/>
      <w:numFmt w:val="decimal"/>
      <w:suff w:val="space"/>
      <w:lvlText w:val="%1."/>
      <w:lvlJc w:val="left"/>
    </w:lvl>
  </w:abstractNum>
  <w:abstractNum w:abstractNumId="2">
    <w:nsid w:val="B7CCEAB9"/>
    <w:multiLevelType w:val="singleLevel"/>
    <w:tmpl w:val="B7CCEAB9"/>
    <w:lvl w:ilvl="0" w:tentative="0">
      <w:start w:val="1"/>
      <w:numFmt w:val="decimal"/>
      <w:suff w:val="space"/>
      <w:lvlText w:val="%1."/>
      <w:lvlJc w:val="left"/>
      <w:pPr>
        <w:ind w:left="600" w:firstLine="0"/>
      </w:pPr>
    </w:lvl>
  </w:abstractNum>
  <w:abstractNum w:abstractNumId="3">
    <w:nsid w:val="B940B7CB"/>
    <w:multiLevelType w:val="singleLevel"/>
    <w:tmpl w:val="B940B7CB"/>
    <w:lvl w:ilvl="0" w:tentative="0">
      <w:start w:val="3"/>
      <w:numFmt w:val="decimal"/>
      <w:suff w:val="nothing"/>
      <w:lvlText w:val="%1、"/>
      <w:lvlJc w:val="left"/>
    </w:lvl>
  </w:abstractNum>
  <w:abstractNum w:abstractNumId="4">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5">
    <w:nsid w:val="F04C2086"/>
    <w:multiLevelType w:val="singleLevel"/>
    <w:tmpl w:val="F04C2086"/>
    <w:lvl w:ilvl="0" w:tentative="0">
      <w:start w:val="1"/>
      <w:numFmt w:val="chineseCounting"/>
      <w:suff w:val="nothing"/>
      <w:lvlText w:val="%1、"/>
      <w:lvlJc w:val="left"/>
      <w:rPr>
        <w:rFonts w:hint="eastAsia"/>
      </w:rPr>
    </w:lvl>
  </w:abstractNum>
  <w:abstractNum w:abstractNumId="6">
    <w:nsid w:val="0CD3C423"/>
    <w:multiLevelType w:val="singleLevel"/>
    <w:tmpl w:val="0CD3C423"/>
    <w:lvl w:ilvl="0" w:tentative="0">
      <w:start w:val="1"/>
      <w:numFmt w:val="decimal"/>
      <w:suff w:val="space"/>
      <w:lvlText w:val="%1."/>
      <w:lvlJc w:val="left"/>
    </w:lvl>
  </w:abstractNum>
  <w:abstractNum w:abstractNumId="7">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32EA66D4"/>
    <w:multiLevelType w:val="singleLevel"/>
    <w:tmpl w:val="32EA66D4"/>
    <w:lvl w:ilvl="0" w:tentative="0">
      <w:start w:val="4"/>
      <w:numFmt w:val="chineseCounting"/>
      <w:suff w:val="nothing"/>
      <w:lvlText w:val="%1、"/>
      <w:lvlJc w:val="left"/>
      <w:rPr>
        <w:rFonts w:hint="eastAsia"/>
      </w:rPr>
    </w:lvl>
  </w:abstractNum>
  <w:abstractNum w:abstractNumId="9">
    <w:nsid w:val="6261BF8E"/>
    <w:multiLevelType w:val="singleLevel"/>
    <w:tmpl w:val="6261BF8E"/>
    <w:lvl w:ilvl="0" w:tentative="0">
      <w:start w:val="7"/>
      <w:numFmt w:val="decimal"/>
      <w:suff w:val="space"/>
      <w:lvlText w:val="%1."/>
      <w:lvlJc w:val="left"/>
    </w:lvl>
  </w:abstractNum>
  <w:num w:numId="1">
    <w:abstractNumId w:val="3"/>
  </w:num>
  <w:num w:numId="2">
    <w:abstractNumId w:val="4"/>
  </w:num>
  <w:num w:numId="3">
    <w:abstractNumId w:val="6"/>
  </w:num>
  <w:num w:numId="4">
    <w:abstractNumId w:val="9"/>
  </w:num>
  <w:num w:numId="5">
    <w:abstractNumId w:val="7"/>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210"/>
  <w:drawingGridVerticalSpacing w:val="195"/>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MWNhY2VhZTNlNGVlYzlhMzU0OTViYmIxYTIwZjEifQ=="/>
  </w:docVars>
  <w:rsids>
    <w:rsidRoot w:val="00962401"/>
    <w:rsid w:val="000015BE"/>
    <w:rsid w:val="00002910"/>
    <w:rsid w:val="00002CCB"/>
    <w:rsid w:val="00003EE4"/>
    <w:rsid w:val="00004800"/>
    <w:rsid w:val="00005811"/>
    <w:rsid w:val="00005E52"/>
    <w:rsid w:val="00012E57"/>
    <w:rsid w:val="00014365"/>
    <w:rsid w:val="00014748"/>
    <w:rsid w:val="00016EE9"/>
    <w:rsid w:val="000271A8"/>
    <w:rsid w:val="00027F07"/>
    <w:rsid w:val="0003047E"/>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6C1"/>
    <w:rsid w:val="000C7AD2"/>
    <w:rsid w:val="000D5A3A"/>
    <w:rsid w:val="000D5C5A"/>
    <w:rsid w:val="000D5F90"/>
    <w:rsid w:val="000D7967"/>
    <w:rsid w:val="000E2B9C"/>
    <w:rsid w:val="000E2FAC"/>
    <w:rsid w:val="000E38D9"/>
    <w:rsid w:val="000E5421"/>
    <w:rsid w:val="000E72D4"/>
    <w:rsid w:val="000F0CEF"/>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824D4"/>
    <w:rsid w:val="00185F08"/>
    <w:rsid w:val="00191B01"/>
    <w:rsid w:val="00193F9B"/>
    <w:rsid w:val="00195636"/>
    <w:rsid w:val="001A0219"/>
    <w:rsid w:val="001A1C2D"/>
    <w:rsid w:val="001A1CC0"/>
    <w:rsid w:val="001A360B"/>
    <w:rsid w:val="001B287E"/>
    <w:rsid w:val="001B40C9"/>
    <w:rsid w:val="001B421C"/>
    <w:rsid w:val="001B461C"/>
    <w:rsid w:val="001C0D5E"/>
    <w:rsid w:val="001C3045"/>
    <w:rsid w:val="001C579B"/>
    <w:rsid w:val="001D327A"/>
    <w:rsid w:val="001D35DD"/>
    <w:rsid w:val="001D73FC"/>
    <w:rsid w:val="001D7A66"/>
    <w:rsid w:val="001E3B0B"/>
    <w:rsid w:val="001E65DF"/>
    <w:rsid w:val="001E684B"/>
    <w:rsid w:val="001F33A6"/>
    <w:rsid w:val="001F5CAB"/>
    <w:rsid w:val="001F63F9"/>
    <w:rsid w:val="001F6615"/>
    <w:rsid w:val="002025B9"/>
    <w:rsid w:val="002047FC"/>
    <w:rsid w:val="00206581"/>
    <w:rsid w:val="00214891"/>
    <w:rsid w:val="002229B5"/>
    <w:rsid w:val="00224CB7"/>
    <w:rsid w:val="0023037D"/>
    <w:rsid w:val="00236EA1"/>
    <w:rsid w:val="00241E31"/>
    <w:rsid w:val="00242B18"/>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B316F"/>
    <w:rsid w:val="002B3D5B"/>
    <w:rsid w:val="002B4C83"/>
    <w:rsid w:val="002B72BA"/>
    <w:rsid w:val="002C23EA"/>
    <w:rsid w:val="002C2860"/>
    <w:rsid w:val="002C40B6"/>
    <w:rsid w:val="002D5E00"/>
    <w:rsid w:val="002D74D2"/>
    <w:rsid w:val="002E118D"/>
    <w:rsid w:val="002E154B"/>
    <w:rsid w:val="002E677D"/>
    <w:rsid w:val="002E7406"/>
    <w:rsid w:val="002F176C"/>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52FC"/>
    <w:rsid w:val="00347660"/>
    <w:rsid w:val="00356C1F"/>
    <w:rsid w:val="00363A8F"/>
    <w:rsid w:val="003706CF"/>
    <w:rsid w:val="0037249B"/>
    <w:rsid w:val="0037711A"/>
    <w:rsid w:val="0038229E"/>
    <w:rsid w:val="003834D7"/>
    <w:rsid w:val="00384A16"/>
    <w:rsid w:val="003A38E2"/>
    <w:rsid w:val="003A3A87"/>
    <w:rsid w:val="003A7EDF"/>
    <w:rsid w:val="003B0D78"/>
    <w:rsid w:val="003B7C0D"/>
    <w:rsid w:val="003C432B"/>
    <w:rsid w:val="003C4C4E"/>
    <w:rsid w:val="003D109F"/>
    <w:rsid w:val="003D3D71"/>
    <w:rsid w:val="003D4809"/>
    <w:rsid w:val="003E0B8B"/>
    <w:rsid w:val="003E1F4D"/>
    <w:rsid w:val="003E4F95"/>
    <w:rsid w:val="003F14B5"/>
    <w:rsid w:val="003F300E"/>
    <w:rsid w:val="003F6250"/>
    <w:rsid w:val="003F6626"/>
    <w:rsid w:val="003F7889"/>
    <w:rsid w:val="004152C5"/>
    <w:rsid w:val="00416C4B"/>
    <w:rsid w:val="00416FDA"/>
    <w:rsid w:val="004172E7"/>
    <w:rsid w:val="0041796F"/>
    <w:rsid w:val="004211F4"/>
    <w:rsid w:val="004252FC"/>
    <w:rsid w:val="00426DE4"/>
    <w:rsid w:val="00433863"/>
    <w:rsid w:val="00435D42"/>
    <w:rsid w:val="00437BF2"/>
    <w:rsid w:val="004435DF"/>
    <w:rsid w:val="00445035"/>
    <w:rsid w:val="00447636"/>
    <w:rsid w:val="004477CD"/>
    <w:rsid w:val="004509CA"/>
    <w:rsid w:val="00452B29"/>
    <w:rsid w:val="0045441C"/>
    <w:rsid w:val="00456162"/>
    <w:rsid w:val="00456CAB"/>
    <w:rsid w:val="00460DD9"/>
    <w:rsid w:val="00462877"/>
    <w:rsid w:val="00464920"/>
    <w:rsid w:val="00467623"/>
    <w:rsid w:val="00470C98"/>
    <w:rsid w:val="00475AFC"/>
    <w:rsid w:val="004801BA"/>
    <w:rsid w:val="00482FE1"/>
    <w:rsid w:val="00486331"/>
    <w:rsid w:val="004918FA"/>
    <w:rsid w:val="0049273C"/>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AE2"/>
    <w:rsid w:val="004F60E3"/>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D5818"/>
    <w:rsid w:val="005E1E42"/>
    <w:rsid w:val="005E2BC8"/>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4E79"/>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6853"/>
    <w:rsid w:val="006722C9"/>
    <w:rsid w:val="00676DA8"/>
    <w:rsid w:val="0069028D"/>
    <w:rsid w:val="006964EB"/>
    <w:rsid w:val="00696601"/>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4439"/>
    <w:rsid w:val="006E4EEC"/>
    <w:rsid w:val="006F1173"/>
    <w:rsid w:val="006F3174"/>
    <w:rsid w:val="006F5F11"/>
    <w:rsid w:val="006F6716"/>
    <w:rsid w:val="006F682D"/>
    <w:rsid w:val="00700BB3"/>
    <w:rsid w:val="00701977"/>
    <w:rsid w:val="00702777"/>
    <w:rsid w:val="007144C0"/>
    <w:rsid w:val="007163C4"/>
    <w:rsid w:val="00720389"/>
    <w:rsid w:val="007228F0"/>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592C"/>
    <w:rsid w:val="0078328F"/>
    <w:rsid w:val="00784AAA"/>
    <w:rsid w:val="00786A12"/>
    <w:rsid w:val="007951C0"/>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25853"/>
    <w:rsid w:val="00835F44"/>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1E45"/>
    <w:rsid w:val="00882D3C"/>
    <w:rsid w:val="00882F82"/>
    <w:rsid w:val="008849FC"/>
    <w:rsid w:val="008854F2"/>
    <w:rsid w:val="00886BA8"/>
    <w:rsid w:val="00887460"/>
    <w:rsid w:val="008915C6"/>
    <w:rsid w:val="00891D54"/>
    <w:rsid w:val="00897021"/>
    <w:rsid w:val="0089787D"/>
    <w:rsid w:val="008A1772"/>
    <w:rsid w:val="008A393D"/>
    <w:rsid w:val="008A3CB1"/>
    <w:rsid w:val="008A7EFB"/>
    <w:rsid w:val="008B2889"/>
    <w:rsid w:val="008B610A"/>
    <w:rsid w:val="008C14E0"/>
    <w:rsid w:val="008C3F35"/>
    <w:rsid w:val="008C60C7"/>
    <w:rsid w:val="008D0667"/>
    <w:rsid w:val="008D06BA"/>
    <w:rsid w:val="008D0831"/>
    <w:rsid w:val="008D28DB"/>
    <w:rsid w:val="008D4206"/>
    <w:rsid w:val="008D688E"/>
    <w:rsid w:val="008E184B"/>
    <w:rsid w:val="008E3382"/>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7134"/>
    <w:rsid w:val="00962401"/>
    <w:rsid w:val="00964439"/>
    <w:rsid w:val="00965FA1"/>
    <w:rsid w:val="00966E33"/>
    <w:rsid w:val="009671C6"/>
    <w:rsid w:val="009676C8"/>
    <w:rsid w:val="00967E90"/>
    <w:rsid w:val="00971F76"/>
    <w:rsid w:val="009732D6"/>
    <w:rsid w:val="0097382F"/>
    <w:rsid w:val="00975565"/>
    <w:rsid w:val="00976F17"/>
    <w:rsid w:val="00981F48"/>
    <w:rsid w:val="00983FCE"/>
    <w:rsid w:val="009842BD"/>
    <w:rsid w:val="00985916"/>
    <w:rsid w:val="00986E8F"/>
    <w:rsid w:val="00991791"/>
    <w:rsid w:val="009A12FC"/>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415D"/>
    <w:rsid w:val="00A5213B"/>
    <w:rsid w:val="00A57639"/>
    <w:rsid w:val="00A6183A"/>
    <w:rsid w:val="00A6318F"/>
    <w:rsid w:val="00A71A1C"/>
    <w:rsid w:val="00A730FD"/>
    <w:rsid w:val="00A755E1"/>
    <w:rsid w:val="00A81167"/>
    <w:rsid w:val="00A81285"/>
    <w:rsid w:val="00A8273F"/>
    <w:rsid w:val="00A84001"/>
    <w:rsid w:val="00A86EBF"/>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43E1"/>
    <w:rsid w:val="00AD5F7D"/>
    <w:rsid w:val="00AD733A"/>
    <w:rsid w:val="00AE5379"/>
    <w:rsid w:val="00AE58CD"/>
    <w:rsid w:val="00AF1188"/>
    <w:rsid w:val="00AF309C"/>
    <w:rsid w:val="00AF3164"/>
    <w:rsid w:val="00AF55D3"/>
    <w:rsid w:val="00AF742A"/>
    <w:rsid w:val="00B0053F"/>
    <w:rsid w:val="00B00F1D"/>
    <w:rsid w:val="00B11CBA"/>
    <w:rsid w:val="00B222F1"/>
    <w:rsid w:val="00B24228"/>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A089F"/>
    <w:rsid w:val="00BA2EAB"/>
    <w:rsid w:val="00BA6F3C"/>
    <w:rsid w:val="00BA7D38"/>
    <w:rsid w:val="00BB0662"/>
    <w:rsid w:val="00BB10DB"/>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9CB"/>
    <w:rsid w:val="00C50A66"/>
    <w:rsid w:val="00C5203F"/>
    <w:rsid w:val="00C53BEA"/>
    <w:rsid w:val="00C53C4C"/>
    <w:rsid w:val="00C574F4"/>
    <w:rsid w:val="00C57EF8"/>
    <w:rsid w:val="00C76515"/>
    <w:rsid w:val="00C774E7"/>
    <w:rsid w:val="00C8419E"/>
    <w:rsid w:val="00C8697F"/>
    <w:rsid w:val="00C873CF"/>
    <w:rsid w:val="00C91BBB"/>
    <w:rsid w:val="00C92CDE"/>
    <w:rsid w:val="00C93F10"/>
    <w:rsid w:val="00C94D61"/>
    <w:rsid w:val="00C94E29"/>
    <w:rsid w:val="00C9777C"/>
    <w:rsid w:val="00CA1147"/>
    <w:rsid w:val="00CA29BA"/>
    <w:rsid w:val="00CA2F6F"/>
    <w:rsid w:val="00CA3221"/>
    <w:rsid w:val="00CA39DC"/>
    <w:rsid w:val="00CA3AC0"/>
    <w:rsid w:val="00CA48E6"/>
    <w:rsid w:val="00CA530B"/>
    <w:rsid w:val="00CA7846"/>
    <w:rsid w:val="00CB04F1"/>
    <w:rsid w:val="00CB06DC"/>
    <w:rsid w:val="00CB1145"/>
    <w:rsid w:val="00CB422A"/>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21FC1"/>
    <w:rsid w:val="00D21FEB"/>
    <w:rsid w:val="00D25052"/>
    <w:rsid w:val="00D252B7"/>
    <w:rsid w:val="00D26326"/>
    <w:rsid w:val="00D32FC5"/>
    <w:rsid w:val="00D33001"/>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62E"/>
    <w:rsid w:val="00D901F3"/>
    <w:rsid w:val="00D92305"/>
    <w:rsid w:val="00D92752"/>
    <w:rsid w:val="00D927F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FAC"/>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7D5"/>
    <w:rsid w:val="00F0601A"/>
    <w:rsid w:val="00F06D91"/>
    <w:rsid w:val="00F12BF3"/>
    <w:rsid w:val="00F137CA"/>
    <w:rsid w:val="00F20093"/>
    <w:rsid w:val="00F23D16"/>
    <w:rsid w:val="00F24E02"/>
    <w:rsid w:val="00F35431"/>
    <w:rsid w:val="00F40AC5"/>
    <w:rsid w:val="00F47DB3"/>
    <w:rsid w:val="00F505D7"/>
    <w:rsid w:val="00F50CDF"/>
    <w:rsid w:val="00F51448"/>
    <w:rsid w:val="00F56750"/>
    <w:rsid w:val="00F56E18"/>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52D3"/>
    <w:rsid w:val="00FD61F6"/>
    <w:rsid w:val="00FD71A7"/>
    <w:rsid w:val="00FE34A6"/>
    <w:rsid w:val="00FE3EE4"/>
    <w:rsid w:val="00FE5A2D"/>
    <w:rsid w:val="00FE67F7"/>
    <w:rsid w:val="00FF024C"/>
    <w:rsid w:val="00FF275E"/>
    <w:rsid w:val="00FF4CEA"/>
    <w:rsid w:val="010677FD"/>
    <w:rsid w:val="0150744A"/>
    <w:rsid w:val="01B21A18"/>
    <w:rsid w:val="01CA5C47"/>
    <w:rsid w:val="01D34B7C"/>
    <w:rsid w:val="01E0427F"/>
    <w:rsid w:val="01E45AB8"/>
    <w:rsid w:val="02130E8E"/>
    <w:rsid w:val="024C6CE4"/>
    <w:rsid w:val="025A0021"/>
    <w:rsid w:val="026914D6"/>
    <w:rsid w:val="026E3E85"/>
    <w:rsid w:val="02775E4F"/>
    <w:rsid w:val="028842F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3B087B"/>
    <w:rsid w:val="0440268E"/>
    <w:rsid w:val="044135D4"/>
    <w:rsid w:val="04581CB1"/>
    <w:rsid w:val="04625E5C"/>
    <w:rsid w:val="046643CE"/>
    <w:rsid w:val="04665F00"/>
    <w:rsid w:val="04A143F5"/>
    <w:rsid w:val="04AD0340"/>
    <w:rsid w:val="04CD398A"/>
    <w:rsid w:val="04D74983"/>
    <w:rsid w:val="04DC4690"/>
    <w:rsid w:val="04F05A45"/>
    <w:rsid w:val="05010AE8"/>
    <w:rsid w:val="05080FE1"/>
    <w:rsid w:val="0521539E"/>
    <w:rsid w:val="052A5638"/>
    <w:rsid w:val="054E6624"/>
    <w:rsid w:val="05611EC8"/>
    <w:rsid w:val="057167A1"/>
    <w:rsid w:val="0575231F"/>
    <w:rsid w:val="057E5747"/>
    <w:rsid w:val="05832150"/>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484896"/>
    <w:rsid w:val="067F1777"/>
    <w:rsid w:val="06897EFF"/>
    <w:rsid w:val="06B963C3"/>
    <w:rsid w:val="06BB4699"/>
    <w:rsid w:val="06BF6017"/>
    <w:rsid w:val="06D426C9"/>
    <w:rsid w:val="06E11AE9"/>
    <w:rsid w:val="06F54F23"/>
    <w:rsid w:val="072916E2"/>
    <w:rsid w:val="072C2F43"/>
    <w:rsid w:val="073A094A"/>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7D2DFB"/>
    <w:rsid w:val="087D71AA"/>
    <w:rsid w:val="087F116D"/>
    <w:rsid w:val="08816E02"/>
    <w:rsid w:val="08892439"/>
    <w:rsid w:val="0891753F"/>
    <w:rsid w:val="09187C60"/>
    <w:rsid w:val="094952AB"/>
    <w:rsid w:val="094F3A7D"/>
    <w:rsid w:val="09672297"/>
    <w:rsid w:val="09842A94"/>
    <w:rsid w:val="09980064"/>
    <w:rsid w:val="09AD6DA0"/>
    <w:rsid w:val="09B733CF"/>
    <w:rsid w:val="09FC3DED"/>
    <w:rsid w:val="0A32516E"/>
    <w:rsid w:val="0A3B5E4F"/>
    <w:rsid w:val="0A534A68"/>
    <w:rsid w:val="0A5D129E"/>
    <w:rsid w:val="0A6F73CD"/>
    <w:rsid w:val="0A7316DF"/>
    <w:rsid w:val="0A7E3E50"/>
    <w:rsid w:val="0A8A4B5C"/>
    <w:rsid w:val="0A915C28"/>
    <w:rsid w:val="0A9645B6"/>
    <w:rsid w:val="0A9E7CF1"/>
    <w:rsid w:val="0ACB1529"/>
    <w:rsid w:val="0AFE58D7"/>
    <w:rsid w:val="0B3E0B27"/>
    <w:rsid w:val="0B8E7D66"/>
    <w:rsid w:val="0B900166"/>
    <w:rsid w:val="0B996E37"/>
    <w:rsid w:val="0B9B6F08"/>
    <w:rsid w:val="0BB84DE3"/>
    <w:rsid w:val="0BBF6A1F"/>
    <w:rsid w:val="0BC16775"/>
    <w:rsid w:val="0BCC0102"/>
    <w:rsid w:val="0C055C11"/>
    <w:rsid w:val="0C261DCE"/>
    <w:rsid w:val="0C2A095B"/>
    <w:rsid w:val="0C5B2C36"/>
    <w:rsid w:val="0C612EBC"/>
    <w:rsid w:val="0C9D0F3D"/>
    <w:rsid w:val="0C9D5046"/>
    <w:rsid w:val="0CA30DC4"/>
    <w:rsid w:val="0CA53682"/>
    <w:rsid w:val="0CC62E79"/>
    <w:rsid w:val="0CEC743A"/>
    <w:rsid w:val="0CFD5169"/>
    <w:rsid w:val="0D246BD4"/>
    <w:rsid w:val="0D265FB9"/>
    <w:rsid w:val="0D2A2C87"/>
    <w:rsid w:val="0D2F4585"/>
    <w:rsid w:val="0D6D04FB"/>
    <w:rsid w:val="0DAB373F"/>
    <w:rsid w:val="0DB10B15"/>
    <w:rsid w:val="0DEC5606"/>
    <w:rsid w:val="0DF6340F"/>
    <w:rsid w:val="0DF759EC"/>
    <w:rsid w:val="0E0003F5"/>
    <w:rsid w:val="0E131438"/>
    <w:rsid w:val="0E2A021A"/>
    <w:rsid w:val="0E34332C"/>
    <w:rsid w:val="0E484539"/>
    <w:rsid w:val="0E59465B"/>
    <w:rsid w:val="0E8E4A9A"/>
    <w:rsid w:val="0E8F346F"/>
    <w:rsid w:val="0EA76728"/>
    <w:rsid w:val="0EAB39BC"/>
    <w:rsid w:val="0EAE0E4B"/>
    <w:rsid w:val="0EAF060F"/>
    <w:rsid w:val="0EBB5316"/>
    <w:rsid w:val="0EBD5AF0"/>
    <w:rsid w:val="0EC44874"/>
    <w:rsid w:val="0ECB06E8"/>
    <w:rsid w:val="0EE867D6"/>
    <w:rsid w:val="0EF24AB8"/>
    <w:rsid w:val="0F112BA2"/>
    <w:rsid w:val="0F2E646B"/>
    <w:rsid w:val="0F4B5E20"/>
    <w:rsid w:val="0F5E215B"/>
    <w:rsid w:val="0F6253CB"/>
    <w:rsid w:val="0F7306C4"/>
    <w:rsid w:val="0F73174D"/>
    <w:rsid w:val="0F7416D3"/>
    <w:rsid w:val="0F755356"/>
    <w:rsid w:val="0FCA4128"/>
    <w:rsid w:val="0FD056DD"/>
    <w:rsid w:val="0FE10B54"/>
    <w:rsid w:val="0FF521C8"/>
    <w:rsid w:val="10094E47"/>
    <w:rsid w:val="101A2DB8"/>
    <w:rsid w:val="1021389E"/>
    <w:rsid w:val="103855F9"/>
    <w:rsid w:val="104B3684"/>
    <w:rsid w:val="10686DD7"/>
    <w:rsid w:val="106D2640"/>
    <w:rsid w:val="10741A50"/>
    <w:rsid w:val="107A55F0"/>
    <w:rsid w:val="10981E8E"/>
    <w:rsid w:val="10A63D2D"/>
    <w:rsid w:val="10B464C1"/>
    <w:rsid w:val="10BB513E"/>
    <w:rsid w:val="10BC0A12"/>
    <w:rsid w:val="10BC59EE"/>
    <w:rsid w:val="10C009C2"/>
    <w:rsid w:val="10CC2784"/>
    <w:rsid w:val="10E037A1"/>
    <w:rsid w:val="10F20A88"/>
    <w:rsid w:val="112E2143"/>
    <w:rsid w:val="116A0647"/>
    <w:rsid w:val="117240CA"/>
    <w:rsid w:val="11C3441F"/>
    <w:rsid w:val="11D4470B"/>
    <w:rsid w:val="11E72AA0"/>
    <w:rsid w:val="11ED5817"/>
    <w:rsid w:val="11F27300"/>
    <w:rsid w:val="11FF770F"/>
    <w:rsid w:val="12236EB5"/>
    <w:rsid w:val="12533B52"/>
    <w:rsid w:val="12614426"/>
    <w:rsid w:val="12DA1A1B"/>
    <w:rsid w:val="12DC1601"/>
    <w:rsid w:val="12DC4263"/>
    <w:rsid w:val="12DE553C"/>
    <w:rsid w:val="12E31AB3"/>
    <w:rsid w:val="1303087B"/>
    <w:rsid w:val="131453C8"/>
    <w:rsid w:val="131D6EAC"/>
    <w:rsid w:val="133D09EF"/>
    <w:rsid w:val="133F1385"/>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841741"/>
    <w:rsid w:val="14A15F86"/>
    <w:rsid w:val="14A36EC5"/>
    <w:rsid w:val="14BA7E1E"/>
    <w:rsid w:val="14BF0B64"/>
    <w:rsid w:val="14D34A81"/>
    <w:rsid w:val="14DC5FE6"/>
    <w:rsid w:val="14E03136"/>
    <w:rsid w:val="1513618F"/>
    <w:rsid w:val="15460579"/>
    <w:rsid w:val="154D0D4C"/>
    <w:rsid w:val="156F1C62"/>
    <w:rsid w:val="15930FBB"/>
    <w:rsid w:val="16184A55"/>
    <w:rsid w:val="164E138E"/>
    <w:rsid w:val="166F6902"/>
    <w:rsid w:val="16837CAD"/>
    <w:rsid w:val="168D5635"/>
    <w:rsid w:val="16912973"/>
    <w:rsid w:val="169620A3"/>
    <w:rsid w:val="1699418F"/>
    <w:rsid w:val="16B72867"/>
    <w:rsid w:val="16D57191"/>
    <w:rsid w:val="16F413C5"/>
    <w:rsid w:val="16FB5268"/>
    <w:rsid w:val="17224323"/>
    <w:rsid w:val="172F5DE0"/>
    <w:rsid w:val="176B468F"/>
    <w:rsid w:val="1772678E"/>
    <w:rsid w:val="17964BDD"/>
    <w:rsid w:val="179B2D8B"/>
    <w:rsid w:val="17B8460B"/>
    <w:rsid w:val="17D631C0"/>
    <w:rsid w:val="17E627B5"/>
    <w:rsid w:val="181D0DEF"/>
    <w:rsid w:val="185715DB"/>
    <w:rsid w:val="185A451F"/>
    <w:rsid w:val="1864257A"/>
    <w:rsid w:val="186C7681"/>
    <w:rsid w:val="186D1665"/>
    <w:rsid w:val="188035F4"/>
    <w:rsid w:val="189D5C7A"/>
    <w:rsid w:val="18AE37F5"/>
    <w:rsid w:val="18B07EC0"/>
    <w:rsid w:val="18B369CF"/>
    <w:rsid w:val="18D30994"/>
    <w:rsid w:val="18FA1684"/>
    <w:rsid w:val="18FC4F15"/>
    <w:rsid w:val="190A13FE"/>
    <w:rsid w:val="191A7EEA"/>
    <w:rsid w:val="1941466A"/>
    <w:rsid w:val="196633DA"/>
    <w:rsid w:val="19726F19"/>
    <w:rsid w:val="19774AD4"/>
    <w:rsid w:val="1981531E"/>
    <w:rsid w:val="19890725"/>
    <w:rsid w:val="199666CD"/>
    <w:rsid w:val="199771E0"/>
    <w:rsid w:val="199C5BAE"/>
    <w:rsid w:val="19AD67A1"/>
    <w:rsid w:val="19C31195"/>
    <w:rsid w:val="19DA0B20"/>
    <w:rsid w:val="19E31F20"/>
    <w:rsid w:val="19F6533D"/>
    <w:rsid w:val="1A0758B3"/>
    <w:rsid w:val="1A0E3027"/>
    <w:rsid w:val="1A2A3A0A"/>
    <w:rsid w:val="1A3A17E5"/>
    <w:rsid w:val="1A467CA5"/>
    <w:rsid w:val="1A5371C7"/>
    <w:rsid w:val="1A7C633B"/>
    <w:rsid w:val="1AA12347"/>
    <w:rsid w:val="1AC12C2F"/>
    <w:rsid w:val="1AD5150D"/>
    <w:rsid w:val="1AEE1B5A"/>
    <w:rsid w:val="1B1B1AED"/>
    <w:rsid w:val="1B2327BA"/>
    <w:rsid w:val="1B285DA8"/>
    <w:rsid w:val="1B34225F"/>
    <w:rsid w:val="1B741809"/>
    <w:rsid w:val="1B9E5EB2"/>
    <w:rsid w:val="1BA84216"/>
    <w:rsid w:val="1BDE35D8"/>
    <w:rsid w:val="1C0F2461"/>
    <w:rsid w:val="1C2A75D2"/>
    <w:rsid w:val="1C417161"/>
    <w:rsid w:val="1C4E1ED3"/>
    <w:rsid w:val="1C6036B0"/>
    <w:rsid w:val="1C60574F"/>
    <w:rsid w:val="1C640447"/>
    <w:rsid w:val="1C9E2440"/>
    <w:rsid w:val="1CCD74BF"/>
    <w:rsid w:val="1CD02E5A"/>
    <w:rsid w:val="1D07790C"/>
    <w:rsid w:val="1D1A7519"/>
    <w:rsid w:val="1D1D2483"/>
    <w:rsid w:val="1D220E65"/>
    <w:rsid w:val="1D473B0F"/>
    <w:rsid w:val="1D567A2F"/>
    <w:rsid w:val="1D7C2114"/>
    <w:rsid w:val="1D884BDD"/>
    <w:rsid w:val="1D893DF7"/>
    <w:rsid w:val="1D991F3E"/>
    <w:rsid w:val="1D9D1A60"/>
    <w:rsid w:val="1DB23D88"/>
    <w:rsid w:val="1DD66083"/>
    <w:rsid w:val="1DE07B88"/>
    <w:rsid w:val="1DE71A2D"/>
    <w:rsid w:val="1DEA5065"/>
    <w:rsid w:val="1E264941"/>
    <w:rsid w:val="1E3454F5"/>
    <w:rsid w:val="1E505F69"/>
    <w:rsid w:val="1E636E30"/>
    <w:rsid w:val="1E696296"/>
    <w:rsid w:val="1E6C086A"/>
    <w:rsid w:val="1E7728DA"/>
    <w:rsid w:val="1E8470EA"/>
    <w:rsid w:val="1E886B1A"/>
    <w:rsid w:val="1E8C29CF"/>
    <w:rsid w:val="1EA26BD8"/>
    <w:rsid w:val="1EA71413"/>
    <w:rsid w:val="1EB86D6B"/>
    <w:rsid w:val="1ECA6C91"/>
    <w:rsid w:val="1EFA0674"/>
    <w:rsid w:val="1F0214F7"/>
    <w:rsid w:val="1F0C172C"/>
    <w:rsid w:val="1F114B7A"/>
    <w:rsid w:val="1F243576"/>
    <w:rsid w:val="1F2F61E7"/>
    <w:rsid w:val="1F4B39E8"/>
    <w:rsid w:val="1F546AF6"/>
    <w:rsid w:val="1F670BF5"/>
    <w:rsid w:val="1F8C3BF6"/>
    <w:rsid w:val="1F941997"/>
    <w:rsid w:val="1F9C084C"/>
    <w:rsid w:val="1FA535FA"/>
    <w:rsid w:val="1FBC3D21"/>
    <w:rsid w:val="1FE655FE"/>
    <w:rsid w:val="1FF7742C"/>
    <w:rsid w:val="200D561F"/>
    <w:rsid w:val="20121817"/>
    <w:rsid w:val="20141E71"/>
    <w:rsid w:val="202820DF"/>
    <w:rsid w:val="202E593D"/>
    <w:rsid w:val="20336652"/>
    <w:rsid w:val="20517888"/>
    <w:rsid w:val="20527A49"/>
    <w:rsid w:val="20764172"/>
    <w:rsid w:val="209205DC"/>
    <w:rsid w:val="20B83463"/>
    <w:rsid w:val="20C25887"/>
    <w:rsid w:val="20DE6727"/>
    <w:rsid w:val="20E976FD"/>
    <w:rsid w:val="20EA4A26"/>
    <w:rsid w:val="210E7D76"/>
    <w:rsid w:val="212B5917"/>
    <w:rsid w:val="21675F5E"/>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213E8D"/>
    <w:rsid w:val="23241EA1"/>
    <w:rsid w:val="234731C4"/>
    <w:rsid w:val="234858E1"/>
    <w:rsid w:val="238F5C88"/>
    <w:rsid w:val="23B91008"/>
    <w:rsid w:val="23CC4744"/>
    <w:rsid w:val="23D609DA"/>
    <w:rsid w:val="23DA4684"/>
    <w:rsid w:val="23FB704A"/>
    <w:rsid w:val="242467CA"/>
    <w:rsid w:val="24306110"/>
    <w:rsid w:val="243D1502"/>
    <w:rsid w:val="244D480A"/>
    <w:rsid w:val="245345D6"/>
    <w:rsid w:val="24743FEC"/>
    <w:rsid w:val="24771887"/>
    <w:rsid w:val="24805F8B"/>
    <w:rsid w:val="24835E3B"/>
    <w:rsid w:val="24864CD7"/>
    <w:rsid w:val="248E5E54"/>
    <w:rsid w:val="24A563F4"/>
    <w:rsid w:val="24C61DD0"/>
    <w:rsid w:val="24D52C27"/>
    <w:rsid w:val="250B28E1"/>
    <w:rsid w:val="251F05DB"/>
    <w:rsid w:val="25292B82"/>
    <w:rsid w:val="253908EB"/>
    <w:rsid w:val="253B24B9"/>
    <w:rsid w:val="253D228D"/>
    <w:rsid w:val="254A0D4A"/>
    <w:rsid w:val="25504EBA"/>
    <w:rsid w:val="255C0913"/>
    <w:rsid w:val="255F65A3"/>
    <w:rsid w:val="2567597A"/>
    <w:rsid w:val="25A53AC6"/>
    <w:rsid w:val="25DA6DFA"/>
    <w:rsid w:val="25E14C7A"/>
    <w:rsid w:val="26052839"/>
    <w:rsid w:val="26351F9D"/>
    <w:rsid w:val="26471627"/>
    <w:rsid w:val="265F1CA4"/>
    <w:rsid w:val="266F71F8"/>
    <w:rsid w:val="267F64D1"/>
    <w:rsid w:val="26957867"/>
    <w:rsid w:val="269B185D"/>
    <w:rsid w:val="26BF1478"/>
    <w:rsid w:val="26D00FBC"/>
    <w:rsid w:val="26D646C5"/>
    <w:rsid w:val="26E51798"/>
    <w:rsid w:val="26FB67A0"/>
    <w:rsid w:val="271679AE"/>
    <w:rsid w:val="272C0707"/>
    <w:rsid w:val="27324837"/>
    <w:rsid w:val="27390274"/>
    <w:rsid w:val="27663E6F"/>
    <w:rsid w:val="276E37A0"/>
    <w:rsid w:val="27704878"/>
    <w:rsid w:val="279F537D"/>
    <w:rsid w:val="27AD01DA"/>
    <w:rsid w:val="27CB18D8"/>
    <w:rsid w:val="27FE1C8A"/>
    <w:rsid w:val="27FE59FB"/>
    <w:rsid w:val="27FF6FE3"/>
    <w:rsid w:val="280B3FF0"/>
    <w:rsid w:val="28284160"/>
    <w:rsid w:val="28543910"/>
    <w:rsid w:val="285507FD"/>
    <w:rsid w:val="288130EC"/>
    <w:rsid w:val="288E0E9B"/>
    <w:rsid w:val="28C6759A"/>
    <w:rsid w:val="28CB7113"/>
    <w:rsid w:val="28D27848"/>
    <w:rsid w:val="28E84B02"/>
    <w:rsid w:val="290F5406"/>
    <w:rsid w:val="291F1C70"/>
    <w:rsid w:val="294A3E4E"/>
    <w:rsid w:val="29600B3C"/>
    <w:rsid w:val="2974498E"/>
    <w:rsid w:val="297B3BC8"/>
    <w:rsid w:val="297E2551"/>
    <w:rsid w:val="29A77E13"/>
    <w:rsid w:val="29A8575D"/>
    <w:rsid w:val="29B74108"/>
    <w:rsid w:val="29BA5BEE"/>
    <w:rsid w:val="29C01785"/>
    <w:rsid w:val="29C448AF"/>
    <w:rsid w:val="2A147269"/>
    <w:rsid w:val="2A202079"/>
    <w:rsid w:val="2A2038A1"/>
    <w:rsid w:val="2A2B1576"/>
    <w:rsid w:val="2A2C46A4"/>
    <w:rsid w:val="2A537017"/>
    <w:rsid w:val="2A99523B"/>
    <w:rsid w:val="2AA415D3"/>
    <w:rsid w:val="2AA7677F"/>
    <w:rsid w:val="2ADB2B70"/>
    <w:rsid w:val="2ADF3F67"/>
    <w:rsid w:val="2B0F4FC5"/>
    <w:rsid w:val="2B155185"/>
    <w:rsid w:val="2BF1433B"/>
    <w:rsid w:val="2BF51A0F"/>
    <w:rsid w:val="2C0C1256"/>
    <w:rsid w:val="2C2A5978"/>
    <w:rsid w:val="2C381E79"/>
    <w:rsid w:val="2C3A5674"/>
    <w:rsid w:val="2C444745"/>
    <w:rsid w:val="2C511FF4"/>
    <w:rsid w:val="2C532BDA"/>
    <w:rsid w:val="2C7E3ECE"/>
    <w:rsid w:val="2C8277A3"/>
    <w:rsid w:val="2CA40325"/>
    <w:rsid w:val="2CD71115"/>
    <w:rsid w:val="2CDB08FB"/>
    <w:rsid w:val="2CE56BC8"/>
    <w:rsid w:val="2CF06A23"/>
    <w:rsid w:val="2D065830"/>
    <w:rsid w:val="2D171994"/>
    <w:rsid w:val="2D2E004F"/>
    <w:rsid w:val="2D370E79"/>
    <w:rsid w:val="2D3B1D0D"/>
    <w:rsid w:val="2D5C4689"/>
    <w:rsid w:val="2D744BB6"/>
    <w:rsid w:val="2D7A2E98"/>
    <w:rsid w:val="2D880979"/>
    <w:rsid w:val="2DD51C8A"/>
    <w:rsid w:val="2DDB065C"/>
    <w:rsid w:val="2DDB27CB"/>
    <w:rsid w:val="2E02213E"/>
    <w:rsid w:val="2E156F36"/>
    <w:rsid w:val="2E290EE4"/>
    <w:rsid w:val="2E4630EF"/>
    <w:rsid w:val="2E5922BE"/>
    <w:rsid w:val="2E7D70CB"/>
    <w:rsid w:val="2EA350C6"/>
    <w:rsid w:val="2ECB6B32"/>
    <w:rsid w:val="2ED05CDE"/>
    <w:rsid w:val="2EFE110B"/>
    <w:rsid w:val="2F0116F1"/>
    <w:rsid w:val="2F316EF3"/>
    <w:rsid w:val="2F3B5956"/>
    <w:rsid w:val="2F436F36"/>
    <w:rsid w:val="2F5A77EF"/>
    <w:rsid w:val="2F5C3B54"/>
    <w:rsid w:val="2F6517C3"/>
    <w:rsid w:val="2FA30AC3"/>
    <w:rsid w:val="2FB76FDC"/>
    <w:rsid w:val="2FDA6B1F"/>
    <w:rsid w:val="2FEA7D5E"/>
    <w:rsid w:val="301950F9"/>
    <w:rsid w:val="30451BBC"/>
    <w:rsid w:val="30570AC2"/>
    <w:rsid w:val="30775B89"/>
    <w:rsid w:val="30AE2FF6"/>
    <w:rsid w:val="30B36B3A"/>
    <w:rsid w:val="30C94365"/>
    <w:rsid w:val="30EF0E8C"/>
    <w:rsid w:val="30F0668B"/>
    <w:rsid w:val="31001087"/>
    <w:rsid w:val="31043CA0"/>
    <w:rsid w:val="310D3165"/>
    <w:rsid w:val="311B7A32"/>
    <w:rsid w:val="311C359A"/>
    <w:rsid w:val="31243FAD"/>
    <w:rsid w:val="3138414C"/>
    <w:rsid w:val="31625612"/>
    <w:rsid w:val="31812082"/>
    <w:rsid w:val="31A85121"/>
    <w:rsid w:val="31D82885"/>
    <w:rsid w:val="31DA4629"/>
    <w:rsid w:val="31E610D6"/>
    <w:rsid w:val="31F12C79"/>
    <w:rsid w:val="31FC517A"/>
    <w:rsid w:val="32016C06"/>
    <w:rsid w:val="32056724"/>
    <w:rsid w:val="322C6B01"/>
    <w:rsid w:val="32366140"/>
    <w:rsid w:val="323E5792"/>
    <w:rsid w:val="32592364"/>
    <w:rsid w:val="32601BAD"/>
    <w:rsid w:val="32607DFF"/>
    <w:rsid w:val="3264169D"/>
    <w:rsid w:val="326C21F0"/>
    <w:rsid w:val="328D3EE9"/>
    <w:rsid w:val="32BF0EDD"/>
    <w:rsid w:val="3307027A"/>
    <w:rsid w:val="330813AC"/>
    <w:rsid w:val="33197425"/>
    <w:rsid w:val="33751688"/>
    <w:rsid w:val="33B05B99"/>
    <w:rsid w:val="33B54F5B"/>
    <w:rsid w:val="33BB5540"/>
    <w:rsid w:val="33C10429"/>
    <w:rsid w:val="33CF2B46"/>
    <w:rsid w:val="33DF23F2"/>
    <w:rsid w:val="34342C2C"/>
    <w:rsid w:val="34386061"/>
    <w:rsid w:val="34711F31"/>
    <w:rsid w:val="34B01925"/>
    <w:rsid w:val="34C51D78"/>
    <w:rsid w:val="34D41A76"/>
    <w:rsid w:val="34DA28BD"/>
    <w:rsid w:val="34EE16F2"/>
    <w:rsid w:val="34F12952"/>
    <w:rsid w:val="3518676F"/>
    <w:rsid w:val="354B05E0"/>
    <w:rsid w:val="355C12DE"/>
    <w:rsid w:val="355F7EFA"/>
    <w:rsid w:val="3563244F"/>
    <w:rsid w:val="356527EF"/>
    <w:rsid w:val="35753BC1"/>
    <w:rsid w:val="35A76B10"/>
    <w:rsid w:val="35AE1209"/>
    <w:rsid w:val="35C77203"/>
    <w:rsid w:val="35D16AE6"/>
    <w:rsid w:val="35D72AD1"/>
    <w:rsid w:val="35E93C67"/>
    <w:rsid w:val="35FB58C9"/>
    <w:rsid w:val="36010856"/>
    <w:rsid w:val="36140EBC"/>
    <w:rsid w:val="36215F59"/>
    <w:rsid w:val="362D05B8"/>
    <w:rsid w:val="365D444A"/>
    <w:rsid w:val="36823FFB"/>
    <w:rsid w:val="36841031"/>
    <w:rsid w:val="36954B86"/>
    <w:rsid w:val="36957B0E"/>
    <w:rsid w:val="36B5066C"/>
    <w:rsid w:val="36C97CBE"/>
    <w:rsid w:val="370178A6"/>
    <w:rsid w:val="371D006C"/>
    <w:rsid w:val="371D5E6B"/>
    <w:rsid w:val="376D2A25"/>
    <w:rsid w:val="3779106C"/>
    <w:rsid w:val="3780579E"/>
    <w:rsid w:val="379E634E"/>
    <w:rsid w:val="37A86C53"/>
    <w:rsid w:val="37C17498"/>
    <w:rsid w:val="37D85EC2"/>
    <w:rsid w:val="37F66F6A"/>
    <w:rsid w:val="38136DF0"/>
    <w:rsid w:val="381C69BD"/>
    <w:rsid w:val="3822621E"/>
    <w:rsid w:val="3825589D"/>
    <w:rsid w:val="382D0783"/>
    <w:rsid w:val="38321BD3"/>
    <w:rsid w:val="383D1463"/>
    <w:rsid w:val="384B05C1"/>
    <w:rsid w:val="38511599"/>
    <w:rsid w:val="38984C96"/>
    <w:rsid w:val="389C497F"/>
    <w:rsid w:val="38A6226A"/>
    <w:rsid w:val="38CD30C2"/>
    <w:rsid w:val="38E64352"/>
    <w:rsid w:val="38EC419A"/>
    <w:rsid w:val="39217E6B"/>
    <w:rsid w:val="39420AD9"/>
    <w:rsid w:val="39665F8E"/>
    <w:rsid w:val="396B12CF"/>
    <w:rsid w:val="3979197F"/>
    <w:rsid w:val="397A6F78"/>
    <w:rsid w:val="398F0341"/>
    <w:rsid w:val="399C23D4"/>
    <w:rsid w:val="39AD543B"/>
    <w:rsid w:val="39B71D1E"/>
    <w:rsid w:val="39E838F8"/>
    <w:rsid w:val="39E96772"/>
    <w:rsid w:val="39FF5F80"/>
    <w:rsid w:val="3A1127CD"/>
    <w:rsid w:val="3A246826"/>
    <w:rsid w:val="3A360662"/>
    <w:rsid w:val="3A394275"/>
    <w:rsid w:val="3A42339F"/>
    <w:rsid w:val="3A46329D"/>
    <w:rsid w:val="3A4D2E82"/>
    <w:rsid w:val="3A793DA1"/>
    <w:rsid w:val="3A8324AD"/>
    <w:rsid w:val="3AB07408"/>
    <w:rsid w:val="3AB129D7"/>
    <w:rsid w:val="3AC9659D"/>
    <w:rsid w:val="3AD81A4C"/>
    <w:rsid w:val="3ADD2E87"/>
    <w:rsid w:val="3AF41A4D"/>
    <w:rsid w:val="3AFA0A6E"/>
    <w:rsid w:val="3B0025AB"/>
    <w:rsid w:val="3B054287"/>
    <w:rsid w:val="3B0C28D2"/>
    <w:rsid w:val="3B0E36DA"/>
    <w:rsid w:val="3B194FEF"/>
    <w:rsid w:val="3B437223"/>
    <w:rsid w:val="3B483EC7"/>
    <w:rsid w:val="3B585B17"/>
    <w:rsid w:val="3B713E68"/>
    <w:rsid w:val="3B8E0680"/>
    <w:rsid w:val="3BAA7334"/>
    <w:rsid w:val="3BCB2815"/>
    <w:rsid w:val="3BCB60EB"/>
    <w:rsid w:val="3BD553B9"/>
    <w:rsid w:val="3BDF30D1"/>
    <w:rsid w:val="3BE15B0C"/>
    <w:rsid w:val="3BF43C71"/>
    <w:rsid w:val="3BF515B8"/>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D000214"/>
    <w:rsid w:val="3D0B7719"/>
    <w:rsid w:val="3D302759"/>
    <w:rsid w:val="3D3D0E5A"/>
    <w:rsid w:val="3D557E03"/>
    <w:rsid w:val="3D6675E2"/>
    <w:rsid w:val="3D6802F9"/>
    <w:rsid w:val="3D685E7C"/>
    <w:rsid w:val="3D6E2C59"/>
    <w:rsid w:val="3D790984"/>
    <w:rsid w:val="3DC15167"/>
    <w:rsid w:val="3DC34CD5"/>
    <w:rsid w:val="3DEA59D2"/>
    <w:rsid w:val="3E001EA9"/>
    <w:rsid w:val="3E0155AD"/>
    <w:rsid w:val="3E1F6C4B"/>
    <w:rsid w:val="3E2C65BF"/>
    <w:rsid w:val="3E3715E6"/>
    <w:rsid w:val="3E5A5506"/>
    <w:rsid w:val="3E652E9C"/>
    <w:rsid w:val="3E66679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B377D"/>
    <w:rsid w:val="3F6D7DF3"/>
    <w:rsid w:val="3FB32B32"/>
    <w:rsid w:val="3FF40A03"/>
    <w:rsid w:val="3FF63EE3"/>
    <w:rsid w:val="40156940"/>
    <w:rsid w:val="401B4E4B"/>
    <w:rsid w:val="40322DDA"/>
    <w:rsid w:val="40354679"/>
    <w:rsid w:val="403A1C8F"/>
    <w:rsid w:val="404E573A"/>
    <w:rsid w:val="40754A75"/>
    <w:rsid w:val="408B4867"/>
    <w:rsid w:val="40B02662"/>
    <w:rsid w:val="40DF3FA9"/>
    <w:rsid w:val="40DF5D28"/>
    <w:rsid w:val="40E13184"/>
    <w:rsid w:val="40F938F8"/>
    <w:rsid w:val="410B5BA8"/>
    <w:rsid w:val="412D25B6"/>
    <w:rsid w:val="414A326C"/>
    <w:rsid w:val="414E603F"/>
    <w:rsid w:val="416777AB"/>
    <w:rsid w:val="416D6BC8"/>
    <w:rsid w:val="416F4571"/>
    <w:rsid w:val="41735459"/>
    <w:rsid w:val="417B7512"/>
    <w:rsid w:val="41C55588"/>
    <w:rsid w:val="41D2487F"/>
    <w:rsid w:val="42055B33"/>
    <w:rsid w:val="421A0B83"/>
    <w:rsid w:val="42332E3A"/>
    <w:rsid w:val="426260DC"/>
    <w:rsid w:val="42822C6D"/>
    <w:rsid w:val="4283791D"/>
    <w:rsid w:val="428B7458"/>
    <w:rsid w:val="42957651"/>
    <w:rsid w:val="42C4328B"/>
    <w:rsid w:val="42D31F27"/>
    <w:rsid w:val="42D4017C"/>
    <w:rsid w:val="42D62B6D"/>
    <w:rsid w:val="42F84106"/>
    <w:rsid w:val="430A2AF4"/>
    <w:rsid w:val="433454BE"/>
    <w:rsid w:val="4368445E"/>
    <w:rsid w:val="436E00E3"/>
    <w:rsid w:val="438B45A3"/>
    <w:rsid w:val="43901A1E"/>
    <w:rsid w:val="439E40AE"/>
    <w:rsid w:val="43A6388C"/>
    <w:rsid w:val="43AD1F46"/>
    <w:rsid w:val="43BB2753"/>
    <w:rsid w:val="43E5316C"/>
    <w:rsid w:val="43E54B70"/>
    <w:rsid w:val="43F645D6"/>
    <w:rsid w:val="43F670B2"/>
    <w:rsid w:val="442545B7"/>
    <w:rsid w:val="44284413"/>
    <w:rsid w:val="443E0535"/>
    <w:rsid w:val="443F32FA"/>
    <w:rsid w:val="44704B0A"/>
    <w:rsid w:val="44817267"/>
    <w:rsid w:val="44D40060"/>
    <w:rsid w:val="45013506"/>
    <w:rsid w:val="45127C03"/>
    <w:rsid w:val="45246A6A"/>
    <w:rsid w:val="454C400F"/>
    <w:rsid w:val="454D0082"/>
    <w:rsid w:val="455B0133"/>
    <w:rsid w:val="455C6204"/>
    <w:rsid w:val="45621D5B"/>
    <w:rsid w:val="45717CEA"/>
    <w:rsid w:val="458962E8"/>
    <w:rsid w:val="45A409ED"/>
    <w:rsid w:val="45B521CA"/>
    <w:rsid w:val="45C94DCF"/>
    <w:rsid w:val="45F14B9E"/>
    <w:rsid w:val="45F4263A"/>
    <w:rsid w:val="45F428E0"/>
    <w:rsid w:val="461D1E37"/>
    <w:rsid w:val="465E6349"/>
    <w:rsid w:val="468561CA"/>
    <w:rsid w:val="46900D01"/>
    <w:rsid w:val="46995F99"/>
    <w:rsid w:val="46A952BF"/>
    <w:rsid w:val="46B21728"/>
    <w:rsid w:val="46C10A14"/>
    <w:rsid w:val="46CE19F8"/>
    <w:rsid w:val="46DE08D6"/>
    <w:rsid w:val="46E32B60"/>
    <w:rsid w:val="46F00A38"/>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8164C1B"/>
    <w:rsid w:val="481975E0"/>
    <w:rsid w:val="48276F9D"/>
    <w:rsid w:val="483D40CA"/>
    <w:rsid w:val="486636F4"/>
    <w:rsid w:val="488F6425"/>
    <w:rsid w:val="48A713C7"/>
    <w:rsid w:val="48B7695A"/>
    <w:rsid w:val="48E90DFD"/>
    <w:rsid w:val="491A3825"/>
    <w:rsid w:val="49226D5E"/>
    <w:rsid w:val="493406CD"/>
    <w:rsid w:val="49381DEE"/>
    <w:rsid w:val="493B2AC3"/>
    <w:rsid w:val="49461077"/>
    <w:rsid w:val="49487EE6"/>
    <w:rsid w:val="494E3B36"/>
    <w:rsid w:val="49572810"/>
    <w:rsid w:val="497913CB"/>
    <w:rsid w:val="49816239"/>
    <w:rsid w:val="49845C45"/>
    <w:rsid w:val="498B3956"/>
    <w:rsid w:val="49965AEC"/>
    <w:rsid w:val="49D07890"/>
    <w:rsid w:val="49E00517"/>
    <w:rsid w:val="49F50147"/>
    <w:rsid w:val="49F50FEC"/>
    <w:rsid w:val="4A007AA5"/>
    <w:rsid w:val="4A1B51B3"/>
    <w:rsid w:val="4A5976A6"/>
    <w:rsid w:val="4A5E3966"/>
    <w:rsid w:val="4A6F0F17"/>
    <w:rsid w:val="4A7B0C83"/>
    <w:rsid w:val="4A942A2E"/>
    <w:rsid w:val="4AA059D7"/>
    <w:rsid w:val="4AB91D68"/>
    <w:rsid w:val="4AF34F14"/>
    <w:rsid w:val="4B2C3E78"/>
    <w:rsid w:val="4B5A179F"/>
    <w:rsid w:val="4B7A5635"/>
    <w:rsid w:val="4BA07E7F"/>
    <w:rsid w:val="4BA27C1C"/>
    <w:rsid w:val="4BC464BA"/>
    <w:rsid w:val="4BF13331"/>
    <w:rsid w:val="4BF5032D"/>
    <w:rsid w:val="4C115F9A"/>
    <w:rsid w:val="4C371D6F"/>
    <w:rsid w:val="4C4D2D4A"/>
    <w:rsid w:val="4C577725"/>
    <w:rsid w:val="4C6822BE"/>
    <w:rsid w:val="4C76436C"/>
    <w:rsid w:val="4C7F393E"/>
    <w:rsid w:val="4C9D6AA1"/>
    <w:rsid w:val="4CAC77BE"/>
    <w:rsid w:val="4CE30085"/>
    <w:rsid w:val="4CE92A73"/>
    <w:rsid w:val="4CEC3B68"/>
    <w:rsid w:val="4CF83C05"/>
    <w:rsid w:val="4CF8639A"/>
    <w:rsid w:val="4D483928"/>
    <w:rsid w:val="4D740170"/>
    <w:rsid w:val="4DA1378E"/>
    <w:rsid w:val="4DBC60D7"/>
    <w:rsid w:val="4DCB68F7"/>
    <w:rsid w:val="4DCE6352"/>
    <w:rsid w:val="4DF95127"/>
    <w:rsid w:val="4DFF4C65"/>
    <w:rsid w:val="4E0E5AF7"/>
    <w:rsid w:val="4E3D564E"/>
    <w:rsid w:val="4E93713A"/>
    <w:rsid w:val="4E9A0D30"/>
    <w:rsid w:val="4EBF2070"/>
    <w:rsid w:val="4ED67B50"/>
    <w:rsid w:val="4ED96BA4"/>
    <w:rsid w:val="4EDE412D"/>
    <w:rsid w:val="4EE03B24"/>
    <w:rsid w:val="4F195E60"/>
    <w:rsid w:val="4FA638E6"/>
    <w:rsid w:val="4FA91930"/>
    <w:rsid w:val="4FFF6109"/>
    <w:rsid w:val="50306C0B"/>
    <w:rsid w:val="503E1C80"/>
    <w:rsid w:val="50485192"/>
    <w:rsid w:val="504F5199"/>
    <w:rsid w:val="5059653D"/>
    <w:rsid w:val="506A12AA"/>
    <w:rsid w:val="508A631B"/>
    <w:rsid w:val="508B59EE"/>
    <w:rsid w:val="509F5BB5"/>
    <w:rsid w:val="50E517A3"/>
    <w:rsid w:val="50E747F3"/>
    <w:rsid w:val="50EE10DE"/>
    <w:rsid w:val="50F43882"/>
    <w:rsid w:val="50F86314"/>
    <w:rsid w:val="510776AF"/>
    <w:rsid w:val="511A58F1"/>
    <w:rsid w:val="511D256C"/>
    <w:rsid w:val="514106BE"/>
    <w:rsid w:val="51E1640E"/>
    <w:rsid w:val="52057F80"/>
    <w:rsid w:val="52650DED"/>
    <w:rsid w:val="526E7576"/>
    <w:rsid w:val="52715B58"/>
    <w:rsid w:val="5276017A"/>
    <w:rsid w:val="5287795E"/>
    <w:rsid w:val="528A7530"/>
    <w:rsid w:val="52AD1515"/>
    <w:rsid w:val="52D63A99"/>
    <w:rsid w:val="52E066C6"/>
    <w:rsid w:val="52E1212C"/>
    <w:rsid w:val="52E410BC"/>
    <w:rsid w:val="52E9096C"/>
    <w:rsid w:val="531567D7"/>
    <w:rsid w:val="53220A8C"/>
    <w:rsid w:val="533B52F7"/>
    <w:rsid w:val="5349426B"/>
    <w:rsid w:val="53503320"/>
    <w:rsid w:val="535C0E74"/>
    <w:rsid w:val="535D2E60"/>
    <w:rsid w:val="535E561C"/>
    <w:rsid w:val="53835026"/>
    <w:rsid w:val="5386726D"/>
    <w:rsid w:val="53CF21C3"/>
    <w:rsid w:val="53E43F94"/>
    <w:rsid w:val="5439265D"/>
    <w:rsid w:val="543F3434"/>
    <w:rsid w:val="543F566E"/>
    <w:rsid w:val="544229A0"/>
    <w:rsid w:val="54525319"/>
    <w:rsid w:val="545C3B2A"/>
    <w:rsid w:val="5475243A"/>
    <w:rsid w:val="548521D1"/>
    <w:rsid w:val="54880DC3"/>
    <w:rsid w:val="548F31AF"/>
    <w:rsid w:val="5495762B"/>
    <w:rsid w:val="54BE6593"/>
    <w:rsid w:val="54CB0CB0"/>
    <w:rsid w:val="54E70C00"/>
    <w:rsid w:val="54FC530D"/>
    <w:rsid w:val="5503044A"/>
    <w:rsid w:val="553272E3"/>
    <w:rsid w:val="55466485"/>
    <w:rsid w:val="555E784F"/>
    <w:rsid w:val="55876190"/>
    <w:rsid w:val="559C3432"/>
    <w:rsid w:val="55D80B1F"/>
    <w:rsid w:val="55DC70F4"/>
    <w:rsid w:val="560A591A"/>
    <w:rsid w:val="561D1627"/>
    <w:rsid w:val="56317B21"/>
    <w:rsid w:val="56351736"/>
    <w:rsid w:val="564000A1"/>
    <w:rsid w:val="564C7024"/>
    <w:rsid w:val="56710CDC"/>
    <w:rsid w:val="56A62B21"/>
    <w:rsid w:val="56CC6E9E"/>
    <w:rsid w:val="56E51E92"/>
    <w:rsid w:val="56E570C5"/>
    <w:rsid w:val="56FE672C"/>
    <w:rsid w:val="57275D5E"/>
    <w:rsid w:val="572C48E8"/>
    <w:rsid w:val="572D5C52"/>
    <w:rsid w:val="573E7343"/>
    <w:rsid w:val="57454D4A"/>
    <w:rsid w:val="57514029"/>
    <w:rsid w:val="57595348"/>
    <w:rsid w:val="575E3F98"/>
    <w:rsid w:val="57833440"/>
    <w:rsid w:val="57874208"/>
    <w:rsid w:val="57882019"/>
    <w:rsid w:val="578D2120"/>
    <w:rsid w:val="579D4947"/>
    <w:rsid w:val="57B23877"/>
    <w:rsid w:val="57B36157"/>
    <w:rsid w:val="57B93A8A"/>
    <w:rsid w:val="57EC0EEF"/>
    <w:rsid w:val="580A14C1"/>
    <w:rsid w:val="5837339B"/>
    <w:rsid w:val="584C4556"/>
    <w:rsid w:val="58586CFE"/>
    <w:rsid w:val="587633F2"/>
    <w:rsid w:val="58AC2BA6"/>
    <w:rsid w:val="58CD1431"/>
    <w:rsid w:val="59342755"/>
    <w:rsid w:val="59380DF6"/>
    <w:rsid w:val="593C3F2A"/>
    <w:rsid w:val="595C141C"/>
    <w:rsid w:val="59635DF5"/>
    <w:rsid w:val="59663EAA"/>
    <w:rsid w:val="596D0588"/>
    <w:rsid w:val="597F12EA"/>
    <w:rsid w:val="59853CC1"/>
    <w:rsid w:val="59A45FA0"/>
    <w:rsid w:val="59A541C5"/>
    <w:rsid w:val="59AD05EC"/>
    <w:rsid w:val="59BD666F"/>
    <w:rsid w:val="59D506A7"/>
    <w:rsid w:val="59F207FC"/>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4F4B"/>
    <w:rsid w:val="5AC76E41"/>
    <w:rsid w:val="5AD654D0"/>
    <w:rsid w:val="5AE71E5C"/>
    <w:rsid w:val="5AFA6407"/>
    <w:rsid w:val="5B057795"/>
    <w:rsid w:val="5B123195"/>
    <w:rsid w:val="5B1769FD"/>
    <w:rsid w:val="5B215ACE"/>
    <w:rsid w:val="5B4517BC"/>
    <w:rsid w:val="5B453FE5"/>
    <w:rsid w:val="5B915AB8"/>
    <w:rsid w:val="5BAD57B7"/>
    <w:rsid w:val="5BB029AE"/>
    <w:rsid w:val="5BBA55DA"/>
    <w:rsid w:val="5BBB690A"/>
    <w:rsid w:val="5BBE0EDC"/>
    <w:rsid w:val="5BF31966"/>
    <w:rsid w:val="5C225CD5"/>
    <w:rsid w:val="5C3057F6"/>
    <w:rsid w:val="5C3D3477"/>
    <w:rsid w:val="5C491EA8"/>
    <w:rsid w:val="5C5D4917"/>
    <w:rsid w:val="5C6E6DAF"/>
    <w:rsid w:val="5C76087C"/>
    <w:rsid w:val="5C7C1D43"/>
    <w:rsid w:val="5C903D98"/>
    <w:rsid w:val="5C9C495A"/>
    <w:rsid w:val="5CB07109"/>
    <w:rsid w:val="5CB23A9A"/>
    <w:rsid w:val="5CCE41E1"/>
    <w:rsid w:val="5CE97C39"/>
    <w:rsid w:val="5D104090"/>
    <w:rsid w:val="5D121F6A"/>
    <w:rsid w:val="5D297F84"/>
    <w:rsid w:val="5D3A69D3"/>
    <w:rsid w:val="5D4B54DD"/>
    <w:rsid w:val="5D5A1F51"/>
    <w:rsid w:val="5D9D12F5"/>
    <w:rsid w:val="5DBC4D87"/>
    <w:rsid w:val="5DD862B5"/>
    <w:rsid w:val="5DDB1F64"/>
    <w:rsid w:val="5DDD455F"/>
    <w:rsid w:val="5DE96998"/>
    <w:rsid w:val="5E6E102A"/>
    <w:rsid w:val="5EA734E4"/>
    <w:rsid w:val="5ED25D32"/>
    <w:rsid w:val="5EDF089E"/>
    <w:rsid w:val="5EEC63F2"/>
    <w:rsid w:val="5EF534F9"/>
    <w:rsid w:val="5F0C67C2"/>
    <w:rsid w:val="5F42431A"/>
    <w:rsid w:val="5F6C347F"/>
    <w:rsid w:val="5F7B42E3"/>
    <w:rsid w:val="5F954394"/>
    <w:rsid w:val="5FA016B7"/>
    <w:rsid w:val="5FCE4022"/>
    <w:rsid w:val="5FFE1F39"/>
    <w:rsid w:val="60003F04"/>
    <w:rsid w:val="600B7F5A"/>
    <w:rsid w:val="600C0AFA"/>
    <w:rsid w:val="6029154D"/>
    <w:rsid w:val="60580955"/>
    <w:rsid w:val="60614D83"/>
    <w:rsid w:val="60632AE9"/>
    <w:rsid w:val="607408A0"/>
    <w:rsid w:val="607C676C"/>
    <w:rsid w:val="60A056E7"/>
    <w:rsid w:val="60AD570E"/>
    <w:rsid w:val="60BA6DD7"/>
    <w:rsid w:val="60C65C41"/>
    <w:rsid w:val="60CC2038"/>
    <w:rsid w:val="60D12A29"/>
    <w:rsid w:val="60D204EC"/>
    <w:rsid w:val="60D47616"/>
    <w:rsid w:val="60DB312E"/>
    <w:rsid w:val="60E554D5"/>
    <w:rsid w:val="60FA4CF8"/>
    <w:rsid w:val="60FE1827"/>
    <w:rsid w:val="611E6C3B"/>
    <w:rsid w:val="612D5EC3"/>
    <w:rsid w:val="613E1E53"/>
    <w:rsid w:val="614222A6"/>
    <w:rsid w:val="6162299C"/>
    <w:rsid w:val="618A7AAC"/>
    <w:rsid w:val="61A31DFF"/>
    <w:rsid w:val="61B054B5"/>
    <w:rsid w:val="61BC3E5A"/>
    <w:rsid w:val="61DC68BA"/>
    <w:rsid w:val="61E237BA"/>
    <w:rsid w:val="61EF2482"/>
    <w:rsid w:val="61F04BA2"/>
    <w:rsid w:val="61F651DA"/>
    <w:rsid w:val="6201317C"/>
    <w:rsid w:val="62145393"/>
    <w:rsid w:val="622539B8"/>
    <w:rsid w:val="62282D18"/>
    <w:rsid w:val="62314848"/>
    <w:rsid w:val="62570027"/>
    <w:rsid w:val="62732569"/>
    <w:rsid w:val="62896F64"/>
    <w:rsid w:val="628B41FB"/>
    <w:rsid w:val="62A07565"/>
    <w:rsid w:val="62B10B65"/>
    <w:rsid w:val="62BF1942"/>
    <w:rsid w:val="62BF65FF"/>
    <w:rsid w:val="62C7680A"/>
    <w:rsid w:val="62CD4B88"/>
    <w:rsid w:val="62CF0EC4"/>
    <w:rsid w:val="62D624B7"/>
    <w:rsid w:val="62EC01DA"/>
    <w:rsid w:val="62FD1F6E"/>
    <w:rsid w:val="633210E0"/>
    <w:rsid w:val="63384056"/>
    <w:rsid w:val="635A3B41"/>
    <w:rsid w:val="636D0083"/>
    <w:rsid w:val="63723C6C"/>
    <w:rsid w:val="6373422E"/>
    <w:rsid w:val="63895E98"/>
    <w:rsid w:val="638D69A9"/>
    <w:rsid w:val="638E47A4"/>
    <w:rsid w:val="63934D50"/>
    <w:rsid w:val="63981CEA"/>
    <w:rsid w:val="639A10B9"/>
    <w:rsid w:val="63AA1959"/>
    <w:rsid w:val="63F975E8"/>
    <w:rsid w:val="643C28AA"/>
    <w:rsid w:val="643C6545"/>
    <w:rsid w:val="647C34E7"/>
    <w:rsid w:val="649716A0"/>
    <w:rsid w:val="64A77044"/>
    <w:rsid w:val="652414F0"/>
    <w:rsid w:val="653A493C"/>
    <w:rsid w:val="653F1EFC"/>
    <w:rsid w:val="65742DBF"/>
    <w:rsid w:val="657A6506"/>
    <w:rsid w:val="65816E9E"/>
    <w:rsid w:val="65995477"/>
    <w:rsid w:val="659F3FC6"/>
    <w:rsid w:val="65A9491F"/>
    <w:rsid w:val="65BF2DAE"/>
    <w:rsid w:val="65C5796B"/>
    <w:rsid w:val="65C65686"/>
    <w:rsid w:val="66037DFB"/>
    <w:rsid w:val="66164583"/>
    <w:rsid w:val="661701F9"/>
    <w:rsid w:val="66324ABD"/>
    <w:rsid w:val="66342B59"/>
    <w:rsid w:val="66732065"/>
    <w:rsid w:val="667D6E71"/>
    <w:rsid w:val="66930440"/>
    <w:rsid w:val="66935328"/>
    <w:rsid w:val="66995558"/>
    <w:rsid w:val="669A287A"/>
    <w:rsid w:val="669E707D"/>
    <w:rsid w:val="66A72624"/>
    <w:rsid w:val="66D76F8A"/>
    <w:rsid w:val="66E81BE1"/>
    <w:rsid w:val="66E845EE"/>
    <w:rsid w:val="66F06CD8"/>
    <w:rsid w:val="6711019E"/>
    <w:rsid w:val="67530DBD"/>
    <w:rsid w:val="677553E5"/>
    <w:rsid w:val="67900263"/>
    <w:rsid w:val="67A61834"/>
    <w:rsid w:val="67B374C4"/>
    <w:rsid w:val="67B52764"/>
    <w:rsid w:val="67EB36EB"/>
    <w:rsid w:val="67F26828"/>
    <w:rsid w:val="680A0F7E"/>
    <w:rsid w:val="680F32C3"/>
    <w:rsid w:val="682E35D8"/>
    <w:rsid w:val="68310B99"/>
    <w:rsid w:val="68342BAE"/>
    <w:rsid w:val="68564350"/>
    <w:rsid w:val="68570DF0"/>
    <w:rsid w:val="688F7E36"/>
    <w:rsid w:val="68950390"/>
    <w:rsid w:val="689E1D43"/>
    <w:rsid w:val="689E6CEC"/>
    <w:rsid w:val="68AE30C5"/>
    <w:rsid w:val="68BA4C16"/>
    <w:rsid w:val="68C006D4"/>
    <w:rsid w:val="68DD0195"/>
    <w:rsid w:val="68F80B7D"/>
    <w:rsid w:val="69063CCD"/>
    <w:rsid w:val="69107F50"/>
    <w:rsid w:val="6922313D"/>
    <w:rsid w:val="6941584C"/>
    <w:rsid w:val="694B1C98"/>
    <w:rsid w:val="694F2F3C"/>
    <w:rsid w:val="695263D9"/>
    <w:rsid w:val="697A596B"/>
    <w:rsid w:val="69B024A2"/>
    <w:rsid w:val="6A3248AB"/>
    <w:rsid w:val="6A3F7157"/>
    <w:rsid w:val="6A69722F"/>
    <w:rsid w:val="6A8868F6"/>
    <w:rsid w:val="6AEF0356"/>
    <w:rsid w:val="6B0C1CA8"/>
    <w:rsid w:val="6B210408"/>
    <w:rsid w:val="6B226F5C"/>
    <w:rsid w:val="6B240CC8"/>
    <w:rsid w:val="6B364574"/>
    <w:rsid w:val="6B4B448B"/>
    <w:rsid w:val="6B4D0D7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997F3B"/>
    <w:rsid w:val="6CB51517"/>
    <w:rsid w:val="6CBB1728"/>
    <w:rsid w:val="6CC256BB"/>
    <w:rsid w:val="6CF41B71"/>
    <w:rsid w:val="6D0204A6"/>
    <w:rsid w:val="6D056FFD"/>
    <w:rsid w:val="6D0F1C2A"/>
    <w:rsid w:val="6D173957"/>
    <w:rsid w:val="6D4757D2"/>
    <w:rsid w:val="6D6A6564"/>
    <w:rsid w:val="6D9738B6"/>
    <w:rsid w:val="6D9B170F"/>
    <w:rsid w:val="6DB96462"/>
    <w:rsid w:val="6DC70D7F"/>
    <w:rsid w:val="6DC87AD4"/>
    <w:rsid w:val="6DDB5FB0"/>
    <w:rsid w:val="6DF45256"/>
    <w:rsid w:val="6DF73BB2"/>
    <w:rsid w:val="6E0A02E2"/>
    <w:rsid w:val="6E2C1870"/>
    <w:rsid w:val="6E6E7D28"/>
    <w:rsid w:val="6E716A5C"/>
    <w:rsid w:val="6E772B09"/>
    <w:rsid w:val="6E7E632C"/>
    <w:rsid w:val="6EC505B9"/>
    <w:rsid w:val="6F180A6D"/>
    <w:rsid w:val="6F400AF2"/>
    <w:rsid w:val="6F5D0A07"/>
    <w:rsid w:val="6F6222D5"/>
    <w:rsid w:val="6F9E54E7"/>
    <w:rsid w:val="6FE52F43"/>
    <w:rsid w:val="6FEA072C"/>
    <w:rsid w:val="6FEF31EE"/>
    <w:rsid w:val="6FFF138A"/>
    <w:rsid w:val="7042644D"/>
    <w:rsid w:val="70673B2B"/>
    <w:rsid w:val="708C7F32"/>
    <w:rsid w:val="708F162B"/>
    <w:rsid w:val="70A53BED"/>
    <w:rsid w:val="70D460E9"/>
    <w:rsid w:val="70FA7F4C"/>
    <w:rsid w:val="710930DF"/>
    <w:rsid w:val="7118679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908D7"/>
    <w:rsid w:val="7228200C"/>
    <w:rsid w:val="723931EE"/>
    <w:rsid w:val="72587BCF"/>
    <w:rsid w:val="725A3FB0"/>
    <w:rsid w:val="726E3383"/>
    <w:rsid w:val="72734BFB"/>
    <w:rsid w:val="72735EA6"/>
    <w:rsid w:val="727C711D"/>
    <w:rsid w:val="7293369D"/>
    <w:rsid w:val="72952BD1"/>
    <w:rsid w:val="72CE1C3F"/>
    <w:rsid w:val="72DE3629"/>
    <w:rsid w:val="72F8601E"/>
    <w:rsid w:val="732B52E4"/>
    <w:rsid w:val="733817AF"/>
    <w:rsid w:val="7358775D"/>
    <w:rsid w:val="735917FD"/>
    <w:rsid w:val="73602932"/>
    <w:rsid w:val="73702CF6"/>
    <w:rsid w:val="737A3B75"/>
    <w:rsid w:val="73830C7C"/>
    <w:rsid w:val="739A3FDF"/>
    <w:rsid w:val="739A4A96"/>
    <w:rsid w:val="73B52DFF"/>
    <w:rsid w:val="73DB4B30"/>
    <w:rsid w:val="7406374F"/>
    <w:rsid w:val="74092E99"/>
    <w:rsid w:val="740A7AB9"/>
    <w:rsid w:val="74367A9C"/>
    <w:rsid w:val="7450478C"/>
    <w:rsid w:val="7452015B"/>
    <w:rsid w:val="74774D75"/>
    <w:rsid w:val="747D5827"/>
    <w:rsid w:val="74820676"/>
    <w:rsid w:val="74861483"/>
    <w:rsid w:val="749401EE"/>
    <w:rsid w:val="751D4E5F"/>
    <w:rsid w:val="75211DE3"/>
    <w:rsid w:val="7531347A"/>
    <w:rsid w:val="7544683B"/>
    <w:rsid w:val="754E422D"/>
    <w:rsid w:val="756A1062"/>
    <w:rsid w:val="75D30DA5"/>
    <w:rsid w:val="75D57A43"/>
    <w:rsid w:val="75ED313E"/>
    <w:rsid w:val="75F2079C"/>
    <w:rsid w:val="75FD6C16"/>
    <w:rsid w:val="760342F6"/>
    <w:rsid w:val="7624324F"/>
    <w:rsid w:val="76AF5139"/>
    <w:rsid w:val="76E03FFD"/>
    <w:rsid w:val="76ED5AD9"/>
    <w:rsid w:val="77161E07"/>
    <w:rsid w:val="7732522C"/>
    <w:rsid w:val="773708DC"/>
    <w:rsid w:val="77536991"/>
    <w:rsid w:val="776721AA"/>
    <w:rsid w:val="77731007"/>
    <w:rsid w:val="778130E9"/>
    <w:rsid w:val="77A66FA4"/>
    <w:rsid w:val="77AC715F"/>
    <w:rsid w:val="77C655DB"/>
    <w:rsid w:val="77D05F62"/>
    <w:rsid w:val="77D67B46"/>
    <w:rsid w:val="77E230FE"/>
    <w:rsid w:val="78161684"/>
    <w:rsid w:val="783E26E3"/>
    <w:rsid w:val="7847671C"/>
    <w:rsid w:val="78476810"/>
    <w:rsid w:val="787061F4"/>
    <w:rsid w:val="787540FA"/>
    <w:rsid w:val="78A96B01"/>
    <w:rsid w:val="78AD0B5A"/>
    <w:rsid w:val="78B07870"/>
    <w:rsid w:val="78C7160B"/>
    <w:rsid w:val="78C97879"/>
    <w:rsid w:val="78D40B87"/>
    <w:rsid w:val="78DB6E64"/>
    <w:rsid w:val="79156AA7"/>
    <w:rsid w:val="79164340"/>
    <w:rsid w:val="792A5301"/>
    <w:rsid w:val="793A002E"/>
    <w:rsid w:val="7956493E"/>
    <w:rsid w:val="797D4121"/>
    <w:rsid w:val="797E11A6"/>
    <w:rsid w:val="799C4845"/>
    <w:rsid w:val="79A33E26"/>
    <w:rsid w:val="79B50780"/>
    <w:rsid w:val="7A07062C"/>
    <w:rsid w:val="7A1C7585"/>
    <w:rsid w:val="7A1F2F69"/>
    <w:rsid w:val="7A2E43AE"/>
    <w:rsid w:val="7A2E7E37"/>
    <w:rsid w:val="7A471799"/>
    <w:rsid w:val="7A4A4443"/>
    <w:rsid w:val="7A5275FA"/>
    <w:rsid w:val="7A57268E"/>
    <w:rsid w:val="7ACC4F5F"/>
    <w:rsid w:val="7ADB0CA1"/>
    <w:rsid w:val="7AEB5683"/>
    <w:rsid w:val="7AF5556B"/>
    <w:rsid w:val="7B1B3C2F"/>
    <w:rsid w:val="7B5D4985"/>
    <w:rsid w:val="7B6707E2"/>
    <w:rsid w:val="7B74267B"/>
    <w:rsid w:val="7B7D7754"/>
    <w:rsid w:val="7B8B7FD7"/>
    <w:rsid w:val="7B9E207A"/>
    <w:rsid w:val="7BA357BB"/>
    <w:rsid w:val="7BAA1EAE"/>
    <w:rsid w:val="7BE97AEA"/>
    <w:rsid w:val="7BFA0295"/>
    <w:rsid w:val="7C41666A"/>
    <w:rsid w:val="7C505D05"/>
    <w:rsid w:val="7C5843B5"/>
    <w:rsid w:val="7C8056BE"/>
    <w:rsid w:val="7C8D2B6B"/>
    <w:rsid w:val="7CD12D75"/>
    <w:rsid w:val="7D017396"/>
    <w:rsid w:val="7D041015"/>
    <w:rsid w:val="7D20753B"/>
    <w:rsid w:val="7D5B0001"/>
    <w:rsid w:val="7D6733BC"/>
    <w:rsid w:val="7D81183E"/>
    <w:rsid w:val="7D813913"/>
    <w:rsid w:val="7D902B14"/>
    <w:rsid w:val="7D9B7734"/>
    <w:rsid w:val="7D9F6F88"/>
    <w:rsid w:val="7DAE04B8"/>
    <w:rsid w:val="7DAF13CC"/>
    <w:rsid w:val="7DBC274F"/>
    <w:rsid w:val="7DDA3B8E"/>
    <w:rsid w:val="7DE40003"/>
    <w:rsid w:val="7DE411D8"/>
    <w:rsid w:val="7DFD2061"/>
    <w:rsid w:val="7E135BDF"/>
    <w:rsid w:val="7E374B3D"/>
    <w:rsid w:val="7EA15A77"/>
    <w:rsid w:val="7EAD0642"/>
    <w:rsid w:val="7EB01C87"/>
    <w:rsid w:val="7EB91A60"/>
    <w:rsid w:val="7ECF2A49"/>
    <w:rsid w:val="7EF01855"/>
    <w:rsid w:val="7F0B26EB"/>
    <w:rsid w:val="7F0C42CC"/>
    <w:rsid w:val="7F556BCB"/>
    <w:rsid w:val="7F5F3A42"/>
    <w:rsid w:val="7F6227C1"/>
    <w:rsid w:val="7F875A17"/>
    <w:rsid w:val="7F8B6C20"/>
    <w:rsid w:val="7FAA0986"/>
    <w:rsid w:val="7FB87EFF"/>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47"/>
    <w:autoRedefine/>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8"/>
    <w:autoRedefine/>
    <w:qFormat/>
    <w:uiPriority w:val="99"/>
    <w:pPr>
      <w:keepNext/>
      <w:keepLines/>
      <w:spacing w:line="360" w:lineRule="auto"/>
      <w:outlineLvl w:val="2"/>
    </w:pPr>
    <w:rPr>
      <w:b/>
      <w:bCs/>
      <w:kern w:val="0"/>
      <w:sz w:val="32"/>
      <w:szCs w:val="32"/>
    </w:rPr>
  </w:style>
  <w:style w:type="paragraph" w:styleId="6">
    <w:name w:val="heading 4"/>
    <w:basedOn w:val="1"/>
    <w:next w:val="1"/>
    <w:link w:val="49"/>
    <w:autoRedefine/>
    <w:qFormat/>
    <w:locked/>
    <w:uiPriority w:val="99"/>
    <w:pPr>
      <w:keepNext/>
      <w:keepLines/>
      <w:spacing w:before="280" w:after="290" w:line="376" w:lineRule="auto"/>
      <w:outlineLvl w:val="3"/>
    </w:pPr>
    <w:rPr>
      <w:rFonts w:ascii="Cambria" w:hAnsi="Cambria"/>
      <w:b/>
      <w:bCs/>
      <w:sz w:val="28"/>
      <w:szCs w:val="28"/>
    </w:rPr>
  </w:style>
  <w:style w:type="paragraph" w:styleId="7">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rPr>
      <w:rFonts w:ascii="宋体" w:hAnsi="宋体"/>
      <w:color w:val="0070C0"/>
      <w:szCs w:val="21"/>
    </w:rPr>
  </w:style>
  <w:style w:type="paragraph" w:styleId="8">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9">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10">
    <w:name w:val="annotation text"/>
    <w:basedOn w:val="1"/>
    <w:autoRedefine/>
    <w:semiHidden/>
    <w:qFormat/>
    <w:uiPriority w:val="0"/>
    <w:pPr>
      <w:jc w:val="left"/>
    </w:pPr>
  </w:style>
  <w:style w:type="paragraph" w:styleId="11">
    <w:name w:val="Body Text"/>
    <w:basedOn w:val="1"/>
    <w:next w:val="12"/>
    <w:autoRedefine/>
    <w:qFormat/>
    <w:uiPriority w:val="0"/>
    <w:pPr>
      <w:spacing w:after="120" w:line="440" w:lineRule="atLeast"/>
      <w:ind w:firstLine="200" w:firstLineChars="200"/>
    </w:pPr>
    <w:rPr>
      <w:rFonts w:ascii="Times New Roman" w:hAnsi="Times New Roman"/>
    </w:rPr>
  </w:style>
  <w:style w:type="paragraph" w:customStyle="1" w:styleId="12">
    <w:name w:val="正文文本 21"/>
    <w:basedOn w:val="1"/>
    <w:autoRedefine/>
    <w:qFormat/>
    <w:uiPriority w:val="0"/>
    <w:pPr>
      <w:spacing w:after="120" w:line="480" w:lineRule="auto"/>
    </w:pPr>
  </w:style>
  <w:style w:type="paragraph" w:styleId="13">
    <w:name w:val="Body Text Indent"/>
    <w:basedOn w:val="1"/>
    <w:next w:val="14"/>
    <w:link w:val="51"/>
    <w:autoRedefine/>
    <w:unhideWhenUsed/>
    <w:qFormat/>
    <w:uiPriority w:val="99"/>
    <w:pPr>
      <w:spacing w:after="120"/>
      <w:ind w:left="420" w:leftChars="200"/>
    </w:pPr>
  </w:style>
  <w:style w:type="paragraph" w:styleId="14">
    <w:name w:val="envelope return"/>
    <w:basedOn w:val="1"/>
    <w:autoRedefine/>
    <w:qFormat/>
    <w:uiPriority w:val="99"/>
    <w:pPr>
      <w:snapToGrid w:val="0"/>
    </w:pPr>
    <w:rPr>
      <w:rFonts w:ascii="Arial" w:hAnsi="Arial" w:cs="Arial"/>
    </w:rPr>
  </w:style>
  <w:style w:type="paragraph" w:styleId="15">
    <w:name w:val="toc 3"/>
    <w:basedOn w:val="1"/>
    <w:next w:val="1"/>
    <w:autoRedefine/>
    <w:qFormat/>
    <w:locked/>
    <w:uiPriority w:val="39"/>
    <w:pPr>
      <w:ind w:left="840" w:leftChars="400"/>
    </w:pPr>
  </w:style>
  <w:style w:type="paragraph" w:styleId="16">
    <w:name w:val="Plain Text"/>
    <w:basedOn w:val="1"/>
    <w:link w:val="52"/>
    <w:autoRedefine/>
    <w:qFormat/>
    <w:uiPriority w:val="99"/>
    <w:rPr>
      <w:rFonts w:ascii="宋体" w:hAnsi="Courier New"/>
      <w:szCs w:val="21"/>
    </w:rPr>
  </w:style>
  <w:style w:type="paragraph" w:styleId="17">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8">
    <w:name w:val="Balloon Text"/>
    <w:basedOn w:val="1"/>
    <w:link w:val="53"/>
    <w:autoRedefine/>
    <w:unhideWhenUsed/>
    <w:qFormat/>
    <w:uiPriority w:val="99"/>
    <w:rPr>
      <w:sz w:val="18"/>
      <w:szCs w:val="18"/>
    </w:rPr>
  </w:style>
  <w:style w:type="paragraph" w:styleId="19">
    <w:name w:val="footer"/>
    <w:basedOn w:val="1"/>
    <w:link w:val="54"/>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autoRedefine/>
    <w:qFormat/>
    <w:uiPriority w:val="39"/>
  </w:style>
  <w:style w:type="paragraph" w:styleId="22">
    <w:name w:val="toc 2"/>
    <w:basedOn w:val="1"/>
    <w:next w:val="1"/>
    <w:autoRedefine/>
    <w:qFormat/>
    <w:locked/>
    <w:uiPriority w:val="39"/>
    <w:pPr>
      <w:ind w:left="420" w:leftChars="200"/>
    </w:pPr>
  </w:style>
  <w:style w:type="paragraph" w:styleId="23">
    <w:name w:val="Body Text 2"/>
    <w:basedOn w:val="1"/>
    <w:link w:val="50"/>
    <w:autoRedefine/>
    <w:qFormat/>
    <w:uiPriority w:val="99"/>
    <w:pPr>
      <w:spacing w:after="120" w:line="480" w:lineRule="auto"/>
    </w:pPr>
    <w:rPr>
      <w:rFonts w:ascii="Times New Roman" w:hAnsi="Times New Roman"/>
      <w:kern w:val="0"/>
      <w:sz w:val="24"/>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6">
    <w:name w:val="annotation subject"/>
    <w:basedOn w:val="10"/>
    <w:next w:val="1"/>
    <w:autoRedefine/>
    <w:qFormat/>
    <w:uiPriority w:val="0"/>
    <w:rPr>
      <w:b/>
      <w:bCs/>
    </w:rPr>
  </w:style>
  <w:style w:type="paragraph" w:styleId="27">
    <w:name w:val="Body Text First Indent"/>
    <w:basedOn w:val="11"/>
    <w:autoRedefine/>
    <w:qFormat/>
    <w:uiPriority w:val="0"/>
    <w:pPr>
      <w:ind w:firstLine="420" w:firstLineChars="100"/>
    </w:pPr>
  </w:style>
  <w:style w:type="paragraph" w:styleId="28">
    <w:name w:val="Body Text First Indent 2"/>
    <w:basedOn w:val="13"/>
    <w:next w:val="1"/>
    <w:autoRedefine/>
    <w:qFormat/>
    <w:uiPriority w:val="0"/>
    <w:pPr>
      <w:ind w:firstLine="420" w:firstLineChars="200"/>
    </w:pPr>
  </w:style>
  <w:style w:type="table" w:styleId="30">
    <w:name w:val="Table Grid"/>
    <w:basedOn w:val="29"/>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locked/>
    <w:uiPriority w:val="0"/>
  </w:style>
  <w:style w:type="character" w:styleId="33">
    <w:name w:val="FollowedHyperlink"/>
    <w:autoRedefine/>
    <w:unhideWhenUsed/>
    <w:qFormat/>
    <w:uiPriority w:val="99"/>
    <w:rPr>
      <w:color w:val="333333"/>
      <w:u w:val="none"/>
    </w:rPr>
  </w:style>
  <w:style w:type="character" w:styleId="34">
    <w:name w:val="Emphasis"/>
    <w:basedOn w:val="31"/>
    <w:autoRedefine/>
    <w:qFormat/>
    <w:locked/>
    <w:uiPriority w:val="0"/>
  </w:style>
  <w:style w:type="character" w:styleId="35">
    <w:name w:val="HTML Definition"/>
    <w:basedOn w:val="31"/>
    <w:autoRedefine/>
    <w:unhideWhenUsed/>
    <w:qFormat/>
    <w:uiPriority w:val="99"/>
  </w:style>
  <w:style w:type="character" w:styleId="36">
    <w:name w:val="HTML Typewriter"/>
    <w:autoRedefine/>
    <w:unhideWhenUsed/>
    <w:qFormat/>
    <w:uiPriority w:val="99"/>
    <w:rPr>
      <w:rFonts w:hint="default" w:ascii="monospace" w:hAnsi="monospace" w:eastAsia="monospace" w:cs="monospace"/>
      <w:sz w:val="20"/>
    </w:rPr>
  </w:style>
  <w:style w:type="character" w:styleId="37">
    <w:name w:val="HTML Acronym"/>
    <w:basedOn w:val="31"/>
    <w:autoRedefine/>
    <w:unhideWhenUsed/>
    <w:qFormat/>
    <w:uiPriority w:val="99"/>
  </w:style>
  <w:style w:type="character" w:styleId="38">
    <w:name w:val="HTML Variable"/>
    <w:basedOn w:val="31"/>
    <w:autoRedefine/>
    <w:unhideWhenUsed/>
    <w:qFormat/>
    <w:uiPriority w:val="99"/>
  </w:style>
  <w:style w:type="character" w:styleId="39">
    <w:name w:val="Hyperlink"/>
    <w:autoRedefine/>
    <w:qFormat/>
    <w:uiPriority w:val="99"/>
    <w:rPr>
      <w:rFonts w:cs="Times New Roman"/>
      <w:color w:val="0000FF"/>
      <w:u w:val="single"/>
    </w:rPr>
  </w:style>
  <w:style w:type="character" w:styleId="40">
    <w:name w:val="HTML Code"/>
    <w:autoRedefine/>
    <w:unhideWhenUsed/>
    <w:qFormat/>
    <w:uiPriority w:val="99"/>
    <w:rPr>
      <w:rFonts w:hint="default" w:ascii="monospace" w:hAnsi="monospace" w:eastAsia="monospace" w:cs="monospace"/>
      <w:sz w:val="20"/>
    </w:rPr>
  </w:style>
  <w:style w:type="character" w:styleId="41">
    <w:name w:val="annotation reference"/>
    <w:basedOn w:val="31"/>
    <w:autoRedefine/>
    <w:semiHidden/>
    <w:unhideWhenUsed/>
    <w:qFormat/>
    <w:uiPriority w:val="99"/>
    <w:rPr>
      <w:sz w:val="21"/>
      <w:szCs w:val="21"/>
    </w:rPr>
  </w:style>
  <w:style w:type="character" w:styleId="42">
    <w:name w:val="HTML Cite"/>
    <w:basedOn w:val="31"/>
    <w:autoRedefine/>
    <w:unhideWhenUsed/>
    <w:qFormat/>
    <w:uiPriority w:val="99"/>
  </w:style>
  <w:style w:type="character" w:styleId="43">
    <w:name w:val="HTML Keyboard"/>
    <w:autoRedefine/>
    <w:unhideWhenUsed/>
    <w:qFormat/>
    <w:uiPriority w:val="99"/>
    <w:rPr>
      <w:rFonts w:ascii="monospace" w:hAnsi="monospace" w:eastAsia="monospace" w:cs="monospace"/>
      <w:sz w:val="20"/>
    </w:rPr>
  </w:style>
  <w:style w:type="character" w:styleId="44">
    <w:name w:val="HTML Sample"/>
    <w:autoRedefine/>
    <w:unhideWhenUsed/>
    <w:qFormat/>
    <w:uiPriority w:val="99"/>
    <w:rPr>
      <w:rFonts w:hint="default" w:ascii="monospace" w:hAnsi="monospace" w:eastAsia="monospace" w:cs="monospace"/>
    </w:rPr>
  </w:style>
  <w:style w:type="paragraph" w:customStyle="1" w:styleId="45">
    <w:name w:val="表格文字"/>
    <w:basedOn w:val="1"/>
    <w:next w:val="11"/>
    <w:autoRedefine/>
    <w:qFormat/>
    <w:uiPriority w:val="0"/>
    <w:pPr>
      <w:framePr w:hSpace="180" w:wrap="around" w:vAnchor="text" w:hAnchor="page" w:xAlign="center" w:y="25"/>
      <w:suppressOverlap/>
      <w:spacing w:line="420" w:lineRule="atLeast"/>
    </w:pPr>
    <w:rPr>
      <w:sz w:val="18"/>
      <w:szCs w:val="18"/>
    </w:rPr>
  </w:style>
  <w:style w:type="paragraph" w:customStyle="1" w:styleId="46">
    <w:name w:val="无间隔1"/>
    <w:basedOn w:val="1"/>
    <w:autoRedefine/>
    <w:qFormat/>
    <w:uiPriority w:val="0"/>
    <w:pPr>
      <w:spacing w:line="400" w:lineRule="exact"/>
    </w:pPr>
    <w:rPr>
      <w:sz w:val="24"/>
    </w:rPr>
  </w:style>
  <w:style w:type="character" w:customStyle="1" w:styleId="47">
    <w:name w:val="标题 1 字符"/>
    <w:link w:val="3"/>
    <w:autoRedefine/>
    <w:qFormat/>
    <w:uiPriority w:val="0"/>
    <w:rPr>
      <w:rFonts w:ascii="Book Antiqua" w:hAnsi="Book Antiqua"/>
      <w:b/>
      <w:bCs/>
      <w:kern w:val="44"/>
      <w:sz w:val="44"/>
      <w:szCs w:val="44"/>
    </w:rPr>
  </w:style>
  <w:style w:type="character" w:customStyle="1" w:styleId="48">
    <w:name w:val="标题 3 字符"/>
    <w:link w:val="5"/>
    <w:autoRedefine/>
    <w:qFormat/>
    <w:locked/>
    <w:uiPriority w:val="99"/>
    <w:rPr>
      <w:rFonts w:ascii="Book Antiqua" w:hAnsi="Book Antiqua" w:eastAsia="宋体" w:cs="Times New Roman"/>
      <w:b/>
      <w:bCs/>
      <w:sz w:val="32"/>
      <w:szCs w:val="32"/>
    </w:rPr>
  </w:style>
  <w:style w:type="character" w:customStyle="1" w:styleId="49">
    <w:name w:val="标题 4 字符"/>
    <w:link w:val="6"/>
    <w:autoRedefine/>
    <w:semiHidden/>
    <w:qFormat/>
    <w:locked/>
    <w:uiPriority w:val="99"/>
    <w:rPr>
      <w:rFonts w:ascii="Cambria" w:hAnsi="Cambria" w:eastAsia="宋体" w:cs="Times New Roman"/>
      <w:b/>
      <w:bCs/>
      <w:kern w:val="2"/>
      <w:sz w:val="28"/>
      <w:szCs w:val="28"/>
    </w:rPr>
  </w:style>
  <w:style w:type="character" w:customStyle="1" w:styleId="50">
    <w:name w:val="正文文本 2 字符"/>
    <w:link w:val="23"/>
    <w:autoRedefine/>
    <w:qFormat/>
    <w:locked/>
    <w:uiPriority w:val="99"/>
    <w:rPr>
      <w:rFonts w:ascii="Times New Roman" w:hAnsi="Times New Roman" w:eastAsia="宋体" w:cs="Times New Roman"/>
      <w:sz w:val="24"/>
      <w:szCs w:val="24"/>
    </w:rPr>
  </w:style>
  <w:style w:type="character" w:customStyle="1" w:styleId="51">
    <w:name w:val="正文文本缩进 字符"/>
    <w:link w:val="13"/>
    <w:autoRedefine/>
    <w:semiHidden/>
    <w:qFormat/>
    <w:uiPriority w:val="99"/>
    <w:rPr>
      <w:rFonts w:ascii="Book Antiqua" w:hAnsi="Book Antiqua"/>
      <w:kern w:val="2"/>
      <w:sz w:val="21"/>
      <w:szCs w:val="24"/>
    </w:rPr>
  </w:style>
  <w:style w:type="character" w:customStyle="1" w:styleId="52">
    <w:name w:val="纯文本 字符"/>
    <w:link w:val="16"/>
    <w:autoRedefine/>
    <w:semiHidden/>
    <w:qFormat/>
    <w:uiPriority w:val="99"/>
    <w:rPr>
      <w:rFonts w:ascii="宋体" w:hAnsi="Courier New" w:cs="Courier New"/>
      <w:kern w:val="2"/>
      <w:sz w:val="21"/>
      <w:szCs w:val="21"/>
    </w:rPr>
  </w:style>
  <w:style w:type="character" w:customStyle="1" w:styleId="53">
    <w:name w:val="批注框文本 字符"/>
    <w:link w:val="18"/>
    <w:autoRedefine/>
    <w:semiHidden/>
    <w:qFormat/>
    <w:uiPriority w:val="99"/>
    <w:rPr>
      <w:rFonts w:ascii="Book Antiqua" w:hAnsi="Book Antiqua"/>
      <w:kern w:val="2"/>
      <w:sz w:val="18"/>
      <w:szCs w:val="18"/>
    </w:rPr>
  </w:style>
  <w:style w:type="character" w:customStyle="1" w:styleId="54">
    <w:name w:val="页脚 字符"/>
    <w:link w:val="19"/>
    <w:autoRedefine/>
    <w:qFormat/>
    <w:locked/>
    <w:uiPriority w:val="99"/>
    <w:rPr>
      <w:rFonts w:cs="Times New Roman"/>
      <w:sz w:val="18"/>
      <w:szCs w:val="18"/>
    </w:rPr>
  </w:style>
  <w:style w:type="character" w:customStyle="1" w:styleId="55">
    <w:name w:val="页眉 字符"/>
    <w:link w:val="20"/>
    <w:autoRedefine/>
    <w:semiHidden/>
    <w:qFormat/>
    <w:locked/>
    <w:uiPriority w:val="99"/>
    <w:rPr>
      <w:rFonts w:cs="Times New Roman"/>
      <w:sz w:val="18"/>
      <w:szCs w:val="18"/>
    </w:rPr>
  </w:style>
  <w:style w:type="paragraph" w:customStyle="1" w:styleId="56">
    <w:name w:val="style4"/>
    <w:basedOn w:val="57"/>
    <w:next w:val="58"/>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正文_0"/>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0">
    <w:name w:val="p0 Char Char"/>
    <w:link w:val="61"/>
    <w:autoRedefine/>
    <w:qFormat/>
    <w:locked/>
    <w:uiPriority w:val="99"/>
    <w:rPr>
      <w:rFonts w:ascii="Times New Roman" w:hAnsi="Times New Roman" w:cs="Times New Roman"/>
      <w:kern w:val="0"/>
      <w:sz w:val="21"/>
      <w:szCs w:val="21"/>
    </w:rPr>
  </w:style>
  <w:style w:type="paragraph" w:customStyle="1" w:styleId="61">
    <w:name w:val="p0"/>
    <w:basedOn w:val="1"/>
    <w:link w:val="60"/>
    <w:autoRedefine/>
    <w:qFormat/>
    <w:uiPriority w:val="99"/>
    <w:pPr>
      <w:widowControl/>
    </w:pPr>
    <w:rPr>
      <w:rFonts w:ascii="Times New Roman" w:hAnsi="Times New Roman"/>
      <w:kern w:val="0"/>
      <w:szCs w:val="21"/>
    </w:rPr>
  </w:style>
  <w:style w:type="character" w:customStyle="1" w:styleId="62">
    <w:name w:val="font81"/>
    <w:autoRedefine/>
    <w:qFormat/>
    <w:uiPriority w:val="0"/>
    <w:rPr>
      <w:rFonts w:hint="eastAsia" w:ascii="宋体" w:hAnsi="宋体" w:eastAsia="宋体" w:cs="宋体"/>
      <w:color w:val="000000"/>
      <w:sz w:val="24"/>
      <w:szCs w:val="24"/>
      <w:u w:val="none"/>
    </w:rPr>
  </w:style>
  <w:style w:type="character" w:customStyle="1" w:styleId="63">
    <w:name w:val="font31"/>
    <w:autoRedefine/>
    <w:qFormat/>
    <w:uiPriority w:val="0"/>
    <w:rPr>
      <w:rFonts w:hint="eastAsia" w:ascii="宋体" w:hAnsi="宋体" w:eastAsia="宋体" w:cs="宋体"/>
      <w:color w:val="000000"/>
      <w:sz w:val="24"/>
      <w:szCs w:val="24"/>
      <w:u w:val="none"/>
    </w:rPr>
  </w:style>
  <w:style w:type="character" w:customStyle="1" w:styleId="64">
    <w:name w:val="font51"/>
    <w:autoRedefine/>
    <w:qFormat/>
    <w:uiPriority w:val="0"/>
    <w:rPr>
      <w:rFonts w:ascii="Calibri" w:hAnsi="Calibri" w:cs="Calibri"/>
      <w:color w:val="000000"/>
      <w:sz w:val="24"/>
      <w:szCs w:val="24"/>
      <w:u w:val="none"/>
    </w:rPr>
  </w:style>
  <w:style w:type="character" w:customStyle="1" w:styleId="65">
    <w:name w:val="纯文本 Char"/>
    <w:autoRedefine/>
    <w:qFormat/>
    <w:uiPriority w:val="0"/>
    <w:rPr>
      <w:rFonts w:ascii="宋体" w:hAnsi="Courier New"/>
      <w:kern w:val="2"/>
      <w:sz w:val="21"/>
    </w:rPr>
  </w:style>
  <w:style w:type="paragraph" w:customStyle="1" w:styleId="6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_Style 60"/>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9">
    <w:name w:val="列表段落1"/>
    <w:basedOn w:val="1"/>
    <w:autoRedefine/>
    <w:qFormat/>
    <w:uiPriority w:val="99"/>
    <w:pPr>
      <w:ind w:firstLine="420" w:firstLineChars="200"/>
    </w:pPr>
    <w:rPr>
      <w:rFonts w:ascii="Times New Roman" w:hAnsi="Times New Roman"/>
    </w:rPr>
  </w:style>
  <w:style w:type="paragraph" w:customStyle="1" w:styleId="70">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2">
    <w:name w:val="Body Text First Indent1"/>
    <w:basedOn w:val="11"/>
    <w:autoRedefine/>
    <w:qFormat/>
    <w:uiPriority w:val="0"/>
    <w:pPr>
      <w:ind w:firstLine="420" w:firstLineChars="100"/>
    </w:pPr>
    <w:rPr>
      <w:rFonts w:ascii="Calibri" w:hAnsi="Calibri"/>
    </w:rPr>
  </w:style>
  <w:style w:type="paragraph" w:customStyle="1" w:styleId="7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4">
    <w:name w:val="font41"/>
    <w:basedOn w:val="31"/>
    <w:autoRedefine/>
    <w:qFormat/>
    <w:uiPriority w:val="0"/>
    <w:rPr>
      <w:rFonts w:hint="eastAsia" w:ascii="宋体" w:hAnsi="宋体" w:eastAsia="宋体" w:cs="宋体"/>
      <w:color w:val="000000"/>
      <w:sz w:val="20"/>
      <w:szCs w:val="20"/>
      <w:u w:val="none"/>
    </w:rPr>
  </w:style>
  <w:style w:type="character" w:customStyle="1" w:styleId="75">
    <w:name w:val="font151"/>
    <w:basedOn w:val="31"/>
    <w:autoRedefine/>
    <w:qFormat/>
    <w:uiPriority w:val="0"/>
    <w:rPr>
      <w:rFonts w:hint="eastAsia" w:ascii="宋体" w:hAnsi="宋体" w:eastAsia="宋体" w:cs="宋体"/>
      <w:color w:val="000000"/>
      <w:sz w:val="20"/>
      <w:szCs w:val="20"/>
      <w:u w:val="none"/>
      <w:vertAlign w:val="superscript"/>
    </w:rPr>
  </w:style>
  <w:style w:type="character" w:customStyle="1" w:styleId="76">
    <w:name w:val="font161"/>
    <w:basedOn w:val="31"/>
    <w:autoRedefine/>
    <w:qFormat/>
    <w:uiPriority w:val="0"/>
    <w:rPr>
      <w:rFonts w:hint="eastAsia" w:ascii="宋体" w:hAnsi="宋体" w:eastAsia="宋体" w:cs="宋体"/>
      <w:color w:val="000000"/>
      <w:sz w:val="28"/>
      <w:szCs w:val="28"/>
      <w:u w:val="none"/>
      <w:vertAlign w:val="superscript"/>
    </w:rPr>
  </w:style>
  <w:style w:type="character" w:customStyle="1" w:styleId="77">
    <w:name w:val="font171"/>
    <w:basedOn w:val="31"/>
    <w:autoRedefine/>
    <w:qFormat/>
    <w:uiPriority w:val="0"/>
    <w:rPr>
      <w:rFonts w:hint="eastAsia" w:ascii="宋体" w:hAnsi="宋体" w:eastAsia="宋体" w:cs="宋体"/>
      <w:color w:val="000000"/>
      <w:sz w:val="20"/>
      <w:szCs w:val="20"/>
      <w:u w:val="none"/>
      <w:vertAlign w:val="superscript"/>
    </w:rPr>
  </w:style>
  <w:style w:type="paragraph" w:customStyle="1" w:styleId="78">
    <w:name w:val="BodyText"/>
    <w:basedOn w:val="1"/>
    <w:next w:val="79"/>
    <w:autoRedefine/>
    <w:qFormat/>
    <w:uiPriority w:val="0"/>
    <w:pPr>
      <w:spacing w:after="120" w:line="440" w:lineRule="atLeast"/>
      <w:ind w:firstLine="200" w:firstLineChars="200"/>
      <w:textAlignment w:val="baseline"/>
    </w:pPr>
    <w:rPr>
      <w:rFonts w:ascii="Times New Roman" w:hAnsi="Times New Roman"/>
    </w:rPr>
  </w:style>
  <w:style w:type="paragraph" w:customStyle="1" w:styleId="79">
    <w:name w:val="BodyText2"/>
    <w:basedOn w:val="1"/>
    <w:next w:val="78"/>
    <w:autoRedefine/>
    <w:qFormat/>
    <w:uiPriority w:val="0"/>
    <w:pPr>
      <w:spacing w:after="120" w:line="480" w:lineRule="auto"/>
      <w:textAlignment w:val="baseline"/>
    </w:pPr>
    <w:rPr>
      <w:rFonts w:ascii="Times New Roman" w:hAnsi="Times New Roman"/>
      <w:kern w:val="0"/>
      <w:sz w:val="24"/>
    </w:rPr>
  </w:style>
  <w:style w:type="character" w:customStyle="1" w:styleId="80">
    <w:name w:val="hover16"/>
    <w:basedOn w:val="31"/>
    <w:autoRedefine/>
    <w:qFormat/>
    <w:uiPriority w:val="0"/>
  </w:style>
  <w:style w:type="paragraph" w:customStyle="1" w:styleId="81">
    <w:name w:val="样式1"/>
    <w:basedOn w:val="1"/>
    <w:autoRedefine/>
    <w:qFormat/>
    <w:uiPriority w:val="0"/>
    <w:pPr>
      <w:tabs>
        <w:tab w:val="left" w:pos="709"/>
      </w:tabs>
      <w:ind w:left="709" w:hanging="709"/>
    </w:pPr>
    <w:rPr>
      <w:rFonts w:ascii="宋体" w:hAnsi="宋体"/>
    </w:rPr>
  </w:style>
  <w:style w:type="character" w:customStyle="1" w:styleId="82">
    <w:name w:val="font21"/>
    <w:autoRedefine/>
    <w:qFormat/>
    <w:uiPriority w:val="0"/>
    <w:rPr>
      <w:rFonts w:ascii="Calibri" w:hAnsi="Calibri" w:cs="Calibri"/>
      <w:color w:val="000000"/>
      <w:sz w:val="16"/>
      <w:szCs w:val="16"/>
      <w:u w:val="none"/>
    </w:rPr>
  </w:style>
  <w:style w:type="character" w:customStyle="1" w:styleId="83">
    <w:name w:val="font11"/>
    <w:autoRedefine/>
    <w:qFormat/>
    <w:uiPriority w:val="0"/>
    <w:rPr>
      <w:rFonts w:hint="eastAsia" w:ascii="宋体" w:hAnsi="宋体" w:eastAsia="宋体" w:cs="宋体"/>
      <w:color w:val="000000"/>
      <w:sz w:val="16"/>
      <w:szCs w:val="16"/>
      <w:u w:val="none"/>
    </w:rPr>
  </w:style>
  <w:style w:type="paragraph" w:customStyle="1" w:styleId="8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5">
    <w:name w:val="NormalCharacter"/>
    <w:autoRedefine/>
    <w:semiHidden/>
    <w:qFormat/>
    <w:uiPriority w:val="0"/>
    <w:rPr>
      <w:rFonts w:ascii="宋体" w:hAnsi="宋体" w:cs="宋体"/>
      <w:sz w:val="22"/>
      <w:szCs w:val="22"/>
      <w:lang w:val="zh-CN" w:eastAsia="zh-CN" w:bidi="zh-CN"/>
    </w:rPr>
  </w:style>
  <w:style w:type="paragraph" w:customStyle="1" w:styleId="86">
    <w:name w:val="Table Paragraph"/>
    <w:basedOn w:val="1"/>
    <w:autoRedefine/>
    <w:qFormat/>
    <w:uiPriority w:val="1"/>
  </w:style>
  <w:style w:type="paragraph" w:customStyle="1" w:styleId="8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8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71</Pages>
  <Words>7130</Words>
  <Characters>40646</Characters>
  <Lines>338</Lines>
  <Paragraphs>95</Paragraphs>
  <TotalTime>21</TotalTime>
  <ScaleCrop>false</ScaleCrop>
  <LinksUpToDate>false</LinksUpToDate>
  <CharactersWithSpaces>47681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一帆风顺</cp:lastModifiedBy>
  <cp:lastPrinted>2023-10-07T01:46:00Z</cp:lastPrinted>
  <dcterms:modified xsi:type="dcterms:W3CDTF">2024-03-01T03:32:25Z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D4DAD9599C264826ACB75C5B26D2C569_13</vt:lpwstr>
  </property>
</Properties>
</file>