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bookmarkStart w:id="0" w:name="_Toc281574833"/>
      <w:r>
        <w:rPr>
          <w:rFonts w:hint="eastAsia" w:ascii="宋体" w:hAnsi="宋体" w:cs="宋体"/>
          <w:b/>
          <w:kern w:val="0"/>
          <w:sz w:val="36"/>
          <w:szCs w:val="36"/>
          <w:lang w:eastAsia="zh-CN"/>
        </w:rPr>
        <w:t>博爱县5万亩高标准农田示范区建设项目（二标段）</w:t>
      </w:r>
    </w:p>
    <w:p>
      <w:pPr>
        <w:pStyle w:val="25"/>
        <w:ind w:left="0" w:leftChars="0" w:firstLine="0" w:firstLineChars="0"/>
        <w:rPr>
          <w:rFonts w:hint="eastAsia"/>
        </w:rPr>
      </w:pPr>
    </w:p>
    <w:p>
      <w:pPr>
        <w:spacing w:line="360" w:lineRule="auto"/>
        <w:jc w:val="center"/>
        <w:rPr>
          <w:rFonts w:ascii="宋体" w:hAnsi="宋体" w:cs="宋体"/>
          <w:sz w:val="22"/>
          <w:szCs w:val="28"/>
        </w:rPr>
      </w:pPr>
      <w:r>
        <w:rPr>
          <w:rFonts w:hint="eastAsia" w:ascii="宋体" w:hAnsi="宋体" w:cs="宋体"/>
          <w:b/>
          <w:bCs/>
          <w:sz w:val="48"/>
          <w:szCs w:val="48"/>
        </w:rPr>
        <w:t xml:space="preserve"> </w:t>
      </w:r>
    </w:p>
    <w:p>
      <w:pPr>
        <w:snapToGrid w:val="0"/>
        <w:spacing w:line="360" w:lineRule="auto"/>
        <w:jc w:val="center"/>
        <w:rPr>
          <w:rFonts w:hint="eastAsia" w:ascii="宋体" w:hAnsi="宋体" w:cs="宋体"/>
          <w:b/>
          <w:kern w:val="0"/>
          <w:sz w:val="72"/>
          <w:szCs w:val="72"/>
        </w:rPr>
      </w:pPr>
      <w:r>
        <w:rPr>
          <w:rFonts w:hint="eastAsia" w:ascii="宋体" w:hAnsi="宋体" w:cs="宋体"/>
          <w:b/>
          <w:kern w:val="0"/>
          <w:sz w:val="72"/>
          <w:szCs w:val="72"/>
        </w:rPr>
        <w:t>招 标 文 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14:textFill>
            <w14:gradFill>
              <w14:gsLst>
                <w14:gs w14:pos="0">
                  <w14:srgbClr w14:val="E30000"/>
                </w14:gs>
                <w14:gs w14:pos="100000">
                  <w14:srgbClr w14:val="760303"/>
                </w14:gs>
              </w14:gsLst>
              <w14:lin w14:scaled="0"/>
            </w14:gradFill>
          </w14:textFill>
        </w:rPr>
      </w:pPr>
      <w:r>
        <w:rPr>
          <w:rFonts w:hint="eastAsia" w:ascii="宋体" w:hAnsi="宋体" w:cs="宋体"/>
          <w:b/>
          <w:bCs w:val="0"/>
          <w:color w:val="auto"/>
          <w:spacing w:val="-6"/>
          <w:sz w:val="30"/>
          <w:szCs w:val="30"/>
          <w:highlight w:val="none"/>
          <w:lang w:val="en-US" w:eastAsia="zh-CN"/>
          <w14:textFill>
            <w14:gradFill>
              <w14:gsLst>
                <w14:gs w14:pos="0">
                  <w14:srgbClr w14:val="E30000"/>
                </w14:gs>
                <w14:gs w14:pos="100000">
                  <w14:srgbClr w14:val="760303"/>
                </w14:gs>
              </w14:gsLst>
              <w14:lin w14:scaled="0"/>
            </w14:gradFill>
          </w14:textFill>
        </w:rPr>
        <w:t xml:space="preserve"> </w:t>
      </w:r>
    </w:p>
    <w:p>
      <w:pPr>
        <w:pStyle w:val="19"/>
        <w:jc w:val="center"/>
        <w:rPr>
          <w:rFonts w:ascii="宋体" w:hAnsi="宋体" w:eastAsia="宋体" w:cs="宋体"/>
        </w:rPr>
      </w:pPr>
      <w:r>
        <w:rPr>
          <w:rFonts w:hint="eastAsia" w:ascii="宋体" w:hAnsi="宋体" w:eastAsia="宋体"/>
          <w:b/>
          <w:bCs/>
          <w:color w:val="auto"/>
          <w:highlight w:val="none"/>
          <w:lang w:eastAsia="zh-CN"/>
        </w:rPr>
        <w:drawing>
          <wp:inline distT="0" distB="0" distL="114300" distR="114300">
            <wp:extent cx="3399155" cy="3450590"/>
            <wp:effectExtent l="0" t="0" r="10795" b="16510"/>
            <wp:docPr id="12" name="图片 1" descr="5105c7ecd58a31a71961b76de3b2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5105c7ecd58a31a71961b76de3b297c"/>
                    <pic:cNvPicPr>
                      <a:picLocks noChangeAspect="1"/>
                    </pic:cNvPicPr>
                  </pic:nvPicPr>
                  <pic:blipFill>
                    <a:blip r:embed="rId11"/>
                    <a:srcRect l="22395" r="22208"/>
                    <a:stretch>
                      <a:fillRect/>
                    </a:stretch>
                  </pic:blipFill>
                  <pic:spPr>
                    <a:xfrm>
                      <a:off x="0" y="0"/>
                      <a:ext cx="3399155" cy="3450590"/>
                    </a:xfrm>
                    <a:prstGeom prst="rect">
                      <a:avLst/>
                    </a:prstGeom>
                    <a:noFill/>
                    <a:ln>
                      <a:noFill/>
                    </a:ln>
                  </pic:spPr>
                </pic:pic>
              </a:graphicData>
            </a:graphic>
          </wp:inline>
        </w:drawing>
      </w:r>
    </w:p>
    <w:p>
      <w:pPr>
        <w:rPr>
          <w:rFonts w:ascii="宋体" w:hAnsi="宋体" w:cs="宋体"/>
          <w:b/>
          <w:bCs/>
          <w:sz w:val="32"/>
          <w:szCs w:val="32"/>
        </w:rPr>
      </w:pPr>
    </w:p>
    <w:p>
      <w:pPr>
        <w:spacing w:line="360" w:lineRule="auto"/>
        <w:ind w:firstLine="2409" w:firstLineChars="800"/>
        <w:jc w:val="both"/>
        <w:rPr>
          <w:rFonts w:hint="eastAsia" w:ascii="宋体" w:hAnsi="宋体" w:cs="宋体"/>
          <w:b/>
          <w:spacing w:val="-6"/>
          <w:sz w:val="30"/>
          <w:szCs w:val="30"/>
          <w:lang w:eastAsia="zh-CN"/>
        </w:rPr>
      </w:pPr>
      <w:r>
        <w:rPr>
          <w:rFonts w:hint="eastAsia" w:ascii="宋体" w:hAnsi="宋体" w:cs="宋体"/>
          <w:b/>
          <w:bCs/>
          <w:sz w:val="30"/>
          <w:szCs w:val="30"/>
        </w:rPr>
        <w:t>采 购 人：</w:t>
      </w:r>
      <w:r>
        <w:rPr>
          <w:rFonts w:hint="eastAsia" w:ascii="宋体" w:hAnsi="宋体" w:cs="宋体"/>
          <w:b/>
          <w:spacing w:val="-6"/>
          <w:sz w:val="30"/>
          <w:szCs w:val="30"/>
          <w:lang w:eastAsia="zh-CN"/>
        </w:rPr>
        <w:t>博爱县博能投资有限公司</w:t>
      </w:r>
    </w:p>
    <w:p>
      <w:pPr>
        <w:spacing w:line="360" w:lineRule="auto"/>
        <w:jc w:val="center"/>
        <w:rPr>
          <w:rFonts w:hint="eastAsia" w:ascii="宋体" w:hAnsi="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河南腾豫工程管理有限公司</w:t>
      </w:r>
    </w:p>
    <w:p>
      <w:pPr>
        <w:spacing w:line="360" w:lineRule="auto"/>
        <w:ind w:firstLine="2409" w:firstLineChars="800"/>
        <w:jc w:val="both"/>
        <w:rPr>
          <w:rFonts w:hint="default" w:ascii="宋体" w:hAnsi="宋体" w:eastAsia="宋体" w:cs="宋体"/>
          <w:b/>
          <w:bCs/>
          <w:sz w:val="36"/>
          <w:szCs w:val="36"/>
          <w:lang w:val="en-US" w:eastAsia="zh-CN"/>
        </w:rPr>
        <w:sectPr>
          <w:footerReference r:id="rId5" w:type="first"/>
          <w:headerReference r:id="rId3" w:type="even"/>
          <w:footerReference r:id="rId4" w:type="even"/>
          <w:pgSz w:w="11907" w:h="16840"/>
          <w:pgMar w:top="1440" w:right="1080" w:bottom="1440" w:left="1080" w:header="1077" w:footer="1077" w:gutter="0"/>
          <w:pgNumType w:fmt="numberInDash" w:start="1"/>
          <w:cols w:space="720" w:num="1"/>
          <w:titlePg/>
          <w:docGrid w:type="lines" w:linePitch="380" w:charSpace="0"/>
        </w:sectPr>
      </w:pPr>
      <w:r>
        <w:rPr>
          <w:rFonts w:hint="eastAsia" w:ascii="宋体" w:hAnsi="宋体" w:cs="宋体"/>
          <w:b/>
          <w:bCs/>
          <w:sz w:val="30"/>
          <w:szCs w:val="30"/>
        </w:rPr>
        <w:t>日    期：二零二</w:t>
      </w:r>
      <w:r>
        <w:rPr>
          <w:rFonts w:hint="eastAsia" w:ascii="宋体" w:hAnsi="宋体" w:cs="宋体"/>
          <w:b/>
          <w:bCs/>
          <w:sz w:val="30"/>
          <w:szCs w:val="30"/>
          <w:lang w:val="en-US" w:eastAsia="zh-CN"/>
        </w:rPr>
        <w:t>四</w:t>
      </w:r>
      <w:r>
        <w:rPr>
          <w:rFonts w:hint="eastAsia" w:ascii="宋体" w:hAnsi="宋体" w:cs="宋体"/>
          <w:b/>
          <w:bCs/>
          <w:sz w:val="30"/>
          <w:szCs w:val="30"/>
        </w:rPr>
        <w:t>年</w:t>
      </w:r>
      <w:r>
        <w:rPr>
          <w:rFonts w:hint="eastAsia" w:ascii="宋体" w:hAnsi="宋体" w:cs="宋体"/>
          <w:b/>
          <w:bCs/>
          <w:sz w:val="30"/>
          <w:szCs w:val="30"/>
          <w:lang w:val="en-US" w:eastAsia="zh-CN"/>
        </w:rPr>
        <w:t>二</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6"/>
          <w:szCs w:val="36"/>
          <w:lang w:val="en-US" w:eastAsia="zh-CN"/>
        </w:rPr>
        <w:t xml:space="preserve">     </w:t>
      </w:r>
    </w:p>
    <w:p>
      <w:pPr>
        <w:spacing w:line="360" w:lineRule="auto"/>
        <w:jc w:val="center"/>
        <w:rPr>
          <w:rFonts w:ascii="宋体" w:hAnsi="宋体" w:cs="宋体"/>
        </w:rPr>
      </w:pPr>
      <w:r>
        <w:rPr>
          <w:rFonts w:hint="eastAsia" w:ascii="宋体" w:hAnsi="宋体" w:cs="宋体"/>
          <w:b/>
          <w:bCs/>
          <w:sz w:val="44"/>
          <w:szCs w:val="44"/>
        </w:rPr>
        <w:t>目  录</w:t>
      </w:r>
    </w:p>
    <w:p>
      <w:pPr>
        <w:pStyle w:val="17"/>
        <w:tabs>
          <w:tab w:val="right" w:leader="dot" w:pos="9747"/>
        </w:tabs>
        <w:spacing w:line="480" w:lineRule="auto"/>
        <w:rPr>
          <w:rFonts w:ascii="宋体" w:hAnsi="宋体" w:cs="宋体"/>
          <w:sz w:val="28"/>
          <w:szCs w:val="28"/>
        </w:rPr>
      </w:pPr>
      <w:r>
        <w:rPr>
          <w:rFonts w:hint="eastAsia" w:ascii="宋体" w:hAnsi="宋体" w:cs="宋体"/>
          <w:b/>
          <w:bCs/>
          <w:szCs w:val="21"/>
          <w:lang w:val="zh-CN"/>
        </w:rPr>
        <w:fldChar w:fldCharType="begin"/>
      </w:r>
      <w:r>
        <w:rPr>
          <w:rFonts w:hint="eastAsia" w:ascii="宋体" w:hAnsi="宋体" w:cs="宋体"/>
          <w:b/>
          <w:bCs/>
          <w:szCs w:val="21"/>
          <w:lang w:val="zh-CN"/>
        </w:rPr>
        <w:instrText xml:space="preserve"> TOC \o "1-3" \h \z \u </w:instrText>
      </w:r>
      <w:r>
        <w:rPr>
          <w:rFonts w:hint="eastAsia" w:ascii="宋体" w:hAnsi="宋体" w:cs="宋体"/>
          <w:b/>
          <w:bCs/>
          <w:szCs w:val="21"/>
          <w:lang w:val="zh-CN"/>
        </w:rPr>
        <w:fldChar w:fldCharType="separate"/>
      </w:r>
      <w:r>
        <w:fldChar w:fldCharType="begin"/>
      </w:r>
      <w:r>
        <w:instrText xml:space="preserve"> HYPERLINK \l "_Toc2516" </w:instrText>
      </w:r>
      <w:r>
        <w:fldChar w:fldCharType="separate"/>
      </w:r>
      <w:r>
        <w:rPr>
          <w:rFonts w:hint="eastAsia" w:ascii="宋体" w:hAnsi="宋体" w:cs="宋体"/>
          <w:sz w:val="28"/>
          <w:szCs w:val="28"/>
        </w:rPr>
        <w:t>第一章</w:t>
      </w:r>
      <w:r>
        <w:rPr>
          <w:rFonts w:hint="eastAsia" w:ascii="宋体" w:hAnsi="宋体" w:cs="宋体"/>
          <w:bCs/>
          <w:sz w:val="28"/>
          <w:szCs w:val="28"/>
        </w:rPr>
        <w:t xml:space="preserve">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_Toc2516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"_Toc17008"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_Toc17008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"_Toc15006" </w:instrText>
      </w:r>
      <w:r>
        <w:fldChar w:fldCharType="separate"/>
      </w:r>
      <w:r>
        <w:rPr>
          <w:rFonts w:hint="eastAsia" w:ascii="宋体" w:hAnsi="宋体" w:cs="宋体"/>
          <w:sz w:val="28"/>
          <w:szCs w:val="28"/>
        </w:rPr>
        <w:t>第三章 评标办法（综合评分法）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_Toc15006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"_Toc1909"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_Toc1909 \h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"_Toc13770" </w:instrText>
      </w:r>
      <w:r>
        <w:fldChar w:fldCharType="separate"/>
      </w:r>
      <w:r>
        <w:rPr>
          <w:rFonts w:hint="eastAsia" w:ascii="宋体" w:hAnsi="宋体" w:cs="宋体"/>
          <w:bCs/>
          <w:sz w:val="28"/>
          <w:szCs w:val="28"/>
        </w:rPr>
        <w:t>第五章 采购内容及技术要求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_Toc1909 \h </w:instrText>
      </w:r>
      <w:r>
        <w:rPr>
          <w:rFonts w:hint="eastAsia" w:ascii="宋体" w:hAnsi="宋体" w:cs="宋体"/>
          <w:sz w:val="28"/>
          <w:szCs w:val="28"/>
        </w:rPr>
        <w:fldChar w:fldCharType="separate"/>
      </w:r>
      <w:r>
        <w:rPr>
          <w:rFonts w:hint="eastAsia" w:ascii="宋体" w:hAnsi="宋体" w:cs="宋体"/>
          <w:sz w:val="28"/>
          <w:szCs w:val="28"/>
        </w:rPr>
        <w:t>- 2</w:t>
      </w:r>
      <w:r>
        <w:rPr>
          <w:rFonts w:hint="eastAsia" w:ascii="宋体" w:hAnsi="宋体" w:cs="宋体"/>
          <w:sz w:val="28"/>
          <w:szCs w:val="28"/>
          <w:lang w:val="en-US" w:eastAsia="zh-CN"/>
        </w:rPr>
        <w:t>4</w:t>
      </w:r>
      <w:r>
        <w:rPr>
          <w:rFonts w:hint="eastAsia" w:ascii="宋体" w:hAnsi="宋体" w:cs="宋体"/>
          <w:sz w:val="28"/>
          <w:szCs w:val="28"/>
        </w:rPr>
        <w:t xml:space="preserve"> -</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"_Toc14121" </w:instrText>
      </w:r>
      <w:r>
        <w:fldChar w:fldCharType="separate"/>
      </w:r>
      <w:r>
        <w:rPr>
          <w:rFonts w:hint="eastAsia" w:ascii="宋体" w:hAnsi="宋体" w:cs="宋体"/>
          <w:sz w:val="28"/>
          <w:szCs w:val="28"/>
        </w:rPr>
        <w:t>第六章 质疑与投诉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_Toc14121 \h </w:instrText>
      </w:r>
      <w:r>
        <w:rPr>
          <w:rFonts w:hint="eastAsia" w:ascii="宋体" w:hAnsi="宋体" w:cs="宋体"/>
          <w:sz w:val="28"/>
          <w:szCs w:val="28"/>
        </w:rPr>
        <w:fldChar w:fldCharType="separate"/>
      </w:r>
      <w:r>
        <w:rPr>
          <w:rFonts w:hint="eastAsia" w:ascii="宋体" w:hAnsi="宋体" w:cs="宋体"/>
          <w:sz w:val="28"/>
          <w:szCs w:val="28"/>
        </w:rPr>
        <w:t xml:space="preserve">- </w:t>
      </w:r>
      <w:r>
        <w:rPr>
          <w:rFonts w:hint="eastAsia" w:ascii="宋体" w:hAnsi="宋体" w:cs="宋体"/>
          <w:sz w:val="28"/>
          <w:szCs w:val="28"/>
          <w:lang w:val="en-US" w:eastAsia="zh-CN"/>
        </w:rPr>
        <w:t>3</w:t>
      </w:r>
      <w:r>
        <w:rPr>
          <w:rFonts w:hint="eastAsia" w:ascii="宋体" w:hAnsi="宋体" w:cs="宋体"/>
          <w:sz w:val="28"/>
          <w:szCs w:val="28"/>
        </w:rPr>
        <w:t>4 -</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rPr>
          <w:rFonts w:ascii="宋体" w:hAnsi="宋体" w:cs="宋体"/>
          <w:sz w:val="28"/>
          <w:szCs w:val="28"/>
        </w:rPr>
      </w:pPr>
      <w:r>
        <w:fldChar w:fldCharType="begin"/>
      </w:r>
      <w:r>
        <w:instrText xml:space="preserve"> HYPERLINK \l "_Toc8922" </w:instrText>
      </w:r>
      <w:r>
        <w:fldChar w:fldCharType="separate"/>
      </w:r>
      <w:r>
        <w:rPr>
          <w:rFonts w:hint="eastAsia" w:ascii="宋体" w:hAnsi="宋体" w:cs="宋体"/>
          <w:sz w:val="28"/>
          <w:szCs w:val="28"/>
        </w:rPr>
        <w:t>第七章 履约验收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_Toc8922 \h </w:instrText>
      </w:r>
      <w:r>
        <w:rPr>
          <w:rFonts w:hint="eastAsia" w:ascii="宋体" w:hAnsi="宋体" w:cs="宋体"/>
          <w:sz w:val="28"/>
          <w:szCs w:val="28"/>
        </w:rPr>
        <w:fldChar w:fldCharType="separate"/>
      </w:r>
      <w:r>
        <w:rPr>
          <w:rFonts w:hint="eastAsia" w:ascii="宋体" w:hAnsi="宋体" w:cs="宋体"/>
          <w:sz w:val="28"/>
          <w:szCs w:val="28"/>
        </w:rPr>
        <w:t>- 36 -</w:t>
      </w:r>
      <w:r>
        <w:rPr>
          <w:rFonts w:hint="eastAsia" w:ascii="宋体" w:hAnsi="宋体" w:cs="宋体"/>
          <w:sz w:val="28"/>
          <w:szCs w:val="28"/>
        </w:rPr>
        <w:fldChar w:fldCharType="end"/>
      </w:r>
      <w:r>
        <w:rPr>
          <w:rFonts w:hint="eastAsia" w:ascii="宋体" w:hAnsi="宋体" w:cs="宋体"/>
          <w:sz w:val="28"/>
          <w:szCs w:val="28"/>
        </w:rPr>
        <w:fldChar w:fldCharType="end"/>
      </w:r>
    </w:p>
    <w:p>
      <w:pPr>
        <w:pStyle w:val="17"/>
        <w:tabs>
          <w:tab w:val="right" w:leader="dot" w:pos="9747"/>
        </w:tabs>
        <w:spacing w:line="480" w:lineRule="auto"/>
      </w:pPr>
      <w:r>
        <w:fldChar w:fldCharType="begin"/>
      </w:r>
      <w:r>
        <w:instrText xml:space="preserve"> HYPERLINK \l "_Toc19054" </w:instrText>
      </w:r>
      <w:r>
        <w:fldChar w:fldCharType="separate"/>
      </w:r>
      <w:r>
        <w:rPr>
          <w:rFonts w:hint="eastAsia" w:ascii="宋体" w:hAnsi="宋体" w:cs="宋体"/>
          <w:sz w:val="28"/>
          <w:szCs w:val="28"/>
        </w:rPr>
        <w:t>第八章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_Toc19054 \h </w:instrText>
      </w:r>
      <w:r>
        <w:rPr>
          <w:rFonts w:hint="eastAsia" w:ascii="宋体" w:hAnsi="宋体" w:cs="宋体"/>
          <w:sz w:val="28"/>
          <w:szCs w:val="28"/>
        </w:rPr>
        <w:fldChar w:fldCharType="separate"/>
      </w:r>
      <w:r>
        <w:rPr>
          <w:rFonts w:hint="eastAsia" w:ascii="宋体" w:hAnsi="宋体" w:cs="宋体"/>
          <w:sz w:val="28"/>
          <w:szCs w:val="28"/>
        </w:rPr>
        <w:t>- 36 -</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pPr>
    </w:p>
    <w:p>
      <w:pPr>
        <w:rPr>
          <w:rFonts w:ascii="宋体" w:hAnsi="宋体" w:cs="宋体"/>
          <w:bCs/>
          <w:caps/>
          <w:szCs w:val="21"/>
          <w:lang w:val="zh-CN"/>
        </w:rPr>
      </w:pPr>
      <w:r>
        <w:rPr>
          <w:rFonts w:hint="eastAsia" w:ascii="宋体" w:hAnsi="宋体" w:cs="宋体"/>
          <w:bCs/>
          <w:caps/>
          <w:szCs w:val="21"/>
          <w:lang w:val="zh-CN"/>
        </w:rPr>
        <w:fldChar w:fldCharType="end"/>
      </w:r>
      <w:bookmarkStart w:id="1" w:name="_Toc18853"/>
      <w:bookmarkStart w:id="2" w:name="_Toc22837"/>
    </w:p>
    <w:p>
      <w:pPr>
        <w:rPr>
          <w:rFonts w:ascii="宋体" w:hAnsi="宋体" w:cs="宋体"/>
          <w:bCs/>
          <w:caps/>
          <w:szCs w:val="21"/>
          <w:lang w:val="zh-CN"/>
        </w:rPr>
      </w:pPr>
      <w:r>
        <w:rPr>
          <w:rFonts w:hint="eastAsia" w:ascii="宋体" w:hAnsi="宋体" w:cs="宋体"/>
          <w:bCs/>
          <w:caps/>
          <w:szCs w:val="21"/>
          <w:lang w:val="zh-CN"/>
        </w:rPr>
        <w:br w:type="page"/>
      </w:r>
    </w:p>
    <w:p>
      <w:pPr>
        <w:spacing w:line="360" w:lineRule="auto"/>
        <w:jc w:val="center"/>
        <w:rPr>
          <w:rFonts w:ascii="宋体" w:hAnsi="宋体" w:cs="宋体"/>
          <w:b/>
          <w:bCs/>
          <w:sz w:val="40"/>
          <w:szCs w:val="40"/>
        </w:rPr>
      </w:pPr>
      <w:r>
        <w:rPr>
          <w:rFonts w:hint="eastAsia" w:ascii="宋体" w:hAnsi="宋体" w:cs="宋体"/>
          <w:b/>
          <w:bCs/>
          <w:sz w:val="32"/>
          <w:szCs w:val="40"/>
        </w:rPr>
        <w:t>重要事项提示</w:t>
      </w:r>
      <w:bookmarkEnd w:id="1"/>
      <w:bookmarkEnd w:id="2"/>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cs="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1"/>
        <w:spacing w:before="0" w:beforeAutospacing="0" w:after="0" w:afterAutospacing="0" w:line="360" w:lineRule="auto"/>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1"/>
        <w:spacing w:before="0" w:beforeAutospacing="0" w:after="0" w:afterAutospacing="0" w:line="360" w:lineRule="auto"/>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1"/>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21"/>
        <w:spacing w:before="0" w:beforeAutospacing="0" w:after="0" w:afterAutospacing="0" w:line="360" w:lineRule="auto"/>
        <w:ind w:firstLine="480" w:firstLineChars="200"/>
        <w:jc w:val="both"/>
      </w:pPr>
      <w:r>
        <w:rPr>
          <w:rFonts w:hint="eastAsia"/>
        </w:rPr>
        <w:t>（1）在投标文件中对同一采购项目有两个或多个报价，且未声明哪一个有效的；</w:t>
      </w:r>
    </w:p>
    <w:p>
      <w:pPr>
        <w:pStyle w:val="21"/>
        <w:spacing w:before="0" w:beforeAutospacing="0" w:after="0" w:afterAutospacing="0" w:line="360" w:lineRule="auto"/>
        <w:ind w:firstLine="480" w:firstLineChars="200"/>
        <w:jc w:val="both"/>
      </w:pPr>
      <w:r>
        <w:rPr>
          <w:rFonts w:hint="eastAsia"/>
        </w:rPr>
        <w:t>（2）响应文件的关键内容（投标报价、</w:t>
      </w:r>
      <w:r>
        <w:rPr>
          <w:rFonts w:hint="eastAsia"/>
          <w:lang w:val="en-US" w:eastAsia="zh-CN"/>
        </w:rPr>
        <w:t>合同履行期限</w:t>
      </w:r>
      <w:r>
        <w:rPr>
          <w:rFonts w:hint="eastAsia"/>
        </w:rPr>
        <w:t>、质量</w:t>
      </w:r>
      <w:r>
        <w:rPr>
          <w:rFonts w:hint="eastAsia"/>
          <w:lang w:val="en-US" w:eastAsia="zh-CN"/>
        </w:rPr>
        <w:t>要求</w:t>
      </w:r>
      <w:r>
        <w:rPr>
          <w:rFonts w:hint="eastAsia"/>
        </w:rPr>
        <w:t>等）未填写或填写字迹模糊无法辨认的；</w:t>
      </w:r>
    </w:p>
    <w:p>
      <w:pPr>
        <w:pStyle w:val="21"/>
        <w:spacing w:before="0" w:beforeAutospacing="0" w:after="0" w:afterAutospacing="0" w:line="360" w:lineRule="auto"/>
        <w:ind w:firstLine="480" w:firstLineChars="200"/>
        <w:jc w:val="both"/>
      </w:pPr>
      <w:r>
        <w:rPr>
          <w:rFonts w:hint="eastAsia"/>
        </w:rPr>
        <w:t>（3）相关资格证明文件不合格的；</w:t>
      </w:r>
    </w:p>
    <w:p>
      <w:pPr>
        <w:pStyle w:val="21"/>
        <w:spacing w:before="0" w:beforeAutospacing="0" w:after="0" w:afterAutospacing="0" w:line="360" w:lineRule="auto"/>
        <w:ind w:firstLine="480" w:firstLineChars="200"/>
        <w:jc w:val="both"/>
      </w:pPr>
      <w:r>
        <w:rPr>
          <w:rFonts w:hint="eastAsia"/>
        </w:rPr>
        <w:t>（4）投标报价超出控制价的；</w:t>
      </w:r>
    </w:p>
    <w:p>
      <w:pPr>
        <w:pStyle w:val="21"/>
        <w:spacing w:before="0" w:beforeAutospacing="0" w:after="0" w:afterAutospacing="0" w:line="360" w:lineRule="auto"/>
        <w:ind w:firstLine="480" w:firstLineChars="200"/>
        <w:jc w:val="both"/>
      </w:pPr>
      <w:r>
        <w:rPr>
          <w:rFonts w:hint="eastAsia"/>
        </w:rPr>
        <w:t>（5）投标文件中附有采购人不能接受的条件的；</w:t>
      </w:r>
    </w:p>
    <w:p>
      <w:pPr>
        <w:pStyle w:val="21"/>
        <w:spacing w:before="0" w:beforeAutospacing="0" w:after="0" w:afterAutospacing="0" w:line="360" w:lineRule="auto"/>
        <w:ind w:firstLine="480" w:firstLineChars="200"/>
        <w:jc w:val="both"/>
      </w:pPr>
      <w:r>
        <w:rPr>
          <w:rFonts w:hint="eastAsia"/>
        </w:rPr>
        <w:t>（6）投标文件有明显不符合采购文件其它要求和有关法律法规的；</w:t>
      </w:r>
    </w:p>
    <w:p>
      <w:pPr>
        <w:pStyle w:val="21"/>
        <w:spacing w:before="0" w:beforeAutospacing="0" w:after="0" w:afterAutospacing="0" w:line="360" w:lineRule="auto"/>
        <w:ind w:firstLine="480" w:firstLineChars="200"/>
        <w:jc w:val="both"/>
      </w:pPr>
      <w:r>
        <w:rPr>
          <w:rFonts w:hint="eastAsia"/>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1"/>
        <w:spacing w:before="0" w:beforeAutospacing="0" w:after="0" w:afterAutospacing="0" w:line="360" w:lineRule="auto"/>
        <w:ind w:firstLine="480" w:firstLineChars="200"/>
        <w:jc w:val="both"/>
      </w:pPr>
      <w:r>
        <w:rPr>
          <w:rFonts w:hint="eastAsia"/>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pPr>
        <w:spacing w:line="360" w:lineRule="auto"/>
        <w:rPr>
          <w:rFonts w:ascii="宋体" w:hAnsi="宋体" w:cs="宋体"/>
        </w:rPr>
      </w:pPr>
    </w:p>
    <w:p>
      <w:pPr>
        <w:pStyle w:val="22"/>
        <w:spacing w:before="0" w:after="0" w:line="360" w:lineRule="auto"/>
        <w:rPr>
          <w:rFonts w:hint="eastAsia" w:ascii="宋体" w:hAnsi="宋体" w:eastAsia="宋体" w:cs="宋体"/>
        </w:rPr>
        <w:sectPr>
          <w:footerReference r:id="rId6" w:type="default"/>
          <w:pgSz w:w="12240" w:h="15840"/>
          <w:pgMar w:top="1346" w:right="834" w:bottom="1015" w:left="1054" w:header="0" w:footer="853" w:gutter="0"/>
          <w:cols w:space="720" w:num="1"/>
        </w:sectPr>
      </w:pPr>
      <w:bookmarkStart w:id="3" w:name="_Toc2516"/>
    </w:p>
    <w:p>
      <w:pPr>
        <w:pStyle w:val="22"/>
        <w:spacing w:before="0" w:after="0" w:line="360" w:lineRule="auto"/>
        <w:rPr>
          <w:rFonts w:ascii="宋体" w:hAnsi="宋体" w:eastAsia="宋体" w:cs="宋体"/>
          <w:bCs/>
        </w:rPr>
      </w:pPr>
      <w:r>
        <w:rPr>
          <w:rFonts w:hint="eastAsia" w:ascii="宋体" w:hAnsi="宋体" w:eastAsia="宋体" w:cs="宋体"/>
        </w:rPr>
        <w:t>第一章</w:t>
      </w:r>
      <w:r>
        <w:rPr>
          <w:rFonts w:hint="eastAsia" w:ascii="宋体" w:hAnsi="宋体" w:eastAsia="宋体" w:cs="宋体"/>
          <w:bCs/>
        </w:rPr>
        <w:t xml:space="preserve"> 招标公告</w:t>
      </w:r>
      <w:bookmarkEnd w:id="3"/>
    </w:p>
    <w:p>
      <w:pPr>
        <w:pStyle w:val="22"/>
        <w:spacing w:before="0" w:after="0" w:line="440" w:lineRule="exact"/>
        <w:rPr>
          <w:rFonts w:ascii="宋体" w:hAnsi="宋体" w:eastAsia="宋体" w:cs="宋体"/>
          <w:color w:val="000000"/>
          <w:sz w:val="24"/>
          <w:szCs w:val="24"/>
        </w:rPr>
      </w:pPr>
      <w:r>
        <w:rPr>
          <w:rFonts w:hint="eastAsia" w:ascii="宋体" w:hAnsi="宋体" w:eastAsia="宋体" w:cs="宋体"/>
          <w:bCs/>
          <w:sz w:val="24"/>
          <w:szCs w:val="24"/>
          <w:lang w:eastAsia="zh-CN"/>
        </w:rPr>
        <w:t>博爱县5万亩高标准农田示范区建设项目（二标段）</w:t>
      </w:r>
      <w:r>
        <w:rPr>
          <w:rFonts w:hint="eastAsia" w:ascii="宋体" w:hAnsi="宋体" w:eastAsia="宋体" w:cs="宋体"/>
          <w:bCs/>
          <w:sz w:val="24"/>
          <w:szCs w:val="24"/>
        </w:rPr>
        <w:t>招标公告（不见面开标）</w:t>
      </w:r>
    </w:p>
    <w:p>
      <w:pPr>
        <w:pStyle w:val="21"/>
        <w:spacing w:before="0" w:beforeAutospacing="0" w:after="0" w:afterAutospacing="0" w:line="440" w:lineRule="exact"/>
      </w:pPr>
      <w:r>
        <w:rPr>
          <w:rFonts w:hint="eastAsia"/>
          <w:color w:val="000000"/>
        </w:rPr>
        <w:t>项目概况</w:t>
      </w:r>
    </w:p>
    <w:p>
      <w:pPr>
        <w:pStyle w:val="21"/>
        <w:spacing w:before="0" w:beforeAutospacing="0" w:after="0" w:afterAutospacing="0" w:line="440" w:lineRule="exact"/>
        <w:ind w:firstLine="480" w:firstLineChars="200"/>
        <w:rPr>
          <w:color w:val="auto"/>
        </w:rPr>
      </w:pPr>
      <w:r>
        <w:rPr>
          <w:rFonts w:hint="eastAsia"/>
          <w:color w:val="000000"/>
          <w:lang w:eastAsia="zh-CN"/>
        </w:rPr>
        <w:t>博爱县5万亩高标准农田示范区建设项目（二标段）</w:t>
      </w:r>
      <w:r>
        <w:rPr>
          <w:rFonts w:hint="eastAsia"/>
          <w:color w:val="000000"/>
        </w:rPr>
        <w:t>的潜在供应商应在焦作市公共资源交易中心网站获取采购文件，并于</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2</w:t>
      </w:r>
      <w:r>
        <w:rPr>
          <w:rFonts w:hint="eastAsia"/>
          <w:color w:val="auto"/>
          <w:u w:val="single"/>
        </w:rPr>
        <w:t>月</w:t>
      </w:r>
      <w:r>
        <w:rPr>
          <w:rFonts w:hint="eastAsia"/>
          <w:color w:val="auto"/>
          <w:u w:val="single"/>
          <w:lang w:val="en-US" w:eastAsia="zh-CN"/>
        </w:rPr>
        <w:t xml:space="preserve">27 </w:t>
      </w:r>
      <w:r>
        <w:rPr>
          <w:rFonts w:hint="eastAsia"/>
          <w:color w:val="auto"/>
          <w:u w:val="single"/>
        </w:rPr>
        <w:t>日</w:t>
      </w:r>
      <w:r>
        <w:rPr>
          <w:rFonts w:hint="eastAsia"/>
          <w:color w:val="auto"/>
          <w:u w:val="single"/>
          <w:lang w:val="en-US" w:eastAsia="zh-CN"/>
        </w:rPr>
        <w:t>09</w:t>
      </w:r>
      <w:r>
        <w:rPr>
          <w:rFonts w:hint="eastAsia"/>
          <w:color w:val="auto"/>
          <w:u w:val="single"/>
        </w:rPr>
        <w:t>时</w:t>
      </w:r>
      <w:r>
        <w:rPr>
          <w:rFonts w:hint="eastAsia"/>
          <w:color w:val="auto"/>
          <w:u w:val="single"/>
          <w:lang w:val="en-US" w:eastAsia="zh-CN"/>
        </w:rPr>
        <w:t>00</w:t>
      </w:r>
      <w:r>
        <w:rPr>
          <w:rFonts w:hint="eastAsia"/>
          <w:color w:val="auto"/>
          <w:u w:val="single"/>
        </w:rPr>
        <w:t>分（北京时间）</w:t>
      </w:r>
      <w:r>
        <w:rPr>
          <w:rFonts w:hint="eastAsia"/>
          <w:color w:val="auto"/>
        </w:rPr>
        <w:t>前递交响应文件。</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一、项目基本情况</w:t>
      </w:r>
    </w:p>
    <w:p>
      <w:pPr>
        <w:pStyle w:val="21"/>
        <w:spacing w:before="0" w:beforeAutospacing="0" w:after="0" w:afterAutospacing="0" w:line="440" w:lineRule="exact"/>
        <w:ind w:firstLine="480" w:firstLineChars="200"/>
        <w:rPr>
          <w:rFonts w:hint="default" w:eastAsia="宋体"/>
          <w:color w:val="000000"/>
          <w:lang w:val="en-US" w:eastAsia="zh-CN"/>
        </w:rPr>
      </w:pPr>
      <w:r>
        <w:rPr>
          <w:rFonts w:hint="eastAsia"/>
          <w:color w:val="000000"/>
          <w:lang w:val="en-US" w:eastAsia="zh-CN"/>
        </w:rPr>
        <w:t>1</w:t>
      </w:r>
      <w:r>
        <w:rPr>
          <w:rFonts w:hint="eastAsia"/>
          <w:color w:val="000000"/>
        </w:rPr>
        <w:t>.</w:t>
      </w:r>
      <w:r>
        <w:rPr>
          <w:rFonts w:hint="eastAsia"/>
          <w:color w:val="0000FF"/>
          <w:lang w:val="en-US" w:eastAsia="zh-CN"/>
        </w:rPr>
        <w:t xml:space="preserve"> </w:t>
      </w:r>
      <w:r>
        <w:rPr>
          <w:rFonts w:hint="eastAsia"/>
          <w:color w:val="000000"/>
        </w:rPr>
        <w:t>项目名称：</w:t>
      </w:r>
      <w:r>
        <w:rPr>
          <w:rFonts w:hint="eastAsia"/>
          <w:color w:val="000000"/>
          <w:lang w:eastAsia="zh-CN"/>
        </w:rPr>
        <w:t>博爱县5万亩高标准农田示范区建设项目（二标段）</w:t>
      </w:r>
    </w:p>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val="en-US" w:eastAsia="zh-CN"/>
        </w:rPr>
        <w:t>2.</w:t>
      </w:r>
      <w:r>
        <w:rPr>
          <w:rFonts w:hint="eastAsia"/>
          <w:color w:val="000000"/>
        </w:rPr>
        <w:t>采购方式：公开招标</w:t>
      </w:r>
    </w:p>
    <w:p>
      <w:pPr>
        <w:pStyle w:val="21"/>
        <w:spacing w:before="0" w:beforeAutospacing="0" w:after="0" w:afterAutospacing="0" w:line="440" w:lineRule="exact"/>
        <w:ind w:firstLine="480" w:firstLineChars="200"/>
        <w:rPr>
          <w:color w:val="000000"/>
        </w:rPr>
      </w:pPr>
      <w:r>
        <w:rPr>
          <w:rFonts w:hint="eastAsia"/>
          <w:color w:val="000000"/>
          <w:lang w:val="en-US" w:eastAsia="zh-CN"/>
        </w:rPr>
        <w:t>3</w:t>
      </w:r>
      <w:r>
        <w:rPr>
          <w:rFonts w:hint="eastAsia"/>
          <w:color w:val="000000"/>
        </w:rPr>
        <w:t>.</w:t>
      </w:r>
      <w:r>
        <w:rPr>
          <w:rFonts w:hint="eastAsia"/>
          <w:color w:val="000000"/>
          <w:lang w:eastAsia="zh-CN"/>
        </w:rPr>
        <w:t>预算金额：</w:t>
      </w:r>
      <w:r>
        <w:rPr>
          <w:rFonts w:hint="eastAsia"/>
          <w:color w:val="000000"/>
          <w:lang w:val="en-US" w:eastAsia="zh-CN"/>
        </w:rPr>
        <w:t>4788318.00</w:t>
      </w:r>
      <w:r>
        <w:rPr>
          <w:rFonts w:hint="eastAsia"/>
          <w:color w:val="000000"/>
          <w:lang w:eastAsia="zh-CN"/>
        </w:rPr>
        <w:t>元</w:t>
      </w:r>
    </w:p>
    <w:p>
      <w:pPr>
        <w:pStyle w:val="21"/>
        <w:spacing w:before="0" w:beforeAutospacing="0" w:after="0" w:afterAutospacing="0" w:line="440" w:lineRule="exact"/>
        <w:ind w:firstLine="720" w:firstLineChars="300"/>
        <w:rPr>
          <w:rFonts w:hint="eastAsia"/>
          <w:color w:val="000000"/>
          <w:lang w:eastAsia="zh-CN"/>
        </w:rPr>
      </w:pPr>
      <w:r>
        <w:rPr>
          <w:rFonts w:hint="eastAsia"/>
          <w:color w:val="000000"/>
          <w:lang w:eastAsia="zh-CN"/>
        </w:rPr>
        <w:t>最高限价：</w:t>
      </w:r>
      <w:r>
        <w:rPr>
          <w:rFonts w:hint="eastAsia"/>
          <w:color w:val="000000"/>
          <w:lang w:val="en-US" w:eastAsia="zh-CN"/>
        </w:rPr>
        <w:t xml:space="preserve"> 4788318.00</w:t>
      </w:r>
      <w:r>
        <w:rPr>
          <w:rFonts w:hint="eastAsia"/>
          <w:color w:val="000000"/>
          <w:lang w:eastAsia="zh-CN"/>
        </w:rPr>
        <w:t>元</w:t>
      </w:r>
    </w:p>
    <w:tbl>
      <w:tblPr>
        <w:tblStyle w:val="26"/>
        <w:tblW w:w="9138" w:type="dxa"/>
        <w:tblInd w:w="0" w:type="dxa"/>
        <w:tblLayout w:type="fixed"/>
        <w:tblCellMar>
          <w:top w:w="15" w:type="dxa"/>
          <w:left w:w="15" w:type="dxa"/>
          <w:bottom w:w="15" w:type="dxa"/>
          <w:right w:w="15" w:type="dxa"/>
        </w:tblCellMar>
      </w:tblPr>
      <w:tblGrid>
        <w:gridCol w:w="801"/>
        <w:gridCol w:w="1681"/>
        <w:gridCol w:w="3125"/>
        <w:gridCol w:w="1792"/>
        <w:gridCol w:w="1739"/>
      </w:tblGrid>
      <w:tr>
        <w:tblPrEx>
          <w:tblCellMar>
            <w:top w:w="15" w:type="dxa"/>
            <w:left w:w="15" w:type="dxa"/>
            <w:bottom w:w="15" w:type="dxa"/>
            <w:right w:w="15" w:type="dxa"/>
          </w:tblCellMar>
        </w:tblPrEx>
        <w:trPr>
          <w:trHeight w:val="547" w:hRule="atLeast"/>
        </w:trPr>
        <w:tc>
          <w:tcPr>
            <w:tcW w:w="80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序号</w:t>
            </w:r>
          </w:p>
        </w:tc>
        <w:tc>
          <w:tcPr>
            <w:tcW w:w="168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包号</w:t>
            </w:r>
          </w:p>
        </w:tc>
        <w:tc>
          <w:tcPr>
            <w:tcW w:w="312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包名称</w:t>
            </w:r>
          </w:p>
        </w:tc>
        <w:tc>
          <w:tcPr>
            <w:tcW w:w="1792"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包预算</w:t>
            </w:r>
          </w:p>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（元）</w:t>
            </w:r>
          </w:p>
        </w:tc>
        <w:tc>
          <w:tcPr>
            <w:tcW w:w="173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240" w:firstLineChars="100"/>
              <w:rPr>
                <w:rFonts w:hint="eastAsia"/>
                <w:color w:val="000000"/>
                <w:lang w:eastAsia="zh-CN"/>
              </w:rPr>
            </w:pPr>
            <w:r>
              <w:rPr>
                <w:rFonts w:hint="eastAsia"/>
                <w:color w:val="000000"/>
                <w:lang w:eastAsia="zh-CN"/>
              </w:rPr>
              <w:t>包最高限价</w:t>
            </w:r>
          </w:p>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（元）</w:t>
            </w:r>
          </w:p>
        </w:tc>
      </w:tr>
      <w:tr>
        <w:tblPrEx>
          <w:tblCellMar>
            <w:top w:w="15" w:type="dxa"/>
            <w:left w:w="15" w:type="dxa"/>
            <w:bottom w:w="15" w:type="dxa"/>
            <w:right w:w="15" w:type="dxa"/>
          </w:tblCellMar>
        </w:tblPrEx>
        <w:trPr>
          <w:trHeight w:val="1192" w:hRule="atLeast"/>
        </w:trPr>
        <w:tc>
          <w:tcPr>
            <w:tcW w:w="80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p>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eastAsia="zh-CN"/>
              </w:rPr>
              <w:t>1</w:t>
            </w:r>
          </w:p>
        </w:tc>
        <w:tc>
          <w:tcPr>
            <w:tcW w:w="168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firstLine="480" w:firstLineChars="200"/>
              <w:rPr>
                <w:rFonts w:hint="eastAsia"/>
                <w:color w:val="000000"/>
                <w:lang w:eastAsia="zh-CN"/>
              </w:rPr>
            </w:pPr>
            <w:r>
              <w:rPr>
                <w:rFonts w:hint="eastAsia"/>
                <w:color w:val="000000"/>
                <w:lang w:val="en-US" w:eastAsia="zh-CN"/>
              </w:rPr>
              <w:t>/</w:t>
            </w:r>
            <w:r>
              <w:rPr>
                <w:rFonts w:hint="eastAsia"/>
                <w:color w:val="000000"/>
                <w:lang w:eastAsia="zh-CN"/>
              </w:rPr>
              <w:t xml:space="preserve"> </w:t>
            </w:r>
          </w:p>
        </w:tc>
        <w:tc>
          <w:tcPr>
            <w:tcW w:w="3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rPr>
                <w:rFonts w:hint="eastAsia"/>
                <w:color w:val="000000"/>
                <w:lang w:eastAsia="zh-CN"/>
              </w:rPr>
            </w:pPr>
            <w:r>
              <w:rPr>
                <w:rFonts w:hint="eastAsia"/>
                <w:color w:val="000000"/>
                <w:lang w:eastAsia="zh-CN"/>
              </w:rPr>
              <w:t>博爱县5万亩高标准农田示范区建设项目（二标段）</w:t>
            </w:r>
          </w:p>
        </w:tc>
        <w:tc>
          <w:tcPr>
            <w:tcW w:w="1792"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jc w:val="center"/>
              <w:rPr>
                <w:rFonts w:hint="default"/>
                <w:color w:val="000000"/>
                <w:lang w:val="en-US" w:eastAsia="zh-CN"/>
              </w:rPr>
            </w:pPr>
            <w:r>
              <w:rPr>
                <w:rFonts w:hint="eastAsia"/>
                <w:color w:val="000000"/>
                <w:lang w:val="en-US" w:eastAsia="zh-CN"/>
              </w:rPr>
              <w:t>4788318.00</w:t>
            </w:r>
          </w:p>
        </w:tc>
        <w:tc>
          <w:tcPr>
            <w:tcW w:w="1739"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jc w:val="center"/>
              <w:rPr>
                <w:rFonts w:hint="default"/>
                <w:color w:val="000000"/>
                <w:lang w:val="en-US" w:eastAsia="zh-CN"/>
              </w:rPr>
            </w:pPr>
            <w:r>
              <w:rPr>
                <w:rFonts w:hint="eastAsia"/>
                <w:color w:val="000000"/>
                <w:lang w:val="en-US" w:eastAsia="zh-CN"/>
              </w:rPr>
              <w:t>4788318.00</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采购需求：智慧农业信息化工程。主要内容包含：智慧农业信息平台硬件配套、智慧农业管理系统、农田管理手持终端系统、农业植保科技监测站（1主1副站）、农业灾害预警监测站、农业环境监测站、田间绿色防治系统、可视化农业系统（太阳能供电）、苗情监测站设备、植保体系建设等（具体内容详见招标文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5.合同履行期限（供货安装期）：合同签订后60日历天</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6.质量要求：达到国家及行业标准。</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olor w:val="000000"/>
          <w:lang w:eastAsia="zh-CN"/>
        </w:rPr>
      </w:pPr>
      <w:r>
        <w:rPr>
          <w:rFonts w:hint="eastAsia"/>
          <w:color w:val="000000"/>
          <w:lang w:val="en-US" w:eastAsia="zh-CN"/>
        </w:rPr>
        <w:t>7</w:t>
      </w:r>
      <w:r>
        <w:rPr>
          <w:rFonts w:hint="eastAsia"/>
          <w:color w:val="000000"/>
        </w:rPr>
        <w:t>．本项目是否接受联合体参与</w:t>
      </w:r>
      <w:r>
        <w:rPr>
          <w:color w:val="000000"/>
        </w:rPr>
        <w:t>:</w:t>
      </w:r>
      <w:r>
        <w:rPr>
          <w:rFonts w:hint="eastAsia"/>
          <w:color w:val="000000"/>
          <w:lang w:val="en-US" w:eastAsia="zh-CN"/>
        </w:rPr>
        <w:t>否</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olor w:val="000000"/>
          <w:lang w:val="en-US" w:eastAsia="zh-CN"/>
        </w:rPr>
      </w:pPr>
      <w:r>
        <w:rPr>
          <w:rFonts w:hint="eastAsia"/>
          <w:color w:val="000000"/>
          <w:lang w:val="en-US" w:eastAsia="zh-CN"/>
        </w:rPr>
        <w:t>8</w:t>
      </w:r>
      <w:r>
        <w:rPr>
          <w:rFonts w:hint="eastAsia"/>
          <w:color w:val="000000"/>
        </w:rPr>
        <w:t>.是否专门面向中小企业：</w:t>
      </w:r>
      <w:r>
        <w:rPr>
          <w:rFonts w:hint="eastAsia"/>
          <w:color w:val="000000"/>
          <w:lang w:val="en-US" w:eastAsia="zh-CN"/>
        </w:rPr>
        <w:t>否</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二、申请人资格要求</w:t>
      </w:r>
    </w:p>
    <w:p>
      <w:pPr>
        <w:pStyle w:val="21"/>
        <w:spacing w:before="0" w:beforeAutospacing="0" w:after="0" w:afterAutospacing="0" w:line="440" w:lineRule="exact"/>
        <w:ind w:firstLine="480" w:firstLineChars="200"/>
        <w:rPr>
          <w:rFonts w:hint="eastAsia"/>
          <w:color w:val="000000"/>
        </w:rPr>
      </w:pPr>
      <w:r>
        <w:rPr>
          <w:rFonts w:hint="eastAsia"/>
          <w:color w:val="000000"/>
        </w:rPr>
        <w:t>1.满足《政府采购法》第二十二条规定；</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lang w:val="en-US" w:eastAsia="zh-CN"/>
        </w:rPr>
        <w:t>2.落实政府采购政策需满足的资格要求：</w:t>
      </w:r>
      <w:r>
        <w:rPr>
          <w:rFonts w:hint="eastAsia"/>
          <w:color w:val="000000"/>
        </w:rPr>
        <w:t>促进中小企业和监狱企业发展扶持政策、政府强制采购节能产品、节能产品及环境标志产品优先采购</w:t>
      </w:r>
      <w:r>
        <w:rPr>
          <w:rFonts w:hint="eastAsia"/>
          <w:color w:val="000000"/>
          <w:lang w:eastAsia="zh-CN"/>
        </w:rPr>
        <w:t>。</w:t>
      </w:r>
    </w:p>
    <w:p>
      <w:pPr>
        <w:ind w:firstLine="480" w:firstLineChars="200"/>
        <w:rPr>
          <w:rFonts w:hint="eastAsia"/>
          <w:color w:val="000000"/>
        </w:rPr>
      </w:pPr>
      <w:r>
        <w:rPr>
          <w:rFonts w:hint="eastAsia" w:ascii="宋体" w:hAnsi="宋体" w:eastAsia="宋体" w:cs="宋体"/>
          <w:color w:val="000000"/>
          <w:kern w:val="0"/>
          <w:sz w:val="24"/>
          <w:szCs w:val="24"/>
          <w:lang w:val="en-US" w:eastAsia="zh-CN" w:bidi="ar-SA"/>
        </w:rPr>
        <w:t>3.本项目的</w:t>
      </w:r>
      <w:r>
        <w:rPr>
          <w:rFonts w:hint="eastAsia"/>
          <w:color w:val="000000"/>
        </w:rPr>
        <w:t>特定资格要求：</w:t>
      </w:r>
    </w:p>
    <w:p>
      <w:pPr>
        <w:pStyle w:val="21"/>
        <w:spacing w:before="0" w:beforeAutospacing="0" w:after="0" w:afterAutospacing="0" w:line="440" w:lineRule="exact"/>
        <w:ind w:firstLine="480" w:firstLineChars="200"/>
        <w:rPr>
          <w:rFonts w:hint="eastAsia"/>
          <w:color w:val="000000"/>
          <w:lang w:val="en-US" w:eastAsia="zh-CN"/>
        </w:rPr>
      </w:pPr>
      <w:r>
        <w:rPr>
          <w:rFonts w:hint="eastAsia"/>
          <w:color w:val="000000"/>
          <w:lang w:val="en-US" w:eastAsia="zh-CN"/>
        </w:rPr>
        <w:t xml:space="preserve">3.1 </w:t>
      </w:r>
      <w:r>
        <w:rPr>
          <w:rFonts w:hint="eastAsia"/>
          <w:color w:val="000000"/>
        </w:rPr>
        <w:t>供应商须具有有效的营业执照，并具有实施完成本项目的经营实力和完善的售后服务体系</w:t>
      </w:r>
      <w:r>
        <w:rPr>
          <w:rFonts w:hint="eastAsia"/>
          <w:color w:val="000000"/>
          <w:lang w:val="en-US" w:eastAsia="zh-CN"/>
        </w:rPr>
        <w:t>；</w:t>
      </w:r>
    </w:p>
    <w:p>
      <w:pPr>
        <w:pStyle w:val="21"/>
        <w:spacing w:before="0" w:beforeAutospacing="0" w:after="0" w:afterAutospacing="0" w:line="440" w:lineRule="exact"/>
        <w:ind w:firstLine="480" w:firstLineChars="200"/>
        <w:rPr>
          <w:rFonts w:hint="eastAsia"/>
          <w:color w:val="000000"/>
        </w:rPr>
      </w:pPr>
      <w:r>
        <w:rPr>
          <w:rFonts w:hint="eastAsia"/>
          <w:color w:val="000000"/>
        </w:rPr>
        <w:t>3.</w:t>
      </w:r>
      <w:r>
        <w:rPr>
          <w:rFonts w:hint="eastAsia"/>
          <w:color w:val="000000"/>
          <w:lang w:val="en-US" w:eastAsia="zh-CN"/>
        </w:rPr>
        <w:t xml:space="preserve">2 </w:t>
      </w:r>
      <w:r>
        <w:rPr>
          <w:rFonts w:hint="eastAsia"/>
          <w:color w:val="000000"/>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rPr>
        <w:t>3.</w:t>
      </w:r>
      <w:r>
        <w:rPr>
          <w:rFonts w:hint="eastAsia"/>
          <w:color w:val="000000"/>
          <w:lang w:val="en-US" w:eastAsia="zh-CN"/>
        </w:rPr>
        <w:t xml:space="preserve">3 </w:t>
      </w:r>
      <w:r>
        <w:rPr>
          <w:rFonts w:hint="eastAsia"/>
          <w:color w:val="000000"/>
        </w:rPr>
        <w:t>本项目</w:t>
      </w:r>
      <w:r>
        <w:rPr>
          <w:rFonts w:hint="eastAsia"/>
          <w:color w:val="000000"/>
          <w:lang w:val="en-US" w:eastAsia="zh-CN"/>
        </w:rPr>
        <w:t>不</w:t>
      </w:r>
      <w:r>
        <w:rPr>
          <w:rFonts w:hint="eastAsia"/>
          <w:color w:val="000000"/>
        </w:rPr>
        <w:t>接受联合体投标</w:t>
      </w:r>
      <w:r>
        <w:rPr>
          <w:rFonts w:hint="eastAsia"/>
          <w:color w:val="000000"/>
          <w:lang w:eastAsia="zh-CN"/>
        </w:rPr>
        <w:t>；</w:t>
      </w:r>
    </w:p>
    <w:p>
      <w:pPr>
        <w:pStyle w:val="21"/>
        <w:spacing w:before="0" w:beforeAutospacing="0" w:after="0" w:afterAutospacing="0" w:line="440" w:lineRule="exact"/>
        <w:ind w:firstLine="480" w:firstLineChars="200"/>
        <w:rPr>
          <w:rFonts w:hint="eastAsia"/>
          <w:color w:val="000000"/>
        </w:rPr>
      </w:pPr>
      <w:r>
        <w:rPr>
          <w:rFonts w:hint="eastAsia"/>
          <w:color w:val="000000"/>
        </w:rPr>
        <w:t>3.</w:t>
      </w:r>
      <w:r>
        <w:rPr>
          <w:rFonts w:hint="eastAsia"/>
          <w:color w:val="000000"/>
          <w:lang w:val="en-US" w:eastAsia="zh-CN"/>
        </w:rPr>
        <w:t xml:space="preserve">4 </w:t>
      </w:r>
      <w:r>
        <w:rPr>
          <w:rFonts w:hint="eastAsia"/>
          <w:color w:val="000000"/>
        </w:rPr>
        <w:t>资格审查方式：资格后审。</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三、获取采购文件</w:t>
      </w:r>
    </w:p>
    <w:p>
      <w:pPr>
        <w:pStyle w:val="21"/>
        <w:spacing w:before="0" w:beforeAutospacing="0" w:after="0" w:afterAutospacing="0" w:line="440" w:lineRule="exact"/>
        <w:ind w:firstLine="480" w:firstLineChars="200"/>
        <w:rPr>
          <w:rFonts w:hint="eastAsia"/>
          <w:color w:val="000000"/>
        </w:rPr>
      </w:pPr>
      <w:r>
        <w:rPr>
          <w:rFonts w:hint="eastAsia"/>
          <w:color w:val="000000"/>
        </w:rPr>
        <w:t>1.时间：202</w:t>
      </w:r>
      <w:r>
        <w:rPr>
          <w:rFonts w:hint="eastAsia"/>
          <w:color w:val="000000"/>
          <w:lang w:val="en-US" w:eastAsia="zh-CN"/>
        </w:rPr>
        <w:t>4</w:t>
      </w:r>
      <w:r>
        <w:rPr>
          <w:rFonts w:hint="eastAsia"/>
          <w:color w:val="000000"/>
        </w:rPr>
        <w:t>年</w:t>
      </w:r>
      <w:r>
        <w:rPr>
          <w:rFonts w:hint="eastAsia"/>
          <w:color w:val="000000"/>
          <w:lang w:val="en-US" w:eastAsia="zh-CN"/>
        </w:rPr>
        <w:t>2</w:t>
      </w:r>
      <w:r>
        <w:rPr>
          <w:rFonts w:hint="eastAsia"/>
          <w:color w:val="000000"/>
        </w:rPr>
        <w:t>月</w:t>
      </w:r>
      <w:r>
        <w:rPr>
          <w:rFonts w:hint="eastAsia"/>
          <w:color w:val="000000"/>
          <w:lang w:val="en-US" w:eastAsia="zh-CN"/>
        </w:rPr>
        <w:t>6</w:t>
      </w:r>
      <w:r>
        <w:rPr>
          <w:rFonts w:hint="eastAsia"/>
          <w:color w:val="000000"/>
        </w:rPr>
        <w:t>日至202</w:t>
      </w:r>
      <w:r>
        <w:rPr>
          <w:rFonts w:hint="eastAsia"/>
          <w:color w:val="000000"/>
          <w:lang w:val="en-US" w:eastAsia="zh-CN"/>
        </w:rPr>
        <w:t>4</w:t>
      </w:r>
      <w:r>
        <w:rPr>
          <w:rFonts w:hint="eastAsia"/>
          <w:color w:val="000000"/>
        </w:rPr>
        <w:t>年</w:t>
      </w:r>
      <w:r>
        <w:rPr>
          <w:rFonts w:hint="eastAsia"/>
          <w:color w:val="000000"/>
          <w:lang w:val="en-US" w:eastAsia="zh-CN"/>
        </w:rPr>
        <w:t>2</w:t>
      </w:r>
      <w:r>
        <w:rPr>
          <w:rFonts w:hint="eastAsia"/>
          <w:color w:val="000000"/>
        </w:rPr>
        <w:t>月</w:t>
      </w:r>
      <w:r>
        <w:rPr>
          <w:rFonts w:hint="eastAsia"/>
          <w:color w:val="000000"/>
          <w:lang w:val="en-US" w:eastAsia="zh-CN"/>
        </w:rPr>
        <w:t>18</w:t>
      </w:r>
      <w:r>
        <w:rPr>
          <w:rFonts w:hint="eastAsia"/>
          <w:color w:val="000000"/>
        </w:rPr>
        <w:t>日每天上午08:00至1</w:t>
      </w:r>
      <w:r>
        <w:rPr>
          <w:rFonts w:hint="eastAsia"/>
          <w:color w:val="000000"/>
          <w:lang w:val="en-US" w:eastAsia="zh-CN"/>
        </w:rPr>
        <w:t>2</w:t>
      </w:r>
      <w:r>
        <w:rPr>
          <w:rFonts w:hint="eastAsia"/>
          <w:color w:val="000000"/>
        </w:rPr>
        <w:t>:</w:t>
      </w:r>
      <w:r>
        <w:rPr>
          <w:rFonts w:hint="eastAsia"/>
          <w:color w:val="000000"/>
          <w:lang w:val="en-US" w:eastAsia="zh-CN"/>
        </w:rPr>
        <w:t>00</w:t>
      </w:r>
      <w:r>
        <w:rPr>
          <w:rFonts w:hint="eastAsia"/>
          <w:color w:val="000000"/>
        </w:rPr>
        <w:t>，下午12:00至23:59（北京时间，法定节假日除外）；</w:t>
      </w:r>
    </w:p>
    <w:p>
      <w:pPr>
        <w:pStyle w:val="21"/>
        <w:spacing w:before="0" w:beforeAutospacing="0" w:after="0" w:afterAutospacing="0" w:line="440" w:lineRule="exact"/>
        <w:ind w:firstLine="480" w:firstLineChars="200"/>
        <w:rPr>
          <w:color w:val="000000"/>
        </w:rPr>
      </w:pPr>
      <w:r>
        <w:rPr>
          <w:rFonts w:hint="eastAsia"/>
          <w:color w:val="000000"/>
        </w:rPr>
        <w:t>2.地点：焦作市公共资源交易中心网站；</w:t>
      </w:r>
    </w:p>
    <w:p>
      <w:pPr>
        <w:pStyle w:val="21"/>
        <w:spacing w:before="0" w:beforeAutospacing="0" w:after="0" w:afterAutospacing="0" w:line="440" w:lineRule="exact"/>
        <w:ind w:firstLine="480" w:firstLineChars="200"/>
        <w:rPr>
          <w:color w:val="000000"/>
        </w:rPr>
      </w:pPr>
      <w:r>
        <w:rPr>
          <w:rFonts w:hint="eastAsia"/>
          <w:color w:val="000000"/>
        </w:rPr>
        <w:t>3.方式：本项目采用电子开评标（不见面开标），凡有意参加投标者，请登陆焦作市公共资源交易中心网站交易平台“交易主体登录”栏目下载采购文件。</w:t>
      </w:r>
    </w:p>
    <w:p>
      <w:pPr>
        <w:pStyle w:val="21"/>
        <w:spacing w:before="0" w:beforeAutospacing="0" w:after="0" w:afterAutospacing="0" w:line="440" w:lineRule="exact"/>
        <w:ind w:firstLine="480" w:firstLineChars="200"/>
        <w:rPr>
          <w:color w:val="000000"/>
        </w:rPr>
      </w:pPr>
      <w:r>
        <w:rPr>
          <w:rFonts w:hint="eastAsia"/>
          <w:color w:val="000000"/>
        </w:rPr>
        <w:t>4.售价：0元</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四、投标截止时间及地点</w:t>
      </w:r>
    </w:p>
    <w:p>
      <w:pPr>
        <w:pStyle w:val="21"/>
        <w:spacing w:before="0" w:beforeAutospacing="0" w:after="0" w:afterAutospacing="0" w:line="440" w:lineRule="exact"/>
        <w:ind w:firstLine="480" w:firstLineChars="200"/>
        <w:rPr>
          <w:rFonts w:hint="eastAsia"/>
          <w:color w:val="auto"/>
          <w:u w:val="single"/>
        </w:rPr>
      </w:pPr>
      <w:r>
        <w:rPr>
          <w:rFonts w:hint="eastAsia"/>
          <w:color w:val="000000"/>
        </w:rPr>
        <w:t>1.截止时间：</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3</w:t>
      </w:r>
      <w:r>
        <w:rPr>
          <w:rFonts w:hint="eastAsia"/>
          <w:color w:val="auto"/>
          <w:u w:val="single"/>
        </w:rPr>
        <w:t>月</w:t>
      </w:r>
      <w:r>
        <w:rPr>
          <w:rFonts w:hint="eastAsia"/>
          <w:color w:val="auto"/>
          <w:u w:val="single"/>
          <w:lang w:val="en-US" w:eastAsia="zh-CN"/>
        </w:rPr>
        <w:t xml:space="preserve">4 </w:t>
      </w:r>
      <w:r>
        <w:rPr>
          <w:rFonts w:hint="eastAsia"/>
          <w:color w:val="auto"/>
          <w:u w:val="single"/>
        </w:rPr>
        <w:t>日</w:t>
      </w:r>
      <w:r>
        <w:rPr>
          <w:rFonts w:hint="eastAsia"/>
          <w:color w:val="auto"/>
          <w:u w:val="single"/>
          <w:lang w:val="en-US" w:eastAsia="zh-CN"/>
        </w:rPr>
        <w:t xml:space="preserve"> 09</w:t>
      </w:r>
      <w:r>
        <w:rPr>
          <w:rFonts w:hint="eastAsia"/>
          <w:color w:val="auto"/>
          <w:u w:val="single"/>
        </w:rPr>
        <w:t>时</w:t>
      </w:r>
      <w:r>
        <w:rPr>
          <w:rFonts w:hint="eastAsia"/>
          <w:color w:val="auto"/>
          <w:u w:val="single"/>
          <w:lang w:val="en-US" w:eastAsia="zh-CN"/>
        </w:rPr>
        <w:t xml:space="preserve">00 </w:t>
      </w:r>
      <w:r>
        <w:rPr>
          <w:rFonts w:hint="eastAsia"/>
          <w:color w:val="auto"/>
          <w:u w:val="single"/>
        </w:rPr>
        <w:t>分（北京时间）；</w:t>
      </w:r>
    </w:p>
    <w:p>
      <w:pPr>
        <w:pStyle w:val="21"/>
        <w:spacing w:before="0" w:beforeAutospacing="0" w:after="0" w:afterAutospacing="0" w:line="440" w:lineRule="exact"/>
        <w:ind w:firstLine="480" w:firstLineChars="200"/>
        <w:rPr>
          <w:color w:val="auto"/>
        </w:rPr>
      </w:pPr>
      <w:r>
        <w:rPr>
          <w:rFonts w:hint="eastAsia"/>
          <w:color w:val="000000"/>
        </w:rPr>
        <w:t>2.</w:t>
      </w:r>
      <w:r>
        <w:rPr>
          <w:rFonts w:hint="eastAsia"/>
          <w:color w:val="auto"/>
        </w:rPr>
        <w:t>地点</w:t>
      </w:r>
      <w:r>
        <w:rPr>
          <w:rFonts w:hint="eastAsia"/>
          <w:color w:val="auto"/>
          <w:u w:val="single"/>
        </w:rPr>
        <w:t>：博爱县公共资源交易中心二楼不见面开标</w:t>
      </w:r>
      <w:r>
        <w:rPr>
          <w:rFonts w:hint="eastAsia"/>
          <w:color w:val="auto"/>
          <w:u w:val="single"/>
          <w:lang w:val="en-US" w:eastAsia="zh-CN"/>
        </w:rPr>
        <w:t>一</w:t>
      </w:r>
      <w:r>
        <w:rPr>
          <w:rFonts w:hint="eastAsia"/>
          <w:color w:val="auto"/>
          <w:u w:val="single"/>
        </w:rPr>
        <w:t>室。</w:t>
      </w:r>
    </w:p>
    <w:p>
      <w:pPr>
        <w:pStyle w:val="21"/>
        <w:spacing w:before="0" w:beforeAutospacing="0" w:after="0" w:afterAutospacing="0" w:line="440" w:lineRule="exact"/>
        <w:rPr>
          <w:b/>
          <w:bCs/>
          <w:color w:val="auto"/>
        </w:rPr>
      </w:pPr>
      <w:r>
        <w:rPr>
          <w:rFonts w:hint="eastAsia"/>
          <w:b/>
          <w:bCs/>
          <w:color w:val="auto"/>
        </w:rPr>
        <w:t>五、开标时间及地点</w:t>
      </w:r>
    </w:p>
    <w:p>
      <w:pPr>
        <w:pStyle w:val="21"/>
        <w:spacing w:before="0" w:beforeAutospacing="0" w:after="0" w:afterAutospacing="0" w:line="440" w:lineRule="exact"/>
        <w:ind w:firstLine="480" w:firstLineChars="200"/>
        <w:rPr>
          <w:color w:val="000000"/>
        </w:rPr>
      </w:pPr>
      <w:r>
        <w:rPr>
          <w:rFonts w:hint="eastAsia"/>
          <w:color w:val="000000"/>
        </w:rPr>
        <w:t>1.时间：</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3</w:t>
      </w:r>
      <w:r>
        <w:rPr>
          <w:rFonts w:hint="eastAsia"/>
          <w:color w:val="auto"/>
          <w:u w:val="single"/>
        </w:rPr>
        <w:t>月</w:t>
      </w:r>
      <w:r>
        <w:rPr>
          <w:rFonts w:hint="eastAsia"/>
          <w:color w:val="auto"/>
          <w:u w:val="single"/>
          <w:lang w:val="en-US" w:eastAsia="zh-CN"/>
        </w:rPr>
        <w:t xml:space="preserve">4 </w:t>
      </w:r>
      <w:r>
        <w:rPr>
          <w:rFonts w:hint="eastAsia"/>
          <w:color w:val="auto"/>
          <w:u w:val="single"/>
        </w:rPr>
        <w:t>日</w:t>
      </w:r>
      <w:r>
        <w:rPr>
          <w:rFonts w:hint="eastAsia"/>
          <w:color w:val="auto"/>
          <w:u w:val="single"/>
          <w:lang w:val="en-US" w:eastAsia="zh-CN"/>
        </w:rPr>
        <w:t xml:space="preserve"> 09</w:t>
      </w:r>
      <w:r>
        <w:rPr>
          <w:rFonts w:hint="eastAsia"/>
          <w:color w:val="auto"/>
          <w:u w:val="single"/>
        </w:rPr>
        <w:t>时</w:t>
      </w:r>
      <w:r>
        <w:rPr>
          <w:rFonts w:hint="eastAsia"/>
          <w:color w:val="auto"/>
          <w:u w:val="single"/>
          <w:lang w:val="en-US" w:eastAsia="zh-CN"/>
        </w:rPr>
        <w:t xml:space="preserve">00 </w:t>
      </w:r>
      <w:r>
        <w:rPr>
          <w:rFonts w:hint="eastAsia"/>
          <w:color w:val="auto"/>
          <w:u w:val="single"/>
        </w:rPr>
        <w:t>分</w:t>
      </w:r>
      <w:r>
        <w:rPr>
          <w:rFonts w:hint="eastAsia"/>
          <w:color w:val="000000"/>
          <w:u w:val="single"/>
        </w:rPr>
        <w:t>（北京时间）；</w:t>
      </w:r>
    </w:p>
    <w:p>
      <w:pPr>
        <w:pStyle w:val="21"/>
        <w:spacing w:before="0" w:beforeAutospacing="0" w:after="0" w:afterAutospacing="0" w:line="440" w:lineRule="exact"/>
        <w:ind w:firstLine="480" w:firstLineChars="200"/>
        <w:rPr>
          <w:color w:val="000000"/>
        </w:rPr>
      </w:pPr>
      <w:r>
        <w:rPr>
          <w:rFonts w:hint="eastAsia"/>
          <w:color w:val="000000"/>
        </w:rPr>
        <w:t>2.地点：</w:t>
      </w:r>
      <w:r>
        <w:rPr>
          <w:rFonts w:hint="eastAsia"/>
          <w:color w:val="auto"/>
          <w:shd w:val="clear" w:color="auto" w:fill="auto"/>
        </w:rPr>
        <w:t>博爱县公共资源交易中心二楼不见面开标</w:t>
      </w:r>
      <w:r>
        <w:rPr>
          <w:rFonts w:hint="eastAsia"/>
          <w:color w:val="auto"/>
          <w:shd w:val="clear" w:color="auto" w:fill="auto"/>
          <w:lang w:val="en-US" w:eastAsia="zh-CN"/>
        </w:rPr>
        <w:t>一</w:t>
      </w:r>
      <w:r>
        <w:rPr>
          <w:rFonts w:hint="eastAsia"/>
          <w:color w:val="auto"/>
          <w:shd w:val="clear" w:color="auto" w:fill="auto"/>
        </w:rPr>
        <w:t>室。</w:t>
      </w:r>
    </w:p>
    <w:p>
      <w:pPr>
        <w:pStyle w:val="21"/>
        <w:spacing w:before="0" w:beforeAutospacing="0" w:after="0" w:afterAutospacing="0" w:line="440" w:lineRule="exact"/>
        <w:rPr>
          <w:b/>
          <w:bCs/>
          <w:color w:val="000000" w:themeColor="text1"/>
          <w:highlight w:val="none"/>
          <w14:textFill>
            <w14:solidFill>
              <w14:schemeClr w14:val="tx1"/>
            </w14:solidFill>
          </w14:textFill>
        </w:rPr>
      </w:pPr>
      <w:r>
        <w:rPr>
          <w:rFonts w:hint="eastAsia"/>
          <w:b/>
          <w:bCs/>
          <w:color w:val="000000" w:themeColor="text1"/>
          <w14:textFill>
            <w14:solidFill>
              <w14:schemeClr w14:val="tx1"/>
            </w14:solidFill>
          </w14:textFill>
        </w:rPr>
        <w:t>六、发布公告的</w:t>
      </w:r>
      <w:r>
        <w:rPr>
          <w:rFonts w:hint="eastAsia"/>
          <w:b/>
          <w:bCs/>
          <w:color w:val="000000" w:themeColor="text1"/>
          <w:highlight w:val="none"/>
          <w14:textFill>
            <w14:solidFill>
              <w14:schemeClr w14:val="tx1"/>
            </w14:solidFill>
          </w14:textFill>
        </w:rPr>
        <w:t>媒介及公告期限</w:t>
      </w:r>
    </w:p>
    <w:p>
      <w:pPr>
        <w:pStyle w:val="21"/>
        <w:spacing w:before="0" w:beforeAutospacing="0" w:after="0" w:afterAutospacing="0" w:line="440" w:lineRule="exact"/>
        <w:ind w:firstLine="480" w:firstLineChars="200"/>
        <w:rPr>
          <w:color w:val="000000"/>
          <w:highlight w:val="none"/>
        </w:rPr>
      </w:pPr>
      <w:r>
        <w:rPr>
          <w:rFonts w:hint="eastAsia"/>
          <w:color w:val="000000"/>
          <w:highlight w:val="none"/>
        </w:rPr>
        <w:t>本次公告在</w:t>
      </w:r>
      <w:r>
        <w:rPr>
          <w:rFonts w:hint="eastAsia" w:ascii="宋体" w:hAnsi="宋体" w:eastAsia="宋体" w:cs="宋体"/>
          <w:color w:val="auto"/>
          <w:sz w:val="24"/>
          <w:szCs w:val="24"/>
          <w:highlight w:val="none"/>
        </w:rPr>
        <w:t>《中国招标投标公共服务平台》《焦作市公共资源交易中心网》《博爱县人民政府网》《博爱县公共资源交易中心网》http://www.baxggzyjyzx.cn/上发布。公告期限为五个工作日。</w:t>
      </w:r>
    </w:p>
    <w:p>
      <w:pPr>
        <w:pStyle w:val="21"/>
        <w:spacing w:before="0" w:beforeAutospacing="0" w:after="0" w:afterAutospacing="0"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七、其他补充事宜</w:t>
      </w:r>
    </w:p>
    <w:p>
      <w:pPr>
        <w:pStyle w:val="21"/>
        <w:spacing w:before="0" w:beforeAutospacing="0" w:after="0" w:afterAutospacing="0" w:line="440" w:lineRule="exact"/>
        <w:ind w:firstLine="480" w:firstLineChars="200"/>
        <w:rPr>
          <w:color w:val="000000"/>
        </w:rPr>
      </w:pPr>
      <w:r>
        <w:rPr>
          <w:rFonts w:hint="eastAsia"/>
          <w:color w:val="000000"/>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1"/>
        <w:spacing w:before="0" w:beforeAutospacing="0" w:after="0" w:afterAutospacing="0" w:line="440" w:lineRule="exact"/>
        <w:ind w:firstLine="480" w:firstLineChars="200"/>
        <w:rPr>
          <w:color w:val="000000"/>
        </w:rPr>
      </w:pPr>
      <w:r>
        <w:rPr>
          <w:rFonts w:hint="eastAsia"/>
          <w:color w:val="000000"/>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p>
    <w:p>
      <w:pPr>
        <w:pStyle w:val="21"/>
        <w:spacing w:before="0" w:beforeAutospacing="0" w:after="0" w:afterAutospacing="0" w:line="440" w:lineRule="exact"/>
        <w:ind w:firstLine="480" w:firstLineChars="200"/>
        <w:rPr>
          <w:color w:val="000000"/>
        </w:rPr>
      </w:pPr>
      <w:r>
        <w:rPr>
          <w:rFonts w:hint="eastAsia"/>
          <w:color w:val="000000"/>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八、凡对本次采购提出询问，请按以下方式联系</w:t>
      </w:r>
    </w:p>
    <w:p>
      <w:pPr>
        <w:pStyle w:val="21"/>
        <w:spacing w:before="0" w:beforeAutospacing="0" w:after="0" w:afterAutospacing="0" w:line="440" w:lineRule="exact"/>
        <w:ind w:firstLine="480" w:firstLineChars="200"/>
        <w:rPr>
          <w:color w:val="000000"/>
        </w:rPr>
      </w:pPr>
      <w:r>
        <w:rPr>
          <w:rFonts w:hint="eastAsia"/>
          <w:color w:val="000000"/>
        </w:rPr>
        <w:t>1.采购人信息</w:t>
      </w:r>
    </w:p>
    <w:p>
      <w:pPr>
        <w:pStyle w:val="21"/>
        <w:spacing w:before="0" w:beforeAutospacing="0" w:after="0" w:afterAutospacing="0" w:line="440" w:lineRule="exact"/>
        <w:ind w:firstLine="480" w:firstLineChars="200"/>
        <w:rPr>
          <w:rFonts w:hint="eastAsia"/>
          <w:color w:val="auto"/>
          <w:lang w:eastAsia="zh-CN"/>
        </w:rPr>
      </w:pPr>
      <w:r>
        <w:rPr>
          <w:rFonts w:hint="eastAsia"/>
          <w:color w:val="000000"/>
        </w:rPr>
        <w:t>名 称</w:t>
      </w:r>
      <w:r>
        <w:rPr>
          <w:rFonts w:hint="eastAsia"/>
          <w:color w:val="auto"/>
          <w:lang w:eastAsia="zh-CN"/>
        </w:rPr>
        <w:t xml:space="preserve">：博爱县博能投资有限公司 </w:t>
      </w:r>
    </w:p>
    <w:p>
      <w:pPr>
        <w:pStyle w:val="21"/>
        <w:spacing w:before="0" w:beforeAutospacing="0" w:after="0" w:afterAutospacing="0" w:line="440" w:lineRule="exact"/>
        <w:ind w:firstLine="480" w:firstLineChars="200"/>
        <w:rPr>
          <w:rFonts w:hint="eastAsia" w:eastAsia="宋体"/>
          <w:color w:val="auto"/>
          <w:lang w:eastAsia="zh-CN"/>
        </w:rPr>
      </w:pPr>
      <w:r>
        <w:rPr>
          <w:rFonts w:hint="eastAsia"/>
          <w:color w:val="auto"/>
        </w:rPr>
        <w:t>地 址：博爱县鸿昌街道办事处发展大道电商大厦c座813</w:t>
      </w:r>
    </w:p>
    <w:p>
      <w:pPr>
        <w:adjustRightInd w:val="0"/>
        <w:snapToGrid w:val="0"/>
        <w:spacing w:line="40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人：刘成</w:t>
      </w:r>
    </w:p>
    <w:p>
      <w:pPr>
        <w:pStyle w:val="21"/>
        <w:spacing w:before="0" w:beforeAutospacing="0" w:after="0" w:afterAutospacing="0" w:line="440" w:lineRule="exact"/>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话：0391-8690600</w:t>
      </w:r>
    </w:p>
    <w:p>
      <w:pPr>
        <w:pStyle w:val="21"/>
        <w:spacing w:before="0" w:beforeAutospacing="0" w:after="0" w:afterAutospacing="0" w:line="44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pPr>
        <w:pStyle w:val="21"/>
        <w:spacing w:before="0" w:beforeAutospacing="0" w:after="0" w:afterAutospacing="0" w:line="440" w:lineRule="exact"/>
        <w:ind w:firstLine="480" w:firstLineChars="200"/>
        <w:rPr>
          <w:rFonts w:hint="eastAsia"/>
          <w:color w:val="auto"/>
          <w:lang w:eastAsia="zh-CN"/>
        </w:rPr>
      </w:pPr>
      <w:r>
        <w:rPr>
          <w:rFonts w:hint="eastAsia"/>
          <w:color w:val="auto"/>
          <w:lang w:eastAsia="zh-CN"/>
        </w:rPr>
        <w:t>名 称：河南腾豫工程管理有限公司</w:t>
      </w:r>
    </w:p>
    <w:p>
      <w:pPr>
        <w:pStyle w:val="21"/>
        <w:spacing w:before="0" w:beforeAutospacing="0" w:after="0" w:afterAutospacing="0" w:line="440" w:lineRule="exact"/>
        <w:ind w:firstLine="480" w:firstLineChars="200"/>
        <w:rPr>
          <w:rFonts w:hint="eastAsia"/>
          <w:color w:val="auto"/>
          <w:lang w:eastAsia="zh-CN"/>
        </w:rPr>
      </w:pPr>
      <w:r>
        <w:rPr>
          <w:rFonts w:hint="eastAsia"/>
          <w:color w:val="auto"/>
          <w:lang w:eastAsia="zh-CN"/>
        </w:rPr>
        <w:t>地 址：</w:t>
      </w:r>
      <w:r>
        <w:rPr>
          <w:rFonts w:hint="eastAsia"/>
          <w:color w:val="auto"/>
          <w:lang w:val="en-US" w:eastAsia="zh-CN"/>
        </w:rPr>
        <w:t>焦作市博爱县葵城路与和谐路交叉口东300米路南</w:t>
      </w:r>
    </w:p>
    <w:p>
      <w:pPr>
        <w:pStyle w:val="21"/>
        <w:spacing w:before="0" w:beforeAutospacing="0" w:after="0" w:afterAutospacing="0" w:line="440" w:lineRule="exact"/>
        <w:ind w:firstLine="480" w:firstLineChars="200"/>
        <w:rPr>
          <w:rFonts w:hint="default"/>
          <w:color w:val="auto"/>
          <w:lang w:val="en-US" w:eastAsia="zh-CN"/>
        </w:rPr>
      </w:pPr>
      <w:r>
        <w:rPr>
          <w:rFonts w:hint="eastAsia"/>
          <w:color w:val="auto"/>
          <w:lang w:eastAsia="zh-CN"/>
        </w:rPr>
        <w:t>联系人：</w:t>
      </w:r>
      <w:r>
        <w:rPr>
          <w:rFonts w:hint="eastAsia"/>
          <w:color w:val="auto"/>
          <w:lang w:val="en-US" w:eastAsia="zh-CN"/>
        </w:rPr>
        <w:t>焦会会</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rPr>
        <w:t>联系方式：</w:t>
      </w:r>
      <w:r>
        <w:rPr>
          <w:rFonts w:hint="eastAsia"/>
          <w:color w:val="000000"/>
          <w:shd w:val="clear" w:color="auto" w:fill="FFFFFF"/>
          <w:lang w:val="en-US" w:eastAsia="zh-CN"/>
        </w:rPr>
        <w:t>18739126576</w:t>
      </w:r>
      <w:r>
        <w:rPr>
          <w:rFonts w:hint="eastAsia"/>
          <w:color w:val="000000"/>
          <w:shd w:val="clear" w:color="auto" w:fill="FFFFFF"/>
          <w:lang w:eastAsia="zh-CN"/>
        </w:rPr>
        <w:t xml:space="preserve">     0391-8082888</w:t>
      </w:r>
    </w:p>
    <w:p>
      <w:pPr>
        <w:pStyle w:val="21"/>
        <w:spacing w:before="0" w:beforeAutospacing="0" w:after="0" w:afterAutospacing="0" w:line="440" w:lineRule="exact"/>
        <w:ind w:firstLine="480" w:firstLineChars="200"/>
        <w:rPr>
          <w:color w:val="000000"/>
        </w:rPr>
      </w:pPr>
      <w:r>
        <w:rPr>
          <w:rFonts w:hint="eastAsia"/>
          <w:color w:val="000000"/>
        </w:rPr>
        <w:t>3.项目联系方式</w:t>
      </w:r>
    </w:p>
    <w:p>
      <w:pPr>
        <w:adjustRightInd w:val="0"/>
        <w:snapToGrid w:val="0"/>
        <w:spacing w:line="40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人：刘成</w:t>
      </w:r>
    </w:p>
    <w:p>
      <w:pPr>
        <w:pStyle w:val="21"/>
        <w:spacing w:before="0" w:beforeAutospacing="0" w:after="0" w:afterAutospacing="0" w:line="440" w:lineRule="exact"/>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话：0391-8690600</w:t>
      </w:r>
    </w:p>
    <w:p>
      <w:pPr>
        <w:pStyle w:val="21"/>
        <w:spacing w:before="0" w:beforeAutospacing="0" w:after="0" w:afterAutospacing="0" w:line="440" w:lineRule="exact"/>
      </w:pPr>
      <w:r>
        <w:rPr>
          <w:rFonts w:hint="eastAsia"/>
          <w:color w:val="000000"/>
        </w:rPr>
        <w:t xml:space="preserve"> </w:t>
      </w:r>
    </w:p>
    <w:p>
      <w:pPr>
        <w:widowControl/>
        <w:spacing w:line="440" w:lineRule="exact"/>
        <w:ind w:firstLine="420"/>
        <w:jc w:val="right"/>
        <w:rPr>
          <w:rFonts w:hint="eastAsia" w:ascii="宋体" w:hAnsi="宋体" w:cs="宋体"/>
          <w:sz w:val="24"/>
        </w:rPr>
      </w:pPr>
    </w:p>
    <w:p>
      <w:pPr>
        <w:widowControl/>
        <w:spacing w:line="440" w:lineRule="exact"/>
        <w:ind w:firstLine="420"/>
        <w:jc w:val="right"/>
        <w:rPr>
          <w:rFonts w:hint="eastAsia" w:ascii="宋体" w:hAnsi="宋体" w:cs="宋体"/>
          <w:sz w:val="24"/>
        </w:rPr>
      </w:pPr>
    </w:p>
    <w:p>
      <w:pPr>
        <w:widowControl/>
        <w:spacing w:line="440" w:lineRule="exact"/>
        <w:ind w:firstLine="420"/>
        <w:jc w:val="right"/>
        <w:rPr>
          <w:rFonts w:hint="eastAsia" w:ascii="宋体" w:hAnsi="宋体" w:cs="宋体"/>
          <w:kern w:val="0"/>
          <w:sz w:val="24"/>
          <w:lang w:eastAsia="zh-CN"/>
        </w:rPr>
      </w:pPr>
      <w:r>
        <w:rPr>
          <w:rFonts w:hint="eastAsia" w:ascii="宋体" w:hAnsi="宋体" w:cs="宋体"/>
          <w:sz w:val="24"/>
        </w:rPr>
        <w:t>采购人：</w:t>
      </w:r>
      <w:r>
        <w:rPr>
          <w:rFonts w:hint="eastAsia" w:ascii="宋体" w:hAnsi="宋体" w:cs="宋体"/>
          <w:kern w:val="0"/>
          <w:sz w:val="24"/>
          <w:lang w:eastAsia="zh-CN"/>
        </w:rPr>
        <w:t>博爱县博能投资有限公司</w:t>
      </w:r>
    </w:p>
    <w:p>
      <w:pPr>
        <w:widowControl/>
        <w:spacing w:line="440" w:lineRule="exact"/>
        <w:ind w:firstLine="420"/>
        <w:jc w:val="right"/>
        <w:rPr>
          <w:rFonts w:hint="eastAsia" w:ascii="宋体" w:hAnsi="宋体" w:cs="宋体"/>
          <w:sz w:val="24"/>
          <w:shd w:val="clear" w:color="auto" w:fill="FFFFFF"/>
          <w:lang w:eastAsia="zh-CN"/>
        </w:rPr>
      </w:pPr>
      <w:r>
        <w:rPr>
          <w:rFonts w:hint="eastAsia" w:ascii="宋体" w:hAnsi="宋体" w:cs="宋体"/>
          <w:sz w:val="24"/>
          <w:shd w:val="clear" w:color="auto" w:fill="FFFFFF"/>
        </w:rPr>
        <w:t>采购代理机构：</w:t>
      </w:r>
      <w:r>
        <w:rPr>
          <w:rFonts w:hint="eastAsia" w:ascii="宋体" w:hAnsi="宋体" w:cs="宋体"/>
          <w:sz w:val="24"/>
          <w:shd w:val="clear" w:color="auto" w:fill="FFFFFF"/>
          <w:lang w:eastAsia="zh-CN"/>
        </w:rPr>
        <w:t>河南腾豫工程管理有限公司</w:t>
      </w:r>
    </w:p>
    <w:p>
      <w:pPr>
        <w:widowControl/>
        <w:spacing w:line="440" w:lineRule="exact"/>
        <w:ind w:firstLine="420"/>
        <w:jc w:val="right"/>
        <w:rPr>
          <w:rFonts w:ascii="宋体" w:hAnsi="宋体" w:cs="宋体"/>
          <w:color w:val="000000"/>
          <w:sz w:val="24"/>
        </w:rPr>
      </w:pPr>
      <w:r>
        <w:rPr>
          <w:rFonts w:hint="eastAsia" w:ascii="宋体" w:hAnsi="宋体" w:cs="宋体"/>
          <w:sz w:val="24"/>
        </w:rPr>
        <w:t>发布时间</w:t>
      </w:r>
      <w:r>
        <w:rPr>
          <w:rFonts w:hint="eastAsia" w:ascii="宋体" w:hAnsi="宋体" w:cs="宋体"/>
          <w:color w:val="000000"/>
          <w:sz w:val="24"/>
        </w:rPr>
        <w:t>：202</w:t>
      </w:r>
      <w:r>
        <w:rPr>
          <w:rFonts w:hint="eastAsia" w:ascii="宋体" w:hAnsi="宋体" w:cs="宋体"/>
          <w:color w:val="000000"/>
          <w:sz w:val="24"/>
          <w:lang w:val="en-US" w:eastAsia="zh-CN"/>
        </w:rPr>
        <w:t>4</w:t>
      </w:r>
      <w:r>
        <w:rPr>
          <w:rFonts w:hint="eastAsia" w:ascii="宋体" w:hAnsi="宋体" w:cs="宋体"/>
          <w:color w:val="000000"/>
          <w:sz w:val="24"/>
        </w:rPr>
        <w:t>年</w:t>
      </w:r>
      <w:r>
        <w:rPr>
          <w:rFonts w:hint="eastAsia" w:ascii="宋体" w:hAnsi="宋体" w:cs="宋体"/>
          <w:color w:val="000000"/>
          <w:sz w:val="24"/>
          <w:lang w:val="en-US" w:eastAsia="zh-CN"/>
        </w:rPr>
        <w:t xml:space="preserve">2 </w:t>
      </w:r>
      <w:r>
        <w:rPr>
          <w:rFonts w:hint="eastAsia" w:ascii="宋体" w:hAnsi="宋体" w:cs="宋体"/>
          <w:color w:val="000000"/>
          <w:sz w:val="24"/>
        </w:rPr>
        <w:t>月</w:t>
      </w:r>
      <w:r>
        <w:rPr>
          <w:rFonts w:hint="eastAsia" w:ascii="宋体" w:hAnsi="宋体" w:cs="宋体"/>
          <w:color w:val="000000"/>
          <w:sz w:val="24"/>
          <w:lang w:val="en-US" w:eastAsia="zh-CN"/>
        </w:rPr>
        <w:t>5</w:t>
      </w:r>
      <w:r>
        <w:rPr>
          <w:rFonts w:hint="eastAsia" w:ascii="宋体" w:hAnsi="宋体" w:cs="宋体"/>
          <w:color w:val="000000"/>
          <w:sz w:val="24"/>
        </w:rPr>
        <w:t>日</w:t>
      </w:r>
    </w:p>
    <w:p>
      <w:pPr>
        <w:jc w:val="center"/>
        <w:rPr>
          <w:rFonts w:hint="eastAsia" w:ascii="宋体" w:hAnsi="宋体" w:cs="宋体"/>
          <w:b/>
          <w:sz w:val="28"/>
          <w:szCs w:val="28"/>
        </w:rPr>
      </w:pPr>
      <w:bookmarkStart w:id="4" w:name="_Toc17008"/>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ascii="宋体" w:hAnsi="宋体" w:cs="宋体"/>
          <w:b/>
          <w:sz w:val="28"/>
          <w:szCs w:val="28"/>
        </w:rPr>
      </w:pPr>
      <w:r>
        <w:rPr>
          <w:rFonts w:hint="eastAsia" w:ascii="宋体" w:hAnsi="宋体" w:cs="宋体"/>
          <w:b/>
          <w:sz w:val="28"/>
          <w:szCs w:val="28"/>
        </w:rPr>
        <w:t>第二章  供应商须知</w:t>
      </w:r>
      <w:bookmarkEnd w:id="4"/>
    </w:p>
    <w:bookmarkEnd w:id="0"/>
    <w:p>
      <w:pPr>
        <w:pStyle w:val="22"/>
        <w:spacing w:before="0" w:after="0" w:line="360" w:lineRule="auto"/>
        <w:rPr>
          <w:rFonts w:ascii="宋体" w:hAnsi="宋体" w:eastAsia="宋体" w:cs="宋体"/>
          <w:sz w:val="28"/>
          <w:szCs w:val="28"/>
        </w:rPr>
      </w:pPr>
      <w:bookmarkStart w:id="5" w:name="_Toc14655"/>
      <w:bookmarkStart w:id="6" w:name="_Toc403122490"/>
      <w:bookmarkStart w:id="7" w:name="_Toc7779"/>
      <w:bookmarkStart w:id="8" w:name="_Toc32497"/>
      <w:bookmarkStart w:id="9" w:name="_Toc426369478"/>
      <w:bookmarkStart w:id="10" w:name="_Toc19003"/>
      <w:bookmarkStart w:id="11" w:name="_Toc9161"/>
      <w:r>
        <w:rPr>
          <w:rFonts w:hint="eastAsia" w:ascii="宋体" w:hAnsi="宋体" w:eastAsia="宋体" w:cs="宋体"/>
          <w:sz w:val="28"/>
          <w:szCs w:val="28"/>
        </w:rPr>
        <w:t>供应商须知前附表</w:t>
      </w:r>
      <w:bookmarkEnd w:id="5"/>
      <w:bookmarkEnd w:id="6"/>
      <w:bookmarkEnd w:id="7"/>
      <w:bookmarkEnd w:id="8"/>
      <w:bookmarkEnd w:id="9"/>
      <w:bookmarkEnd w:id="10"/>
      <w:bookmarkEnd w:id="11"/>
    </w:p>
    <w:tbl>
      <w:tblPr>
        <w:tblStyle w:val="2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b/>
              </w:rPr>
            </w:pPr>
            <w:r>
              <w:rPr>
                <w:rFonts w:hAnsi="宋体" w:cs="宋体"/>
                <w:b/>
              </w:rPr>
              <w:t>条款号</w:t>
            </w:r>
          </w:p>
        </w:tc>
        <w:tc>
          <w:tcPr>
            <w:tcW w:w="1927" w:type="dxa"/>
            <w:vAlign w:val="center"/>
          </w:tcPr>
          <w:p>
            <w:pPr>
              <w:pStyle w:val="13"/>
              <w:spacing w:line="400" w:lineRule="exact"/>
              <w:jc w:val="center"/>
              <w:rPr>
                <w:rFonts w:hint="default" w:hAnsi="宋体" w:cs="宋体"/>
                <w:b/>
              </w:rPr>
            </w:pPr>
            <w:r>
              <w:rPr>
                <w:rFonts w:hAnsi="宋体" w:cs="宋体"/>
                <w:b/>
              </w:rPr>
              <w:t>条款名称</w:t>
            </w:r>
          </w:p>
        </w:tc>
        <w:tc>
          <w:tcPr>
            <w:tcW w:w="6445" w:type="dxa"/>
            <w:vAlign w:val="center"/>
          </w:tcPr>
          <w:p>
            <w:pPr>
              <w:pStyle w:val="13"/>
              <w:spacing w:line="400" w:lineRule="exact"/>
              <w:jc w:val="center"/>
              <w:rPr>
                <w:rFonts w:hint="default" w:hAnsi="宋体" w:cs="宋体"/>
                <w:b/>
              </w:rPr>
            </w:pPr>
            <w:r>
              <w:rPr>
                <w:rFonts w:hAnsi="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1.1.2</w:t>
            </w:r>
          </w:p>
        </w:tc>
        <w:tc>
          <w:tcPr>
            <w:tcW w:w="1927" w:type="dxa"/>
            <w:vAlign w:val="center"/>
          </w:tcPr>
          <w:p>
            <w:pPr>
              <w:pStyle w:val="13"/>
              <w:spacing w:line="400" w:lineRule="exact"/>
              <w:jc w:val="center"/>
              <w:rPr>
                <w:rFonts w:hint="default" w:hAnsi="宋体" w:cs="宋体"/>
                <w:color w:val="auto"/>
              </w:rPr>
            </w:pPr>
            <w:r>
              <w:rPr>
                <w:rFonts w:hAnsi="宋体" w:cs="宋体"/>
                <w:color w:val="auto"/>
              </w:rPr>
              <w:t>采购人</w:t>
            </w:r>
          </w:p>
        </w:tc>
        <w:tc>
          <w:tcPr>
            <w:tcW w:w="6445" w:type="dxa"/>
            <w:vAlign w:val="center"/>
          </w:tcPr>
          <w:p>
            <w:pPr>
              <w:adjustRightInd w:val="0"/>
              <w:snapToGrid w:val="0"/>
              <w:spacing w:line="400" w:lineRule="exact"/>
              <w:rPr>
                <w:rFonts w:hint="eastAsia" w:hAnsi="宋体" w:cs="宋体"/>
                <w:color w:val="auto"/>
                <w:lang w:eastAsia="zh-CN"/>
              </w:rPr>
            </w:pPr>
            <w:r>
              <w:rPr>
                <w:rFonts w:hAnsi="宋体" w:cs="宋体"/>
                <w:color w:val="auto"/>
              </w:rPr>
              <w:t>采 购 人：</w:t>
            </w:r>
            <w:r>
              <w:rPr>
                <w:rFonts w:hint="eastAsia" w:hAnsi="宋体" w:cs="宋体"/>
                <w:color w:val="auto"/>
                <w:lang w:eastAsia="zh-CN"/>
              </w:rPr>
              <w:t>博爱县博能投资有限公司</w:t>
            </w:r>
          </w:p>
          <w:p>
            <w:pPr>
              <w:adjustRightInd w:val="0"/>
              <w:snapToGrid w:val="0"/>
              <w:spacing w:line="400" w:lineRule="exact"/>
              <w:rPr>
                <w:rFonts w:hint="eastAsia" w:ascii="宋体" w:hAnsi="宋体" w:cs="宋体"/>
                <w:color w:val="auto"/>
                <w:szCs w:val="21"/>
                <w:lang w:val="en-US" w:eastAsia="zh-CN"/>
              </w:rPr>
            </w:pPr>
            <w:r>
              <w:rPr>
                <w:rFonts w:hint="eastAsia" w:ascii="宋体" w:hAnsi="宋体" w:cs="宋体"/>
                <w:color w:val="auto"/>
                <w:szCs w:val="21"/>
              </w:rPr>
              <w:t>地    址：博爱县鸿昌街道办事处发展大道电商大厦c座813</w:t>
            </w:r>
          </w:p>
          <w:p>
            <w:pPr>
              <w:adjustRightInd w:val="0"/>
              <w:snapToGrid w:val="0"/>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联 系 人：刘成</w:t>
            </w:r>
          </w:p>
          <w:p>
            <w:pPr>
              <w:adjustRightInd w:val="0"/>
              <w:snapToGrid w:val="0"/>
              <w:spacing w:line="400" w:lineRule="exact"/>
              <w:rPr>
                <w:rFonts w:hint="default" w:hAnsi="宋体" w:eastAsia="宋体" w:cs="宋体"/>
                <w:color w:val="auto"/>
                <w:szCs w:val="21"/>
                <w:lang w:val="en-US" w:eastAsia="zh-CN"/>
              </w:rPr>
            </w:pPr>
            <w:r>
              <w:rPr>
                <w:rFonts w:hint="eastAsia" w:ascii="宋体" w:hAnsi="宋体" w:cs="宋体"/>
                <w:color w:val="auto"/>
                <w:szCs w:val="21"/>
                <w:lang w:val="en-US" w:eastAsia="zh-CN"/>
              </w:rPr>
              <w:t>电    话：0391-8690600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1.1.3</w:t>
            </w:r>
          </w:p>
        </w:tc>
        <w:tc>
          <w:tcPr>
            <w:tcW w:w="1927" w:type="dxa"/>
            <w:vAlign w:val="center"/>
          </w:tcPr>
          <w:p>
            <w:pPr>
              <w:pStyle w:val="13"/>
              <w:spacing w:line="400" w:lineRule="exact"/>
              <w:jc w:val="center"/>
              <w:rPr>
                <w:rFonts w:hint="default" w:hAnsi="宋体" w:cs="宋体"/>
              </w:rPr>
            </w:pPr>
            <w:r>
              <w:rPr>
                <w:rFonts w:hAnsi="宋体" w:cs="宋体"/>
              </w:rPr>
              <w:t>采购代理机构</w:t>
            </w:r>
          </w:p>
        </w:tc>
        <w:tc>
          <w:tcPr>
            <w:tcW w:w="6445" w:type="dxa"/>
            <w:vAlign w:val="center"/>
          </w:tcPr>
          <w:p>
            <w:pPr>
              <w:pStyle w:val="13"/>
              <w:spacing w:line="400" w:lineRule="exact"/>
              <w:rPr>
                <w:rFonts w:hint="eastAsia" w:hAnsi="宋体" w:cs="宋体"/>
                <w:lang w:eastAsia="zh-CN"/>
              </w:rPr>
            </w:pPr>
            <w:r>
              <w:rPr>
                <w:rFonts w:hAnsi="宋体" w:cs="宋体"/>
              </w:rPr>
              <w:t>采购代理机构：</w:t>
            </w:r>
            <w:r>
              <w:rPr>
                <w:rFonts w:hint="eastAsia" w:hAnsi="宋体" w:cs="宋体"/>
                <w:lang w:eastAsia="zh-CN"/>
              </w:rPr>
              <w:t>河南腾豫工程管理有限公司</w:t>
            </w:r>
          </w:p>
          <w:p>
            <w:pPr>
              <w:pStyle w:val="13"/>
              <w:spacing w:line="400" w:lineRule="exact"/>
              <w:rPr>
                <w:rFonts w:hAnsi="宋体" w:cs="宋体"/>
              </w:rPr>
            </w:pPr>
            <w:r>
              <w:rPr>
                <w:rFonts w:hAnsi="宋体" w:cs="宋体"/>
              </w:rPr>
              <w:t>地 址：</w:t>
            </w:r>
            <w:r>
              <w:rPr>
                <w:rFonts w:hint="eastAsia" w:hAnsi="宋体" w:cs="宋体"/>
                <w:lang w:eastAsia="zh-CN"/>
              </w:rPr>
              <w:t>焦作市博爱县葵城路与和谐路交叉口东300米路南</w:t>
            </w:r>
          </w:p>
          <w:p>
            <w:pPr>
              <w:pStyle w:val="13"/>
              <w:spacing w:line="400" w:lineRule="exact"/>
              <w:rPr>
                <w:rFonts w:hint="default" w:hAnsi="宋体" w:cs="宋体"/>
                <w:lang w:val="en-US" w:eastAsia="zh-CN"/>
              </w:rPr>
            </w:pPr>
            <w:r>
              <w:rPr>
                <w:rFonts w:hAnsi="宋体" w:cs="宋体"/>
              </w:rPr>
              <w:t>联系人：</w:t>
            </w:r>
            <w:r>
              <w:rPr>
                <w:rFonts w:hint="eastAsia" w:hAnsi="宋体" w:cs="宋体"/>
                <w:lang w:val="en-US" w:eastAsia="zh-CN"/>
              </w:rPr>
              <w:t>焦会会</w:t>
            </w:r>
          </w:p>
          <w:p>
            <w:pPr>
              <w:pStyle w:val="13"/>
              <w:spacing w:line="400" w:lineRule="exact"/>
              <w:rPr>
                <w:rFonts w:hint="eastAsia" w:hAnsi="宋体" w:eastAsia="宋体" w:cs="宋体"/>
                <w:lang w:eastAsia="zh-CN"/>
              </w:rPr>
            </w:pPr>
            <w:r>
              <w:rPr>
                <w:rFonts w:hAnsi="宋体" w:cs="宋体"/>
              </w:rPr>
              <w:t>联系方式：</w:t>
            </w:r>
            <w:r>
              <w:rPr>
                <w:rFonts w:hint="eastAsia" w:hAnsi="宋体" w:cs="宋体"/>
                <w:lang w:val="en-US" w:eastAsia="zh-CN"/>
              </w:rPr>
              <w:t>18739126576</w:t>
            </w:r>
            <w:r>
              <w:rPr>
                <w:rFonts w:hint="eastAsia" w:hAnsi="宋体" w:cs="宋体"/>
                <w:lang w:eastAsia="zh-CN"/>
              </w:rPr>
              <w:t xml:space="preserve">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13"/>
              <w:spacing w:line="400" w:lineRule="exact"/>
              <w:jc w:val="center"/>
              <w:rPr>
                <w:rFonts w:hint="default" w:hAnsi="宋体" w:cs="宋体"/>
              </w:rPr>
            </w:pPr>
            <w:r>
              <w:rPr>
                <w:rFonts w:hAnsi="宋体" w:cs="宋体"/>
              </w:rPr>
              <w:t>1.1.4</w:t>
            </w:r>
          </w:p>
        </w:tc>
        <w:tc>
          <w:tcPr>
            <w:tcW w:w="1927" w:type="dxa"/>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w:t>
            </w:r>
          </w:p>
        </w:tc>
        <w:tc>
          <w:tcPr>
            <w:tcW w:w="6445" w:type="dxa"/>
            <w:vAlign w:val="center"/>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博爱县5万亩高标准农田示范区建设项目</w:t>
            </w:r>
            <w:r>
              <w:rPr>
                <w:rFonts w:hint="eastAsia" w:ascii="宋体" w:hAnsi="宋体" w:eastAsia="宋体" w:cs="宋体"/>
                <w:kern w:val="2"/>
                <w:sz w:val="21"/>
                <w:szCs w:val="21"/>
                <w:lang w:val="en-US" w:eastAsia="zh-CN" w:bidi="ar-SA"/>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1.2.1</w:t>
            </w:r>
          </w:p>
        </w:tc>
        <w:tc>
          <w:tcPr>
            <w:tcW w:w="1927" w:type="dxa"/>
            <w:vAlign w:val="center"/>
          </w:tcPr>
          <w:p>
            <w:pPr>
              <w:pStyle w:val="13"/>
              <w:spacing w:line="400" w:lineRule="exact"/>
              <w:jc w:val="center"/>
              <w:rPr>
                <w:rFonts w:hint="default" w:hAnsi="宋体" w:cs="宋体"/>
              </w:rPr>
            </w:pPr>
            <w:r>
              <w:rPr>
                <w:rFonts w:hAnsi="宋体" w:cs="宋体"/>
              </w:rPr>
              <w:t>资金来源</w:t>
            </w:r>
          </w:p>
        </w:tc>
        <w:tc>
          <w:tcPr>
            <w:tcW w:w="6445" w:type="dxa"/>
            <w:vAlign w:val="center"/>
          </w:tcPr>
          <w:p>
            <w:pPr>
              <w:spacing w:line="560" w:lineRule="exact"/>
              <w:ind w:firstLine="420" w:firstLineChars="200"/>
              <w:rPr>
                <w:rFonts w:hint="default" w:hAnsi="宋体" w:eastAsia="宋体" w:cs="宋体"/>
                <w:lang w:val="en-US" w:eastAsia="zh-CN"/>
              </w:rPr>
            </w:pPr>
            <w:r>
              <w:rPr>
                <w:rFonts w:hint="eastAsia" w:ascii="宋体" w:hAnsi="宋体" w:eastAsia="宋体" w:cs="宋体"/>
                <w:kern w:val="2"/>
                <w:sz w:val="21"/>
                <w:szCs w:val="21"/>
                <w:lang w:val="en-US" w:eastAsia="zh-CN" w:bidi="ar-SA"/>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1.2.2</w:t>
            </w:r>
          </w:p>
        </w:tc>
        <w:tc>
          <w:tcPr>
            <w:tcW w:w="1927" w:type="dxa"/>
            <w:vAlign w:val="center"/>
          </w:tcPr>
          <w:p>
            <w:pPr>
              <w:pStyle w:val="13"/>
              <w:spacing w:line="400" w:lineRule="exact"/>
              <w:jc w:val="center"/>
              <w:rPr>
                <w:rFonts w:hint="default" w:hAnsi="宋体" w:cs="宋体"/>
              </w:rPr>
            </w:pPr>
            <w:r>
              <w:rPr>
                <w:rFonts w:hAnsi="宋体" w:cs="宋体"/>
              </w:rPr>
              <w:t>资金落实情况</w:t>
            </w:r>
          </w:p>
        </w:tc>
        <w:tc>
          <w:tcPr>
            <w:tcW w:w="6445" w:type="dxa"/>
            <w:vAlign w:val="center"/>
          </w:tcPr>
          <w:p>
            <w:pPr>
              <w:pStyle w:val="13"/>
              <w:spacing w:line="400" w:lineRule="exact"/>
              <w:rPr>
                <w:rFonts w:hint="default" w:hAnsi="宋体" w:cs="宋体"/>
              </w:rPr>
            </w:pPr>
            <w:r>
              <w:rPr>
                <w:rFonts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vAlign w:val="center"/>
          </w:tcPr>
          <w:p>
            <w:pPr>
              <w:pStyle w:val="13"/>
              <w:spacing w:line="400" w:lineRule="exact"/>
              <w:jc w:val="center"/>
              <w:rPr>
                <w:rFonts w:hint="default" w:hAnsi="宋体" w:cs="宋体"/>
              </w:rPr>
            </w:pPr>
            <w:r>
              <w:rPr>
                <w:rFonts w:hAnsi="宋体" w:cs="宋体"/>
              </w:rPr>
              <w:t>1.3.1</w:t>
            </w:r>
          </w:p>
        </w:tc>
        <w:tc>
          <w:tcPr>
            <w:tcW w:w="1927" w:type="dxa"/>
            <w:vAlign w:val="center"/>
          </w:tcPr>
          <w:p>
            <w:pPr>
              <w:pStyle w:val="13"/>
              <w:spacing w:line="40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采购内容</w:t>
            </w:r>
          </w:p>
        </w:tc>
        <w:tc>
          <w:tcPr>
            <w:tcW w:w="6445" w:type="dxa"/>
          </w:tcPr>
          <w:p>
            <w:pPr>
              <w:keepNext w:val="0"/>
              <w:keepLines w:val="0"/>
              <w:widowControl/>
              <w:suppressLineNumbers w:val="0"/>
              <w:ind w:firstLine="420" w:firstLineChars="20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智慧农业信息化工程。主要内容包含：智慧农业信息平台硬件配套、智慧农业管理系统、农田管理手持终端系统、农业植保科技监测站（1主1副站）、农业灾害预警监测站、农业环境监测站、田间绿色防治系统、可视化农业系统（太阳能供电）、苗情监测站设备、植保体系建设等（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1.3.2</w:t>
            </w:r>
          </w:p>
        </w:tc>
        <w:tc>
          <w:tcPr>
            <w:tcW w:w="1927" w:type="dxa"/>
            <w:vAlign w:val="center"/>
          </w:tcPr>
          <w:p>
            <w:pPr>
              <w:pStyle w:val="13"/>
              <w:spacing w:line="400" w:lineRule="exact"/>
              <w:rPr>
                <w:rFonts w:hint="default" w:ascii="宋体" w:hAnsi="宋体" w:eastAsia="宋体" w:cs="宋体"/>
                <w:lang w:val="en-US" w:eastAsia="zh-CN"/>
              </w:rPr>
            </w:pPr>
            <w:r>
              <w:rPr>
                <w:rFonts w:hint="eastAsia" w:ascii="宋体" w:hAnsi="宋体" w:eastAsia="宋体" w:cs="宋体"/>
                <w:lang w:val="en-US" w:eastAsia="zh-CN"/>
              </w:rPr>
              <w:t>合同履行期限</w:t>
            </w:r>
          </w:p>
          <w:p>
            <w:pPr>
              <w:pStyle w:val="13"/>
              <w:spacing w:line="400" w:lineRule="exact"/>
              <w:rPr>
                <w:rFonts w:hint="default" w:ascii="宋体" w:hAnsi="宋体" w:eastAsia="宋体" w:cs="宋体"/>
                <w:lang w:val="en-US" w:eastAsia="zh-CN"/>
              </w:rPr>
            </w:pPr>
            <w:r>
              <w:rPr>
                <w:rFonts w:hint="eastAsia" w:ascii="宋体" w:hAnsi="宋体" w:eastAsia="宋体" w:cs="宋体"/>
                <w:lang w:val="en-US" w:eastAsia="zh-CN"/>
              </w:rPr>
              <w:t xml:space="preserve">（供货安装期） </w:t>
            </w:r>
          </w:p>
        </w:tc>
        <w:tc>
          <w:tcPr>
            <w:tcW w:w="6445" w:type="dxa"/>
            <w:vAlign w:val="center"/>
          </w:tcPr>
          <w:p>
            <w:pPr>
              <w:pStyle w:val="13"/>
              <w:spacing w:line="400" w:lineRule="exact"/>
              <w:rPr>
                <w:rFonts w:hint="eastAsia" w:ascii="宋体" w:hAnsi="宋体" w:eastAsia="宋体" w:cs="宋体"/>
                <w:lang w:val="en-US" w:eastAsia="zh-CN"/>
              </w:rPr>
            </w:pPr>
            <w:r>
              <w:rPr>
                <w:rFonts w:hint="eastAsia" w:ascii="宋体" w:hAnsi="宋体" w:eastAsia="宋体" w:cs="宋体"/>
                <w:lang w:val="en-US" w:eastAsia="zh-CN"/>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1.3.3</w:t>
            </w:r>
          </w:p>
        </w:tc>
        <w:tc>
          <w:tcPr>
            <w:tcW w:w="1927" w:type="dxa"/>
            <w:vAlign w:val="center"/>
          </w:tcPr>
          <w:p>
            <w:pPr>
              <w:pStyle w:val="13"/>
              <w:spacing w:line="400" w:lineRule="exact"/>
              <w:jc w:val="center"/>
              <w:rPr>
                <w:rFonts w:hint="default" w:hAnsi="宋体" w:cs="宋体"/>
                <w:kern w:val="0"/>
              </w:rPr>
            </w:pPr>
            <w:r>
              <w:rPr>
                <w:rFonts w:hAnsi="宋体" w:cs="宋体"/>
                <w:kern w:val="0"/>
              </w:rPr>
              <w:t>质量要求</w:t>
            </w:r>
          </w:p>
        </w:tc>
        <w:tc>
          <w:tcPr>
            <w:tcW w:w="6445" w:type="dxa"/>
            <w:vAlign w:val="center"/>
          </w:tcPr>
          <w:p>
            <w:pPr>
              <w:spacing w:line="400" w:lineRule="exact"/>
              <w:rPr>
                <w:rFonts w:ascii="宋体" w:hAnsi="宋体" w:cs="宋体"/>
                <w:kern w:val="0"/>
                <w:szCs w:val="21"/>
              </w:rPr>
            </w:pPr>
            <w:r>
              <w:rPr>
                <w:rFonts w:hint="eastAsia"/>
                <w:color w:val="000000"/>
                <w:lang w:eastAsia="zh-CN"/>
              </w:rPr>
              <w:t>达到国家及行业标准</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eastAsia="宋体" w:cs="宋体"/>
                <w:lang w:val="en-US" w:eastAsia="zh-CN"/>
              </w:rPr>
            </w:pPr>
            <w:r>
              <w:rPr>
                <w:rFonts w:hint="eastAsia" w:hAnsi="宋体" w:cs="宋体"/>
                <w:lang w:val="en-US" w:eastAsia="zh-CN"/>
              </w:rPr>
              <w:t>1.3.4</w:t>
            </w:r>
          </w:p>
        </w:tc>
        <w:tc>
          <w:tcPr>
            <w:tcW w:w="1927" w:type="dxa"/>
            <w:vAlign w:val="center"/>
          </w:tcPr>
          <w:p>
            <w:pPr>
              <w:pStyle w:val="13"/>
              <w:spacing w:line="4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质保期</w:t>
            </w:r>
          </w:p>
        </w:tc>
        <w:tc>
          <w:tcPr>
            <w:tcW w:w="6445" w:type="dxa"/>
            <w:vAlign w:val="center"/>
          </w:tcPr>
          <w:p>
            <w:pPr>
              <w:spacing w:line="40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90" w:type="dxa"/>
            <w:vAlign w:val="center"/>
          </w:tcPr>
          <w:p>
            <w:pPr>
              <w:pStyle w:val="13"/>
              <w:spacing w:line="400" w:lineRule="exact"/>
              <w:jc w:val="center"/>
              <w:rPr>
                <w:rFonts w:hint="default" w:hAnsi="宋体" w:cs="宋体"/>
              </w:rPr>
            </w:pPr>
            <w:r>
              <w:rPr>
                <w:rFonts w:hAnsi="宋体" w:cs="宋体"/>
              </w:rPr>
              <w:t>1.4.1</w:t>
            </w:r>
          </w:p>
        </w:tc>
        <w:tc>
          <w:tcPr>
            <w:tcW w:w="1927" w:type="dxa"/>
            <w:vAlign w:val="center"/>
          </w:tcPr>
          <w:p>
            <w:pPr>
              <w:pStyle w:val="13"/>
              <w:spacing w:line="400" w:lineRule="exact"/>
              <w:jc w:val="center"/>
              <w:rPr>
                <w:rFonts w:hint="default" w:hAnsi="宋体" w:cs="宋体"/>
              </w:rPr>
            </w:pPr>
            <w:r>
              <w:rPr>
                <w:rFonts w:hAnsi="宋体" w:cs="宋体"/>
              </w:rPr>
              <w:t>供应商资质条件</w:t>
            </w:r>
          </w:p>
        </w:tc>
        <w:tc>
          <w:tcPr>
            <w:tcW w:w="6445" w:type="dxa"/>
            <w:vAlign w:val="center"/>
          </w:tcPr>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1.满足《政府采购法》第二十二条规定；</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2.落实政府采购政策需满足的资格要求：促进中小企业和监狱企业发展扶持政策、政府强制采购节能产品、节能产品及环境标志产品优先采购；</w:t>
            </w:r>
            <w:r>
              <w:rPr>
                <w:rFonts w:hint="eastAsia" w:ascii="宋体" w:hAnsi="宋体" w:eastAsia="宋体" w:cs="宋体"/>
                <w:kern w:val="0"/>
                <w:sz w:val="21"/>
                <w:szCs w:val="21"/>
                <w:lang w:val="en-US" w:eastAsia="zh-CN" w:bidi="ar-SA"/>
              </w:rPr>
              <w:br w:type="page"/>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3.本项目的特定资格要求：</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 供应商须具有有效的营业执照，并具有实施完成本项目的经营实力和完善的售后服务体系；</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 本项目不接受联合体投标；</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default" w:hAnsi="宋体" w:cs="宋体"/>
              </w:rPr>
            </w:pPr>
            <w:r>
              <w:rPr>
                <w:rFonts w:hint="eastAsia" w:ascii="宋体" w:hAnsi="宋体" w:eastAsia="宋体" w:cs="宋体"/>
                <w:kern w:val="0"/>
                <w:sz w:val="21"/>
                <w:szCs w:val="21"/>
                <w:lang w:val="en-US" w:eastAsia="zh-CN" w:bidi="ar-SA"/>
              </w:rPr>
              <w:t>3.4 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1.4.2</w:t>
            </w:r>
          </w:p>
        </w:tc>
        <w:tc>
          <w:tcPr>
            <w:tcW w:w="1927" w:type="dxa"/>
            <w:vAlign w:val="center"/>
          </w:tcPr>
          <w:p>
            <w:pPr>
              <w:pStyle w:val="13"/>
              <w:spacing w:line="400" w:lineRule="exact"/>
              <w:jc w:val="center"/>
              <w:rPr>
                <w:rFonts w:hint="default" w:hAnsi="宋体" w:cs="宋体"/>
              </w:rPr>
            </w:pPr>
            <w:r>
              <w:rPr>
                <w:rFonts w:hAnsi="宋体" w:cs="宋体"/>
              </w:rPr>
              <w:t>是否接受联合体</w:t>
            </w:r>
          </w:p>
        </w:tc>
        <w:tc>
          <w:tcPr>
            <w:tcW w:w="6445" w:type="dxa"/>
            <w:vAlign w:val="center"/>
          </w:tcPr>
          <w:p>
            <w:pPr>
              <w:spacing w:line="400" w:lineRule="exact"/>
              <w:rPr>
                <w:rFonts w:hint="default" w:hAnsi="宋体" w:cs="宋体"/>
              </w:rPr>
            </w:pPr>
            <w:r>
              <w:rPr>
                <w:rFonts w:hint="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0" w:type="dxa"/>
            <w:vAlign w:val="center"/>
          </w:tcPr>
          <w:p>
            <w:pPr>
              <w:pStyle w:val="13"/>
              <w:spacing w:line="400" w:lineRule="exact"/>
              <w:jc w:val="center"/>
              <w:rPr>
                <w:rFonts w:hint="default" w:hAnsi="宋体" w:cs="宋体"/>
              </w:rPr>
            </w:pPr>
            <w:r>
              <w:rPr>
                <w:rFonts w:hAnsi="宋体" w:cs="宋体"/>
              </w:rPr>
              <w:t>1.10.1</w:t>
            </w:r>
          </w:p>
        </w:tc>
        <w:tc>
          <w:tcPr>
            <w:tcW w:w="1927" w:type="dxa"/>
            <w:vAlign w:val="center"/>
          </w:tcPr>
          <w:p>
            <w:pPr>
              <w:pStyle w:val="13"/>
              <w:spacing w:line="400" w:lineRule="exact"/>
              <w:jc w:val="center"/>
              <w:rPr>
                <w:rFonts w:hint="default" w:hAnsi="宋体" w:cs="宋体"/>
              </w:rPr>
            </w:pPr>
            <w:r>
              <w:rPr>
                <w:rFonts w:hAnsi="宋体" w:cs="宋体"/>
              </w:rPr>
              <w:t>投标预备会</w:t>
            </w:r>
          </w:p>
        </w:tc>
        <w:tc>
          <w:tcPr>
            <w:tcW w:w="6445" w:type="dxa"/>
            <w:vAlign w:val="center"/>
          </w:tcPr>
          <w:p>
            <w:pPr>
              <w:pStyle w:val="13"/>
              <w:spacing w:line="400" w:lineRule="exact"/>
              <w:rPr>
                <w:rFonts w:hint="default" w:hAnsi="宋体" w:cs="宋体"/>
              </w:rPr>
            </w:pPr>
            <w:r>
              <w:rPr>
                <w:rFonts w:hAnsi="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1.10.2</w:t>
            </w:r>
          </w:p>
        </w:tc>
        <w:tc>
          <w:tcPr>
            <w:tcW w:w="1927" w:type="dxa"/>
            <w:vAlign w:val="center"/>
          </w:tcPr>
          <w:p>
            <w:pPr>
              <w:pStyle w:val="13"/>
              <w:spacing w:line="400" w:lineRule="exact"/>
              <w:jc w:val="center"/>
              <w:rPr>
                <w:rFonts w:hint="default" w:hAnsi="宋体" w:cs="宋体"/>
              </w:rPr>
            </w:pPr>
            <w:r>
              <w:rPr>
                <w:rFonts w:hAnsi="宋体" w:cs="宋体"/>
              </w:rPr>
              <w:t>供应商提出问题的</w:t>
            </w:r>
          </w:p>
          <w:p>
            <w:pPr>
              <w:pStyle w:val="13"/>
              <w:spacing w:line="400" w:lineRule="exact"/>
              <w:jc w:val="center"/>
              <w:rPr>
                <w:rFonts w:hint="default" w:hAnsi="宋体" w:cs="宋体"/>
              </w:rPr>
            </w:pPr>
            <w:r>
              <w:rPr>
                <w:rFonts w:hAnsi="宋体" w:cs="宋体"/>
              </w:rPr>
              <w:t>截止时间</w:t>
            </w:r>
          </w:p>
        </w:tc>
        <w:tc>
          <w:tcPr>
            <w:tcW w:w="6445" w:type="dxa"/>
            <w:vAlign w:val="center"/>
          </w:tcPr>
          <w:p>
            <w:pPr>
              <w:pStyle w:val="13"/>
              <w:spacing w:line="400" w:lineRule="exact"/>
              <w:rPr>
                <w:rFonts w:hint="default" w:hAnsi="宋体" w:cs="宋体"/>
              </w:rPr>
            </w:pPr>
            <w:r>
              <w:rPr>
                <w:rFonts w:hAnsi="宋体" w:cs="宋体"/>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13"/>
              <w:spacing w:line="400" w:lineRule="exact"/>
              <w:jc w:val="center"/>
              <w:rPr>
                <w:rFonts w:hint="default" w:hAnsi="宋体" w:cs="宋体"/>
              </w:rPr>
            </w:pPr>
            <w:r>
              <w:rPr>
                <w:rFonts w:hAnsi="宋体" w:cs="宋体"/>
              </w:rPr>
              <w:t>1.10.3</w:t>
            </w:r>
          </w:p>
        </w:tc>
        <w:tc>
          <w:tcPr>
            <w:tcW w:w="1927" w:type="dxa"/>
            <w:vAlign w:val="center"/>
          </w:tcPr>
          <w:p>
            <w:pPr>
              <w:pStyle w:val="13"/>
              <w:spacing w:line="400" w:lineRule="exact"/>
              <w:jc w:val="center"/>
              <w:rPr>
                <w:rFonts w:hint="default" w:hAnsi="宋体" w:cs="宋体"/>
              </w:rPr>
            </w:pPr>
            <w:r>
              <w:rPr>
                <w:rFonts w:hAnsi="宋体" w:cs="宋体"/>
              </w:rPr>
              <w:t>采购人说明澄清的时间</w:t>
            </w:r>
          </w:p>
        </w:tc>
        <w:tc>
          <w:tcPr>
            <w:tcW w:w="6445" w:type="dxa"/>
            <w:vAlign w:val="center"/>
          </w:tcPr>
          <w:p>
            <w:pPr>
              <w:pStyle w:val="13"/>
              <w:spacing w:line="400" w:lineRule="exact"/>
              <w:rPr>
                <w:rFonts w:hint="default" w:hAnsi="宋体" w:cs="宋体"/>
              </w:rPr>
            </w:pPr>
            <w:r>
              <w:rPr>
                <w:rFonts w:hAnsi="宋体" w:cs="宋体"/>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center"/>
          </w:tcPr>
          <w:p>
            <w:pPr>
              <w:pStyle w:val="13"/>
              <w:spacing w:line="400" w:lineRule="exact"/>
              <w:jc w:val="center"/>
              <w:rPr>
                <w:rFonts w:hint="default" w:hAnsi="宋体" w:cs="宋体"/>
              </w:rPr>
            </w:pPr>
            <w:r>
              <w:rPr>
                <w:rFonts w:hAnsi="宋体" w:cs="宋体"/>
              </w:rPr>
              <w:t>1.11</w:t>
            </w:r>
          </w:p>
        </w:tc>
        <w:tc>
          <w:tcPr>
            <w:tcW w:w="1927" w:type="dxa"/>
            <w:vAlign w:val="center"/>
          </w:tcPr>
          <w:p>
            <w:pPr>
              <w:pStyle w:val="13"/>
              <w:spacing w:line="400" w:lineRule="exact"/>
              <w:jc w:val="center"/>
              <w:rPr>
                <w:rFonts w:hint="default" w:hAnsi="宋体" w:cs="宋体"/>
              </w:rPr>
            </w:pPr>
            <w:r>
              <w:rPr>
                <w:rFonts w:hAnsi="宋体" w:cs="宋体"/>
              </w:rPr>
              <w:t>分包</w:t>
            </w:r>
          </w:p>
        </w:tc>
        <w:tc>
          <w:tcPr>
            <w:tcW w:w="6445" w:type="dxa"/>
            <w:vAlign w:val="center"/>
          </w:tcPr>
          <w:p>
            <w:pPr>
              <w:pStyle w:val="13"/>
              <w:spacing w:line="400" w:lineRule="exact"/>
              <w:rPr>
                <w:rFonts w:hint="default" w:hAnsi="宋体" w:cs="宋体"/>
              </w:rPr>
            </w:pPr>
            <w:r>
              <w:rPr>
                <w:rFonts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2.2.1</w:t>
            </w:r>
          </w:p>
        </w:tc>
        <w:tc>
          <w:tcPr>
            <w:tcW w:w="1927" w:type="dxa"/>
            <w:vAlign w:val="center"/>
          </w:tcPr>
          <w:p>
            <w:pPr>
              <w:pStyle w:val="13"/>
              <w:spacing w:line="400" w:lineRule="exact"/>
              <w:jc w:val="center"/>
              <w:rPr>
                <w:rFonts w:hint="default" w:hAnsi="宋体" w:cs="宋体"/>
              </w:rPr>
            </w:pPr>
            <w:r>
              <w:rPr>
                <w:rFonts w:hAnsi="宋体" w:cs="宋体"/>
              </w:rPr>
              <w:t>供应商要求澄清招标文件的截止时间</w:t>
            </w:r>
          </w:p>
        </w:tc>
        <w:tc>
          <w:tcPr>
            <w:tcW w:w="6445" w:type="dxa"/>
            <w:vAlign w:val="center"/>
          </w:tcPr>
          <w:p>
            <w:pPr>
              <w:pStyle w:val="13"/>
              <w:spacing w:line="400" w:lineRule="exact"/>
              <w:rPr>
                <w:rFonts w:hint="default" w:hAnsi="宋体" w:cs="宋体"/>
              </w:rPr>
            </w:pPr>
            <w:r>
              <w:rPr>
                <w:rFonts w:hAnsi="宋体" w:cs="宋体"/>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vAlign w:val="center"/>
          </w:tcPr>
          <w:p>
            <w:pPr>
              <w:pStyle w:val="13"/>
              <w:spacing w:line="400" w:lineRule="exact"/>
              <w:jc w:val="center"/>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2.2.2</w:t>
            </w:r>
          </w:p>
        </w:tc>
        <w:tc>
          <w:tcPr>
            <w:tcW w:w="1927" w:type="dxa"/>
            <w:vAlign w:val="center"/>
          </w:tcPr>
          <w:p>
            <w:pPr>
              <w:pStyle w:val="13"/>
              <w:spacing w:line="400" w:lineRule="exact"/>
              <w:rPr>
                <w:rFonts w:hint="default" w:hAnsi="宋体" w:cs="宋体"/>
              </w:rPr>
            </w:pPr>
            <w:r>
              <w:rPr>
                <w:rFonts w:hAnsi="宋体" w:cs="宋体"/>
              </w:rPr>
              <w:t>投标截止时间</w:t>
            </w:r>
          </w:p>
        </w:tc>
        <w:tc>
          <w:tcPr>
            <w:tcW w:w="6445" w:type="dxa"/>
            <w:vAlign w:val="center"/>
          </w:tcPr>
          <w:p>
            <w:pPr>
              <w:pStyle w:val="13"/>
              <w:spacing w:line="400" w:lineRule="exact"/>
              <w:rPr>
                <w:rFonts w:hAnsi="宋体" w:cs="宋体"/>
              </w:rPr>
            </w:pPr>
            <w:r>
              <w:rPr>
                <w:rFonts w:hint="eastAsia" w:hAnsi="宋体" w:cs="宋体"/>
              </w:rPr>
              <w:t>202</w:t>
            </w:r>
            <w:r>
              <w:rPr>
                <w:rFonts w:hint="eastAsia" w:hAnsi="宋体" w:cs="宋体"/>
                <w:lang w:val="en-US" w:eastAsia="zh-CN"/>
              </w:rPr>
              <w:t>4</w:t>
            </w:r>
            <w:r>
              <w:rPr>
                <w:rFonts w:hint="eastAsia" w:hAnsi="宋体" w:cs="宋体"/>
              </w:rPr>
              <w:t>年</w:t>
            </w:r>
            <w:r>
              <w:rPr>
                <w:rFonts w:hint="eastAsia" w:hAnsi="宋体" w:cs="宋体"/>
                <w:lang w:val="en-US" w:eastAsia="zh-CN"/>
              </w:rPr>
              <w:t>3</w:t>
            </w:r>
            <w:r>
              <w:rPr>
                <w:rFonts w:hint="eastAsia" w:hAnsi="宋体" w:cs="宋体"/>
              </w:rPr>
              <w:t>月</w:t>
            </w:r>
            <w:r>
              <w:rPr>
                <w:rFonts w:hint="eastAsia" w:hAnsi="宋体" w:cs="宋体"/>
                <w:lang w:val="en-US" w:eastAsia="zh-CN"/>
              </w:rPr>
              <w:t xml:space="preserve">4 </w:t>
            </w:r>
            <w:r>
              <w:rPr>
                <w:rFonts w:hint="eastAsia" w:hAnsi="宋体" w:cs="宋体"/>
              </w:rPr>
              <w:t>日</w:t>
            </w:r>
            <w:r>
              <w:rPr>
                <w:rFonts w:hint="eastAsia" w:hAnsi="宋体" w:cs="宋体"/>
                <w:lang w:val="en-US" w:eastAsia="zh-CN"/>
              </w:rPr>
              <w:t xml:space="preserve"> 09</w:t>
            </w:r>
            <w:r>
              <w:rPr>
                <w:rFonts w:hint="eastAsia" w:hAnsi="宋体" w:cs="宋体"/>
              </w:rPr>
              <w:t>时</w:t>
            </w:r>
            <w:r>
              <w:rPr>
                <w:rFonts w:hint="eastAsia" w:hAnsi="宋体" w:cs="宋体"/>
                <w:lang w:val="en-US" w:eastAsia="zh-CN"/>
              </w:rPr>
              <w:t xml:space="preserve">00 </w:t>
            </w:r>
            <w:r>
              <w:rPr>
                <w:rFonts w:hint="eastAsia" w:hAnsi="宋体" w:cs="宋体"/>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3.1.1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构成投标文件的</w:t>
            </w:r>
          </w:p>
          <w:p>
            <w:pPr>
              <w:spacing w:line="400" w:lineRule="exact"/>
              <w:jc w:val="center"/>
              <w:rPr>
                <w:rFonts w:ascii="宋体" w:hAnsi="宋体" w:cs="宋体"/>
                <w:szCs w:val="21"/>
              </w:rPr>
            </w:pPr>
            <w:r>
              <w:rPr>
                <w:rFonts w:hint="eastAsia" w:ascii="宋体" w:hAnsi="宋体" w:cs="宋体"/>
                <w:szCs w:val="21"/>
              </w:rPr>
              <w:t>其他材料</w:t>
            </w:r>
          </w:p>
        </w:tc>
        <w:tc>
          <w:tcPr>
            <w:tcW w:w="6445" w:type="dxa"/>
            <w:vAlign w:val="center"/>
          </w:tcPr>
          <w:p>
            <w:pPr>
              <w:spacing w:line="400" w:lineRule="exact"/>
              <w:rPr>
                <w:rFonts w:ascii="宋体" w:hAnsi="宋体" w:cs="宋体"/>
                <w:szCs w:val="21"/>
              </w:rPr>
            </w:pPr>
            <w:r>
              <w:rPr>
                <w:rFonts w:hint="eastAsia" w:ascii="宋体" w:hAnsi="宋体" w:cs="宋体"/>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vAlign w:val="center"/>
          </w:tcPr>
          <w:p>
            <w:pPr>
              <w:pStyle w:val="13"/>
              <w:spacing w:line="400" w:lineRule="exact"/>
              <w:jc w:val="center"/>
              <w:rPr>
                <w:rFonts w:hint="default" w:hAnsi="宋体" w:cs="宋体"/>
              </w:rPr>
            </w:pPr>
            <w:r>
              <w:rPr>
                <w:rFonts w:hAnsi="宋体" w:cs="宋体"/>
              </w:rPr>
              <w:t>3.3.1</w:t>
            </w:r>
          </w:p>
        </w:tc>
        <w:tc>
          <w:tcPr>
            <w:tcW w:w="1927" w:type="dxa"/>
            <w:vAlign w:val="center"/>
          </w:tcPr>
          <w:p>
            <w:pPr>
              <w:pStyle w:val="13"/>
              <w:spacing w:line="400" w:lineRule="exact"/>
              <w:jc w:val="center"/>
              <w:rPr>
                <w:rFonts w:hint="default" w:hAnsi="宋体" w:cs="宋体"/>
              </w:rPr>
            </w:pPr>
            <w:r>
              <w:rPr>
                <w:rFonts w:hAnsi="宋体" w:cs="宋体"/>
              </w:rPr>
              <w:t>投标有效期</w:t>
            </w:r>
          </w:p>
        </w:tc>
        <w:tc>
          <w:tcPr>
            <w:tcW w:w="6445" w:type="dxa"/>
            <w:vAlign w:val="center"/>
          </w:tcPr>
          <w:p>
            <w:pPr>
              <w:pStyle w:val="13"/>
              <w:spacing w:line="400" w:lineRule="exact"/>
              <w:rPr>
                <w:rFonts w:hint="default" w:hAnsi="宋体" w:cs="宋体"/>
              </w:rPr>
            </w:pPr>
            <w:r>
              <w:rPr>
                <w:rFonts w:hAnsi="宋体" w:cs="宋体"/>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3.6</w:t>
            </w:r>
          </w:p>
        </w:tc>
        <w:tc>
          <w:tcPr>
            <w:tcW w:w="1927" w:type="dxa"/>
            <w:vAlign w:val="center"/>
          </w:tcPr>
          <w:p>
            <w:pPr>
              <w:pStyle w:val="13"/>
              <w:spacing w:line="400" w:lineRule="exact"/>
              <w:jc w:val="center"/>
              <w:rPr>
                <w:rFonts w:hint="default" w:hAnsi="宋体" w:cs="宋体"/>
              </w:rPr>
            </w:pPr>
            <w:r>
              <w:rPr>
                <w:rFonts w:hAnsi="宋体" w:cs="宋体"/>
              </w:rPr>
              <w:t>是否允许递交备选</w:t>
            </w:r>
          </w:p>
          <w:p>
            <w:pPr>
              <w:pStyle w:val="13"/>
              <w:spacing w:line="400" w:lineRule="exact"/>
              <w:jc w:val="center"/>
              <w:rPr>
                <w:rFonts w:hint="default" w:hAnsi="宋体" w:cs="宋体"/>
              </w:rPr>
            </w:pPr>
            <w:r>
              <w:rPr>
                <w:rFonts w:hAnsi="宋体" w:cs="宋体"/>
              </w:rPr>
              <w:t>投标方案</w:t>
            </w:r>
          </w:p>
        </w:tc>
        <w:tc>
          <w:tcPr>
            <w:tcW w:w="6445" w:type="dxa"/>
            <w:vAlign w:val="center"/>
          </w:tcPr>
          <w:p>
            <w:pPr>
              <w:pStyle w:val="13"/>
              <w:spacing w:line="400" w:lineRule="exact"/>
              <w:rPr>
                <w:rFonts w:hint="default" w:hAnsi="宋体" w:cs="宋体"/>
              </w:rPr>
            </w:pPr>
            <w:r>
              <w:rPr>
                <w:rFonts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3.7.3</w:t>
            </w:r>
          </w:p>
        </w:tc>
        <w:tc>
          <w:tcPr>
            <w:tcW w:w="1927"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签字盖章要求</w:t>
            </w:r>
          </w:p>
        </w:tc>
        <w:tc>
          <w:tcPr>
            <w:tcW w:w="6445" w:type="dxa"/>
            <w:shd w:val="clear" w:color="auto" w:fill="auto"/>
            <w:vAlign w:val="center"/>
          </w:tcPr>
          <w:p>
            <w:pPr>
              <w:pStyle w:val="13"/>
              <w:spacing w:line="400" w:lineRule="exact"/>
              <w:rPr>
                <w:rFonts w:hint="default" w:hAnsi="宋体" w:cs="宋体"/>
              </w:rPr>
            </w:pPr>
            <w:r>
              <w:rPr>
                <w:rFonts w:hAnsi="宋体" w:cs="宋体"/>
              </w:rPr>
              <w:t>（1）要求供应商加盖公章的地方都应加盖供应商单位的CA 印章。</w:t>
            </w:r>
          </w:p>
          <w:p>
            <w:pPr>
              <w:pStyle w:val="13"/>
              <w:spacing w:line="400" w:lineRule="exact"/>
              <w:rPr>
                <w:rFonts w:hint="default" w:hAnsi="宋体" w:cs="宋体"/>
              </w:rPr>
            </w:pPr>
            <w:r>
              <w:rPr>
                <w:rFonts w:hAnsi="宋体" w:cs="宋体"/>
              </w:rPr>
              <w:t>（2）要求法定代表人签字或盖章的，法定代表人在签字或盖章的地方上传手写签名的扫描件或加盖法定代表人CA印章。</w:t>
            </w:r>
          </w:p>
          <w:p>
            <w:pPr>
              <w:pStyle w:val="13"/>
              <w:spacing w:line="400" w:lineRule="exact"/>
              <w:rPr>
                <w:rFonts w:hint="default" w:hAnsi="宋体" w:cs="宋体"/>
              </w:rPr>
            </w:pPr>
            <w:r>
              <w:rPr>
                <w:rFonts w:hAnsi="宋体" w:cs="宋体"/>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vAlign w:val="center"/>
          </w:tcPr>
          <w:p>
            <w:pPr>
              <w:pStyle w:val="13"/>
              <w:spacing w:line="400" w:lineRule="exact"/>
              <w:jc w:val="center"/>
              <w:rPr>
                <w:rFonts w:hint="default" w:hAnsi="宋体" w:cs="宋体"/>
              </w:rPr>
            </w:pPr>
            <w:r>
              <w:rPr>
                <w:rFonts w:hAnsi="宋体" w:cs="宋体"/>
              </w:rPr>
              <w:t>3.7.4</w:t>
            </w:r>
          </w:p>
        </w:tc>
        <w:tc>
          <w:tcPr>
            <w:tcW w:w="1927" w:type="dxa"/>
            <w:vAlign w:val="center"/>
          </w:tcPr>
          <w:p>
            <w:pPr>
              <w:pStyle w:val="13"/>
              <w:spacing w:line="400" w:lineRule="exact"/>
              <w:jc w:val="center"/>
              <w:rPr>
                <w:rFonts w:hint="default" w:hAnsi="宋体" w:cs="宋体"/>
              </w:rPr>
            </w:pPr>
            <w:r>
              <w:rPr>
                <w:rFonts w:hAnsi="宋体" w:cs="宋体"/>
              </w:rPr>
              <w:t>投标文件份数</w:t>
            </w:r>
          </w:p>
        </w:tc>
        <w:tc>
          <w:tcPr>
            <w:tcW w:w="6445" w:type="dxa"/>
            <w:vAlign w:val="center"/>
          </w:tcPr>
          <w:p>
            <w:pPr>
              <w:pStyle w:val="13"/>
              <w:spacing w:line="400" w:lineRule="exact"/>
              <w:rPr>
                <w:rFonts w:hint="default" w:hAnsi="宋体" w:cs="宋体"/>
              </w:rPr>
            </w:pPr>
            <w:r>
              <w:rPr>
                <w:rFonts w:hAnsi="宋体" w:cs="宋体"/>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0" w:type="dxa"/>
            <w:vAlign w:val="center"/>
          </w:tcPr>
          <w:p>
            <w:pPr>
              <w:pStyle w:val="13"/>
              <w:spacing w:line="400" w:lineRule="exact"/>
              <w:jc w:val="center"/>
              <w:rPr>
                <w:rFonts w:hint="default" w:hAnsi="宋体" w:cs="宋体"/>
              </w:rPr>
            </w:pPr>
            <w:r>
              <w:rPr>
                <w:rFonts w:hAnsi="宋体" w:cs="宋体"/>
              </w:rPr>
              <w:t>4.2.2</w:t>
            </w:r>
          </w:p>
        </w:tc>
        <w:tc>
          <w:tcPr>
            <w:tcW w:w="1927" w:type="dxa"/>
            <w:vAlign w:val="center"/>
          </w:tcPr>
          <w:p>
            <w:pPr>
              <w:pStyle w:val="13"/>
              <w:spacing w:line="400" w:lineRule="exact"/>
              <w:jc w:val="center"/>
              <w:rPr>
                <w:rFonts w:hint="default" w:hAnsi="宋体" w:cs="宋体"/>
              </w:rPr>
            </w:pPr>
            <w:r>
              <w:rPr>
                <w:rFonts w:hAnsi="宋体" w:cs="宋体"/>
              </w:rPr>
              <w:t>递交投标文件方式和地点</w:t>
            </w:r>
          </w:p>
        </w:tc>
        <w:tc>
          <w:tcPr>
            <w:tcW w:w="6445" w:type="dxa"/>
            <w:vAlign w:val="center"/>
          </w:tcPr>
          <w:p>
            <w:pPr>
              <w:pStyle w:val="13"/>
              <w:spacing w:line="400" w:lineRule="exact"/>
              <w:rPr>
                <w:rFonts w:hint="default" w:hAnsi="宋体" w:cs="宋体"/>
              </w:rPr>
            </w:pPr>
            <w:r>
              <w:rPr>
                <w:rFonts w:hAnsi="宋体" w:cs="宋体"/>
              </w:rPr>
              <w:t xml:space="preserve">本项目采用“远程不见面”开标方式，远程开标大厅网址为http://122.112.246.33/BidOpening/bidopeninghallaction/hall/login。投标人不需到开标现场参加开标会议，不需提交原件资料等。 </w:t>
            </w:r>
          </w:p>
          <w:p>
            <w:pPr>
              <w:pStyle w:val="13"/>
              <w:spacing w:line="400" w:lineRule="exact"/>
              <w:rPr>
                <w:rFonts w:hint="default" w:hAnsi="宋体" w:cs="宋体"/>
              </w:rPr>
            </w:pPr>
            <w:r>
              <w:rPr>
                <w:rFonts w:hAnsi="宋体" w:cs="宋体"/>
              </w:rPr>
              <w:t>（1）电子投标文件的递交</w:t>
            </w:r>
          </w:p>
          <w:p>
            <w:pPr>
              <w:pStyle w:val="13"/>
              <w:spacing w:line="400" w:lineRule="exact"/>
              <w:rPr>
                <w:rFonts w:hint="default" w:hAnsi="宋体" w:cs="宋体"/>
              </w:rPr>
            </w:pPr>
            <w:r>
              <w:rPr>
                <w:rFonts w:hAnsi="宋体" w:cs="宋体"/>
              </w:rPr>
              <w:t>a、各投标人应在投标截止时间前上传加密的电子投标文件</w:t>
            </w:r>
          </w:p>
          <w:p>
            <w:pPr>
              <w:pStyle w:val="13"/>
              <w:spacing w:line="400" w:lineRule="exact"/>
              <w:rPr>
                <w:rFonts w:hint="default" w:hAnsi="宋体" w:cs="宋体"/>
              </w:rPr>
            </w:pPr>
            <w:r>
              <w:rPr>
                <w:rFonts w:hAnsi="宋体" w:cs="宋体"/>
              </w:rPr>
              <w:t>（.jztf 格式）到会员系统的指定位置。上传时必须得到电脑“上传成功”的确认回复。请投标人在上传时认真检查上传投标文件是否完整、正确。</w:t>
            </w:r>
          </w:p>
          <w:p>
            <w:pPr>
              <w:pStyle w:val="13"/>
              <w:spacing w:line="400" w:lineRule="exact"/>
              <w:rPr>
                <w:rFonts w:hint="default" w:hAnsi="宋体" w:cs="宋体"/>
              </w:rPr>
            </w:pPr>
            <w:r>
              <w:rPr>
                <w:rFonts w:hAnsi="宋体" w:cs="宋体"/>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4.2.3</w:t>
            </w:r>
          </w:p>
        </w:tc>
        <w:tc>
          <w:tcPr>
            <w:tcW w:w="1927" w:type="dxa"/>
            <w:vAlign w:val="center"/>
          </w:tcPr>
          <w:p>
            <w:pPr>
              <w:pStyle w:val="13"/>
              <w:spacing w:line="400" w:lineRule="exact"/>
              <w:jc w:val="center"/>
              <w:rPr>
                <w:rFonts w:hint="default" w:hAnsi="宋体" w:cs="宋体"/>
              </w:rPr>
            </w:pPr>
            <w:r>
              <w:rPr>
                <w:rFonts w:hAnsi="宋体" w:cs="宋体"/>
              </w:rPr>
              <w:t>是否退还投标文件</w:t>
            </w:r>
          </w:p>
        </w:tc>
        <w:tc>
          <w:tcPr>
            <w:tcW w:w="6445" w:type="dxa"/>
            <w:vAlign w:val="center"/>
          </w:tcPr>
          <w:p>
            <w:pPr>
              <w:pStyle w:val="13"/>
              <w:spacing w:line="400" w:lineRule="exact"/>
              <w:rPr>
                <w:rFonts w:hint="default" w:hAnsi="宋体" w:cs="宋体"/>
              </w:rPr>
            </w:pPr>
            <w:r>
              <w:rPr>
                <w:rFonts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5.1</w:t>
            </w:r>
          </w:p>
        </w:tc>
        <w:tc>
          <w:tcPr>
            <w:tcW w:w="1927" w:type="dxa"/>
            <w:vAlign w:val="center"/>
          </w:tcPr>
          <w:p>
            <w:pPr>
              <w:pStyle w:val="13"/>
              <w:spacing w:line="400" w:lineRule="exact"/>
              <w:jc w:val="center"/>
              <w:rPr>
                <w:rFonts w:hint="default" w:hAnsi="宋体" w:cs="宋体"/>
              </w:rPr>
            </w:pPr>
            <w:r>
              <w:rPr>
                <w:rFonts w:hAnsi="宋体" w:cs="宋体"/>
              </w:rPr>
              <w:t>开标时间和地点</w:t>
            </w:r>
          </w:p>
        </w:tc>
        <w:tc>
          <w:tcPr>
            <w:tcW w:w="6445"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开标时间：同投标截止时间。登录远程开标大厅，凭制作投标文件所用的企业 CA 密匙在线签到、解密文件等，解密时间为投标截止时后30分钟内。</w:t>
            </w:r>
          </w:p>
          <w:p>
            <w:pPr>
              <w:spacing w:line="400" w:lineRule="exact"/>
              <w:jc w:val="left"/>
              <w:rPr>
                <w:rFonts w:ascii="宋体" w:hAnsi="宋体" w:cs="宋体"/>
                <w:szCs w:val="21"/>
              </w:rPr>
            </w:pPr>
            <w:r>
              <w:rPr>
                <w:rFonts w:hint="eastAsia" w:ascii="宋体" w:hAnsi="宋体" w:cs="宋体"/>
                <w:szCs w:val="21"/>
              </w:rPr>
              <w:t>现场开标地点：博爱县公共资源交易中心二楼开标</w:t>
            </w:r>
            <w:r>
              <w:rPr>
                <w:rFonts w:hint="eastAsia" w:ascii="宋体" w:hAnsi="宋体" w:cs="宋体"/>
                <w:szCs w:val="21"/>
                <w:lang w:val="en-US" w:eastAsia="zh-CN"/>
              </w:rPr>
              <w:t>一</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6.1.1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评标委员会的组建</w:t>
            </w:r>
          </w:p>
        </w:tc>
        <w:tc>
          <w:tcPr>
            <w:tcW w:w="6445" w:type="dxa"/>
            <w:vAlign w:val="center"/>
          </w:tcPr>
          <w:p>
            <w:pPr>
              <w:spacing w:line="400" w:lineRule="exact"/>
              <w:jc w:val="left"/>
              <w:rPr>
                <w:rFonts w:ascii="宋体" w:hAnsi="宋体" w:cs="宋体"/>
                <w:szCs w:val="21"/>
              </w:rPr>
            </w:pPr>
            <w:r>
              <w:rPr>
                <w:rFonts w:hint="eastAsia" w:ascii="宋体" w:hAnsi="宋体" w:cs="宋体"/>
                <w:szCs w:val="21"/>
              </w:rPr>
              <w:t>评标委员会构成：由采购人代表1名和政府采购专家库中随机抽</w:t>
            </w:r>
          </w:p>
          <w:p>
            <w:pPr>
              <w:spacing w:line="400" w:lineRule="exact"/>
              <w:jc w:val="left"/>
              <w:rPr>
                <w:rFonts w:ascii="宋体" w:hAnsi="宋体" w:cs="宋体"/>
                <w:szCs w:val="21"/>
              </w:rPr>
            </w:pPr>
            <w:r>
              <w:rPr>
                <w:rFonts w:hint="eastAsia" w:ascii="宋体" w:hAnsi="宋体" w:cs="宋体"/>
                <w:szCs w:val="21"/>
              </w:rPr>
              <w:t>取的评审专家4名,共5人组成。</w:t>
            </w:r>
          </w:p>
          <w:p>
            <w:pPr>
              <w:spacing w:line="400" w:lineRule="exact"/>
              <w:jc w:val="left"/>
              <w:rPr>
                <w:rFonts w:ascii="宋体" w:hAnsi="宋体" w:cs="宋体"/>
                <w:szCs w:val="21"/>
                <w:u w:val="single"/>
              </w:rPr>
            </w:pPr>
            <w:r>
              <w:rPr>
                <w:rFonts w:hint="eastAsia" w:ascii="宋体" w:hAnsi="宋体" w:cs="宋体"/>
                <w:szCs w:val="21"/>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7.1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445" w:type="dxa"/>
            <w:vAlign w:val="center"/>
          </w:tcPr>
          <w:p>
            <w:pPr>
              <w:spacing w:line="400" w:lineRule="exact"/>
              <w:jc w:val="left"/>
              <w:rPr>
                <w:rFonts w:ascii="宋体" w:hAnsi="宋体" w:cs="宋体"/>
                <w:szCs w:val="21"/>
              </w:rPr>
            </w:pPr>
            <w:r>
              <w:rPr>
                <w:rFonts w:hint="eastAsia" w:ascii="宋体" w:hAnsi="宋体" w:cs="宋体"/>
                <w:szCs w:val="21"/>
              </w:rPr>
              <w:t>否，由评标委员会从认定的合理报价中，按得分由高到低的顺序，依次推荐3名中标候选人。</w:t>
            </w:r>
          </w:p>
          <w:p>
            <w:pPr>
              <w:spacing w:line="400" w:lineRule="exact"/>
              <w:rPr>
                <w:rFonts w:ascii="宋体" w:hAnsi="宋体" w:cs="宋体"/>
                <w:szCs w:val="21"/>
              </w:rPr>
            </w:pPr>
            <w:r>
              <w:rPr>
                <w:rFonts w:hint="eastAsia" w:ascii="宋体" w:hAnsi="宋体" w:cs="宋体"/>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spacing w:line="400" w:lineRule="exact"/>
              <w:rPr>
                <w:rFonts w:ascii="宋体" w:hAnsi="宋体" w:cs="宋体"/>
                <w:szCs w:val="21"/>
              </w:rPr>
            </w:pPr>
            <w:r>
              <w:rPr>
                <w:rFonts w:hint="eastAsia" w:ascii="宋体" w:hAnsi="宋体" w:cs="宋体"/>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3"/>
              <w:spacing w:line="400" w:lineRule="exact"/>
              <w:jc w:val="center"/>
              <w:rPr>
                <w:rFonts w:hint="default" w:hAnsi="宋体" w:cs="宋体"/>
              </w:rPr>
            </w:pPr>
            <w:r>
              <w:rPr>
                <w:rFonts w:hAnsi="宋体" w:cs="宋体"/>
              </w:rPr>
              <w:t>7.3.1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6445" w:type="dxa"/>
            <w:vAlign w:val="center"/>
          </w:tcPr>
          <w:p>
            <w:pPr>
              <w:spacing w:line="4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pPr>
              <w:pStyle w:val="13"/>
              <w:spacing w:line="400" w:lineRule="exact"/>
              <w:jc w:val="center"/>
              <w:rPr>
                <w:rFonts w:hint="default" w:hAnsi="宋体" w:cs="宋体"/>
              </w:rPr>
            </w:pPr>
            <w:r>
              <w:rPr>
                <w:rFonts w:hAnsi="宋体" w:cs="宋体"/>
              </w:rPr>
              <w:t>7.3.2</w:t>
            </w:r>
          </w:p>
        </w:tc>
        <w:tc>
          <w:tcPr>
            <w:tcW w:w="1927"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6445" w:type="dxa"/>
            <w:shd w:val="clear" w:color="auto" w:fill="auto"/>
            <w:vAlign w:val="center"/>
          </w:tcPr>
          <w:p>
            <w:pPr>
              <w:spacing w:line="4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center"/>
          </w:tcPr>
          <w:p>
            <w:pPr>
              <w:spacing w:line="400" w:lineRule="exact"/>
              <w:jc w:val="center"/>
              <w:rPr>
                <w:rFonts w:ascii="宋体" w:hAnsi="宋体" w:cs="宋体"/>
                <w:bCs/>
                <w:szCs w:val="21"/>
              </w:rPr>
            </w:pPr>
            <w:r>
              <w:rPr>
                <w:rFonts w:hint="eastAsia" w:ascii="宋体" w:hAnsi="宋体" w:cs="宋体"/>
                <w:bCs/>
                <w:szCs w:val="21"/>
              </w:rPr>
              <w:t>7.3.3</w:t>
            </w:r>
          </w:p>
        </w:tc>
        <w:tc>
          <w:tcPr>
            <w:tcW w:w="1927" w:type="dxa"/>
            <w:vAlign w:val="center"/>
          </w:tcPr>
          <w:p>
            <w:pPr>
              <w:spacing w:line="400" w:lineRule="exact"/>
              <w:ind w:firstLine="420" w:firstLineChars="200"/>
              <w:rPr>
                <w:rFonts w:ascii="宋体" w:hAnsi="宋体" w:cs="宋体"/>
                <w:b/>
                <w:szCs w:val="21"/>
              </w:rPr>
            </w:pPr>
            <w:r>
              <w:rPr>
                <w:rFonts w:hint="eastAsia" w:ascii="宋体" w:hAnsi="宋体" w:cs="宋体"/>
                <w:szCs w:val="21"/>
              </w:rPr>
              <w:t>质量保证金</w:t>
            </w:r>
          </w:p>
        </w:tc>
        <w:tc>
          <w:tcPr>
            <w:tcW w:w="6445" w:type="dxa"/>
            <w:vAlign w:val="bottom"/>
          </w:tcPr>
          <w:p>
            <w:pPr>
              <w:spacing w:line="400" w:lineRule="exact"/>
              <w:rPr>
                <w:rFonts w:ascii="宋体" w:hAnsi="宋体" w:cs="宋体"/>
                <w:bCs/>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bottom"/>
          </w:tcPr>
          <w:p>
            <w:pPr>
              <w:spacing w:line="400" w:lineRule="exact"/>
              <w:jc w:val="center"/>
              <w:rPr>
                <w:rFonts w:ascii="宋体" w:hAnsi="宋体" w:cs="宋体"/>
                <w:b/>
                <w:szCs w:val="21"/>
              </w:rPr>
            </w:pPr>
            <w:r>
              <w:rPr>
                <w:rFonts w:hint="eastAsia" w:ascii="宋体" w:hAnsi="宋体" w:cs="宋体"/>
                <w:bCs/>
                <w:szCs w:val="21"/>
              </w:rPr>
              <w:t>10</w:t>
            </w:r>
          </w:p>
        </w:tc>
        <w:tc>
          <w:tcPr>
            <w:tcW w:w="8372" w:type="dxa"/>
            <w:gridSpan w:val="2"/>
            <w:vAlign w:val="bottom"/>
          </w:tcPr>
          <w:p>
            <w:pPr>
              <w:spacing w:line="400" w:lineRule="exact"/>
              <w:jc w:val="center"/>
              <w:rPr>
                <w:rFonts w:ascii="宋体" w:hAnsi="宋体" w:cs="宋体"/>
                <w:b/>
                <w:szCs w:val="21"/>
              </w:rPr>
            </w:pPr>
            <w:r>
              <w:rPr>
                <w:rFonts w:hint="eastAsia" w:ascii="宋体" w:hAnsi="宋体" w:cs="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10.1</w:t>
            </w:r>
          </w:p>
        </w:tc>
        <w:tc>
          <w:tcPr>
            <w:tcW w:w="1927"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预算金额</w:t>
            </w:r>
          </w:p>
        </w:tc>
        <w:tc>
          <w:tcPr>
            <w:tcW w:w="6445" w:type="dxa"/>
            <w:vAlign w:val="bottom"/>
          </w:tcPr>
          <w:p>
            <w:pPr>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本项目预算金额为：</w:t>
            </w:r>
            <w:r>
              <w:rPr>
                <w:rFonts w:hint="eastAsia" w:ascii="宋体" w:hAnsi="宋体" w:cs="宋体"/>
                <w:b/>
                <w:bCs/>
                <w:color w:val="auto"/>
                <w:szCs w:val="21"/>
                <w:lang w:val="en-US" w:eastAsia="zh-CN"/>
              </w:rPr>
              <w:t>4788318.00</w:t>
            </w:r>
            <w:r>
              <w:rPr>
                <w:rFonts w:hint="eastAsia" w:ascii="宋体" w:hAnsi="宋体" w:cs="宋体"/>
                <w:b/>
                <w:bCs/>
                <w:color w:val="auto"/>
                <w:szCs w:val="21"/>
              </w:rPr>
              <w:t>元</w:t>
            </w:r>
          </w:p>
          <w:p>
            <w:pPr>
              <w:spacing w:line="400" w:lineRule="exact"/>
              <w:rPr>
                <w:rFonts w:hint="eastAsia" w:ascii="宋体" w:hAnsi="宋体" w:cs="宋体"/>
                <w:color w:val="auto"/>
                <w:szCs w:val="21"/>
              </w:rPr>
            </w:pPr>
            <w:r>
              <w:rPr>
                <w:rFonts w:hint="eastAsia" w:ascii="宋体" w:hAnsi="宋体" w:cs="宋体"/>
                <w:color w:val="auto"/>
                <w:szCs w:val="21"/>
              </w:rPr>
              <w:t>2、控制价是采购人设置的最高限价，供应商的投标报价高于控制价的视为无效报价，其投标予以拒绝。</w:t>
            </w:r>
          </w:p>
          <w:p>
            <w:pPr>
              <w:spacing w:line="400" w:lineRule="exact"/>
              <w:rPr>
                <w:rFonts w:hint="eastAsia" w:ascii="宋体" w:hAnsi="宋体" w:cs="宋体"/>
                <w:color w:val="auto"/>
                <w:szCs w:val="21"/>
              </w:rPr>
            </w:pPr>
            <w:r>
              <w:rPr>
                <w:rFonts w:hint="eastAsia" w:ascii="宋体" w:hAnsi="宋体" w:cs="宋体"/>
                <w:b/>
                <w:bCs/>
                <w:color w:val="auto"/>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10.2</w:t>
            </w:r>
          </w:p>
        </w:tc>
        <w:tc>
          <w:tcPr>
            <w:tcW w:w="1927" w:type="dxa"/>
            <w:vAlign w:val="center"/>
          </w:tcPr>
          <w:p>
            <w:pPr>
              <w:spacing w:line="400" w:lineRule="exact"/>
              <w:jc w:val="center"/>
              <w:rPr>
                <w:rFonts w:hint="eastAsia" w:ascii="宋体" w:hAnsi="宋体" w:cs="宋体"/>
                <w:szCs w:val="21"/>
              </w:rPr>
            </w:pPr>
            <w:r>
              <w:rPr>
                <w:rFonts w:hint="eastAsia" w:ascii="宋体" w:hAnsi="宋体" w:cs="宋体"/>
                <w:szCs w:val="21"/>
              </w:rPr>
              <w:t>小型或微型企业（含监狱企业）</w:t>
            </w:r>
          </w:p>
        </w:tc>
        <w:tc>
          <w:tcPr>
            <w:tcW w:w="6445" w:type="dxa"/>
            <w:vAlign w:val="bottom"/>
          </w:tcPr>
          <w:p>
            <w:pPr>
              <w:spacing w:line="440" w:lineRule="exact"/>
              <w:rPr>
                <w:rFonts w:ascii="宋体" w:hAnsi="宋体" w:cs="宋体"/>
                <w:kern w:val="0"/>
                <w:szCs w:val="21"/>
                <w:highlight w:val="none"/>
              </w:rPr>
            </w:pPr>
            <w:r>
              <w:rPr>
                <w:rFonts w:hint="eastAsia" w:ascii="宋体" w:hAnsi="宋体" w:cs="宋体"/>
                <w:kern w:val="0"/>
                <w:szCs w:val="21"/>
                <w:highlight w:val="none"/>
              </w:rPr>
              <w:t>1对中小型或微型企业投标的扶持：</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小微企业应当提供《中小企业声明函》（见格式）。</w:t>
            </w:r>
          </w:p>
          <w:p>
            <w:pPr>
              <w:spacing w:line="440" w:lineRule="exact"/>
              <w:rPr>
                <w:rFonts w:ascii="宋体" w:hAnsi="宋体" w:cs="宋体"/>
                <w:kern w:val="0"/>
                <w:szCs w:val="21"/>
                <w:highlight w:val="none"/>
              </w:rPr>
            </w:pPr>
            <w:r>
              <w:rPr>
                <w:rFonts w:hint="eastAsia" w:ascii="宋体" w:hAnsi="宋体" w:cs="宋体"/>
                <w:kern w:val="0"/>
                <w:szCs w:val="21"/>
                <w:highlight w:val="none"/>
              </w:rPr>
              <w:t>2 按照《政府采购促进中小企业发展管理办法》有关规定，中小企业的标准为：</w:t>
            </w:r>
          </w:p>
          <w:p>
            <w:pPr>
              <w:spacing w:line="440" w:lineRule="exact"/>
              <w:rPr>
                <w:rFonts w:ascii="宋体" w:hAnsi="宋体" w:cs="宋体"/>
                <w:kern w:val="0"/>
                <w:szCs w:val="21"/>
                <w:highlight w:val="none"/>
              </w:rPr>
            </w:pPr>
            <w:r>
              <w:rPr>
                <w:rFonts w:hint="eastAsia" w:ascii="宋体" w:hAnsi="宋体" w:cs="宋体"/>
                <w:kern w:val="0"/>
                <w:szCs w:val="21"/>
                <w:highlight w:val="none"/>
              </w:rPr>
              <w:t>2.1提供本企业制造的货物、承担的工程或者服务，或者提供其他中小企业制造的货物，不包括提供或使用大型企业注册商标的货物；</w:t>
            </w:r>
          </w:p>
          <w:p>
            <w:pPr>
              <w:spacing w:line="440" w:lineRule="exact"/>
              <w:rPr>
                <w:rFonts w:ascii="宋体" w:hAnsi="宋体" w:cs="宋体"/>
                <w:kern w:val="0"/>
                <w:szCs w:val="21"/>
                <w:highlight w:val="none"/>
              </w:rPr>
            </w:pPr>
            <w:r>
              <w:rPr>
                <w:rFonts w:hint="eastAsia" w:ascii="宋体" w:hAnsi="宋体" w:cs="宋体"/>
                <w:kern w:val="0"/>
                <w:szCs w:val="21"/>
                <w:highlight w:val="none"/>
              </w:rPr>
              <w:t>2.2本规定所称中小企业划分标准，是指国务院有关部门根据企业从业人员、营业收入、资产总额等指标制定的中小企业划型标准（工信部联企业﹝2011﹞300号）；</w:t>
            </w:r>
          </w:p>
          <w:p>
            <w:pPr>
              <w:spacing w:line="440" w:lineRule="exact"/>
              <w:rPr>
                <w:rFonts w:ascii="宋体" w:hAnsi="宋体" w:cs="宋体"/>
                <w:kern w:val="0"/>
                <w:szCs w:val="21"/>
                <w:highlight w:val="none"/>
              </w:rPr>
            </w:pPr>
            <w:r>
              <w:rPr>
                <w:rFonts w:hint="eastAsia" w:ascii="宋体" w:hAnsi="宋体" w:cs="宋体"/>
                <w:kern w:val="0"/>
                <w:szCs w:val="21"/>
                <w:highlight w:val="none"/>
              </w:rPr>
              <w:t>2.3小型、微型企业提供有中型企业制造的货物的，视同为中型企业；小型、微型、中型企业提供有大型企业制造的货物的，视同为大型企业。</w:t>
            </w:r>
          </w:p>
          <w:p>
            <w:pPr>
              <w:spacing w:line="440" w:lineRule="exact"/>
              <w:rPr>
                <w:rFonts w:ascii="宋体" w:hAnsi="宋体" w:cs="宋体"/>
                <w:bCs/>
                <w:highlight w:val="none"/>
              </w:rPr>
            </w:pPr>
            <w:r>
              <w:rPr>
                <w:rFonts w:hint="eastAsia" w:ascii="宋体" w:hAnsi="宋体" w:cs="宋体"/>
                <w:kern w:val="0"/>
                <w:szCs w:val="21"/>
                <w:highlight w:val="none"/>
              </w:rPr>
              <w:t>3、根据财政部司法部《关于政府采购支持监狱企业发展有关问题的通知》（财库〔2014〕68号）和财政部民政部中国残疾人联合会《关于促进残疾人就业政府采购政策的通知》（财库〔2017〕141号）规定；</w:t>
            </w:r>
            <w:r>
              <w:rPr>
                <w:rFonts w:hint="eastAsia" w:ascii="宋体" w:hAnsi="宋体" w:cs="宋体"/>
                <w:bCs/>
                <w:highlight w:val="none"/>
              </w:rPr>
              <w:t>本项目对监狱企业、残疾人福利性企业作为投标人所提供的本企业生产的产品的价格给予20%的扣除。</w:t>
            </w:r>
          </w:p>
          <w:p>
            <w:pPr>
              <w:spacing w:line="400" w:lineRule="exact"/>
              <w:rPr>
                <w:rFonts w:hint="eastAsia" w:ascii="宋体" w:hAnsi="宋体" w:cs="宋体"/>
                <w:szCs w:val="21"/>
              </w:rPr>
            </w:pPr>
            <w:r>
              <w:rPr>
                <w:rFonts w:hint="eastAsia" w:ascii="宋体" w:hAnsi="宋体" w:cs="宋体"/>
                <w:bCs/>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3</w:t>
            </w:r>
          </w:p>
        </w:tc>
        <w:tc>
          <w:tcPr>
            <w:tcW w:w="1927" w:type="dxa"/>
            <w:vAlign w:val="center"/>
          </w:tcPr>
          <w:p>
            <w:pPr>
              <w:spacing w:line="400" w:lineRule="exact"/>
              <w:jc w:val="center"/>
              <w:rPr>
                <w:rFonts w:ascii="宋体" w:hAnsi="宋体" w:cs="宋体"/>
                <w:bCs/>
                <w:color w:val="auto"/>
                <w:szCs w:val="21"/>
              </w:rPr>
            </w:pPr>
            <w:r>
              <w:rPr>
                <w:rFonts w:hint="eastAsia" w:ascii="宋体" w:hAnsi="宋体" w:cs="宋体"/>
                <w:szCs w:val="21"/>
              </w:rPr>
              <w:t>付款方式</w:t>
            </w:r>
          </w:p>
        </w:tc>
        <w:tc>
          <w:tcPr>
            <w:tcW w:w="6445" w:type="dxa"/>
            <w:vAlign w:val="center"/>
          </w:tcPr>
          <w:p>
            <w:pPr>
              <w:pStyle w:val="21"/>
              <w:spacing w:before="0" w:beforeAutospacing="0" w:after="0" w:afterAutospacing="0" w:line="440" w:lineRule="exact"/>
              <w:ind w:left="0" w:leftChars="0" w:firstLine="367" w:firstLineChars="175"/>
              <w:rPr>
                <w:rFonts w:hint="default" w:ascii="宋体" w:hAnsi="宋体" w:eastAsia="宋体" w:cs="宋体"/>
                <w:bCs/>
                <w:color w:val="auto"/>
                <w:szCs w:val="21"/>
                <w:highlight w:val="none"/>
                <w:lang w:val="en-US" w:eastAsia="zh-CN"/>
              </w:rPr>
            </w:pPr>
            <w:r>
              <w:rPr>
                <w:rFonts w:hint="eastAsia" w:ascii="宋体" w:hAnsi="宋体" w:eastAsia="宋体" w:cs="宋体"/>
                <w:bCs/>
                <w:kern w:val="2"/>
                <w:sz w:val="21"/>
                <w:szCs w:val="24"/>
                <w:highlight w:val="none"/>
                <w:lang w:val="en-US" w:eastAsia="zh-CN" w:bidi="ar-SA"/>
              </w:rPr>
              <w:t>项目量完成50%支付项目总价款的10%，项目完工经验收合格后付至项目总价款的20%，工程资料验收合格后支付至项目总价款的97%；剩余3%一年后一次性支付。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4</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招标代理服务费</w:t>
            </w:r>
          </w:p>
        </w:tc>
        <w:tc>
          <w:tcPr>
            <w:tcW w:w="6445" w:type="dxa"/>
            <w:vAlign w:val="center"/>
          </w:tcPr>
          <w:p>
            <w:pPr>
              <w:spacing w:line="400" w:lineRule="exact"/>
              <w:rPr>
                <w:rFonts w:ascii="宋体" w:hAnsi="宋体" w:cs="宋体"/>
                <w:szCs w:val="21"/>
              </w:rPr>
            </w:pPr>
            <w:r>
              <w:rPr>
                <w:rFonts w:hint="eastAsia" w:ascii="宋体" w:hAnsi="宋体" w:cs="宋体"/>
                <w:szCs w:val="21"/>
              </w:rPr>
              <w:t>招标代理服务费:参照豫</w:t>
            </w:r>
            <w:r>
              <w:rPr>
                <w:rFonts w:hint="eastAsia" w:ascii="宋体" w:hAnsi="宋体" w:cs="宋体"/>
                <w:bCs/>
                <w:szCs w:val="21"/>
              </w:rPr>
              <w:t>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5</w:t>
            </w:r>
          </w:p>
        </w:tc>
        <w:tc>
          <w:tcPr>
            <w:tcW w:w="1927" w:type="dxa"/>
            <w:shd w:val="clear" w:color="auto" w:fill="auto"/>
            <w:vAlign w:val="center"/>
          </w:tcPr>
          <w:p>
            <w:pPr>
              <w:adjustRightInd w:val="0"/>
              <w:snapToGrid w:val="0"/>
              <w:spacing w:line="400" w:lineRule="exact"/>
              <w:jc w:val="center"/>
              <w:rPr>
                <w:rFonts w:ascii="宋体" w:hAnsi="宋体" w:cs="宋体"/>
                <w:bCs/>
                <w:szCs w:val="21"/>
              </w:rPr>
            </w:pPr>
            <w:r>
              <w:rPr>
                <w:rFonts w:hint="eastAsia" w:ascii="宋体" w:hAnsi="宋体" w:cs="宋体"/>
                <w:bCs/>
                <w:szCs w:val="21"/>
              </w:rPr>
              <w:t>认定为不响应招标文件的其它条件</w:t>
            </w:r>
          </w:p>
        </w:tc>
        <w:tc>
          <w:tcPr>
            <w:tcW w:w="6445" w:type="dxa"/>
            <w:shd w:val="clear" w:color="auto" w:fill="auto"/>
            <w:vAlign w:val="center"/>
          </w:tcPr>
          <w:p>
            <w:pPr>
              <w:pStyle w:val="25"/>
              <w:spacing w:line="400" w:lineRule="exact"/>
              <w:ind w:firstLine="0" w:firstLineChars="0"/>
              <w:rPr>
                <w:rFonts w:ascii="宋体" w:hAnsi="宋体" w:cs="宋体"/>
                <w:bCs/>
                <w:szCs w:val="21"/>
              </w:rPr>
            </w:pPr>
            <w:r>
              <w:rPr>
                <w:rFonts w:hint="eastAsia" w:ascii="宋体" w:hAnsi="宋体" w:cs="宋体"/>
                <w:bCs/>
                <w:szCs w:val="21"/>
              </w:rPr>
              <w:t>1、未按招标文件明示的规定签字盖章的；</w:t>
            </w:r>
          </w:p>
          <w:p>
            <w:pPr>
              <w:pStyle w:val="13"/>
              <w:spacing w:line="400" w:lineRule="exact"/>
              <w:jc w:val="center"/>
              <w:rPr>
                <w:rFonts w:hint="eastAsia" w:ascii="宋体" w:hAnsi="宋体" w:cs="宋体"/>
                <w:bCs/>
                <w:szCs w:val="21"/>
              </w:rPr>
            </w:pPr>
            <w:r>
              <w:rPr>
                <w:rFonts w:hint="eastAsia" w:ascii="宋体" w:hAnsi="宋体" w:cs="宋体"/>
                <w:bCs/>
                <w:szCs w:val="21"/>
              </w:rPr>
              <w:t>2、投标文件的关键内容（投标报价、</w:t>
            </w:r>
            <w:r>
              <w:rPr>
                <w:rFonts w:hint="eastAsia" w:hAnsi="宋体" w:cs="宋体"/>
                <w:bCs/>
                <w:szCs w:val="21"/>
                <w:lang w:val="en-US" w:eastAsia="zh-CN"/>
              </w:rPr>
              <w:t>合同履行期</w:t>
            </w:r>
            <w:r>
              <w:rPr>
                <w:rFonts w:hint="eastAsia" w:ascii="宋体" w:hAnsi="宋体" w:cs="宋体"/>
                <w:bCs/>
                <w:szCs w:val="21"/>
              </w:rPr>
              <w:t>、质量标准等）未</w:t>
            </w:r>
          </w:p>
          <w:p>
            <w:pPr>
              <w:pStyle w:val="13"/>
              <w:spacing w:line="400" w:lineRule="exact"/>
              <w:jc w:val="center"/>
              <w:rPr>
                <w:rFonts w:ascii="宋体" w:hAnsi="宋体" w:cs="宋体"/>
                <w:bCs/>
                <w:szCs w:val="21"/>
              </w:rPr>
            </w:pPr>
            <w:r>
              <w:rPr>
                <w:rFonts w:hint="eastAsia" w:ascii="宋体" w:hAnsi="宋体" w:cs="宋体"/>
                <w:bCs/>
                <w:szCs w:val="21"/>
              </w:rPr>
              <w:t>填写或填写字迹模糊、达不到采购要求的；</w:t>
            </w:r>
          </w:p>
          <w:p>
            <w:pPr>
              <w:pStyle w:val="25"/>
              <w:spacing w:line="400" w:lineRule="exact"/>
              <w:ind w:firstLine="0" w:firstLineChars="0"/>
              <w:rPr>
                <w:rFonts w:ascii="宋体" w:hAnsi="宋体" w:cs="宋体"/>
                <w:bCs/>
                <w:szCs w:val="21"/>
              </w:rPr>
            </w:pPr>
            <w:r>
              <w:rPr>
                <w:rFonts w:hint="eastAsia" w:ascii="宋体" w:hAnsi="宋体" w:cs="宋体"/>
                <w:bCs/>
                <w:szCs w:val="21"/>
              </w:rPr>
              <w:t>3、投标报价超出招标控制价的；</w:t>
            </w:r>
          </w:p>
          <w:p>
            <w:pPr>
              <w:pStyle w:val="25"/>
              <w:spacing w:line="400" w:lineRule="exact"/>
              <w:ind w:firstLine="0" w:firstLineChars="0"/>
              <w:rPr>
                <w:rFonts w:ascii="宋体" w:hAnsi="宋体" w:cs="宋体"/>
                <w:bCs/>
                <w:szCs w:val="21"/>
              </w:rPr>
            </w:pPr>
            <w:r>
              <w:rPr>
                <w:rFonts w:hint="eastAsia" w:ascii="宋体" w:hAnsi="宋体" w:cs="宋体"/>
                <w:bCs/>
                <w:szCs w:val="21"/>
              </w:rPr>
              <w:t>4、供应商递交两份或多份内容不同的投标文件，或在一份投标文件中对同一招标项目有两个或多个报价，且未声明哪一个有效的；</w:t>
            </w:r>
          </w:p>
          <w:p>
            <w:pPr>
              <w:pStyle w:val="25"/>
              <w:spacing w:line="400" w:lineRule="exact"/>
              <w:ind w:firstLine="0" w:firstLineChars="0"/>
              <w:rPr>
                <w:rFonts w:hint="eastAsia" w:ascii="宋体" w:hAnsi="宋体" w:eastAsia="宋体" w:cs="宋体"/>
                <w:bCs/>
                <w:szCs w:val="21"/>
                <w:lang w:eastAsia="zh-CN"/>
              </w:rPr>
            </w:pPr>
            <w:r>
              <w:rPr>
                <w:rFonts w:hint="eastAsia" w:ascii="宋体" w:hAnsi="宋体" w:cs="宋体"/>
                <w:bCs/>
                <w:szCs w:val="21"/>
              </w:rPr>
              <w:t>5、相关资格证明文件不合格的；</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、附有采购人不能接受的条件的；</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、评标过程中，如因两个或两个以上投标人在同一台计算或同一个IP上传响应文件，而被不见面开标系统提示为“投标文件制作机器码一致”的，则视其投标无效。</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6</w:t>
            </w:r>
          </w:p>
        </w:tc>
        <w:tc>
          <w:tcPr>
            <w:tcW w:w="8372" w:type="dxa"/>
            <w:gridSpan w:val="2"/>
            <w:vAlign w:val="center"/>
          </w:tcPr>
          <w:p>
            <w:pPr>
              <w:pStyle w:val="25"/>
              <w:tabs>
                <w:tab w:val="left" w:pos="1268"/>
              </w:tabs>
              <w:spacing w:line="400" w:lineRule="exact"/>
              <w:ind w:firstLine="0" w:firstLineChars="0"/>
              <w:rPr>
                <w:rFonts w:ascii="宋体" w:hAnsi="宋体" w:cs="宋体"/>
                <w:bCs/>
                <w:szCs w:val="21"/>
              </w:rPr>
            </w:pPr>
            <w:r>
              <w:rPr>
                <w:rFonts w:hint="eastAsia" w:ascii="宋体" w:hAnsi="宋体" w:cs="宋体"/>
                <w:bCs/>
                <w:szCs w:val="21"/>
                <w:highlight w:val="none"/>
              </w:rPr>
              <w:t>具备资格的供应商可直接参与投标，也可将其资格授予分公司（以政府部门颁发的营业执照为准）参与投标，但须提供总公司的资格授权文件；取得授权的供应商可以用其总公司的资格、资质、证书、员工资格证书、业绩案例等参与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pPr>
              <w:spacing w:line="400" w:lineRule="exact"/>
              <w:jc w:val="center"/>
              <w:rPr>
                <w:rFonts w:hint="default" w:ascii="宋体" w:hAnsi="宋体" w:eastAsia="宋体" w:cs="宋体"/>
                <w:szCs w:val="21"/>
                <w:lang w:val="en-US" w:eastAsia="zh-CN"/>
              </w:rPr>
            </w:pPr>
            <w:bookmarkStart w:id="12" w:name="_Toc23082"/>
            <w:bookmarkStart w:id="13" w:name="_Toc9048"/>
            <w:bookmarkStart w:id="14" w:name="_Toc403122491"/>
            <w:bookmarkStart w:id="15" w:name="_Toc426369479"/>
            <w:bookmarkStart w:id="16" w:name="_Toc23576"/>
            <w:bookmarkStart w:id="17" w:name="_Toc403122503"/>
            <w:bookmarkStart w:id="18" w:name="_Toc26894"/>
            <w:bookmarkStart w:id="19" w:name="_Toc426369491"/>
            <w:r>
              <w:rPr>
                <w:rFonts w:hint="eastAsia" w:ascii="宋体" w:hAnsi="宋体" w:cs="宋体"/>
                <w:szCs w:val="21"/>
                <w:lang w:val="en-US" w:eastAsia="zh-CN"/>
              </w:rPr>
              <w:t>10.7</w:t>
            </w:r>
          </w:p>
        </w:tc>
        <w:tc>
          <w:tcPr>
            <w:tcW w:w="8372" w:type="dxa"/>
            <w:gridSpan w:val="2"/>
            <w:vAlign w:val="center"/>
          </w:tcPr>
          <w:p>
            <w:pPr>
              <w:pStyle w:val="25"/>
              <w:tabs>
                <w:tab w:val="left" w:pos="1268"/>
              </w:tabs>
              <w:spacing w:line="400" w:lineRule="exact"/>
              <w:ind w:firstLine="0" w:firstLineChars="0"/>
              <w:rPr>
                <w:rFonts w:hint="eastAsia" w:ascii="宋体" w:hAnsi="宋体" w:cs="宋体"/>
                <w:szCs w:val="21"/>
              </w:rPr>
            </w:pPr>
            <w:r>
              <w:rPr>
                <w:rFonts w:hint="eastAsia" w:ascii="宋体" w:hAnsi="宋体" w:cs="宋体"/>
                <w:szCs w:val="21"/>
              </w:rPr>
              <w:t>本招标文件解释权归采购人</w:t>
            </w:r>
          </w:p>
        </w:tc>
      </w:tr>
    </w:tbl>
    <w:p>
      <w:pPr>
        <w:spacing w:line="360" w:lineRule="auto"/>
        <w:ind w:firstLine="420" w:firstLineChars="200"/>
        <w:rPr>
          <w:rFonts w:ascii="宋体" w:hAnsi="宋体" w:cs="宋体"/>
          <w:szCs w:val="21"/>
        </w:rPr>
      </w:pPr>
      <w:r>
        <w:rPr>
          <w:rFonts w:hint="eastAsia" w:ascii="宋体" w:hAnsi="宋体" w:cs="宋体"/>
          <w:szCs w:val="21"/>
        </w:rPr>
        <w:br w:type="page"/>
      </w:r>
    </w:p>
    <w:p>
      <w:pPr>
        <w:pStyle w:val="22"/>
        <w:spacing w:before="0" w:after="0" w:line="360" w:lineRule="auto"/>
        <w:ind w:firstLine="422" w:firstLineChars="200"/>
        <w:jc w:val="both"/>
        <w:rPr>
          <w:rFonts w:ascii="宋体" w:hAnsi="宋体" w:eastAsia="宋体" w:cs="宋体"/>
          <w:sz w:val="21"/>
          <w:szCs w:val="21"/>
        </w:rPr>
      </w:pPr>
      <w:bookmarkStart w:id="20" w:name="_Toc2462"/>
      <w:bookmarkStart w:id="21" w:name="_Toc26329"/>
      <w:r>
        <w:rPr>
          <w:rFonts w:hint="eastAsia" w:ascii="宋体" w:hAnsi="宋体" w:eastAsia="宋体" w:cs="宋体"/>
          <w:sz w:val="21"/>
          <w:szCs w:val="21"/>
        </w:rPr>
        <w:t>1. 总则</w:t>
      </w:r>
      <w:bookmarkEnd w:id="12"/>
      <w:bookmarkEnd w:id="13"/>
      <w:bookmarkEnd w:id="14"/>
      <w:bookmarkEnd w:id="15"/>
      <w:bookmarkEnd w:id="16"/>
      <w:bookmarkEnd w:id="20"/>
      <w:bookmarkEnd w:id="21"/>
    </w:p>
    <w:p>
      <w:pPr>
        <w:spacing w:line="360" w:lineRule="auto"/>
        <w:ind w:firstLine="422" w:firstLineChars="200"/>
        <w:rPr>
          <w:rFonts w:ascii="宋体" w:hAnsi="宋体" w:cs="宋体"/>
          <w:b/>
          <w:bCs/>
          <w:szCs w:val="21"/>
        </w:rPr>
      </w:pPr>
      <w:bookmarkStart w:id="22" w:name="_Toc426369480"/>
      <w:bookmarkStart w:id="23" w:name="_Toc403122492"/>
      <w:bookmarkStart w:id="24" w:name="_Toc274249575"/>
      <w:bookmarkStart w:id="25" w:name="_Toc279599771"/>
      <w:r>
        <w:rPr>
          <w:rFonts w:hint="eastAsia" w:ascii="宋体" w:hAnsi="宋体" w:cs="宋体"/>
          <w:b/>
          <w:bCs/>
          <w:szCs w:val="21"/>
        </w:rPr>
        <w:t>1.1 项目概况</w:t>
      </w:r>
      <w:bookmarkEnd w:id="22"/>
      <w:bookmarkEnd w:id="23"/>
      <w:bookmarkEnd w:id="24"/>
      <w:bookmarkEnd w:id="25"/>
    </w:p>
    <w:p>
      <w:pPr>
        <w:spacing w:line="360" w:lineRule="auto"/>
        <w:ind w:firstLine="420" w:firstLineChars="200"/>
        <w:rPr>
          <w:rFonts w:ascii="宋体" w:hAnsi="宋体" w:cs="宋体"/>
          <w:szCs w:val="21"/>
        </w:rPr>
      </w:pPr>
      <w:r>
        <w:rPr>
          <w:rFonts w:hint="eastAsia" w:ascii="宋体" w:hAnsi="宋体" w:cs="宋体"/>
          <w:szCs w:val="21"/>
        </w:rPr>
        <w:t>1.1.1 根据</w:t>
      </w:r>
      <w:r>
        <w:rPr>
          <w:rFonts w:hint="eastAsia" w:ascii="宋体" w:hAnsi="宋体" w:cs="宋体"/>
          <w:bCs/>
          <w:szCs w:val="21"/>
        </w:rPr>
        <w:t>《中华人民共和国政府采购法》</w:t>
      </w:r>
      <w:r>
        <w:rPr>
          <w:rFonts w:hint="eastAsia" w:ascii="宋体" w:hAnsi="宋体" w:cs="宋体"/>
          <w:szCs w:val="21"/>
        </w:rPr>
        <w:t xml:space="preserve">等有关法律、法规和规章的规定，本招标项目已具备招标条件，现对本招标项目进行公开招标。 </w:t>
      </w:r>
    </w:p>
    <w:p>
      <w:pPr>
        <w:spacing w:line="360" w:lineRule="auto"/>
        <w:ind w:firstLine="420" w:firstLineChars="200"/>
        <w:rPr>
          <w:rFonts w:ascii="宋体" w:hAnsi="宋体" w:cs="宋体"/>
          <w:szCs w:val="21"/>
        </w:rPr>
      </w:pPr>
      <w:r>
        <w:rPr>
          <w:rFonts w:hint="eastAsia" w:ascii="宋体" w:hAnsi="宋体" w:cs="宋体"/>
          <w:szCs w:val="21"/>
        </w:rPr>
        <w:t xml:space="preserve">1.1.2  本招标项目采购人：见供应商须知前附表。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1.1.3  本招标项目采购代理机构：见供应商须知前附表。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1.1.4  本招标项目名称：见供应商须知前附表。 </w:t>
      </w:r>
    </w:p>
    <w:p>
      <w:pPr>
        <w:spacing w:line="360" w:lineRule="auto"/>
        <w:ind w:firstLine="422" w:firstLineChars="200"/>
        <w:rPr>
          <w:rFonts w:ascii="宋体" w:hAnsi="宋体" w:cs="宋体"/>
          <w:b/>
          <w:bCs/>
          <w:szCs w:val="21"/>
        </w:rPr>
      </w:pPr>
      <w:bookmarkStart w:id="26" w:name="_Toc279599772"/>
      <w:bookmarkStart w:id="27" w:name="_Toc274249576"/>
      <w:bookmarkStart w:id="28" w:name="_Toc426369481"/>
      <w:bookmarkStart w:id="29" w:name="_Toc403122493"/>
      <w:r>
        <w:rPr>
          <w:rFonts w:hint="eastAsia" w:ascii="宋体" w:hAnsi="宋体" w:cs="宋体"/>
          <w:b/>
          <w:bCs/>
          <w:szCs w:val="21"/>
        </w:rPr>
        <w:t>1.2 资金来源和落实情况</w:t>
      </w:r>
      <w:bookmarkEnd w:id="26"/>
      <w:bookmarkEnd w:id="27"/>
      <w:bookmarkEnd w:id="28"/>
      <w:bookmarkEnd w:id="29"/>
    </w:p>
    <w:p>
      <w:pPr>
        <w:spacing w:line="360" w:lineRule="auto"/>
        <w:ind w:firstLine="420" w:firstLineChars="200"/>
        <w:rPr>
          <w:rFonts w:ascii="宋体" w:hAnsi="宋体" w:cs="宋体"/>
          <w:szCs w:val="21"/>
        </w:rPr>
      </w:pPr>
      <w:r>
        <w:rPr>
          <w:rFonts w:hint="eastAsia" w:ascii="宋体" w:hAnsi="宋体" w:cs="宋体"/>
          <w:szCs w:val="21"/>
        </w:rPr>
        <w:t xml:space="preserve">1.2.1  本招标项目的资金来源：见供应商须知前附表。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1.2.2  本招标项目的资金落实情况：见供应商须知前附表。 </w:t>
      </w:r>
    </w:p>
    <w:p>
      <w:pPr>
        <w:spacing w:line="360" w:lineRule="auto"/>
        <w:ind w:firstLine="422" w:firstLineChars="200"/>
        <w:rPr>
          <w:rFonts w:ascii="宋体" w:hAnsi="宋体" w:cs="宋体"/>
          <w:b/>
          <w:bCs/>
          <w:szCs w:val="21"/>
        </w:rPr>
      </w:pPr>
      <w:bookmarkStart w:id="30" w:name="_Toc403122494"/>
      <w:bookmarkStart w:id="31" w:name="_Toc426369482"/>
      <w:bookmarkStart w:id="32" w:name="_Toc279599773"/>
      <w:bookmarkStart w:id="33" w:name="_Toc274249577"/>
      <w:r>
        <w:rPr>
          <w:rFonts w:hint="eastAsia" w:ascii="宋体" w:hAnsi="宋体" w:cs="宋体"/>
          <w:b/>
          <w:bCs/>
          <w:szCs w:val="21"/>
        </w:rPr>
        <w:t>1.3 采购内容、合同履行期限和质量</w:t>
      </w:r>
      <w:bookmarkEnd w:id="30"/>
      <w:bookmarkEnd w:id="31"/>
      <w:bookmarkEnd w:id="32"/>
      <w:bookmarkEnd w:id="33"/>
      <w:r>
        <w:rPr>
          <w:rFonts w:hint="eastAsia" w:ascii="宋体" w:hAnsi="宋体" w:cs="宋体"/>
          <w:b/>
          <w:bCs/>
          <w:szCs w:val="21"/>
        </w:rPr>
        <w:t>标准</w:t>
      </w:r>
    </w:p>
    <w:p>
      <w:pPr>
        <w:spacing w:line="360" w:lineRule="auto"/>
        <w:ind w:firstLine="420" w:firstLineChars="200"/>
        <w:rPr>
          <w:rFonts w:ascii="宋体" w:hAnsi="宋体" w:cs="宋体"/>
          <w:szCs w:val="21"/>
        </w:rPr>
      </w:pPr>
      <w:r>
        <w:rPr>
          <w:rFonts w:hint="eastAsia" w:ascii="宋体" w:hAnsi="宋体" w:cs="宋体"/>
          <w:szCs w:val="21"/>
        </w:rPr>
        <w:t xml:space="preserve">1.3.1  本次招标采购内容：见供应商须知前附表。 </w:t>
      </w:r>
    </w:p>
    <w:p>
      <w:pPr>
        <w:spacing w:line="360" w:lineRule="auto"/>
        <w:ind w:firstLine="420" w:firstLineChars="200"/>
        <w:rPr>
          <w:rFonts w:ascii="宋体" w:hAnsi="宋体" w:cs="宋体"/>
          <w:szCs w:val="21"/>
        </w:rPr>
      </w:pPr>
      <w:r>
        <w:rPr>
          <w:rFonts w:hint="eastAsia" w:ascii="宋体" w:hAnsi="宋体" w:cs="宋体"/>
          <w:szCs w:val="21"/>
        </w:rPr>
        <w:t>1.3.2  本次招标的合同履行期限（</w:t>
      </w:r>
      <w:r>
        <w:rPr>
          <w:rFonts w:hint="eastAsia" w:ascii="宋体" w:hAnsi="宋体" w:cs="宋体"/>
          <w:szCs w:val="21"/>
          <w:lang w:val="en-US" w:eastAsia="zh-CN"/>
        </w:rPr>
        <w:t>供货安装期</w:t>
      </w:r>
      <w:r>
        <w:rPr>
          <w:rFonts w:hint="eastAsia" w:ascii="宋体" w:hAnsi="宋体" w:cs="宋体"/>
          <w:szCs w:val="21"/>
        </w:rPr>
        <w:t xml:space="preserve">）：见供应商须知前附表。 </w:t>
      </w:r>
    </w:p>
    <w:p>
      <w:pPr>
        <w:tabs>
          <w:tab w:val="right" w:pos="9040"/>
        </w:tabs>
        <w:spacing w:line="360" w:lineRule="auto"/>
        <w:ind w:firstLine="420" w:firstLineChars="200"/>
        <w:rPr>
          <w:rFonts w:ascii="宋体" w:hAnsi="宋体" w:cs="宋体"/>
          <w:szCs w:val="21"/>
        </w:rPr>
      </w:pPr>
      <w:r>
        <w:rPr>
          <w:rFonts w:hint="eastAsia" w:ascii="宋体" w:hAnsi="宋体" w:cs="宋体"/>
          <w:szCs w:val="21"/>
        </w:rPr>
        <w:t xml:space="preserve">1.3.3  本次招标的质量要求：见供应商须知前附表。 </w:t>
      </w:r>
    </w:p>
    <w:p>
      <w:pPr>
        <w:tabs>
          <w:tab w:val="right" w:pos="9040"/>
        </w:tabs>
        <w:spacing w:line="360" w:lineRule="auto"/>
        <w:ind w:firstLine="420" w:firstLineChars="200"/>
        <w:rPr>
          <w:rFonts w:ascii="宋体" w:hAnsi="宋体" w:cs="宋体"/>
          <w:szCs w:val="21"/>
        </w:rPr>
      </w:pPr>
      <w:r>
        <w:rPr>
          <w:rFonts w:hint="eastAsia" w:ascii="宋体" w:hAnsi="宋体" w:cs="宋体"/>
          <w:szCs w:val="21"/>
        </w:rPr>
        <w:t xml:space="preserve">1.3.4  本次招标的质保期要求：见供应商须知前附表。 </w:t>
      </w:r>
      <w:r>
        <w:rPr>
          <w:rFonts w:hint="eastAsia" w:ascii="宋体" w:hAnsi="宋体" w:cs="宋体"/>
          <w:szCs w:val="21"/>
        </w:rPr>
        <w:tab/>
      </w:r>
    </w:p>
    <w:p>
      <w:pPr>
        <w:spacing w:line="360" w:lineRule="auto"/>
        <w:ind w:firstLine="422" w:firstLineChars="200"/>
        <w:rPr>
          <w:rFonts w:ascii="宋体" w:hAnsi="宋体" w:cs="宋体"/>
          <w:b/>
          <w:bCs/>
          <w:szCs w:val="21"/>
        </w:rPr>
      </w:pPr>
      <w:bookmarkStart w:id="34" w:name="_Toc426369483"/>
      <w:bookmarkStart w:id="35" w:name="_Toc403122495"/>
      <w:bookmarkStart w:id="36" w:name="_Toc274249578"/>
      <w:bookmarkStart w:id="37" w:name="_Toc279599774"/>
      <w:r>
        <w:rPr>
          <w:rFonts w:hint="eastAsia" w:ascii="宋体" w:hAnsi="宋体" w:cs="宋体"/>
          <w:b/>
          <w:bCs/>
          <w:szCs w:val="21"/>
        </w:rPr>
        <w:t>1.4 供应商资格要求</w:t>
      </w:r>
      <w:bookmarkEnd w:id="34"/>
      <w:bookmarkEnd w:id="35"/>
      <w:bookmarkEnd w:id="36"/>
      <w:bookmarkEnd w:id="37"/>
    </w:p>
    <w:p>
      <w:pPr>
        <w:spacing w:line="360" w:lineRule="auto"/>
        <w:ind w:firstLine="420" w:firstLineChars="200"/>
        <w:rPr>
          <w:rFonts w:ascii="宋体" w:hAnsi="宋体" w:cs="宋体"/>
          <w:szCs w:val="21"/>
        </w:rPr>
      </w:pPr>
      <w:r>
        <w:rPr>
          <w:rFonts w:hint="eastAsia" w:ascii="宋体" w:hAnsi="宋体" w:cs="宋体"/>
          <w:szCs w:val="21"/>
        </w:rPr>
        <w:t xml:space="preserve">1.4.1 供应商应具备承担本招标项目的资格条件。 </w:t>
      </w:r>
    </w:p>
    <w:p>
      <w:pPr>
        <w:spacing w:line="360" w:lineRule="auto"/>
        <w:ind w:firstLine="420" w:firstLineChars="200"/>
        <w:rPr>
          <w:rFonts w:ascii="宋体" w:hAnsi="宋体" w:cs="宋体"/>
          <w:szCs w:val="21"/>
        </w:rPr>
      </w:pPr>
      <w:r>
        <w:rPr>
          <w:rFonts w:hint="eastAsia" w:ascii="宋体" w:hAnsi="宋体" w:cs="宋体"/>
          <w:szCs w:val="21"/>
        </w:rPr>
        <w:t xml:space="preserve">（1）供应商资格条件：见供应商须知前附表； </w:t>
      </w:r>
    </w:p>
    <w:p>
      <w:pPr>
        <w:spacing w:line="360" w:lineRule="auto"/>
        <w:ind w:firstLine="420" w:firstLineChars="200"/>
        <w:rPr>
          <w:rFonts w:ascii="宋体" w:hAnsi="宋体" w:cs="宋体"/>
          <w:szCs w:val="21"/>
        </w:rPr>
      </w:pPr>
      <w:bookmarkStart w:id="38" w:name="_Toc403122496"/>
      <w:bookmarkStart w:id="39" w:name="_Toc279599775"/>
      <w:bookmarkStart w:id="40" w:name="_Toc274249579"/>
      <w:r>
        <w:rPr>
          <w:rFonts w:hint="eastAsia" w:ascii="宋体" w:hAnsi="宋体" w:cs="宋体"/>
          <w:szCs w:val="21"/>
        </w:rPr>
        <w:t>1.4.2 本次招标</w:t>
      </w:r>
      <w:r>
        <w:rPr>
          <w:rFonts w:hint="eastAsia" w:ascii="宋体" w:hAnsi="宋体" w:cs="宋体"/>
          <w:szCs w:val="21"/>
          <w:lang w:val="en-US" w:eastAsia="zh-CN"/>
        </w:rPr>
        <w:t>不</w:t>
      </w:r>
      <w:r>
        <w:rPr>
          <w:rFonts w:hint="eastAsia" w:ascii="宋体" w:hAnsi="宋体" w:cs="宋体"/>
          <w:szCs w:val="21"/>
        </w:rPr>
        <w:t>接受联合体投标。</w:t>
      </w:r>
    </w:p>
    <w:p>
      <w:pPr>
        <w:spacing w:line="360" w:lineRule="auto"/>
        <w:ind w:firstLine="422" w:firstLineChars="200"/>
        <w:rPr>
          <w:rFonts w:ascii="宋体" w:hAnsi="宋体" w:cs="宋体"/>
          <w:b/>
          <w:bCs/>
          <w:szCs w:val="21"/>
        </w:rPr>
      </w:pPr>
      <w:bookmarkStart w:id="41" w:name="_Toc426369484"/>
      <w:r>
        <w:rPr>
          <w:rFonts w:hint="eastAsia" w:ascii="宋体" w:hAnsi="宋体" w:cs="宋体"/>
          <w:b/>
          <w:bCs/>
          <w:szCs w:val="21"/>
        </w:rPr>
        <w:t>1.5 费用承担</w:t>
      </w:r>
      <w:bookmarkEnd w:id="38"/>
      <w:bookmarkEnd w:id="39"/>
      <w:bookmarkEnd w:id="40"/>
      <w:bookmarkEnd w:id="41"/>
    </w:p>
    <w:p>
      <w:pPr>
        <w:spacing w:line="360" w:lineRule="auto"/>
        <w:ind w:firstLine="420" w:firstLineChars="200"/>
        <w:rPr>
          <w:rFonts w:ascii="宋体" w:hAnsi="宋体" w:cs="宋体"/>
          <w:szCs w:val="21"/>
        </w:rPr>
      </w:pPr>
      <w:r>
        <w:rPr>
          <w:rFonts w:hint="eastAsia" w:ascii="宋体" w:hAnsi="宋体" w:cs="宋体"/>
          <w:szCs w:val="21"/>
        </w:rPr>
        <w:t xml:space="preserve">供应商准备和参加投标活动发生的费用自理。 </w:t>
      </w:r>
    </w:p>
    <w:p>
      <w:pPr>
        <w:spacing w:line="360" w:lineRule="auto"/>
        <w:ind w:firstLine="422" w:firstLineChars="200"/>
        <w:rPr>
          <w:rFonts w:ascii="宋体" w:hAnsi="宋体" w:cs="宋体"/>
          <w:b/>
          <w:bCs/>
          <w:szCs w:val="21"/>
        </w:rPr>
      </w:pPr>
      <w:bookmarkStart w:id="42" w:name="_Toc426369485"/>
      <w:bookmarkStart w:id="43" w:name="_Toc403122497"/>
      <w:r>
        <w:rPr>
          <w:rFonts w:hint="eastAsia" w:ascii="宋体" w:hAnsi="宋体" w:cs="宋体"/>
          <w:b/>
          <w:bCs/>
          <w:szCs w:val="21"/>
        </w:rPr>
        <w:t>1.6 保密</w:t>
      </w:r>
      <w:bookmarkEnd w:id="42"/>
      <w:bookmarkEnd w:id="43"/>
    </w:p>
    <w:p>
      <w:pPr>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spacing w:line="360" w:lineRule="auto"/>
        <w:ind w:firstLine="422" w:firstLineChars="200"/>
        <w:rPr>
          <w:rFonts w:ascii="宋体" w:hAnsi="宋体" w:cs="宋体"/>
          <w:b/>
          <w:bCs/>
          <w:szCs w:val="21"/>
        </w:rPr>
      </w:pPr>
      <w:bookmarkStart w:id="44" w:name="_Toc403122498"/>
      <w:bookmarkStart w:id="45" w:name="_Toc274249581"/>
      <w:bookmarkStart w:id="46" w:name="_Toc426369486"/>
      <w:bookmarkStart w:id="47" w:name="_Toc279599777"/>
      <w:r>
        <w:rPr>
          <w:rFonts w:hint="eastAsia" w:ascii="宋体" w:hAnsi="宋体" w:cs="宋体"/>
          <w:b/>
          <w:bCs/>
          <w:szCs w:val="21"/>
        </w:rPr>
        <w:t>1.7 语言文字</w:t>
      </w:r>
      <w:bookmarkEnd w:id="44"/>
      <w:bookmarkEnd w:id="45"/>
      <w:bookmarkEnd w:id="46"/>
      <w:bookmarkEnd w:id="47"/>
      <w:r>
        <w:rPr>
          <w:rFonts w:hint="eastAsia" w:ascii="宋体" w:hAnsi="宋体" w:cs="宋体"/>
          <w:b/>
          <w:bCs/>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1.7.1 采购文件以及投标人与采购人、采购代理机构就有关投标事宜的所有来往函电均应使用简体中文书写。</w:t>
      </w:r>
    </w:p>
    <w:p>
      <w:pPr>
        <w:spacing w:line="360" w:lineRule="auto"/>
        <w:ind w:firstLine="420" w:firstLineChars="200"/>
        <w:rPr>
          <w:rFonts w:ascii="宋体" w:hAnsi="宋体" w:cs="宋体"/>
          <w:szCs w:val="21"/>
        </w:rPr>
      </w:pPr>
      <w:r>
        <w:rPr>
          <w:rFonts w:hint="eastAsia" w:ascii="宋体" w:hAnsi="宋体" w:cs="宋体"/>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26369487"/>
      <w:bookmarkStart w:id="49" w:name="_Toc403122499"/>
    </w:p>
    <w:p>
      <w:pPr>
        <w:spacing w:line="360" w:lineRule="auto"/>
        <w:ind w:firstLine="422" w:firstLineChars="200"/>
        <w:rPr>
          <w:rFonts w:ascii="宋体" w:hAnsi="宋体" w:cs="宋体"/>
          <w:b/>
          <w:bCs/>
          <w:szCs w:val="21"/>
        </w:rPr>
      </w:pPr>
      <w:r>
        <w:rPr>
          <w:rFonts w:hint="eastAsia" w:ascii="宋体" w:hAnsi="宋体" w:cs="宋体"/>
          <w:b/>
          <w:bCs/>
          <w:szCs w:val="21"/>
        </w:rPr>
        <w:t>1.8 计量单位</w:t>
      </w:r>
      <w:bookmarkEnd w:id="48"/>
      <w:bookmarkEnd w:id="49"/>
    </w:p>
    <w:p>
      <w:pPr>
        <w:spacing w:line="360" w:lineRule="auto"/>
        <w:ind w:firstLine="420" w:firstLineChars="200"/>
        <w:rPr>
          <w:rFonts w:ascii="宋体" w:hAnsi="宋体" w:cs="宋体"/>
          <w:szCs w:val="21"/>
        </w:rPr>
      </w:pPr>
      <w:r>
        <w:rPr>
          <w:rFonts w:hint="eastAsia" w:ascii="宋体" w:hAnsi="宋体" w:cs="宋体"/>
          <w:szCs w:val="21"/>
        </w:rPr>
        <w:t xml:space="preserve">1.8.1关于投标计量单位，采购文件已有明确规定的，使用采购文件规定的计量单位；采购文件没有规定的，应采用中华人民共和国法定计量单位。 </w:t>
      </w:r>
    </w:p>
    <w:p>
      <w:pPr>
        <w:spacing w:line="360" w:lineRule="auto"/>
        <w:ind w:firstLine="420" w:firstLineChars="200"/>
        <w:rPr>
          <w:rFonts w:ascii="宋体" w:hAnsi="宋体" w:cs="宋体"/>
          <w:szCs w:val="21"/>
        </w:rPr>
      </w:pPr>
      <w:r>
        <w:rPr>
          <w:rFonts w:hint="eastAsia" w:ascii="宋体" w:hAnsi="宋体" w:cs="宋体"/>
          <w:szCs w:val="21"/>
        </w:rPr>
        <w:t>1.8.2本响应性文件所表述的时间均为北京时间。</w:t>
      </w:r>
    </w:p>
    <w:p>
      <w:pPr>
        <w:spacing w:line="360" w:lineRule="auto"/>
        <w:ind w:firstLine="422" w:firstLineChars="200"/>
        <w:rPr>
          <w:rFonts w:ascii="宋体" w:hAnsi="宋体" w:cs="宋体"/>
          <w:b/>
          <w:bCs/>
          <w:szCs w:val="21"/>
        </w:rPr>
      </w:pPr>
      <w:bookmarkStart w:id="50" w:name="_Toc403122500"/>
      <w:bookmarkStart w:id="51" w:name="_Toc426369488"/>
      <w:bookmarkStart w:id="52" w:name="_Toc274249583"/>
      <w:bookmarkStart w:id="53" w:name="_Toc279599779"/>
      <w:r>
        <w:rPr>
          <w:rFonts w:hint="eastAsia" w:ascii="宋体" w:hAnsi="宋体" w:cs="宋体"/>
          <w:b/>
          <w:bCs/>
          <w:szCs w:val="21"/>
        </w:rPr>
        <w:t>1.9 踏勘现场</w:t>
      </w:r>
      <w:bookmarkEnd w:id="50"/>
      <w:bookmarkEnd w:id="51"/>
      <w:bookmarkEnd w:id="52"/>
      <w:bookmarkEnd w:id="53"/>
    </w:p>
    <w:p>
      <w:pPr>
        <w:spacing w:line="360" w:lineRule="auto"/>
        <w:ind w:firstLine="420" w:firstLineChars="200"/>
        <w:rPr>
          <w:rFonts w:ascii="宋体" w:hAnsi="宋体" w:cs="宋体"/>
          <w:szCs w:val="21"/>
        </w:rPr>
      </w:pPr>
      <w:r>
        <w:rPr>
          <w:rFonts w:hint="eastAsia" w:ascii="宋体" w:hAnsi="宋体" w:cs="宋体"/>
          <w:szCs w:val="21"/>
        </w:rPr>
        <w:t xml:space="preserve">1.9.1  由于项目特殊性，本次招标需供应商自行勘查。 </w:t>
      </w:r>
    </w:p>
    <w:p>
      <w:pPr>
        <w:spacing w:line="360" w:lineRule="auto"/>
        <w:ind w:firstLine="422" w:firstLineChars="200"/>
        <w:rPr>
          <w:rFonts w:ascii="宋体" w:hAnsi="宋体" w:cs="宋体"/>
          <w:b/>
          <w:bCs/>
          <w:szCs w:val="21"/>
        </w:rPr>
      </w:pPr>
      <w:bookmarkStart w:id="54" w:name="_Toc279599780"/>
      <w:bookmarkStart w:id="55" w:name="_Toc403122501"/>
      <w:bookmarkStart w:id="56" w:name="_Toc274249584"/>
      <w:bookmarkStart w:id="57" w:name="_Toc426369489"/>
      <w:r>
        <w:rPr>
          <w:rFonts w:hint="eastAsia" w:ascii="宋体" w:hAnsi="宋体" w:cs="宋体"/>
          <w:b/>
          <w:bCs/>
          <w:szCs w:val="21"/>
        </w:rPr>
        <w:t>1.10 投标预备会</w:t>
      </w:r>
      <w:bookmarkEnd w:id="54"/>
      <w:bookmarkEnd w:id="55"/>
      <w:bookmarkEnd w:id="56"/>
      <w:bookmarkEnd w:id="57"/>
    </w:p>
    <w:p>
      <w:pPr>
        <w:spacing w:line="360" w:lineRule="auto"/>
        <w:ind w:firstLine="420" w:firstLineChars="200"/>
        <w:rPr>
          <w:rFonts w:ascii="宋体" w:hAnsi="宋体" w:cs="宋体"/>
          <w:szCs w:val="21"/>
        </w:rPr>
      </w:pPr>
      <w:r>
        <w:rPr>
          <w:rFonts w:hint="eastAsia" w:ascii="宋体" w:hAnsi="宋体" w:cs="宋体"/>
          <w:szCs w:val="21"/>
        </w:rPr>
        <w:t xml:space="preserve">1.10.1 本次招标不召开投标预备会。 </w:t>
      </w:r>
    </w:p>
    <w:p>
      <w:pPr>
        <w:spacing w:line="360" w:lineRule="auto"/>
        <w:ind w:firstLine="420" w:firstLineChars="200"/>
        <w:rPr>
          <w:rFonts w:ascii="宋体" w:hAnsi="宋体" w:cs="宋体"/>
          <w:szCs w:val="21"/>
        </w:rPr>
      </w:pPr>
      <w:r>
        <w:rPr>
          <w:rFonts w:hint="eastAsia" w:ascii="宋体" w:hAnsi="宋体" w:cs="宋体"/>
          <w:szCs w:val="21"/>
        </w:rPr>
        <w:t xml:space="preserve">1.10.2 供应商应在供应商须知前附表规定的时间前，以书面形式将提出的问题送达招标代理人。 </w:t>
      </w:r>
    </w:p>
    <w:p>
      <w:pPr>
        <w:spacing w:line="360" w:lineRule="auto"/>
        <w:ind w:firstLine="420" w:firstLineChars="200"/>
        <w:rPr>
          <w:rFonts w:ascii="宋体" w:hAnsi="宋体" w:cs="宋体"/>
          <w:szCs w:val="21"/>
        </w:rPr>
      </w:pPr>
      <w:r>
        <w:rPr>
          <w:rFonts w:hint="eastAsia" w:ascii="宋体" w:hAnsi="宋体" w:cs="宋体"/>
          <w:szCs w:val="21"/>
        </w:rPr>
        <w:t xml:space="preserve">1.10.3 采购人在供应商须知前附表规定的时间内，将对供应商所提问题的澄清，以书面方式通知所有已领取招标文件的供应商。该澄清内容为招标文件的组成部分。 </w:t>
      </w:r>
    </w:p>
    <w:p>
      <w:pPr>
        <w:spacing w:line="360" w:lineRule="auto"/>
        <w:ind w:firstLine="422" w:firstLineChars="200"/>
        <w:rPr>
          <w:rFonts w:ascii="宋体" w:hAnsi="宋体" w:cs="宋体"/>
          <w:b/>
          <w:bCs/>
          <w:szCs w:val="21"/>
        </w:rPr>
      </w:pPr>
      <w:bookmarkStart w:id="58" w:name="_Toc279599781"/>
      <w:bookmarkStart w:id="59" w:name="_Toc426369490"/>
      <w:bookmarkStart w:id="60" w:name="_Toc403122502"/>
      <w:bookmarkStart w:id="61" w:name="_Toc274249585"/>
      <w:r>
        <w:rPr>
          <w:rFonts w:hint="eastAsia" w:ascii="宋体" w:hAnsi="宋体" w:cs="宋体"/>
          <w:b/>
          <w:bCs/>
          <w:szCs w:val="21"/>
        </w:rPr>
        <w:t>1.11 分包</w:t>
      </w:r>
      <w:bookmarkEnd w:id="58"/>
      <w:bookmarkEnd w:id="59"/>
      <w:bookmarkEnd w:id="60"/>
      <w:bookmarkEnd w:id="61"/>
    </w:p>
    <w:p>
      <w:pPr>
        <w:spacing w:line="360" w:lineRule="auto"/>
        <w:ind w:firstLine="420" w:firstLineChars="200"/>
        <w:rPr>
          <w:rFonts w:ascii="宋体" w:hAnsi="宋体" w:cs="宋体"/>
          <w:szCs w:val="21"/>
        </w:rPr>
      </w:pPr>
      <w:r>
        <w:rPr>
          <w:rFonts w:hint="eastAsia" w:ascii="宋体" w:hAnsi="宋体" w:cs="宋体"/>
          <w:szCs w:val="21"/>
        </w:rPr>
        <w:t xml:space="preserve">本次招标项目不允许分包。 </w:t>
      </w:r>
    </w:p>
    <w:p>
      <w:pPr>
        <w:spacing w:line="360" w:lineRule="auto"/>
        <w:ind w:firstLine="422" w:firstLineChars="200"/>
        <w:rPr>
          <w:rFonts w:ascii="宋体" w:hAnsi="宋体" w:cs="宋体"/>
          <w:b/>
          <w:bCs/>
          <w:szCs w:val="21"/>
        </w:rPr>
      </w:pPr>
      <w:bookmarkStart w:id="62" w:name="_Toc730"/>
      <w:bookmarkStart w:id="63" w:name="_Toc9121"/>
      <w:bookmarkStart w:id="64" w:name="_Toc28663"/>
      <w:bookmarkStart w:id="65" w:name="_Toc22882"/>
      <w:r>
        <w:rPr>
          <w:rFonts w:hint="eastAsia" w:ascii="宋体" w:hAnsi="宋体" w:cs="宋体"/>
          <w:b/>
          <w:bCs/>
          <w:szCs w:val="21"/>
        </w:rPr>
        <w:t>2. 招标文件</w:t>
      </w:r>
      <w:bookmarkEnd w:id="17"/>
      <w:bookmarkEnd w:id="18"/>
      <w:bookmarkEnd w:id="19"/>
      <w:bookmarkEnd w:id="62"/>
      <w:bookmarkEnd w:id="63"/>
      <w:bookmarkEnd w:id="64"/>
      <w:bookmarkEnd w:id="65"/>
    </w:p>
    <w:p>
      <w:pPr>
        <w:spacing w:line="360" w:lineRule="auto"/>
        <w:ind w:firstLine="422" w:firstLineChars="200"/>
        <w:rPr>
          <w:rFonts w:ascii="宋体" w:hAnsi="宋体" w:cs="宋体"/>
          <w:b/>
          <w:bCs/>
          <w:szCs w:val="21"/>
        </w:rPr>
      </w:pPr>
      <w:bookmarkStart w:id="66" w:name="_Toc274249587"/>
      <w:bookmarkStart w:id="67" w:name="_Toc279599783"/>
      <w:bookmarkStart w:id="68" w:name="_Toc426369492"/>
      <w:bookmarkStart w:id="69" w:name="_Toc403122504"/>
      <w:r>
        <w:rPr>
          <w:rFonts w:hint="eastAsia" w:ascii="宋体" w:hAnsi="宋体" w:cs="宋体"/>
          <w:b/>
          <w:bCs/>
          <w:szCs w:val="21"/>
        </w:rPr>
        <w:t>2.1 招标文件的组成</w:t>
      </w:r>
      <w:bookmarkEnd w:id="66"/>
      <w:bookmarkEnd w:id="67"/>
      <w:bookmarkEnd w:id="68"/>
      <w:bookmarkEnd w:id="69"/>
    </w:p>
    <w:p>
      <w:pPr>
        <w:spacing w:line="360" w:lineRule="auto"/>
        <w:ind w:firstLine="420" w:firstLineChars="200"/>
        <w:rPr>
          <w:rFonts w:ascii="宋体" w:hAnsi="宋体" w:cs="宋体"/>
          <w:szCs w:val="21"/>
        </w:rPr>
      </w:pPr>
      <w:r>
        <w:rPr>
          <w:rFonts w:hint="eastAsia" w:ascii="宋体" w:hAnsi="宋体" w:cs="宋体"/>
          <w:szCs w:val="21"/>
        </w:rPr>
        <w:t xml:space="preserve">本招标文件包括：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（1）招标公告；</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（2）供应商须知；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（3）评标办法（综合评分法）；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（4）合同条款及格式；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（5）采购需求及参数；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（6）投标文件格式； </w:t>
      </w:r>
    </w:p>
    <w:p>
      <w:pPr>
        <w:spacing w:line="360" w:lineRule="auto"/>
        <w:ind w:firstLine="420" w:firstLineChars="200"/>
        <w:rPr>
          <w:rFonts w:ascii="宋体" w:hAnsi="宋体" w:cs="宋体"/>
          <w:szCs w:val="21"/>
        </w:rPr>
      </w:pPr>
      <w:r>
        <w:rPr>
          <w:rFonts w:hint="eastAsia" w:ascii="宋体" w:hAnsi="宋体" w:cs="宋体"/>
          <w:szCs w:val="21"/>
        </w:rPr>
        <w:t xml:space="preserve">根据本章第 1.10 款、第 2.2 款和第2.3款对招标文件所作的澄清、修改，构成招标文件的组成部分。 </w:t>
      </w:r>
    </w:p>
    <w:p>
      <w:pPr>
        <w:spacing w:line="360" w:lineRule="auto"/>
        <w:ind w:firstLine="422" w:firstLineChars="200"/>
        <w:rPr>
          <w:rFonts w:ascii="宋体" w:hAnsi="宋体" w:cs="宋体"/>
          <w:b/>
          <w:bCs/>
          <w:szCs w:val="21"/>
        </w:rPr>
      </w:pPr>
      <w:bookmarkStart w:id="70" w:name="_Toc274249588"/>
      <w:bookmarkStart w:id="71" w:name="_Toc279599784"/>
      <w:bookmarkStart w:id="72" w:name="_Toc403122505"/>
      <w:bookmarkStart w:id="73" w:name="_Toc426369493"/>
      <w:r>
        <w:rPr>
          <w:rFonts w:hint="eastAsia" w:ascii="宋体" w:hAnsi="宋体" w:cs="宋体"/>
          <w:b/>
          <w:bCs/>
          <w:szCs w:val="21"/>
        </w:rPr>
        <w:t>2.2 招标文件的澄清</w:t>
      </w:r>
      <w:bookmarkEnd w:id="70"/>
      <w:bookmarkEnd w:id="71"/>
      <w:bookmarkEnd w:id="72"/>
      <w:bookmarkEnd w:id="73"/>
    </w:p>
    <w:p>
      <w:pPr>
        <w:spacing w:line="360" w:lineRule="auto"/>
        <w:ind w:firstLine="420" w:firstLineChars="200"/>
        <w:rPr>
          <w:rFonts w:ascii="宋体" w:hAnsi="宋体" w:cs="宋体"/>
          <w:szCs w:val="21"/>
        </w:rPr>
      </w:pPr>
      <w:r>
        <w:rPr>
          <w:rFonts w:hint="eastAsia" w:ascii="宋体" w:hAnsi="宋体" w:cs="宋体"/>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360" w:lineRule="auto"/>
        <w:ind w:firstLine="420" w:firstLineChars="200"/>
        <w:rPr>
          <w:rFonts w:ascii="宋体" w:hAnsi="宋体" w:cs="宋体"/>
          <w:szCs w:val="21"/>
        </w:rPr>
      </w:pPr>
      <w:r>
        <w:rPr>
          <w:rFonts w:hint="eastAsia" w:ascii="宋体" w:hAnsi="宋体" w:cs="宋体"/>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360" w:lineRule="auto"/>
        <w:ind w:firstLine="420" w:firstLineChars="200"/>
        <w:rPr>
          <w:rFonts w:ascii="宋体" w:hAnsi="宋体" w:cs="宋体"/>
          <w:szCs w:val="21"/>
        </w:rPr>
      </w:pPr>
      <w:r>
        <w:rPr>
          <w:rFonts w:hint="eastAsia" w:ascii="宋体" w:hAnsi="宋体" w:cs="宋体"/>
          <w:szCs w:val="21"/>
        </w:rPr>
        <w:t xml:space="preserve">2.2.3 供应商在收到澄清后，应在供应商须知前附表规定的时间内以书面形式通知采购人，确认已收到该澄清。 </w:t>
      </w:r>
    </w:p>
    <w:p>
      <w:pPr>
        <w:spacing w:line="360" w:lineRule="auto"/>
        <w:ind w:firstLine="422" w:firstLineChars="200"/>
        <w:rPr>
          <w:rFonts w:ascii="宋体" w:hAnsi="宋体" w:cs="宋体"/>
          <w:b/>
          <w:bCs/>
          <w:szCs w:val="21"/>
        </w:rPr>
      </w:pPr>
      <w:bookmarkStart w:id="74" w:name="_Toc403122506"/>
      <w:bookmarkStart w:id="75" w:name="_Toc426369494"/>
      <w:bookmarkStart w:id="76" w:name="_Toc274249589"/>
      <w:bookmarkStart w:id="77" w:name="_Toc279599785"/>
      <w:r>
        <w:rPr>
          <w:rFonts w:hint="eastAsia" w:ascii="宋体" w:hAnsi="宋体" w:cs="宋体"/>
          <w:b/>
          <w:bCs/>
          <w:szCs w:val="21"/>
        </w:rPr>
        <w:t>2.3 招标文件的修改</w:t>
      </w:r>
      <w:bookmarkEnd w:id="74"/>
      <w:bookmarkEnd w:id="75"/>
      <w:bookmarkEnd w:id="76"/>
      <w:bookmarkEnd w:id="77"/>
    </w:p>
    <w:p>
      <w:pPr>
        <w:spacing w:line="360" w:lineRule="auto"/>
        <w:ind w:firstLine="420" w:firstLineChars="200"/>
        <w:rPr>
          <w:rFonts w:ascii="宋体" w:hAnsi="宋体" w:cs="宋体"/>
          <w:szCs w:val="21"/>
        </w:rPr>
      </w:pPr>
      <w:r>
        <w:rPr>
          <w:rFonts w:hint="eastAsia" w:ascii="宋体" w:hAnsi="宋体" w:cs="宋体"/>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360" w:lineRule="auto"/>
        <w:ind w:firstLine="420" w:firstLineChars="200"/>
        <w:rPr>
          <w:rFonts w:ascii="宋体" w:hAnsi="宋体" w:cs="宋体"/>
          <w:szCs w:val="21"/>
        </w:rPr>
      </w:pPr>
      <w:r>
        <w:rPr>
          <w:rFonts w:hint="eastAsia" w:ascii="宋体" w:hAnsi="宋体" w:cs="宋体"/>
          <w:szCs w:val="21"/>
        </w:rPr>
        <w:t xml:space="preserve">2.3.2  供应商收到修改内容后，应在供应商须知前附表规定的时间内以书面形式通知采购人，确认已收到该修改。 </w:t>
      </w:r>
      <w:bookmarkStart w:id="78" w:name="_Toc23265"/>
      <w:bookmarkStart w:id="79" w:name="_Toc403122507"/>
      <w:bookmarkStart w:id="80" w:name="_Toc426369495"/>
    </w:p>
    <w:p>
      <w:pPr>
        <w:spacing w:line="360" w:lineRule="auto"/>
        <w:ind w:firstLine="422" w:firstLineChars="200"/>
        <w:rPr>
          <w:rFonts w:ascii="宋体" w:hAnsi="宋体" w:cs="宋体"/>
          <w:b/>
          <w:bCs/>
          <w:szCs w:val="21"/>
        </w:rPr>
      </w:pPr>
      <w:bookmarkStart w:id="81" w:name="_Toc8052"/>
      <w:bookmarkStart w:id="82" w:name="_Toc18859"/>
      <w:bookmarkStart w:id="83" w:name="_Toc13865"/>
      <w:bookmarkStart w:id="84" w:name="_Toc22914"/>
      <w:r>
        <w:rPr>
          <w:rFonts w:hint="eastAsia" w:ascii="宋体" w:hAnsi="宋体" w:cs="宋体"/>
          <w:b/>
          <w:bCs/>
          <w:szCs w:val="21"/>
        </w:rPr>
        <w:t>3. 投标文件</w:t>
      </w:r>
      <w:bookmarkEnd w:id="78"/>
      <w:bookmarkEnd w:id="79"/>
      <w:bookmarkEnd w:id="80"/>
      <w:bookmarkEnd w:id="81"/>
      <w:bookmarkEnd w:id="82"/>
      <w:bookmarkEnd w:id="83"/>
      <w:bookmarkEnd w:id="84"/>
    </w:p>
    <w:p>
      <w:pPr>
        <w:spacing w:line="360" w:lineRule="auto"/>
        <w:ind w:firstLine="422" w:firstLineChars="200"/>
        <w:rPr>
          <w:rFonts w:ascii="宋体" w:hAnsi="宋体" w:cs="宋体"/>
          <w:b/>
          <w:bCs/>
          <w:szCs w:val="21"/>
        </w:rPr>
      </w:pPr>
      <w:bookmarkStart w:id="85" w:name="_Toc403122508"/>
      <w:bookmarkStart w:id="86" w:name="_Toc279599787"/>
      <w:bookmarkStart w:id="87" w:name="_Toc274249591"/>
      <w:bookmarkStart w:id="88" w:name="_Toc426369496"/>
      <w:r>
        <w:rPr>
          <w:rFonts w:hint="eastAsia" w:ascii="宋体" w:hAnsi="宋体" w:cs="宋体"/>
          <w:b/>
          <w:bCs/>
          <w:szCs w:val="21"/>
        </w:rPr>
        <w:t>3.1 投标文件的组成</w:t>
      </w:r>
      <w:bookmarkEnd w:id="85"/>
      <w:bookmarkEnd w:id="86"/>
      <w:bookmarkEnd w:id="87"/>
      <w:bookmarkEnd w:id="88"/>
    </w:p>
    <w:p>
      <w:pPr>
        <w:spacing w:line="360" w:lineRule="auto"/>
        <w:ind w:firstLine="420" w:firstLineChars="200"/>
        <w:rPr>
          <w:rFonts w:ascii="宋体" w:hAnsi="宋体" w:cs="宋体"/>
          <w:szCs w:val="21"/>
        </w:rPr>
      </w:pPr>
      <w:r>
        <w:rPr>
          <w:rFonts w:hint="eastAsia" w:ascii="宋体" w:hAnsi="宋体" w:cs="宋体"/>
          <w:szCs w:val="21"/>
        </w:rPr>
        <w:t xml:space="preserve">3.1.1 投标文件应包括下列内容： </w:t>
      </w:r>
    </w:p>
    <w:p>
      <w:pPr>
        <w:spacing w:line="360" w:lineRule="auto"/>
        <w:ind w:firstLine="420" w:firstLineChars="200"/>
        <w:rPr>
          <w:rFonts w:ascii="宋体" w:hAnsi="宋体" w:cs="宋体"/>
          <w:szCs w:val="21"/>
        </w:rPr>
      </w:pPr>
      <w:bookmarkStart w:id="89" w:name="_Toc274249592"/>
      <w:bookmarkStart w:id="90" w:name="_Toc403122509"/>
      <w:bookmarkStart w:id="91" w:name="_Toc426369497"/>
      <w:bookmarkStart w:id="92" w:name="_Toc279599788"/>
      <w:r>
        <w:rPr>
          <w:rFonts w:hint="eastAsia" w:ascii="宋体" w:hAnsi="宋体" w:cs="宋体"/>
          <w:szCs w:val="21"/>
        </w:rPr>
        <w:t>一、投标函及开标一览表</w:t>
      </w:r>
    </w:p>
    <w:p>
      <w:pPr>
        <w:spacing w:line="360" w:lineRule="auto"/>
        <w:ind w:firstLine="420" w:firstLineChars="200"/>
        <w:rPr>
          <w:rFonts w:ascii="宋体" w:hAnsi="宋体" w:cs="宋体"/>
          <w:szCs w:val="21"/>
        </w:rPr>
      </w:pPr>
      <w:r>
        <w:rPr>
          <w:rFonts w:hint="eastAsia" w:ascii="宋体" w:hAnsi="宋体" w:cs="宋体"/>
          <w:szCs w:val="21"/>
        </w:rPr>
        <w:t>（一）投标函</w:t>
      </w:r>
    </w:p>
    <w:p>
      <w:pPr>
        <w:spacing w:line="360" w:lineRule="auto"/>
        <w:ind w:firstLine="420" w:firstLineChars="200"/>
        <w:rPr>
          <w:rFonts w:ascii="宋体" w:hAnsi="宋体" w:cs="宋体"/>
          <w:szCs w:val="21"/>
        </w:rPr>
      </w:pPr>
      <w:r>
        <w:rPr>
          <w:rFonts w:hint="eastAsia" w:ascii="宋体" w:hAnsi="宋体" w:cs="宋体"/>
          <w:szCs w:val="21"/>
        </w:rPr>
        <w:t>（二）开标一览表</w:t>
      </w:r>
    </w:p>
    <w:p>
      <w:pPr>
        <w:spacing w:line="360" w:lineRule="auto"/>
        <w:ind w:firstLine="420" w:firstLineChars="200"/>
        <w:rPr>
          <w:rFonts w:ascii="宋体" w:hAnsi="宋体" w:cs="宋体"/>
          <w:szCs w:val="21"/>
        </w:rPr>
      </w:pPr>
      <w:r>
        <w:rPr>
          <w:rFonts w:hint="eastAsia" w:ascii="宋体" w:hAnsi="宋体" w:cs="宋体"/>
          <w:szCs w:val="21"/>
        </w:rPr>
        <w:t>二、法定代表人身份证明书</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、供应商的资格证明承诺函；</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五</w:t>
      </w:r>
      <w:r>
        <w:rPr>
          <w:rFonts w:hint="eastAsia" w:ascii="宋体" w:hAnsi="宋体" w:cs="宋体"/>
          <w:szCs w:val="21"/>
        </w:rPr>
        <w:t>、中小企业声明函（如有）；</w:t>
      </w:r>
    </w:p>
    <w:p>
      <w:pPr>
        <w:pStyle w:val="31"/>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六、残疾人福利性单位声明函（如有）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七、招标文件要求的或投标人认为需要加以说明的其他内容。</w:t>
      </w:r>
    </w:p>
    <w:p>
      <w:pPr>
        <w:widowControl/>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注：1、符合《政府采购法》第二十二条规定的资格条件，按照采购文件约定提供资格承诺，不再提供资质资料，主要包括供应商</w:t>
      </w:r>
      <w:r>
        <w:rPr>
          <w:rFonts w:hint="eastAsia" w:ascii="宋体" w:hAnsi="宋体" w:eastAsia="宋体" w:cs="宋体"/>
          <w:b/>
          <w:bCs/>
          <w:szCs w:val="21"/>
          <w:lang w:eastAsia="zh-CN"/>
        </w:rPr>
        <w:t>在</w:t>
      </w:r>
      <w:r>
        <w:rPr>
          <w:rFonts w:hint="eastAsia" w:ascii="宋体" w:hAnsi="宋体" w:eastAsia="宋体" w:cs="宋体"/>
          <w:b/>
          <w:bCs/>
          <w:szCs w:val="21"/>
        </w:rPr>
        <w:t>响应文件中无需再提供营业执照、财务状况报告、依法缴纳税收和社会保障资金、具有履行合同所必须的设备和专业技术能力、参加政府采购活动前三年内再经营活动中没有重大违法</w:t>
      </w:r>
      <w:r>
        <w:rPr>
          <w:rFonts w:hint="eastAsia" w:ascii="宋体" w:hAnsi="宋体" w:eastAsia="宋体" w:cs="宋体"/>
          <w:b/>
          <w:bCs/>
          <w:szCs w:val="21"/>
          <w:lang w:eastAsia="zh-CN"/>
        </w:rPr>
        <w:t>记录</w:t>
      </w:r>
      <w:r>
        <w:rPr>
          <w:rFonts w:hint="eastAsia" w:ascii="宋体" w:hAnsi="宋体" w:eastAsia="宋体" w:cs="宋体"/>
          <w:b/>
          <w:bCs/>
          <w:szCs w:val="21"/>
        </w:rPr>
        <w:t>相关证明材料。</w:t>
      </w:r>
    </w:p>
    <w:p>
      <w:pPr>
        <w:widowControl/>
        <w:spacing w:line="360" w:lineRule="auto"/>
        <w:ind w:firstLine="422" w:firstLineChars="200"/>
        <w:jc w:val="left"/>
        <w:rPr>
          <w:rFonts w:ascii="宋体" w:hAnsi="宋体" w:cs="宋体"/>
          <w:kern w:val="0"/>
          <w:szCs w:val="21"/>
        </w:rPr>
      </w:pPr>
      <w:r>
        <w:rPr>
          <w:rFonts w:hint="eastAsia" w:ascii="宋体" w:hAnsi="宋体" w:cs="宋体"/>
          <w:b/>
          <w:bCs/>
          <w:szCs w:val="21"/>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3.2 投标报价</w:t>
      </w:r>
      <w:bookmarkEnd w:id="89"/>
      <w:bookmarkEnd w:id="90"/>
      <w:bookmarkEnd w:id="91"/>
      <w:bookmarkEnd w:id="92"/>
    </w:p>
    <w:p>
      <w:pPr>
        <w:spacing w:line="360" w:lineRule="auto"/>
        <w:ind w:firstLine="420" w:firstLineChars="200"/>
        <w:rPr>
          <w:rFonts w:hint="eastAsia" w:ascii="宋体" w:hAnsi="宋体" w:cs="宋体"/>
          <w:szCs w:val="21"/>
        </w:rPr>
      </w:pPr>
      <w:bookmarkStart w:id="93" w:name="_Toc274249593"/>
      <w:bookmarkStart w:id="94" w:name="_Toc403122510"/>
      <w:bookmarkStart w:id="95" w:name="_Toc426369498"/>
      <w:bookmarkStart w:id="96" w:name="_Toc279599789"/>
      <w:r>
        <w:rPr>
          <w:rFonts w:hint="eastAsia" w:ascii="宋体" w:hAnsi="宋体" w:cs="宋体"/>
          <w:szCs w:val="21"/>
        </w:rPr>
        <w:t>3.2.1投标报价包括：投标人的投标报价应包括服务、设备、材料、管理、利润、税金、政策性规费等应由承包人承担的义务、责任和风险等全部费用。投标人所报的投标价在投标有效期内是固定不变的，投标人不得以任何理由予以变更。</w:t>
      </w:r>
    </w:p>
    <w:p>
      <w:pPr>
        <w:spacing w:line="360" w:lineRule="auto"/>
        <w:ind w:firstLine="420" w:firstLineChars="200"/>
        <w:rPr>
          <w:rFonts w:hint="eastAsia" w:ascii="宋体" w:hAnsi="宋体" w:cs="宋体"/>
          <w:szCs w:val="21"/>
        </w:rPr>
      </w:pPr>
      <w:r>
        <w:rPr>
          <w:rFonts w:hint="eastAsia" w:ascii="宋体" w:hAnsi="宋体" w:cs="宋体"/>
          <w:szCs w:val="21"/>
        </w:rPr>
        <w:t>3.2.2投标报价在中标后不得修改。</w:t>
      </w:r>
    </w:p>
    <w:p>
      <w:pPr>
        <w:spacing w:line="360" w:lineRule="auto"/>
        <w:ind w:firstLine="420" w:firstLineChars="200"/>
        <w:rPr>
          <w:rFonts w:hint="eastAsia" w:ascii="宋体" w:hAnsi="宋体" w:cs="宋体"/>
          <w:szCs w:val="21"/>
        </w:rPr>
      </w:pPr>
      <w:r>
        <w:rPr>
          <w:rFonts w:hint="eastAsia" w:ascii="宋体" w:hAnsi="宋体" w:cs="宋体"/>
          <w:szCs w:val="21"/>
        </w:rPr>
        <w:t>3.2.3投标人只能提出一个不变价格，采购人不接受任何选择价。</w:t>
      </w:r>
    </w:p>
    <w:p>
      <w:pPr>
        <w:spacing w:line="360" w:lineRule="auto"/>
        <w:ind w:firstLine="420" w:firstLineChars="200"/>
        <w:rPr>
          <w:rFonts w:hint="eastAsia" w:ascii="宋体" w:hAnsi="宋体" w:cs="宋体"/>
          <w:szCs w:val="21"/>
        </w:rPr>
      </w:pPr>
      <w:r>
        <w:rPr>
          <w:rFonts w:hint="eastAsia" w:ascii="宋体" w:hAnsi="宋体" w:cs="宋体"/>
          <w:szCs w:val="21"/>
        </w:rPr>
        <w:t>3.2.4投标人必须对招标范围内的所有服务投标。</w:t>
      </w:r>
    </w:p>
    <w:p>
      <w:pPr>
        <w:spacing w:line="360" w:lineRule="auto"/>
        <w:ind w:firstLine="420" w:firstLineChars="200"/>
        <w:rPr>
          <w:rFonts w:hint="eastAsia" w:ascii="宋体" w:hAnsi="宋体" w:cs="宋体"/>
          <w:szCs w:val="21"/>
        </w:rPr>
      </w:pPr>
      <w:r>
        <w:rPr>
          <w:rFonts w:hint="eastAsia" w:ascii="宋体" w:hAnsi="宋体" w:cs="宋体"/>
          <w:szCs w:val="21"/>
        </w:rPr>
        <w:t>3.2.5全部报价均应以人民币为计量币种，并以人民币进行结算。</w:t>
      </w:r>
    </w:p>
    <w:p>
      <w:pPr>
        <w:spacing w:line="360" w:lineRule="auto"/>
        <w:ind w:firstLine="420" w:firstLineChars="200"/>
        <w:rPr>
          <w:rFonts w:hint="eastAsia" w:ascii="宋体" w:hAnsi="宋体" w:cs="宋体"/>
          <w:szCs w:val="21"/>
        </w:rPr>
      </w:pPr>
      <w:r>
        <w:rPr>
          <w:rFonts w:hint="eastAsia" w:ascii="宋体" w:hAnsi="宋体" w:cs="宋体"/>
          <w:szCs w:val="21"/>
        </w:rPr>
        <w:t>3.2.6投标报价原则是各投标人依据自身实力、管理水平，结合企业所在地区的人工工资标准，在确保项目质量，确保项目成本的基础上，自主报价、自负盈亏。</w:t>
      </w:r>
    </w:p>
    <w:p>
      <w:pPr>
        <w:spacing w:line="360" w:lineRule="auto"/>
        <w:ind w:firstLine="420" w:firstLineChars="200"/>
        <w:rPr>
          <w:rFonts w:ascii="宋体" w:hAnsi="宋体" w:cs="宋体"/>
          <w:szCs w:val="21"/>
        </w:rPr>
      </w:pPr>
      <w:r>
        <w:rPr>
          <w:rFonts w:hint="eastAsia" w:ascii="宋体" w:hAnsi="宋体" w:cs="宋体"/>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22" w:firstLineChars="200"/>
        <w:rPr>
          <w:rFonts w:ascii="宋体" w:hAnsi="宋体" w:cs="宋体"/>
          <w:b/>
          <w:bCs/>
          <w:szCs w:val="21"/>
        </w:rPr>
      </w:pPr>
      <w:r>
        <w:rPr>
          <w:rFonts w:hint="eastAsia" w:ascii="宋体" w:hAnsi="宋体" w:cs="宋体"/>
          <w:b/>
          <w:bCs/>
          <w:szCs w:val="21"/>
        </w:rPr>
        <w:t>3.3 投标有效期</w:t>
      </w:r>
      <w:bookmarkEnd w:id="93"/>
      <w:bookmarkEnd w:id="94"/>
      <w:bookmarkEnd w:id="95"/>
      <w:bookmarkEnd w:id="96"/>
    </w:p>
    <w:p>
      <w:pPr>
        <w:spacing w:line="360" w:lineRule="auto"/>
        <w:ind w:firstLine="420" w:firstLineChars="200"/>
        <w:rPr>
          <w:rFonts w:ascii="宋体" w:hAnsi="宋体" w:cs="宋体"/>
          <w:szCs w:val="21"/>
        </w:rPr>
      </w:pPr>
      <w:r>
        <w:rPr>
          <w:rFonts w:hint="eastAsia" w:ascii="宋体" w:hAnsi="宋体" w:cs="宋体"/>
          <w:szCs w:val="21"/>
        </w:rPr>
        <w:t xml:space="preserve">3.3.1在供应商须知前附表规定的投标有效期内，供应商不得要求撤销或修改其投标文件。 </w:t>
      </w:r>
    </w:p>
    <w:p>
      <w:pPr>
        <w:spacing w:line="360" w:lineRule="auto"/>
        <w:ind w:firstLine="422" w:firstLineChars="200"/>
        <w:rPr>
          <w:rFonts w:ascii="宋体" w:hAnsi="宋体" w:cs="宋体"/>
          <w:b/>
          <w:bCs/>
          <w:szCs w:val="21"/>
        </w:rPr>
      </w:pPr>
      <w:bookmarkStart w:id="97" w:name="_Toc426369501"/>
      <w:bookmarkStart w:id="98" w:name="_Toc403122512"/>
      <w:bookmarkStart w:id="99" w:name="_Toc274249595"/>
      <w:bookmarkStart w:id="100" w:name="_Toc279599791"/>
      <w:r>
        <w:rPr>
          <w:rFonts w:hint="eastAsia" w:ascii="宋体" w:hAnsi="宋体" w:cs="宋体"/>
          <w:b/>
          <w:bCs/>
          <w:szCs w:val="21"/>
        </w:rPr>
        <w:t>3.5 资格审查资料</w:t>
      </w:r>
      <w:bookmarkEnd w:id="97"/>
      <w:bookmarkEnd w:id="98"/>
      <w:bookmarkEnd w:id="99"/>
      <w:bookmarkEnd w:id="100"/>
    </w:p>
    <w:p>
      <w:pPr>
        <w:spacing w:line="360" w:lineRule="auto"/>
        <w:ind w:firstLine="420" w:firstLineChars="200"/>
        <w:rPr>
          <w:rFonts w:ascii="宋体" w:hAnsi="宋体" w:cs="宋体"/>
          <w:szCs w:val="21"/>
        </w:rPr>
      </w:pPr>
      <w:r>
        <w:rPr>
          <w:rFonts w:hint="eastAsia" w:ascii="宋体" w:hAnsi="宋体" w:cs="宋体"/>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3.5.2招标文件规定的供应商资格条件。</w:t>
      </w:r>
    </w:p>
    <w:p>
      <w:pPr>
        <w:spacing w:line="360" w:lineRule="auto"/>
        <w:ind w:firstLine="422" w:firstLineChars="200"/>
        <w:rPr>
          <w:rFonts w:ascii="宋体" w:hAnsi="宋体" w:cs="宋体"/>
          <w:b/>
          <w:bCs/>
          <w:szCs w:val="21"/>
        </w:rPr>
      </w:pPr>
      <w:bookmarkStart w:id="101" w:name="_Toc279599792"/>
      <w:bookmarkStart w:id="102" w:name="_Toc274249596"/>
      <w:bookmarkStart w:id="103" w:name="_Toc403122513"/>
      <w:bookmarkStart w:id="104" w:name="_Toc426369502"/>
      <w:r>
        <w:rPr>
          <w:rFonts w:hint="eastAsia" w:ascii="宋体" w:hAnsi="宋体" w:cs="宋体"/>
          <w:b/>
          <w:bCs/>
          <w:szCs w:val="21"/>
        </w:rPr>
        <w:t>3.6 备选投标方案</w:t>
      </w:r>
      <w:bookmarkEnd w:id="101"/>
      <w:bookmarkEnd w:id="102"/>
      <w:bookmarkEnd w:id="103"/>
      <w:bookmarkEnd w:id="104"/>
    </w:p>
    <w:p>
      <w:pPr>
        <w:tabs>
          <w:tab w:val="left" w:pos="3570"/>
        </w:tabs>
        <w:spacing w:line="360" w:lineRule="auto"/>
        <w:ind w:firstLine="420" w:firstLineChars="200"/>
        <w:rPr>
          <w:rFonts w:ascii="宋体" w:hAnsi="宋体" w:cs="宋体"/>
          <w:szCs w:val="21"/>
        </w:rPr>
      </w:pPr>
      <w:r>
        <w:rPr>
          <w:rFonts w:hint="eastAsia" w:ascii="宋体" w:hAnsi="宋体" w:cs="宋体"/>
          <w:szCs w:val="21"/>
        </w:rPr>
        <w:t xml:space="preserve">供应商不得递交备选投标方案。 </w:t>
      </w:r>
    </w:p>
    <w:p>
      <w:pPr>
        <w:spacing w:line="360" w:lineRule="auto"/>
        <w:ind w:firstLine="422" w:firstLineChars="200"/>
        <w:rPr>
          <w:rFonts w:ascii="宋体" w:hAnsi="宋体" w:cs="宋体"/>
          <w:b/>
          <w:bCs/>
          <w:szCs w:val="21"/>
        </w:rPr>
      </w:pPr>
      <w:bookmarkStart w:id="105" w:name="_Toc279599793"/>
      <w:bookmarkStart w:id="106" w:name="_Toc426369503"/>
      <w:bookmarkStart w:id="107" w:name="_Toc274249597"/>
      <w:bookmarkStart w:id="108" w:name="_Toc403122514"/>
      <w:r>
        <w:rPr>
          <w:rFonts w:hint="eastAsia" w:ascii="宋体" w:hAnsi="宋体" w:cs="宋体"/>
          <w:b/>
          <w:bCs/>
          <w:szCs w:val="21"/>
        </w:rPr>
        <w:t>3.7 投标文件的编制</w:t>
      </w:r>
      <w:bookmarkEnd w:id="105"/>
      <w:bookmarkEnd w:id="106"/>
      <w:bookmarkEnd w:id="107"/>
      <w:bookmarkEnd w:id="108"/>
    </w:p>
    <w:p>
      <w:pPr>
        <w:spacing w:line="360" w:lineRule="auto"/>
        <w:ind w:firstLine="420" w:firstLineChars="200"/>
        <w:rPr>
          <w:rFonts w:ascii="宋体" w:hAnsi="宋体" w:cs="宋体"/>
          <w:szCs w:val="21"/>
        </w:rPr>
      </w:pPr>
      <w:r>
        <w:rPr>
          <w:rFonts w:hint="eastAsia" w:ascii="宋体" w:hAnsi="宋体" w:cs="宋体"/>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3.7.2  投标文件应当对招标文件有关投标报价、合同履行期限、质量要求等等实质性内容作出响应。</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spacing w:line="360" w:lineRule="auto"/>
        <w:ind w:firstLine="422" w:firstLineChars="200"/>
        <w:rPr>
          <w:rFonts w:ascii="宋体" w:hAnsi="宋体" w:cs="宋体"/>
          <w:b/>
          <w:bCs/>
          <w:szCs w:val="21"/>
        </w:rPr>
      </w:pPr>
      <w:bookmarkStart w:id="109" w:name="_Toc403122515"/>
      <w:bookmarkStart w:id="110" w:name="_Toc26998"/>
      <w:bookmarkStart w:id="111" w:name="_Toc426369504"/>
      <w:bookmarkStart w:id="112" w:name="_Toc24133"/>
      <w:bookmarkStart w:id="113" w:name="_Toc31809"/>
      <w:bookmarkStart w:id="114" w:name="_Toc25921"/>
      <w:bookmarkStart w:id="115" w:name="_Toc30100"/>
      <w:r>
        <w:rPr>
          <w:rFonts w:hint="eastAsia" w:ascii="宋体" w:hAnsi="宋体" w:cs="宋体"/>
          <w:b/>
          <w:bCs/>
          <w:szCs w:val="21"/>
        </w:rPr>
        <w:t>4. 投标</w:t>
      </w:r>
      <w:bookmarkEnd w:id="109"/>
      <w:bookmarkEnd w:id="110"/>
      <w:bookmarkEnd w:id="111"/>
      <w:bookmarkEnd w:id="112"/>
      <w:bookmarkEnd w:id="113"/>
      <w:bookmarkEnd w:id="114"/>
      <w:bookmarkEnd w:id="115"/>
    </w:p>
    <w:p>
      <w:pPr>
        <w:spacing w:line="360" w:lineRule="auto"/>
        <w:ind w:firstLine="422" w:firstLineChars="200"/>
        <w:rPr>
          <w:rFonts w:ascii="宋体" w:hAnsi="宋体" w:cs="宋体"/>
          <w:b/>
          <w:bCs/>
          <w:szCs w:val="21"/>
        </w:rPr>
      </w:pPr>
      <w:bookmarkStart w:id="116" w:name="_Toc279599795"/>
      <w:bookmarkStart w:id="117" w:name="_Toc403122516"/>
      <w:bookmarkStart w:id="118" w:name="_Toc274249599"/>
      <w:bookmarkStart w:id="119" w:name="_Toc426369505"/>
      <w:r>
        <w:rPr>
          <w:rFonts w:hint="eastAsia" w:ascii="宋体" w:hAnsi="宋体" w:cs="宋体"/>
          <w:b/>
          <w:bCs/>
          <w:szCs w:val="21"/>
        </w:rPr>
        <w:t>4.1 投标文件的密封和标记</w:t>
      </w:r>
      <w:bookmarkEnd w:id="116"/>
      <w:bookmarkEnd w:id="117"/>
      <w:bookmarkEnd w:id="118"/>
      <w:bookmarkEnd w:id="119"/>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360" w:lineRule="auto"/>
        <w:ind w:firstLine="422" w:firstLineChars="200"/>
        <w:rPr>
          <w:rFonts w:ascii="宋体" w:hAnsi="宋体" w:cs="宋体"/>
          <w:b/>
          <w:bCs/>
          <w:szCs w:val="21"/>
        </w:rPr>
      </w:pPr>
      <w:bookmarkStart w:id="120" w:name="_Toc279599796"/>
      <w:bookmarkStart w:id="121" w:name="_Toc403122517"/>
      <w:bookmarkStart w:id="122" w:name="_Toc274249600"/>
      <w:bookmarkStart w:id="123" w:name="_Toc426369506"/>
      <w:r>
        <w:rPr>
          <w:rFonts w:hint="eastAsia" w:ascii="宋体" w:hAnsi="宋体" w:cs="宋体"/>
          <w:b/>
          <w:bCs/>
          <w:szCs w:val="21"/>
        </w:rPr>
        <w:t>4.2 投标文件的递交</w:t>
      </w:r>
      <w:bookmarkEnd w:id="120"/>
      <w:bookmarkEnd w:id="121"/>
      <w:bookmarkEnd w:id="122"/>
      <w:bookmarkEnd w:id="123"/>
    </w:p>
    <w:p>
      <w:pPr>
        <w:autoSpaceDE w:val="0"/>
        <w:autoSpaceDN w:val="0"/>
        <w:adjustRightIn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cs="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4" w:name="_Hlt26954862"/>
      <w:bookmarkEnd w:id="124"/>
      <w:bookmarkStart w:id="125" w:name="_Hlt26954754"/>
      <w:bookmarkEnd w:id="125"/>
    </w:p>
    <w:p>
      <w:pPr>
        <w:spacing w:line="360" w:lineRule="auto"/>
        <w:ind w:firstLine="422" w:firstLineChars="200"/>
        <w:rPr>
          <w:rFonts w:ascii="宋体" w:hAnsi="宋体" w:cs="宋体"/>
          <w:b/>
          <w:bCs/>
          <w:szCs w:val="21"/>
        </w:rPr>
      </w:pPr>
      <w:bookmarkStart w:id="126" w:name="_Toc426369507"/>
      <w:bookmarkStart w:id="127" w:name="_Toc403122518"/>
      <w:bookmarkStart w:id="128" w:name="_Toc279599797"/>
      <w:bookmarkStart w:id="129" w:name="_Toc274249601"/>
      <w:r>
        <w:rPr>
          <w:rFonts w:hint="eastAsia" w:ascii="宋体" w:hAnsi="宋体" w:cs="宋体"/>
          <w:b/>
          <w:bCs/>
          <w:szCs w:val="21"/>
        </w:rPr>
        <w:t>4.3 投标文件的修改与撤回</w:t>
      </w:r>
      <w:bookmarkEnd w:id="126"/>
      <w:bookmarkEnd w:id="127"/>
      <w:bookmarkEnd w:id="128"/>
      <w:bookmarkEnd w:id="129"/>
    </w:p>
    <w:p>
      <w:pPr>
        <w:spacing w:line="360" w:lineRule="auto"/>
        <w:ind w:firstLine="420" w:firstLineChars="200"/>
        <w:rPr>
          <w:rFonts w:ascii="宋体" w:hAnsi="宋体" w:cs="宋体"/>
          <w:szCs w:val="21"/>
        </w:rPr>
      </w:pPr>
      <w:r>
        <w:rPr>
          <w:rFonts w:hint="eastAsia" w:ascii="宋体" w:hAnsi="宋体" w:cs="宋体"/>
          <w:szCs w:val="21"/>
        </w:rPr>
        <w:t xml:space="preserve">4.3.1  在本章第 2.2.2 项规定的投标截止时间前，供应商可以修改或撤回已递交的投标文件。 </w:t>
      </w:r>
    </w:p>
    <w:p>
      <w:pPr>
        <w:spacing w:line="360" w:lineRule="auto"/>
        <w:ind w:firstLine="420" w:firstLineChars="200"/>
        <w:rPr>
          <w:rFonts w:ascii="宋体" w:hAnsi="宋体" w:cs="宋体"/>
          <w:szCs w:val="21"/>
        </w:rPr>
      </w:pPr>
      <w:r>
        <w:rPr>
          <w:rFonts w:hint="eastAsia" w:ascii="宋体" w:hAnsi="宋体" w:cs="宋体"/>
          <w:szCs w:val="21"/>
        </w:rPr>
        <w:t xml:space="preserve">4.3.2  供应商修改或撤回已递交投标文件的书面通知应按照本章第 3.7.3 项的要求签字盖章。 </w:t>
      </w:r>
    </w:p>
    <w:p>
      <w:pPr>
        <w:spacing w:line="360" w:lineRule="auto"/>
        <w:ind w:firstLine="420" w:firstLineChars="200"/>
        <w:rPr>
          <w:rFonts w:ascii="宋体" w:hAnsi="宋体" w:cs="宋体"/>
          <w:szCs w:val="21"/>
        </w:rPr>
      </w:pPr>
      <w:r>
        <w:rPr>
          <w:rFonts w:hint="eastAsia" w:ascii="宋体" w:hAnsi="宋体" w:cs="宋体"/>
          <w:szCs w:val="21"/>
        </w:rPr>
        <w:t xml:space="preserve">4.3.3  修改的内容为投标文件的组成部分。修改的投标文件应按照本章第 3 条、第 4 条规定进行编制、密封、标记和递交，并标明“修改”字样。 </w:t>
      </w:r>
    </w:p>
    <w:p>
      <w:pPr>
        <w:spacing w:line="360" w:lineRule="auto"/>
        <w:ind w:firstLine="422" w:firstLineChars="200"/>
        <w:rPr>
          <w:rFonts w:ascii="宋体" w:hAnsi="宋体" w:cs="宋体"/>
          <w:b/>
          <w:bCs/>
          <w:szCs w:val="21"/>
        </w:rPr>
      </w:pPr>
      <w:bookmarkStart w:id="130" w:name="_Toc426369508"/>
      <w:bookmarkStart w:id="131" w:name="_Toc14525"/>
      <w:bookmarkStart w:id="132" w:name="_Toc18170"/>
      <w:bookmarkStart w:id="133" w:name="_Toc403122519"/>
      <w:bookmarkStart w:id="134" w:name="_Toc32449"/>
      <w:bookmarkStart w:id="135" w:name="_Toc9092"/>
      <w:bookmarkStart w:id="136" w:name="_Toc5457"/>
      <w:r>
        <w:rPr>
          <w:rFonts w:hint="eastAsia" w:ascii="宋体" w:hAnsi="宋体" w:cs="宋体"/>
          <w:b/>
          <w:bCs/>
          <w:szCs w:val="21"/>
        </w:rPr>
        <w:t>5. 开标</w:t>
      </w:r>
      <w:bookmarkEnd w:id="130"/>
      <w:bookmarkEnd w:id="131"/>
      <w:bookmarkEnd w:id="132"/>
      <w:bookmarkEnd w:id="133"/>
      <w:bookmarkEnd w:id="134"/>
      <w:bookmarkEnd w:id="135"/>
      <w:bookmarkEnd w:id="136"/>
    </w:p>
    <w:p>
      <w:pPr>
        <w:spacing w:line="360" w:lineRule="auto"/>
        <w:ind w:firstLine="420" w:firstLineChars="200"/>
        <w:rPr>
          <w:rFonts w:ascii="宋体" w:hAnsi="宋体" w:cs="宋体"/>
          <w:szCs w:val="21"/>
        </w:rPr>
      </w:pPr>
      <w:r>
        <w:rPr>
          <w:rFonts w:hint="eastAsia" w:ascii="宋体" w:hAnsi="宋体" w:cs="宋体"/>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360" w:lineRule="auto"/>
        <w:ind w:firstLine="420" w:firstLineChars="200"/>
        <w:rPr>
          <w:rFonts w:ascii="宋体" w:hAnsi="宋体" w:cs="宋体"/>
          <w:szCs w:val="21"/>
        </w:rPr>
      </w:pPr>
      <w:r>
        <w:rPr>
          <w:rFonts w:hint="eastAsia" w:ascii="宋体" w:hAnsi="宋体" w:cs="宋体"/>
          <w:szCs w:val="21"/>
        </w:rPr>
        <w:t>所有投标文件必须在本招标文件中规定的投标截止时间之前提前上传投标文件，按要求解密投标文件，不能按时上传、解密者视为自动放弃投标。</w:t>
      </w:r>
    </w:p>
    <w:p>
      <w:pPr>
        <w:spacing w:line="360" w:lineRule="auto"/>
        <w:ind w:firstLine="420" w:firstLineChars="200"/>
        <w:rPr>
          <w:rFonts w:ascii="宋体" w:hAnsi="宋体" w:cs="宋体"/>
          <w:szCs w:val="21"/>
        </w:rPr>
      </w:pPr>
      <w:r>
        <w:rPr>
          <w:rFonts w:hint="eastAsia" w:ascii="宋体" w:hAnsi="宋体" w:cs="宋体"/>
          <w:szCs w:val="21"/>
        </w:rPr>
        <w:t xml:space="preserve">5.1.2投标人不足3家的，不得开标。  </w:t>
      </w:r>
    </w:p>
    <w:p>
      <w:pPr>
        <w:spacing w:line="360" w:lineRule="auto"/>
        <w:ind w:firstLine="422" w:firstLineChars="200"/>
        <w:rPr>
          <w:rFonts w:ascii="宋体" w:hAnsi="宋体" w:cs="宋体"/>
          <w:b/>
          <w:bCs/>
          <w:szCs w:val="21"/>
        </w:rPr>
      </w:pPr>
      <w:bookmarkStart w:id="137" w:name="_Toc403122520"/>
      <w:bookmarkStart w:id="138" w:name="_Toc279599799"/>
      <w:bookmarkStart w:id="139" w:name="_Toc426369509"/>
      <w:bookmarkStart w:id="140" w:name="_Toc274249603"/>
      <w:r>
        <w:rPr>
          <w:rFonts w:hint="eastAsia" w:ascii="宋体" w:hAnsi="宋体" w:cs="宋体"/>
          <w:b/>
          <w:bCs/>
          <w:szCs w:val="21"/>
        </w:rPr>
        <w:t>5.2 开标时间和地点</w:t>
      </w:r>
      <w:bookmarkEnd w:id="137"/>
      <w:bookmarkEnd w:id="138"/>
      <w:bookmarkEnd w:id="139"/>
      <w:bookmarkEnd w:id="140"/>
    </w:p>
    <w:p>
      <w:pPr>
        <w:spacing w:line="360" w:lineRule="auto"/>
        <w:ind w:firstLine="420" w:firstLineChars="200"/>
        <w:rPr>
          <w:rFonts w:ascii="宋体" w:hAnsi="宋体" w:cs="宋体"/>
          <w:szCs w:val="21"/>
        </w:rPr>
      </w:pPr>
      <w:r>
        <w:rPr>
          <w:rFonts w:hint="eastAsia" w:ascii="宋体" w:hAnsi="宋体" w:cs="宋体"/>
          <w:szCs w:val="21"/>
        </w:rPr>
        <w:t>采购人在本章第 2.2.2 项规定的投标截止时间（开标时间）和供应商须知前附表规定的地点公开开标。</w:t>
      </w:r>
    </w:p>
    <w:p>
      <w:pPr>
        <w:spacing w:line="360" w:lineRule="auto"/>
        <w:ind w:firstLine="422" w:firstLineChars="200"/>
        <w:rPr>
          <w:rFonts w:ascii="宋体" w:hAnsi="宋体" w:cs="宋体"/>
          <w:b/>
          <w:bCs/>
          <w:szCs w:val="21"/>
        </w:rPr>
      </w:pPr>
      <w:bookmarkStart w:id="141" w:name="_Toc279599800"/>
      <w:bookmarkStart w:id="142" w:name="_Toc426369510"/>
      <w:bookmarkStart w:id="143" w:name="_Toc274249604"/>
      <w:bookmarkStart w:id="144" w:name="_Toc403122521"/>
      <w:r>
        <w:rPr>
          <w:rFonts w:hint="eastAsia" w:ascii="宋体" w:hAnsi="宋体" w:cs="宋体"/>
          <w:b/>
          <w:bCs/>
          <w:szCs w:val="21"/>
        </w:rPr>
        <w:t>5.3开标程序</w:t>
      </w:r>
      <w:bookmarkEnd w:id="141"/>
      <w:bookmarkEnd w:id="142"/>
      <w:bookmarkEnd w:id="143"/>
      <w:bookmarkEnd w:id="144"/>
    </w:p>
    <w:p>
      <w:pPr>
        <w:spacing w:line="360" w:lineRule="auto"/>
        <w:ind w:firstLine="420" w:firstLineChars="200"/>
        <w:rPr>
          <w:rFonts w:ascii="宋体" w:hAnsi="宋体" w:cs="宋体"/>
          <w:szCs w:val="21"/>
          <w:lang w:val="zh-CN"/>
        </w:rPr>
      </w:pPr>
      <w:bookmarkStart w:id="145" w:name="_Toc426369511"/>
      <w:r>
        <w:rPr>
          <w:rFonts w:hint="eastAsia" w:ascii="宋体" w:hAnsi="宋体" w:cs="宋体"/>
          <w:szCs w:val="21"/>
        </w:rPr>
        <w:t>5.3</w:t>
      </w:r>
      <w:r>
        <w:rPr>
          <w:rFonts w:hint="eastAsia" w:ascii="宋体" w:hAnsi="宋体" w:cs="宋体"/>
          <w:szCs w:val="21"/>
          <w:lang w:val="zh-CN"/>
        </w:rPr>
        <w:t>.1本</w:t>
      </w:r>
      <w:r>
        <w:rPr>
          <w:rFonts w:hint="eastAsia" w:ascii="宋体" w:hAnsi="宋体" w:cs="宋体"/>
          <w:szCs w:val="21"/>
        </w:rPr>
        <w:t>项目</w:t>
      </w:r>
      <w:r>
        <w:rPr>
          <w:rFonts w:hint="eastAsia" w:ascii="宋体" w:hAnsi="宋体" w:cs="宋体"/>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360" w:lineRule="auto"/>
        <w:ind w:firstLine="420" w:firstLineChars="200"/>
        <w:rPr>
          <w:rFonts w:ascii="宋体" w:hAnsi="宋体" w:cs="宋体"/>
          <w:szCs w:val="21"/>
          <w:lang w:val="zh-CN"/>
        </w:rPr>
      </w:pPr>
      <w:r>
        <w:rPr>
          <w:rFonts w:hint="eastAsia" w:ascii="宋体" w:hAnsi="宋体" w:cs="宋体"/>
          <w:szCs w:val="21"/>
          <w:lang w:val="zh-CN"/>
        </w:rPr>
        <w:t>主持人按下列程序进行开标：</w:t>
      </w:r>
    </w:p>
    <w:p>
      <w:pPr>
        <w:spacing w:line="360" w:lineRule="auto"/>
        <w:ind w:firstLine="420" w:firstLineChars="200"/>
        <w:rPr>
          <w:rFonts w:ascii="宋体" w:hAnsi="宋体" w:cs="宋体"/>
          <w:szCs w:val="21"/>
          <w:lang w:val="zh-CN"/>
        </w:rPr>
      </w:pPr>
      <w:r>
        <w:rPr>
          <w:rFonts w:hint="eastAsia" w:ascii="宋体" w:hAnsi="宋体" w:cs="宋体"/>
          <w:szCs w:val="21"/>
          <w:lang w:val="zh-CN"/>
        </w:rPr>
        <w:t>(l）宣布投标截止时间已到，不再接收投标文件；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）宣布开标人、唱标人、记录人、监标人等有关人员姓名；</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）电子投标文件解密；</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）宣布投标文件开标顺序，电子唱标并记录在案；</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）投标人代表、采购人、监标人等有关人员在开标记录上签字确认；</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）开标结束。</w:t>
      </w:r>
    </w:p>
    <w:p>
      <w:pPr>
        <w:spacing w:line="360" w:lineRule="auto"/>
        <w:ind w:firstLine="420" w:firstLineChars="200"/>
        <w:rPr>
          <w:rFonts w:ascii="宋体" w:hAnsi="宋体" w:cs="宋体"/>
          <w:szCs w:val="21"/>
          <w:lang w:val="zh-CN"/>
        </w:rPr>
      </w:pPr>
      <w:r>
        <w:rPr>
          <w:rFonts w:hint="eastAsia" w:ascii="宋体" w:hAnsi="宋体" w:cs="宋体"/>
          <w:szCs w:val="21"/>
          <w:lang w:val="zh-CN"/>
        </w:rPr>
        <w:t>5.3.</w:t>
      </w:r>
      <w:r>
        <w:rPr>
          <w:rFonts w:hint="eastAsia" w:ascii="宋体" w:hAnsi="宋体" w:cs="宋体"/>
          <w:szCs w:val="21"/>
        </w:rPr>
        <w:t>2</w:t>
      </w:r>
      <w:r>
        <w:rPr>
          <w:rFonts w:hint="eastAsia" w:ascii="宋体" w:hAnsi="宋体" w:cs="宋体"/>
          <w:szCs w:val="21"/>
          <w:lang w:val="zh-CN"/>
        </w:rPr>
        <w:t>开标时出现下列情况的，采购人将拒绝其投标文件。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投标人未按投标人须知前附表规定的时间内解密投标文件的；</w:t>
      </w:r>
    </w:p>
    <w:p>
      <w:pPr>
        <w:spacing w:line="360" w:lineRule="auto"/>
        <w:ind w:firstLine="422" w:firstLineChars="200"/>
        <w:rPr>
          <w:rFonts w:ascii="宋体" w:hAnsi="宋体" w:cs="宋体"/>
          <w:b/>
          <w:bCs/>
          <w:szCs w:val="21"/>
        </w:rPr>
      </w:pPr>
      <w:r>
        <w:rPr>
          <w:rFonts w:hint="eastAsia" w:ascii="宋体" w:hAnsi="宋体" w:cs="宋体"/>
          <w:b/>
          <w:bCs/>
          <w:szCs w:val="21"/>
        </w:rPr>
        <w:t>5.4开标异议</w:t>
      </w:r>
      <w:bookmarkEnd w:id="145"/>
    </w:p>
    <w:p>
      <w:pPr>
        <w:spacing w:line="360" w:lineRule="auto"/>
        <w:ind w:firstLine="420" w:firstLineChars="200"/>
        <w:rPr>
          <w:rFonts w:ascii="宋体" w:hAnsi="宋体" w:cs="宋体"/>
          <w:szCs w:val="21"/>
          <w:lang w:val="zh-CN"/>
        </w:rPr>
      </w:pPr>
      <w:bookmarkStart w:id="146" w:name="_Toc21662"/>
      <w:bookmarkStart w:id="147" w:name="_Toc426369512"/>
      <w:bookmarkStart w:id="148" w:name="_Toc403122522"/>
      <w:bookmarkStart w:id="149" w:name="_Toc12881"/>
      <w:r>
        <w:rPr>
          <w:rFonts w:hint="eastAsia" w:ascii="宋体" w:hAnsi="宋体" w:cs="宋体"/>
          <w:szCs w:val="21"/>
        </w:rPr>
        <w:t>5.4.1</w:t>
      </w:r>
      <w:r>
        <w:rPr>
          <w:rFonts w:hint="eastAsia" w:ascii="宋体" w:hAnsi="宋体" w:cs="宋体"/>
          <w:szCs w:val="21"/>
          <w:lang w:val="zh-CN"/>
        </w:rPr>
        <w:t>投标人对开标有异议的，应当在开标现场提出（</w:t>
      </w:r>
      <w:bookmarkStart w:id="150" w:name="_Toc12998"/>
      <w:r>
        <w:rPr>
          <w:rFonts w:hint="eastAsia" w:ascii="宋体" w:hAnsi="宋体" w:cs="宋体"/>
          <w:szCs w:val="21"/>
          <w:lang w:val="zh-CN"/>
        </w:rPr>
        <w:t>语音异议</w:t>
      </w:r>
      <w:bookmarkEnd w:id="150"/>
      <w:r>
        <w:rPr>
          <w:rFonts w:hint="eastAsia" w:ascii="宋体" w:hAnsi="宋体" w:cs="宋体"/>
          <w:szCs w:val="21"/>
          <w:lang w:val="zh-CN"/>
        </w:rPr>
        <w:t>、</w:t>
      </w:r>
      <w:bookmarkStart w:id="151" w:name="_Toc20745"/>
      <w:r>
        <w:rPr>
          <w:rFonts w:hint="eastAsia" w:ascii="宋体" w:hAnsi="宋体" w:cs="宋体"/>
          <w:szCs w:val="21"/>
          <w:lang w:val="zh-CN"/>
        </w:rPr>
        <w:t>文字异议</w:t>
      </w:r>
      <w:bookmarkEnd w:id="151"/>
      <w:r>
        <w:rPr>
          <w:rFonts w:hint="eastAsia" w:ascii="宋体" w:hAnsi="宋体" w:cs="宋体"/>
          <w:szCs w:val="21"/>
          <w:lang w:val="zh-CN"/>
        </w:rPr>
        <w:t>），</w:t>
      </w:r>
      <w:r>
        <w:rPr>
          <w:rFonts w:hint="eastAsia" w:ascii="宋体" w:hAnsi="宋体" w:cs="宋体"/>
          <w:szCs w:val="21"/>
        </w:rPr>
        <w:t>采购</w:t>
      </w:r>
      <w:r>
        <w:rPr>
          <w:rFonts w:hint="eastAsia" w:ascii="宋体" w:hAnsi="宋体" w:cs="宋体"/>
          <w:szCs w:val="21"/>
          <w:lang w:val="zh-CN"/>
        </w:rPr>
        <w:t>人当场作出答复，并制作记录。</w:t>
      </w:r>
    </w:p>
    <w:p>
      <w:pPr>
        <w:spacing w:line="360" w:lineRule="auto"/>
        <w:ind w:firstLine="420" w:firstLineChars="200"/>
        <w:rPr>
          <w:rFonts w:ascii="宋体" w:hAnsi="宋体" w:cs="宋体"/>
          <w:szCs w:val="21"/>
          <w:lang w:val="zh-CN"/>
        </w:rPr>
      </w:pPr>
      <w:r>
        <w:rPr>
          <w:rFonts w:hint="eastAsia" w:ascii="宋体" w:hAnsi="宋体" w:cs="宋体"/>
          <w:szCs w:val="21"/>
        </w:rPr>
        <w:t>5.4.2</w:t>
      </w:r>
      <w:r>
        <w:rPr>
          <w:rFonts w:hint="eastAsia" w:ascii="宋体" w:hAnsi="宋体" w:cs="宋体"/>
          <w:szCs w:val="21"/>
          <w:lang w:val="zh-CN"/>
        </w:rPr>
        <w:t>开标异常处理</w:t>
      </w:r>
    </w:p>
    <w:p>
      <w:pPr>
        <w:spacing w:line="360" w:lineRule="auto"/>
        <w:ind w:firstLine="420" w:firstLineChars="200"/>
        <w:rPr>
          <w:rFonts w:ascii="宋体" w:hAnsi="宋体" w:cs="宋体"/>
          <w:szCs w:val="21"/>
          <w:lang w:val="zh-CN"/>
        </w:rPr>
      </w:pPr>
      <w:r>
        <w:rPr>
          <w:rFonts w:hint="eastAsia" w:ascii="宋体" w:hAnsi="宋体" w:cs="宋体"/>
          <w:szCs w:val="21"/>
          <w:lang w:val="zh-CN"/>
        </w:rPr>
        <w:t>当出现以下情况时，应对未开标的项目中止电子开标，对原有资料及信息作出妥善保密处理，并在恢复正常后及时安排时间开标：</w:t>
      </w:r>
    </w:p>
    <w:p>
      <w:pPr>
        <w:spacing w:line="360" w:lineRule="auto"/>
        <w:ind w:firstLine="420" w:firstLineChars="200"/>
        <w:rPr>
          <w:rFonts w:ascii="宋体" w:hAnsi="宋体" w:cs="宋体"/>
          <w:szCs w:val="21"/>
          <w:lang w:val="zh-CN"/>
        </w:rPr>
      </w:pPr>
      <w:r>
        <w:rPr>
          <w:rFonts w:hint="eastAsia" w:ascii="宋体" w:hAnsi="宋体" w:cs="宋体"/>
          <w:szCs w:val="21"/>
          <w:lang w:val="zh-CN"/>
        </w:rPr>
        <w:t>(l）系统服务器发生故障，无法访问或无法使用系统；</w:t>
      </w:r>
    </w:p>
    <w:p>
      <w:pPr>
        <w:spacing w:line="360" w:lineRule="auto"/>
        <w:ind w:firstLine="420" w:firstLineChars="200"/>
        <w:rPr>
          <w:rFonts w:ascii="宋体" w:hAnsi="宋体" w:cs="宋体"/>
          <w:szCs w:val="21"/>
          <w:lang w:val="zh-CN"/>
        </w:rPr>
      </w:pPr>
      <w:r>
        <w:rPr>
          <w:rFonts w:hint="eastAsia" w:ascii="宋体" w:hAnsi="宋体" w:cs="宋体"/>
          <w:szCs w:val="21"/>
          <w:lang w:val="zh-CN"/>
        </w:rPr>
        <w:t>(2） 系统的软件或数据库出现错误，不能进行正常操作；</w:t>
      </w:r>
    </w:p>
    <w:p>
      <w:pPr>
        <w:spacing w:line="360" w:lineRule="auto"/>
        <w:ind w:firstLine="420" w:firstLineChars="200"/>
        <w:rPr>
          <w:rFonts w:ascii="宋体" w:hAnsi="宋体" w:cs="宋体"/>
          <w:szCs w:val="21"/>
          <w:lang w:val="zh-CN"/>
        </w:rPr>
      </w:pPr>
      <w:r>
        <w:rPr>
          <w:rFonts w:hint="eastAsia" w:ascii="宋体" w:hAnsi="宋体" w:cs="宋体"/>
          <w:szCs w:val="21"/>
          <w:lang w:val="zh-CN"/>
        </w:rPr>
        <w:t>(3）系统发现有安全漏洞，有潜在的泄密危险；</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）出现断电事故且短时间内无法恢复供电；</w:t>
      </w:r>
    </w:p>
    <w:p>
      <w:pPr>
        <w:spacing w:line="360" w:lineRule="auto"/>
        <w:ind w:firstLine="420" w:firstLineChars="200"/>
        <w:rPr>
          <w:rFonts w:ascii="宋体" w:hAnsi="宋体" w:cs="宋体"/>
          <w:szCs w:val="21"/>
          <w:lang w:val="zh-CN"/>
        </w:rPr>
      </w:pPr>
      <w:r>
        <w:rPr>
          <w:rFonts w:hint="eastAsia" w:ascii="宋体" w:hAnsi="宋体" w:cs="宋体"/>
          <w:szCs w:val="21"/>
        </w:rPr>
        <w:t xml:space="preserve">（5） </w:t>
      </w:r>
      <w:r>
        <w:rPr>
          <w:rFonts w:hint="eastAsia" w:ascii="宋体" w:hAnsi="宋体" w:cs="宋体"/>
          <w:szCs w:val="21"/>
          <w:lang w:val="zh-CN"/>
        </w:rPr>
        <w:t>其他无法保证招投标过程正常进行的情形；</w:t>
      </w:r>
    </w:p>
    <w:p>
      <w:pPr>
        <w:spacing w:line="360" w:lineRule="auto"/>
        <w:ind w:firstLine="422" w:firstLineChars="200"/>
        <w:rPr>
          <w:rFonts w:ascii="宋体" w:hAnsi="宋体" w:cs="宋体"/>
          <w:b/>
          <w:bCs/>
          <w:szCs w:val="21"/>
        </w:rPr>
      </w:pPr>
      <w:r>
        <w:rPr>
          <w:rFonts w:hint="eastAsia" w:ascii="宋体" w:hAnsi="宋体" w:cs="宋体"/>
          <w:b/>
          <w:bCs/>
          <w:szCs w:val="21"/>
        </w:rPr>
        <w:t>5.</w:t>
      </w:r>
      <w:bookmarkStart w:id="152" w:name="_Toc13445"/>
      <w:bookmarkStart w:id="153" w:name="_Toc9927"/>
      <w:r>
        <w:rPr>
          <w:rFonts w:hint="eastAsia" w:ascii="宋体" w:hAnsi="宋体" w:cs="宋体"/>
          <w:b/>
          <w:bCs/>
          <w:szCs w:val="21"/>
        </w:rPr>
        <w:t>5.资格审查工作</w:t>
      </w:r>
      <w:bookmarkEnd w:id="152"/>
      <w:bookmarkEnd w:id="153"/>
    </w:p>
    <w:p>
      <w:pPr>
        <w:spacing w:line="360" w:lineRule="auto"/>
        <w:ind w:firstLine="420" w:firstLineChars="200"/>
        <w:rPr>
          <w:rFonts w:ascii="宋体" w:hAnsi="宋体" w:cs="宋体"/>
          <w:szCs w:val="21"/>
        </w:rPr>
      </w:pPr>
      <w:bookmarkStart w:id="154" w:name="_Toc25275"/>
      <w:bookmarkStart w:id="155" w:name="_Toc22488"/>
      <w:bookmarkStart w:id="156" w:name="_Toc18803"/>
      <w:bookmarkStart w:id="157" w:name="_Toc15919"/>
      <w:bookmarkStart w:id="158" w:name="_Toc18888"/>
      <w:bookmarkStart w:id="159" w:name="_Toc25448"/>
      <w:bookmarkStart w:id="160" w:name="_Toc18806"/>
      <w:r>
        <w:rPr>
          <w:rFonts w:hint="eastAsia" w:ascii="宋体" w:hAnsi="宋体" w:cs="宋体"/>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pPr>
        <w:spacing w:line="360" w:lineRule="auto"/>
        <w:ind w:firstLine="422" w:firstLineChars="200"/>
        <w:rPr>
          <w:rFonts w:ascii="宋体" w:hAnsi="宋体" w:cs="宋体"/>
          <w:b/>
          <w:bCs/>
          <w:szCs w:val="21"/>
        </w:rPr>
      </w:pPr>
      <w:bookmarkStart w:id="161" w:name="_Toc10388"/>
      <w:bookmarkStart w:id="162" w:name="_Toc28750"/>
      <w:bookmarkStart w:id="163" w:name="_Toc6889"/>
      <w:r>
        <w:rPr>
          <w:rFonts w:hint="eastAsia" w:ascii="宋体" w:hAnsi="宋体" w:cs="宋体"/>
          <w:b/>
          <w:bCs/>
          <w:szCs w:val="21"/>
        </w:rPr>
        <w:t>6. 评标</w:t>
      </w:r>
      <w:bookmarkEnd w:id="146"/>
      <w:bookmarkEnd w:id="147"/>
      <w:bookmarkEnd w:id="148"/>
      <w:bookmarkEnd w:id="149"/>
      <w:bookmarkEnd w:id="161"/>
      <w:bookmarkEnd w:id="162"/>
      <w:bookmarkEnd w:id="163"/>
    </w:p>
    <w:p>
      <w:pPr>
        <w:spacing w:line="360" w:lineRule="auto"/>
        <w:ind w:firstLine="422" w:firstLineChars="200"/>
        <w:rPr>
          <w:rFonts w:ascii="宋体" w:hAnsi="宋体" w:cs="宋体"/>
          <w:b/>
          <w:bCs/>
          <w:szCs w:val="21"/>
        </w:rPr>
      </w:pPr>
      <w:bookmarkStart w:id="164" w:name="_Toc403122523"/>
      <w:bookmarkStart w:id="165" w:name="_Toc274249606"/>
      <w:bookmarkStart w:id="166" w:name="_Toc426369513"/>
      <w:bookmarkStart w:id="167" w:name="_Toc279599802"/>
      <w:r>
        <w:rPr>
          <w:rFonts w:hint="eastAsia" w:ascii="宋体" w:hAnsi="宋体" w:cs="宋体"/>
          <w:b/>
          <w:bCs/>
          <w:szCs w:val="21"/>
        </w:rPr>
        <w:t>6.1 评标委员会</w:t>
      </w:r>
      <w:bookmarkEnd w:id="164"/>
      <w:bookmarkEnd w:id="165"/>
      <w:bookmarkEnd w:id="166"/>
      <w:bookmarkEnd w:id="167"/>
    </w:p>
    <w:p>
      <w:pPr>
        <w:spacing w:line="360" w:lineRule="auto"/>
        <w:ind w:firstLine="420" w:firstLineChars="200"/>
        <w:rPr>
          <w:rFonts w:ascii="宋体" w:hAnsi="宋体" w:cs="宋体"/>
          <w:szCs w:val="21"/>
        </w:rPr>
      </w:pPr>
      <w:r>
        <w:rPr>
          <w:rFonts w:hint="eastAsia" w:ascii="宋体" w:hAnsi="宋体" w:cs="宋体"/>
          <w:szCs w:val="21"/>
        </w:rPr>
        <w:t>6.1.1  评标由采购人依法组建的评标委员会负责。评标委员会由采购人代表和评审专家组成。评标委员会成员人数以及评审专家的确定方式见供应商须知前附表。</w:t>
      </w:r>
    </w:p>
    <w:p>
      <w:pPr>
        <w:spacing w:line="360" w:lineRule="auto"/>
        <w:ind w:firstLine="420" w:firstLineChars="200"/>
        <w:rPr>
          <w:rFonts w:ascii="宋体" w:hAnsi="宋体" w:cs="宋体"/>
          <w:szCs w:val="21"/>
        </w:rPr>
      </w:pPr>
      <w:r>
        <w:rPr>
          <w:rFonts w:hint="eastAsia" w:ascii="宋体" w:hAnsi="宋体" w:cs="宋体"/>
          <w:szCs w:val="21"/>
        </w:rPr>
        <w:t xml:space="preserve">6.1.2  评标委员会成员有下列情形之一的，应当回避： </w:t>
      </w:r>
    </w:p>
    <w:p>
      <w:pPr>
        <w:spacing w:line="360" w:lineRule="auto"/>
        <w:ind w:firstLine="420" w:firstLineChars="200"/>
        <w:rPr>
          <w:rFonts w:ascii="宋体" w:hAnsi="宋体" w:cs="宋体"/>
          <w:szCs w:val="21"/>
        </w:rPr>
      </w:pPr>
      <w:r>
        <w:rPr>
          <w:rFonts w:hint="eastAsia" w:ascii="宋体" w:hAnsi="宋体" w:cs="宋体"/>
          <w:szCs w:val="21"/>
        </w:rPr>
        <w:t xml:space="preserve">（1）采购人或供应商的主要负责人的近亲属； </w:t>
      </w:r>
    </w:p>
    <w:p>
      <w:pPr>
        <w:spacing w:line="360" w:lineRule="auto"/>
        <w:ind w:firstLine="420" w:firstLineChars="200"/>
        <w:rPr>
          <w:rFonts w:ascii="宋体" w:hAnsi="宋体" w:cs="宋体"/>
          <w:szCs w:val="21"/>
        </w:rPr>
      </w:pPr>
      <w:r>
        <w:rPr>
          <w:rFonts w:hint="eastAsia" w:ascii="宋体" w:hAnsi="宋体" w:cs="宋体"/>
          <w:szCs w:val="21"/>
        </w:rPr>
        <w:t xml:space="preserve">（2）项目主管部门或者行政监督部门的人员； </w:t>
      </w:r>
    </w:p>
    <w:p>
      <w:pPr>
        <w:spacing w:line="360" w:lineRule="auto"/>
        <w:ind w:firstLine="420" w:firstLineChars="200"/>
        <w:rPr>
          <w:rFonts w:ascii="宋体" w:hAnsi="宋体" w:cs="宋体"/>
          <w:szCs w:val="21"/>
        </w:rPr>
      </w:pPr>
      <w:r>
        <w:rPr>
          <w:rFonts w:hint="eastAsia" w:ascii="宋体" w:hAnsi="宋体" w:cs="宋体"/>
          <w:szCs w:val="21"/>
        </w:rPr>
        <w:t xml:space="preserve">（3）与供应商有经济利益关系，可能影响对投标公正评审的； </w:t>
      </w:r>
    </w:p>
    <w:p>
      <w:pPr>
        <w:spacing w:line="360" w:lineRule="auto"/>
        <w:ind w:firstLine="420" w:firstLineChars="200"/>
        <w:rPr>
          <w:rFonts w:ascii="宋体" w:hAnsi="宋体" w:cs="宋体"/>
          <w:szCs w:val="21"/>
        </w:rPr>
      </w:pPr>
      <w:r>
        <w:rPr>
          <w:rFonts w:hint="eastAsia" w:ascii="宋体" w:hAnsi="宋体" w:cs="宋体"/>
          <w:szCs w:val="21"/>
        </w:rPr>
        <w:t xml:space="preserve">（4）曾因在招标、评标以及其他与招标投标有关活动中从事违法行为而受过行政处罚或刑事处罚的。 </w:t>
      </w:r>
    </w:p>
    <w:p>
      <w:pPr>
        <w:spacing w:line="360" w:lineRule="auto"/>
        <w:ind w:firstLine="422" w:firstLineChars="200"/>
        <w:rPr>
          <w:rFonts w:ascii="宋体" w:hAnsi="宋体" w:cs="宋体"/>
          <w:b/>
          <w:bCs/>
          <w:szCs w:val="21"/>
        </w:rPr>
      </w:pPr>
      <w:bookmarkStart w:id="168" w:name="_Toc426369514"/>
      <w:bookmarkStart w:id="169" w:name="_Toc274249607"/>
      <w:bookmarkStart w:id="170" w:name="_Toc279599803"/>
      <w:bookmarkStart w:id="171" w:name="_Toc403122524"/>
      <w:r>
        <w:rPr>
          <w:rFonts w:hint="eastAsia" w:ascii="宋体" w:hAnsi="宋体" w:cs="宋体"/>
          <w:b/>
          <w:bCs/>
          <w:szCs w:val="21"/>
        </w:rPr>
        <w:t>6.2 评标原则</w:t>
      </w:r>
      <w:bookmarkEnd w:id="168"/>
      <w:bookmarkEnd w:id="169"/>
      <w:bookmarkEnd w:id="170"/>
      <w:bookmarkEnd w:id="171"/>
    </w:p>
    <w:p>
      <w:pPr>
        <w:spacing w:line="360" w:lineRule="auto"/>
        <w:ind w:firstLine="420" w:firstLineChars="200"/>
        <w:rPr>
          <w:rFonts w:ascii="宋体" w:hAnsi="宋体" w:cs="宋体"/>
          <w:szCs w:val="21"/>
        </w:rPr>
      </w:pPr>
      <w:r>
        <w:rPr>
          <w:rFonts w:hint="eastAsia" w:ascii="宋体" w:hAnsi="宋体" w:cs="宋体"/>
          <w:szCs w:val="21"/>
        </w:rPr>
        <w:t xml:space="preserve">评标活动遵循公平、公正、科学和择优的原则。 </w:t>
      </w:r>
    </w:p>
    <w:p>
      <w:pPr>
        <w:spacing w:line="360" w:lineRule="auto"/>
        <w:ind w:firstLine="422" w:firstLineChars="200"/>
        <w:rPr>
          <w:rFonts w:ascii="宋体" w:hAnsi="宋体" w:cs="宋体"/>
          <w:szCs w:val="21"/>
        </w:rPr>
      </w:pPr>
      <w:bookmarkStart w:id="172" w:name="_Toc279599804"/>
      <w:bookmarkStart w:id="173" w:name="_Toc426369515"/>
      <w:bookmarkStart w:id="174" w:name="_Toc274249608"/>
      <w:bookmarkStart w:id="175" w:name="_Toc403122525"/>
      <w:r>
        <w:rPr>
          <w:rFonts w:hint="eastAsia" w:ascii="宋体" w:hAnsi="宋体" w:cs="宋体"/>
          <w:b/>
          <w:bCs/>
          <w:szCs w:val="21"/>
        </w:rPr>
        <w:t>6.3 评标</w:t>
      </w:r>
      <w:bookmarkEnd w:id="172"/>
      <w:bookmarkEnd w:id="173"/>
      <w:bookmarkEnd w:id="174"/>
      <w:bookmarkEnd w:id="175"/>
    </w:p>
    <w:p>
      <w:pPr>
        <w:spacing w:line="360" w:lineRule="auto"/>
        <w:ind w:firstLine="420" w:firstLineChars="200"/>
        <w:rPr>
          <w:rFonts w:ascii="宋体" w:hAnsi="宋体" w:cs="宋体"/>
          <w:szCs w:val="21"/>
        </w:rPr>
      </w:pPr>
      <w:r>
        <w:rPr>
          <w:rFonts w:hint="eastAsia" w:ascii="宋体" w:hAnsi="宋体" w:cs="宋体"/>
          <w:szCs w:val="21"/>
        </w:rPr>
        <w:t>6.3.1在评审过程中，评标委员会发现投标人有下列情形之一的，视为投标人相互串通投标，按照无效投标处理并依据法律、法规追究其相关责任。具体表现形式如下：</w:t>
      </w:r>
    </w:p>
    <w:p>
      <w:pPr>
        <w:spacing w:line="360" w:lineRule="auto"/>
        <w:ind w:firstLine="420" w:firstLineChars="200"/>
        <w:rPr>
          <w:rFonts w:ascii="宋体" w:hAnsi="宋体" w:cs="宋体"/>
          <w:szCs w:val="21"/>
        </w:rPr>
      </w:pPr>
      <w:r>
        <w:rPr>
          <w:rFonts w:hint="eastAsia" w:ascii="宋体" w:hAnsi="宋体" w:cs="宋体"/>
          <w:szCs w:val="21"/>
        </w:rPr>
        <w:t>（1） 同投标人的投标文件由同一单位或者个人编制；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（2）不同投标人委托同一单位或者个人办理投标事宜；</w:t>
      </w:r>
    </w:p>
    <w:p>
      <w:pPr>
        <w:spacing w:line="360" w:lineRule="auto"/>
        <w:ind w:firstLine="420" w:firstLineChars="200"/>
        <w:rPr>
          <w:rFonts w:ascii="宋体" w:hAnsi="宋体" w:cs="宋体"/>
          <w:szCs w:val="21"/>
        </w:rPr>
      </w:pPr>
      <w:r>
        <w:rPr>
          <w:rFonts w:hint="eastAsia" w:ascii="宋体" w:hAnsi="宋体" w:cs="宋体"/>
          <w:szCs w:val="21"/>
        </w:rPr>
        <w:t>（3）不同投标人的投标文件载明的项目管理成员或者联系人员为同一人；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（4）不同投标人的投标文件异常一致或者投标报价呈规律性差异；</w:t>
      </w:r>
    </w:p>
    <w:p>
      <w:pPr>
        <w:spacing w:line="360" w:lineRule="auto"/>
        <w:ind w:firstLine="420" w:firstLineChars="200"/>
        <w:rPr>
          <w:rFonts w:ascii="宋体" w:hAnsi="宋体" w:cs="宋体"/>
          <w:szCs w:val="21"/>
        </w:rPr>
      </w:pPr>
      <w:r>
        <w:rPr>
          <w:rFonts w:hint="eastAsia" w:ascii="宋体" w:hAnsi="宋体" w:cs="宋体"/>
          <w:szCs w:val="21"/>
        </w:rPr>
        <w:t>（5）不同投标人的投标文件相互混装；</w:t>
      </w:r>
    </w:p>
    <w:p>
      <w:pPr>
        <w:spacing w:line="360" w:lineRule="auto"/>
        <w:ind w:firstLine="420" w:firstLineChars="200"/>
        <w:rPr>
          <w:rFonts w:ascii="宋体" w:hAnsi="宋体" w:cs="宋体"/>
          <w:szCs w:val="21"/>
        </w:rPr>
      </w:pPr>
      <w:r>
        <w:rPr>
          <w:rFonts w:hint="eastAsia" w:ascii="宋体" w:hAnsi="宋体" w:cs="宋体"/>
          <w:szCs w:val="21"/>
        </w:rPr>
        <w:t>（6）有证据证明投标人与采购人、采购代理机构或者其他投标人串通的其他情形；</w:t>
      </w:r>
    </w:p>
    <w:p>
      <w:pPr>
        <w:spacing w:line="360" w:lineRule="auto"/>
        <w:ind w:firstLine="420" w:firstLineChars="200"/>
        <w:rPr>
          <w:rFonts w:ascii="宋体" w:hAnsi="宋体" w:cs="宋体"/>
          <w:szCs w:val="21"/>
        </w:rPr>
      </w:pPr>
      <w:r>
        <w:rPr>
          <w:rFonts w:hint="eastAsia" w:ascii="宋体" w:hAnsi="宋体" w:cs="宋体"/>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360" w:lineRule="auto"/>
        <w:ind w:firstLine="420" w:firstLineChars="200"/>
        <w:rPr>
          <w:rFonts w:ascii="宋体" w:hAnsi="宋体" w:cs="宋体"/>
          <w:szCs w:val="21"/>
        </w:rPr>
      </w:pPr>
      <w:r>
        <w:rPr>
          <w:rFonts w:hint="eastAsia" w:ascii="宋体" w:hAnsi="宋体" w:cs="宋体"/>
          <w:szCs w:val="21"/>
        </w:rPr>
        <w:t>6.3.3评标时，评标委员会各成员应当独立对每个投标人的投标文件进行评价，并汇总每个投标人的得分。</w:t>
      </w:r>
    </w:p>
    <w:p>
      <w:pPr>
        <w:spacing w:line="360" w:lineRule="auto"/>
        <w:ind w:firstLine="420" w:firstLineChars="200"/>
        <w:rPr>
          <w:rFonts w:ascii="宋体" w:hAnsi="宋体" w:cs="宋体"/>
          <w:szCs w:val="21"/>
        </w:rPr>
      </w:pPr>
      <w:r>
        <w:rPr>
          <w:rFonts w:hint="eastAsia" w:ascii="宋体" w:hAnsi="宋体" w:cs="宋体"/>
          <w:szCs w:val="21"/>
        </w:rPr>
        <w:t>评标完成后，评标委员会应当向采购人提交书面评标报告和中标候选人名单。评标委员会推荐中标候选人的人数见投标人须知前附表。</w:t>
      </w:r>
    </w:p>
    <w:p>
      <w:pPr>
        <w:spacing w:line="360" w:lineRule="auto"/>
        <w:ind w:firstLine="420" w:firstLineChars="200"/>
        <w:rPr>
          <w:rFonts w:ascii="宋体" w:hAnsi="宋体" w:cs="宋体"/>
          <w:szCs w:val="21"/>
        </w:rPr>
      </w:pPr>
      <w:r>
        <w:rPr>
          <w:rFonts w:hint="eastAsia" w:ascii="宋体" w:hAnsi="宋体" w:cs="宋体"/>
          <w:szCs w:val="21"/>
        </w:rPr>
        <w:t>6.3.3 评标委员会负责具体评标事务，并独立履行下列职责：</w:t>
      </w:r>
    </w:p>
    <w:p>
      <w:pPr>
        <w:spacing w:line="360" w:lineRule="auto"/>
        <w:ind w:firstLine="420" w:firstLineChars="200"/>
        <w:rPr>
          <w:rFonts w:ascii="宋体" w:hAnsi="宋体" w:cs="宋体"/>
          <w:szCs w:val="21"/>
        </w:rPr>
      </w:pPr>
      <w:r>
        <w:rPr>
          <w:rFonts w:hint="eastAsia" w:ascii="宋体" w:hAnsi="宋体" w:cs="宋体"/>
          <w:szCs w:val="21"/>
        </w:rPr>
        <w:t>（1）审查、评价投标文件是否符合招标文件的实质性要求；</w:t>
      </w:r>
    </w:p>
    <w:p>
      <w:pPr>
        <w:spacing w:line="360" w:lineRule="auto"/>
        <w:ind w:firstLine="420" w:firstLineChars="200"/>
        <w:rPr>
          <w:rFonts w:ascii="宋体" w:hAnsi="宋体" w:cs="宋体"/>
          <w:szCs w:val="21"/>
        </w:rPr>
      </w:pPr>
      <w:r>
        <w:rPr>
          <w:rFonts w:hint="eastAsia" w:ascii="宋体" w:hAnsi="宋体" w:cs="宋体"/>
          <w:szCs w:val="21"/>
        </w:rPr>
        <w:t>（2）要求投标人对投标文件有关事项作出澄清或者说明；</w:t>
      </w:r>
    </w:p>
    <w:p>
      <w:pPr>
        <w:spacing w:line="360" w:lineRule="auto"/>
        <w:ind w:firstLine="420" w:firstLineChars="200"/>
        <w:rPr>
          <w:rFonts w:ascii="宋体" w:hAnsi="宋体" w:cs="宋体"/>
          <w:szCs w:val="21"/>
        </w:rPr>
      </w:pPr>
      <w:r>
        <w:rPr>
          <w:rFonts w:hint="eastAsia" w:ascii="宋体" w:hAnsi="宋体" w:cs="宋体"/>
          <w:szCs w:val="21"/>
        </w:rPr>
        <w:t>（3）对投标文件进行比较和评价；</w:t>
      </w:r>
    </w:p>
    <w:p>
      <w:pPr>
        <w:spacing w:line="360" w:lineRule="auto"/>
        <w:ind w:firstLine="420" w:firstLineChars="200"/>
        <w:rPr>
          <w:rFonts w:ascii="宋体" w:hAnsi="宋体" w:cs="宋体"/>
          <w:szCs w:val="21"/>
        </w:rPr>
      </w:pPr>
      <w:r>
        <w:rPr>
          <w:rFonts w:hint="eastAsia" w:ascii="宋体" w:hAnsi="宋体" w:cs="宋体"/>
          <w:szCs w:val="21"/>
        </w:rPr>
        <w:t>（4）确定中标候选人名单；</w:t>
      </w:r>
    </w:p>
    <w:p>
      <w:pPr>
        <w:spacing w:line="360" w:lineRule="auto"/>
        <w:ind w:firstLine="420" w:firstLineChars="200"/>
        <w:rPr>
          <w:rFonts w:ascii="宋体" w:hAnsi="宋体" w:cs="宋体"/>
          <w:szCs w:val="21"/>
        </w:rPr>
      </w:pPr>
      <w:r>
        <w:rPr>
          <w:rFonts w:hint="eastAsia" w:ascii="宋体" w:hAnsi="宋体" w:cs="宋体"/>
          <w:szCs w:val="21"/>
        </w:rPr>
        <w:t>（5）向采购人、采购代理机构或者有关部门报告评标中发现的违法行为。</w:t>
      </w:r>
    </w:p>
    <w:p>
      <w:pPr>
        <w:spacing w:line="360" w:lineRule="auto"/>
        <w:ind w:firstLine="422" w:firstLineChars="200"/>
        <w:rPr>
          <w:rFonts w:ascii="宋体" w:hAnsi="宋体" w:cs="宋体"/>
          <w:b/>
          <w:bCs/>
          <w:szCs w:val="21"/>
        </w:rPr>
      </w:pPr>
      <w:r>
        <w:rPr>
          <w:rFonts w:hint="eastAsia" w:ascii="宋体" w:hAnsi="宋体" w:cs="宋体"/>
          <w:b/>
          <w:bCs/>
          <w:szCs w:val="21"/>
        </w:rPr>
        <w:t>6.4  废标</w:t>
      </w:r>
    </w:p>
    <w:p>
      <w:pPr>
        <w:spacing w:line="360" w:lineRule="auto"/>
        <w:ind w:firstLine="420" w:firstLineChars="200"/>
        <w:rPr>
          <w:rFonts w:ascii="宋体" w:hAnsi="宋体" w:cs="宋体"/>
          <w:szCs w:val="21"/>
        </w:rPr>
      </w:pPr>
      <w:r>
        <w:rPr>
          <w:rFonts w:hint="eastAsia" w:ascii="宋体" w:hAnsi="宋体" w:cs="宋体"/>
          <w:szCs w:val="21"/>
        </w:rPr>
        <w:t>招标采购中，出现下列情形之一的，应予废标：</w:t>
      </w:r>
    </w:p>
    <w:p>
      <w:pPr>
        <w:spacing w:line="360" w:lineRule="auto"/>
        <w:ind w:firstLine="420" w:firstLineChars="200"/>
        <w:rPr>
          <w:rFonts w:ascii="宋体" w:hAnsi="宋体" w:cs="宋体"/>
          <w:szCs w:val="21"/>
        </w:rPr>
      </w:pPr>
      <w:r>
        <w:rPr>
          <w:rFonts w:hint="eastAsia" w:ascii="宋体" w:hAnsi="宋体" w:cs="宋体"/>
          <w:szCs w:val="21"/>
        </w:rPr>
        <w:t>（1）符合专业条件的投标人或者对招标文件作实质响应的投标人不足三家的；</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（3）投标人的报价均超过了采购预算，采购人不能支付的；</w:t>
      </w:r>
    </w:p>
    <w:p>
      <w:pPr>
        <w:spacing w:line="360" w:lineRule="auto"/>
        <w:ind w:firstLine="420" w:firstLineChars="200"/>
        <w:rPr>
          <w:rFonts w:ascii="宋体" w:hAnsi="宋体" w:cs="宋体"/>
          <w:szCs w:val="21"/>
        </w:rPr>
      </w:pPr>
      <w:r>
        <w:rPr>
          <w:rFonts w:hint="eastAsia" w:ascii="宋体" w:hAnsi="宋体" w:cs="宋体"/>
          <w:szCs w:val="21"/>
        </w:rPr>
        <w:t>（4）因重大变故，采购任务取消的。废标后，采购人应当将废标理由通知所有投标人。</w:t>
      </w:r>
    </w:p>
    <w:p>
      <w:pPr>
        <w:spacing w:line="360" w:lineRule="auto"/>
        <w:ind w:firstLine="422" w:firstLineChars="200"/>
        <w:rPr>
          <w:rFonts w:ascii="宋体" w:hAnsi="宋体" w:cs="宋体"/>
          <w:b/>
          <w:bCs/>
          <w:szCs w:val="21"/>
        </w:rPr>
      </w:pPr>
      <w:bookmarkStart w:id="176" w:name="_Toc17811"/>
      <w:bookmarkStart w:id="177" w:name="_Toc426369516"/>
      <w:bookmarkStart w:id="178" w:name="_Toc26569"/>
      <w:bookmarkStart w:id="179" w:name="_Toc22968"/>
      <w:bookmarkStart w:id="180" w:name="_Toc403122526"/>
      <w:bookmarkStart w:id="181" w:name="_Toc844"/>
      <w:bookmarkStart w:id="182" w:name="_Toc20316"/>
      <w:r>
        <w:rPr>
          <w:rFonts w:hint="eastAsia" w:ascii="宋体" w:hAnsi="宋体" w:cs="宋体"/>
          <w:b/>
          <w:bCs/>
          <w:szCs w:val="21"/>
        </w:rPr>
        <w:t>7. 合同授予</w:t>
      </w:r>
      <w:bookmarkEnd w:id="176"/>
      <w:bookmarkEnd w:id="177"/>
      <w:bookmarkEnd w:id="178"/>
      <w:bookmarkEnd w:id="179"/>
      <w:bookmarkEnd w:id="180"/>
      <w:bookmarkEnd w:id="181"/>
      <w:bookmarkEnd w:id="182"/>
    </w:p>
    <w:p>
      <w:pPr>
        <w:spacing w:line="360" w:lineRule="auto"/>
        <w:ind w:firstLine="422" w:firstLineChars="200"/>
        <w:rPr>
          <w:rFonts w:ascii="宋体" w:hAnsi="宋体" w:cs="宋体"/>
          <w:b/>
          <w:bCs/>
          <w:szCs w:val="21"/>
        </w:rPr>
      </w:pPr>
      <w:bookmarkStart w:id="183" w:name="_Toc274249610"/>
      <w:bookmarkStart w:id="184" w:name="_Toc403122527"/>
      <w:bookmarkStart w:id="185" w:name="_Toc426369517"/>
      <w:bookmarkStart w:id="186" w:name="_Toc279599806"/>
      <w:r>
        <w:rPr>
          <w:rFonts w:hint="eastAsia" w:ascii="宋体" w:hAnsi="宋体" w:cs="宋体"/>
          <w:b/>
          <w:bCs/>
          <w:szCs w:val="21"/>
        </w:rPr>
        <w:t>7.1 定标方式</w:t>
      </w:r>
      <w:bookmarkEnd w:id="183"/>
      <w:bookmarkEnd w:id="184"/>
      <w:bookmarkEnd w:id="185"/>
      <w:bookmarkEnd w:id="186"/>
    </w:p>
    <w:p>
      <w:pPr>
        <w:spacing w:line="360" w:lineRule="auto"/>
        <w:ind w:firstLine="420" w:firstLineChars="200"/>
        <w:rPr>
          <w:rFonts w:ascii="宋体" w:hAnsi="宋体" w:cs="宋体"/>
          <w:szCs w:val="21"/>
        </w:rPr>
      </w:pPr>
      <w:r>
        <w:rPr>
          <w:rFonts w:hint="eastAsia" w:ascii="宋体" w:hAnsi="宋体" w:cs="宋体"/>
          <w:szCs w:val="21"/>
        </w:rPr>
        <w:t>7.1.1采购人依据评标委员会推荐的中标候选人确定中标人，评标委员会推荐中标人候选人的人数见供应商须知前附表。</w:t>
      </w:r>
    </w:p>
    <w:p>
      <w:pPr>
        <w:spacing w:line="360" w:lineRule="auto"/>
        <w:ind w:firstLine="420" w:firstLineChars="200"/>
        <w:rPr>
          <w:rFonts w:ascii="宋体" w:hAnsi="宋体" w:cs="宋体"/>
          <w:szCs w:val="21"/>
        </w:rPr>
      </w:pPr>
      <w:r>
        <w:rPr>
          <w:rFonts w:hint="eastAsia" w:ascii="宋体" w:hAnsi="宋体" w:cs="宋体"/>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360" w:lineRule="auto"/>
        <w:ind w:firstLine="422" w:firstLineChars="200"/>
        <w:rPr>
          <w:rFonts w:ascii="宋体" w:hAnsi="宋体" w:cs="宋体"/>
          <w:b/>
          <w:bCs/>
          <w:szCs w:val="21"/>
        </w:rPr>
      </w:pPr>
      <w:bookmarkStart w:id="187" w:name="_Toc279599807"/>
      <w:bookmarkStart w:id="188" w:name="_Toc426369518"/>
      <w:bookmarkStart w:id="189" w:name="_Toc403122528"/>
      <w:bookmarkStart w:id="190" w:name="_Toc274249611"/>
      <w:r>
        <w:rPr>
          <w:rFonts w:hint="eastAsia" w:ascii="宋体" w:hAnsi="宋体" w:cs="宋体"/>
          <w:b/>
          <w:bCs/>
          <w:szCs w:val="21"/>
        </w:rPr>
        <w:t>7.2 中标通知</w:t>
      </w:r>
      <w:bookmarkEnd w:id="187"/>
      <w:bookmarkEnd w:id="188"/>
      <w:bookmarkEnd w:id="189"/>
      <w:bookmarkEnd w:id="190"/>
    </w:p>
    <w:p>
      <w:pPr>
        <w:spacing w:line="360" w:lineRule="auto"/>
        <w:ind w:firstLine="420" w:firstLineChars="200"/>
        <w:rPr>
          <w:rFonts w:ascii="宋体" w:hAnsi="宋体" w:cs="宋体"/>
          <w:szCs w:val="21"/>
        </w:rPr>
      </w:pPr>
      <w:r>
        <w:rPr>
          <w:rFonts w:hint="eastAsia" w:ascii="宋体" w:hAnsi="宋体" w:cs="宋体"/>
          <w:szCs w:val="21"/>
        </w:rPr>
        <w:t xml:space="preserve">7.2.1 在本章第3.3款规定的投标有效期内，采购人以书面形式向中标人发出中标通知书，同时将中标结果通知未中标的投标人。 </w:t>
      </w:r>
    </w:p>
    <w:p>
      <w:pPr>
        <w:spacing w:line="360" w:lineRule="auto"/>
        <w:ind w:firstLine="420" w:firstLineChars="200"/>
        <w:rPr>
          <w:rFonts w:ascii="宋体" w:hAnsi="宋体" w:cs="宋体"/>
          <w:szCs w:val="21"/>
        </w:rPr>
      </w:pPr>
      <w:r>
        <w:rPr>
          <w:rFonts w:hint="eastAsia" w:ascii="宋体" w:hAnsi="宋体" w:cs="宋体"/>
          <w:szCs w:val="21"/>
        </w:rPr>
        <w:t>7.2.2中标人在领取中标通知书后应及时到相关部门办理中标后的备案手续。</w:t>
      </w:r>
    </w:p>
    <w:p>
      <w:pPr>
        <w:spacing w:line="360" w:lineRule="auto"/>
        <w:ind w:firstLine="422" w:firstLineChars="200"/>
        <w:rPr>
          <w:rFonts w:ascii="宋体" w:hAnsi="宋体" w:cs="宋体"/>
          <w:b/>
          <w:bCs/>
          <w:szCs w:val="21"/>
        </w:rPr>
      </w:pPr>
      <w:bookmarkStart w:id="191" w:name="_Toc311550376"/>
      <w:bookmarkStart w:id="192" w:name="_Toc279599808"/>
      <w:bookmarkStart w:id="193" w:name="_Toc274249612"/>
      <w:bookmarkStart w:id="194" w:name="_Toc426369519"/>
      <w:bookmarkStart w:id="195" w:name="_Toc403122529"/>
      <w:r>
        <w:rPr>
          <w:rFonts w:hint="eastAsia" w:ascii="宋体" w:hAnsi="宋体" w:cs="宋体"/>
          <w:b/>
          <w:bCs/>
          <w:szCs w:val="21"/>
        </w:rPr>
        <w:t>7.3履约</w:t>
      </w:r>
      <w:bookmarkEnd w:id="191"/>
      <w:bookmarkEnd w:id="192"/>
      <w:bookmarkEnd w:id="193"/>
      <w:r>
        <w:rPr>
          <w:rFonts w:hint="eastAsia" w:ascii="宋体" w:hAnsi="宋体" w:cs="宋体"/>
          <w:b/>
          <w:bCs/>
          <w:szCs w:val="21"/>
        </w:rPr>
        <w:t>保证金</w:t>
      </w:r>
      <w:bookmarkEnd w:id="194"/>
      <w:bookmarkEnd w:id="195"/>
    </w:p>
    <w:p>
      <w:pPr>
        <w:spacing w:line="360" w:lineRule="auto"/>
        <w:ind w:firstLine="420" w:firstLineChars="200"/>
        <w:rPr>
          <w:rFonts w:ascii="宋体" w:hAnsi="宋体" w:cs="宋体"/>
          <w:szCs w:val="21"/>
        </w:rPr>
      </w:pPr>
      <w:r>
        <w:rPr>
          <w:rFonts w:hint="eastAsia" w:ascii="宋体" w:hAnsi="宋体" w:cs="宋体"/>
          <w:szCs w:val="21"/>
        </w:rPr>
        <w:t>7.3.1履约保证金：无</w:t>
      </w:r>
    </w:p>
    <w:p>
      <w:pPr>
        <w:spacing w:line="360" w:lineRule="auto"/>
        <w:ind w:firstLine="420" w:firstLineChars="200"/>
        <w:rPr>
          <w:rFonts w:ascii="宋体" w:hAnsi="宋体" w:cs="宋体"/>
          <w:szCs w:val="21"/>
        </w:rPr>
      </w:pPr>
      <w:r>
        <w:rPr>
          <w:rFonts w:hint="eastAsia" w:ascii="宋体" w:hAnsi="宋体" w:cs="宋体"/>
          <w:szCs w:val="21"/>
        </w:rPr>
        <w:t>7.3.2投标保证金：无</w:t>
      </w:r>
    </w:p>
    <w:p>
      <w:pPr>
        <w:spacing w:line="360" w:lineRule="auto"/>
        <w:ind w:firstLine="422" w:firstLineChars="200"/>
        <w:rPr>
          <w:rFonts w:ascii="宋体" w:hAnsi="宋体" w:cs="宋体"/>
          <w:b/>
          <w:bCs/>
          <w:szCs w:val="21"/>
        </w:rPr>
      </w:pPr>
      <w:bookmarkStart w:id="196" w:name="_Toc403122530"/>
      <w:bookmarkStart w:id="197" w:name="_Toc426369520"/>
      <w:bookmarkStart w:id="198" w:name="_Toc274249613"/>
      <w:bookmarkStart w:id="199" w:name="_Toc279599809"/>
      <w:r>
        <w:rPr>
          <w:rFonts w:hint="eastAsia" w:ascii="宋体" w:hAnsi="宋体" w:cs="宋体"/>
          <w:b/>
          <w:bCs/>
          <w:szCs w:val="21"/>
        </w:rPr>
        <w:t>7.4 签订合同</w:t>
      </w:r>
      <w:bookmarkEnd w:id="196"/>
      <w:bookmarkEnd w:id="197"/>
      <w:bookmarkEnd w:id="198"/>
      <w:bookmarkEnd w:id="199"/>
    </w:p>
    <w:p>
      <w:pPr>
        <w:spacing w:line="360" w:lineRule="auto"/>
        <w:ind w:firstLine="420" w:firstLineChars="200"/>
        <w:rPr>
          <w:rFonts w:ascii="宋体" w:hAnsi="宋体" w:cs="宋体"/>
          <w:szCs w:val="21"/>
        </w:rPr>
      </w:pPr>
      <w:r>
        <w:rPr>
          <w:rFonts w:hint="eastAsia" w:ascii="宋体" w:hAnsi="宋体" w:cs="宋体"/>
          <w:szCs w:val="21"/>
        </w:rPr>
        <w:t xml:space="preserve">7.4.1  </w:t>
      </w:r>
      <w:r>
        <w:rPr>
          <w:rFonts w:hint="eastAsia" w:ascii="宋体" w:hAnsi="宋体" w:cs="宋体"/>
          <w:szCs w:val="21"/>
          <w:lang w:eastAsia="zh-CN"/>
        </w:rPr>
        <w:t>当</w:t>
      </w:r>
      <w:r>
        <w:rPr>
          <w:rFonts w:hint="eastAsia" w:ascii="宋体" w:hAnsi="宋体" w:cs="宋体"/>
          <w:szCs w:val="21"/>
        </w:rPr>
        <w:t>中标人的投标报价</w:t>
      </w:r>
      <w:r>
        <w:rPr>
          <w:rFonts w:hint="eastAsia" w:ascii="宋体" w:hAnsi="宋体" w:cs="宋体"/>
          <w:szCs w:val="21"/>
          <w:lang w:eastAsia="zh-CN"/>
        </w:rPr>
        <w:t>低于</w:t>
      </w:r>
      <w:r>
        <w:rPr>
          <w:rFonts w:hint="eastAsia" w:ascii="宋体" w:hAnsi="宋体" w:cs="宋体"/>
          <w:szCs w:val="21"/>
        </w:rPr>
        <w:t>控制价的95%时</w:t>
      </w:r>
      <w:r>
        <w:rPr>
          <w:rFonts w:hint="eastAsia" w:ascii="宋体" w:hAnsi="宋体" w:cs="宋体"/>
          <w:szCs w:val="21"/>
          <w:lang w:eastAsia="zh-CN"/>
        </w:rPr>
        <w:t>即为</w:t>
      </w:r>
      <w:r>
        <w:rPr>
          <w:rFonts w:hint="eastAsia" w:ascii="宋体" w:hAnsi="宋体" w:cs="宋体"/>
          <w:szCs w:val="21"/>
        </w:rPr>
        <w:t>为中标价</w:t>
      </w:r>
      <w:r>
        <w:rPr>
          <w:rFonts w:hint="eastAsia" w:ascii="宋体" w:hAnsi="宋体" w:cs="宋体"/>
          <w:szCs w:val="21"/>
          <w:lang w:eastAsia="zh-CN"/>
        </w:rPr>
        <w:t>；当中标人的投标报价高于控制价的95%时，该中标人的中标价按控制价的95%执行</w:t>
      </w:r>
      <w:r>
        <w:rPr>
          <w:rFonts w:hint="eastAsia" w:ascii="宋体" w:hAnsi="宋体" w:cs="宋体"/>
          <w:b/>
          <w:bCs/>
          <w:color w:val="auto"/>
          <w:szCs w:val="21"/>
        </w:rPr>
        <w:t>。</w:t>
      </w:r>
      <w:r>
        <w:rPr>
          <w:rFonts w:hint="eastAsia" w:ascii="宋体" w:hAnsi="宋体" w:cs="宋体"/>
          <w:szCs w:val="21"/>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360" w:lineRule="auto"/>
        <w:ind w:firstLine="420" w:firstLineChars="200"/>
        <w:rPr>
          <w:rFonts w:ascii="宋体" w:hAnsi="宋体" w:cs="宋体"/>
          <w:szCs w:val="21"/>
        </w:rPr>
      </w:pPr>
      <w:r>
        <w:rPr>
          <w:rFonts w:hint="eastAsia" w:ascii="宋体" w:hAnsi="宋体" w:cs="宋体"/>
          <w:szCs w:val="21"/>
        </w:rPr>
        <w:t>7.4.2  发出中标通知书后，采购人无正当理由拒签合同的，给中标人造成损失的，还应当赔偿损失。</w:t>
      </w:r>
    </w:p>
    <w:p>
      <w:pPr>
        <w:spacing w:line="360" w:lineRule="auto"/>
        <w:ind w:firstLine="422" w:firstLineChars="200"/>
        <w:rPr>
          <w:rFonts w:ascii="宋体" w:hAnsi="宋体" w:cs="宋体"/>
          <w:b/>
          <w:bCs/>
          <w:szCs w:val="21"/>
        </w:rPr>
      </w:pPr>
      <w:bookmarkStart w:id="200" w:name="_Toc6284"/>
      <w:bookmarkStart w:id="201" w:name="_Toc10417"/>
      <w:bookmarkStart w:id="202" w:name="_Toc426369521"/>
      <w:bookmarkStart w:id="203" w:name="_Toc12657"/>
      <w:bookmarkStart w:id="204" w:name="_Toc10541"/>
      <w:bookmarkStart w:id="205" w:name="_Toc403122531"/>
      <w:bookmarkStart w:id="206" w:name="_Toc30009"/>
      <w:r>
        <w:rPr>
          <w:rFonts w:hint="eastAsia" w:ascii="宋体" w:hAnsi="宋体" w:cs="宋体"/>
          <w:b/>
          <w:bCs/>
          <w:szCs w:val="21"/>
        </w:rPr>
        <w:t>8. 重新招标</w:t>
      </w:r>
      <w:bookmarkEnd w:id="200"/>
      <w:bookmarkEnd w:id="201"/>
      <w:bookmarkEnd w:id="202"/>
      <w:bookmarkEnd w:id="203"/>
      <w:bookmarkEnd w:id="204"/>
      <w:bookmarkEnd w:id="205"/>
      <w:bookmarkEnd w:id="206"/>
    </w:p>
    <w:p>
      <w:pPr>
        <w:spacing w:line="360" w:lineRule="auto"/>
        <w:ind w:firstLine="422" w:firstLineChars="200"/>
        <w:rPr>
          <w:rFonts w:ascii="宋体" w:hAnsi="宋体" w:cs="宋体"/>
          <w:b/>
          <w:bCs/>
          <w:szCs w:val="21"/>
        </w:rPr>
      </w:pPr>
      <w:bookmarkStart w:id="207" w:name="_Toc403122532"/>
      <w:bookmarkStart w:id="208" w:name="_Toc426369522"/>
      <w:bookmarkStart w:id="209" w:name="_Toc279599811"/>
      <w:bookmarkStart w:id="210" w:name="_Toc274249615"/>
      <w:r>
        <w:rPr>
          <w:rFonts w:hint="eastAsia" w:ascii="宋体" w:hAnsi="宋体" w:cs="宋体"/>
          <w:b/>
          <w:bCs/>
          <w:szCs w:val="21"/>
        </w:rPr>
        <w:t>8.1 重新招标</w:t>
      </w:r>
      <w:bookmarkEnd w:id="207"/>
      <w:bookmarkEnd w:id="208"/>
      <w:bookmarkEnd w:id="209"/>
      <w:bookmarkEnd w:id="210"/>
    </w:p>
    <w:p>
      <w:pPr>
        <w:spacing w:line="360" w:lineRule="auto"/>
        <w:ind w:firstLine="420" w:firstLineChars="200"/>
        <w:rPr>
          <w:rFonts w:ascii="宋体" w:hAnsi="宋体" w:cs="宋体"/>
          <w:szCs w:val="21"/>
        </w:rPr>
      </w:pPr>
      <w:r>
        <w:rPr>
          <w:rFonts w:hint="eastAsia" w:ascii="宋体" w:hAnsi="宋体" w:cs="宋体"/>
          <w:szCs w:val="21"/>
        </w:rPr>
        <w:t xml:space="preserve">有下列情形之一的，采购人将重新招标： </w:t>
      </w:r>
    </w:p>
    <w:p>
      <w:pPr>
        <w:spacing w:line="360" w:lineRule="auto"/>
        <w:ind w:firstLine="420" w:firstLineChars="200"/>
        <w:rPr>
          <w:rFonts w:ascii="宋体" w:hAnsi="宋体" w:cs="宋体"/>
          <w:szCs w:val="21"/>
        </w:rPr>
      </w:pPr>
      <w:r>
        <w:rPr>
          <w:rFonts w:hint="eastAsia" w:ascii="宋体" w:hAnsi="宋体" w:cs="宋体"/>
          <w:szCs w:val="21"/>
        </w:rPr>
        <w:t xml:space="preserve">（1）投标截止时间止，供应商少于3个的； </w:t>
      </w:r>
    </w:p>
    <w:p>
      <w:pPr>
        <w:spacing w:line="360" w:lineRule="auto"/>
        <w:ind w:firstLine="420" w:firstLineChars="200"/>
        <w:rPr>
          <w:rFonts w:ascii="宋体" w:hAnsi="宋体" w:cs="宋体"/>
          <w:szCs w:val="21"/>
        </w:rPr>
      </w:pPr>
      <w:r>
        <w:rPr>
          <w:rFonts w:hint="eastAsia" w:ascii="宋体" w:hAnsi="宋体" w:cs="宋体"/>
          <w:szCs w:val="21"/>
        </w:rPr>
        <w:t xml:space="preserve">（2）经评标委员会评审后否决所有投标的。 </w:t>
      </w:r>
    </w:p>
    <w:p>
      <w:pPr>
        <w:spacing w:line="360" w:lineRule="auto"/>
        <w:ind w:firstLine="422" w:firstLineChars="200"/>
        <w:rPr>
          <w:rFonts w:ascii="宋体" w:hAnsi="宋体" w:cs="宋体"/>
          <w:b/>
          <w:bCs/>
          <w:szCs w:val="21"/>
        </w:rPr>
      </w:pPr>
      <w:bookmarkStart w:id="211" w:name="_Toc27398"/>
      <w:bookmarkStart w:id="212" w:name="_Toc25365"/>
      <w:bookmarkStart w:id="213" w:name="_Toc403122533"/>
      <w:bookmarkStart w:id="214" w:name="_Toc14359"/>
      <w:bookmarkStart w:id="215" w:name="_Toc3760"/>
      <w:bookmarkStart w:id="216" w:name="_Toc10372"/>
      <w:bookmarkStart w:id="217" w:name="_Toc426369523"/>
      <w:r>
        <w:rPr>
          <w:rFonts w:hint="eastAsia" w:ascii="宋体" w:hAnsi="宋体" w:cs="宋体"/>
          <w:b/>
          <w:bCs/>
          <w:szCs w:val="21"/>
        </w:rPr>
        <w:t>9. 纪律和监督</w:t>
      </w:r>
      <w:bookmarkEnd w:id="211"/>
      <w:bookmarkEnd w:id="212"/>
      <w:bookmarkEnd w:id="213"/>
      <w:bookmarkEnd w:id="214"/>
      <w:bookmarkEnd w:id="215"/>
      <w:bookmarkEnd w:id="216"/>
      <w:bookmarkEnd w:id="217"/>
    </w:p>
    <w:p>
      <w:pPr>
        <w:spacing w:line="360" w:lineRule="auto"/>
        <w:ind w:firstLine="422" w:firstLineChars="200"/>
        <w:rPr>
          <w:rFonts w:ascii="宋体" w:hAnsi="宋体" w:cs="宋体"/>
          <w:b/>
          <w:bCs/>
          <w:szCs w:val="21"/>
        </w:rPr>
      </w:pPr>
      <w:bookmarkStart w:id="218" w:name="_Toc403122534"/>
      <w:bookmarkStart w:id="219" w:name="_Toc279599814"/>
      <w:bookmarkStart w:id="220" w:name="_Toc426369524"/>
      <w:bookmarkStart w:id="221" w:name="_Toc274249618"/>
      <w:r>
        <w:rPr>
          <w:rFonts w:hint="eastAsia" w:ascii="宋体" w:hAnsi="宋体" w:cs="宋体"/>
          <w:b/>
          <w:bCs/>
          <w:szCs w:val="21"/>
        </w:rPr>
        <w:t>9.1 对采购人的纪律要求</w:t>
      </w:r>
      <w:bookmarkEnd w:id="218"/>
      <w:bookmarkEnd w:id="219"/>
      <w:bookmarkEnd w:id="220"/>
      <w:bookmarkEnd w:id="221"/>
    </w:p>
    <w:p>
      <w:pPr>
        <w:spacing w:line="360" w:lineRule="auto"/>
        <w:ind w:firstLine="420" w:firstLineChars="200"/>
        <w:rPr>
          <w:rFonts w:ascii="宋体" w:hAnsi="宋体" w:cs="宋体"/>
          <w:szCs w:val="21"/>
        </w:rPr>
      </w:pPr>
      <w:r>
        <w:rPr>
          <w:rFonts w:hint="eastAsia" w:ascii="宋体" w:hAnsi="宋体" w:cs="宋体"/>
          <w:szCs w:val="21"/>
        </w:rPr>
        <w:t xml:space="preserve">采购人不得泄漏招标投标活动中应当保密的情况和资料，不得与供应商串通损害国家利益、社会公共利益或者他人合法权益。 </w:t>
      </w:r>
    </w:p>
    <w:p>
      <w:pPr>
        <w:spacing w:line="360" w:lineRule="auto"/>
        <w:ind w:firstLine="422" w:firstLineChars="200"/>
        <w:rPr>
          <w:rFonts w:ascii="宋体" w:hAnsi="宋体" w:cs="宋体"/>
          <w:b/>
          <w:bCs/>
          <w:szCs w:val="21"/>
        </w:rPr>
      </w:pPr>
      <w:bookmarkStart w:id="222" w:name="_Toc426369525"/>
      <w:bookmarkStart w:id="223" w:name="_Toc274249619"/>
      <w:bookmarkStart w:id="224" w:name="_Toc403122535"/>
      <w:bookmarkStart w:id="225" w:name="_Toc279599815"/>
      <w:r>
        <w:rPr>
          <w:rFonts w:hint="eastAsia" w:ascii="宋体" w:hAnsi="宋体" w:cs="宋体"/>
          <w:b/>
          <w:bCs/>
          <w:szCs w:val="21"/>
        </w:rPr>
        <w:t>9.2 对投标人的纪律要求</w:t>
      </w:r>
      <w:bookmarkEnd w:id="222"/>
      <w:bookmarkEnd w:id="223"/>
      <w:bookmarkEnd w:id="224"/>
      <w:bookmarkEnd w:id="225"/>
    </w:p>
    <w:p>
      <w:pPr>
        <w:spacing w:line="360" w:lineRule="auto"/>
        <w:ind w:firstLine="420" w:firstLineChars="200"/>
        <w:rPr>
          <w:rFonts w:ascii="宋体" w:hAnsi="宋体" w:cs="宋体"/>
          <w:szCs w:val="21"/>
        </w:rPr>
      </w:pPr>
      <w:r>
        <w:rPr>
          <w:rFonts w:hint="eastAsia" w:ascii="宋体" w:hAnsi="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360" w:lineRule="auto"/>
        <w:ind w:firstLine="422" w:firstLineChars="200"/>
        <w:rPr>
          <w:rFonts w:ascii="宋体" w:hAnsi="宋体" w:cs="宋体"/>
          <w:b/>
          <w:bCs/>
          <w:szCs w:val="21"/>
        </w:rPr>
      </w:pPr>
      <w:bookmarkStart w:id="226" w:name="_Toc403122536"/>
      <w:bookmarkStart w:id="227" w:name="_Toc426369526"/>
      <w:bookmarkStart w:id="228" w:name="_Toc274249620"/>
      <w:bookmarkStart w:id="229" w:name="_Toc279599816"/>
      <w:r>
        <w:rPr>
          <w:rFonts w:hint="eastAsia" w:ascii="宋体" w:hAnsi="宋体" w:cs="宋体"/>
          <w:b/>
          <w:bCs/>
          <w:szCs w:val="21"/>
        </w:rPr>
        <w:t>9.3 对评标委员会成员的纪律要求</w:t>
      </w:r>
      <w:bookmarkEnd w:id="226"/>
      <w:bookmarkEnd w:id="227"/>
      <w:bookmarkEnd w:id="228"/>
      <w:bookmarkEnd w:id="229"/>
    </w:p>
    <w:p>
      <w:pPr>
        <w:spacing w:line="360" w:lineRule="auto"/>
        <w:ind w:firstLine="420" w:firstLineChars="200"/>
        <w:rPr>
          <w:rFonts w:ascii="宋体" w:hAnsi="宋体" w:cs="宋体"/>
          <w:szCs w:val="21"/>
        </w:rPr>
      </w:pPr>
      <w:r>
        <w:rPr>
          <w:rFonts w:hint="eastAsia" w:ascii="宋体" w:hAnsi="宋体" w:cs="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360" w:lineRule="auto"/>
        <w:ind w:firstLine="422" w:firstLineChars="200"/>
        <w:rPr>
          <w:rFonts w:ascii="宋体" w:hAnsi="宋体" w:cs="宋体"/>
          <w:b/>
          <w:bCs/>
          <w:szCs w:val="21"/>
        </w:rPr>
      </w:pPr>
      <w:bookmarkStart w:id="230" w:name="_Toc426369527"/>
      <w:bookmarkStart w:id="231" w:name="_Toc279599817"/>
      <w:bookmarkStart w:id="232" w:name="_Toc403122537"/>
      <w:bookmarkStart w:id="233" w:name="_Toc274249621"/>
      <w:r>
        <w:rPr>
          <w:rFonts w:hint="eastAsia" w:ascii="宋体" w:hAnsi="宋体" w:cs="宋体"/>
          <w:b/>
          <w:bCs/>
          <w:szCs w:val="21"/>
        </w:rPr>
        <w:t>9.4 对与评标活动有关的工作人员的纪律要求</w:t>
      </w:r>
      <w:bookmarkEnd w:id="230"/>
      <w:bookmarkEnd w:id="231"/>
      <w:bookmarkEnd w:id="232"/>
      <w:bookmarkEnd w:id="233"/>
    </w:p>
    <w:p>
      <w:pPr>
        <w:spacing w:line="360" w:lineRule="auto"/>
        <w:ind w:firstLine="420" w:firstLineChars="200"/>
        <w:rPr>
          <w:rFonts w:ascii="宋体" w:hAnsi="宋体" w:cs="宋体"/>
          <w:szCs w:val="21"/>
        </w:rPr>
      </w:pPr>
      <w:r>
        <w:rPr>
          <w:rFonts w:hint="eastAsia" w:ascii="宋体" w:hAnsi="宋体" w:cs="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360" w:lineRule="auto"/>
        <w:ind w:firstLine="422" w:firstLineChars="200"/>
        <w:rPr>
          <w:rFonts w:ascii="宋体" w:hAnsi="宋体" w:cs="宋体"/>
          <w:b/>
          <w:bCs/>
          <w:szCs w:val="21"/>
        </w:rPr>
      </w:pPr>
      <w:bookmarkStart w:id="234" w:name="_Toc274249622"/>
      <w:bookmarkStart w:id="235" w:name="_Toc403122538"/>
      <w:bookmarkStart w:id="236" w:name="_Toc279599818"/>
      <w:bookmarkStart w:id="237" w:name="_Toc426369528"/>
      <w:r>
        <w:rPr>
          <w:rFonts w:hint="eastAsia" w:ascii="宋体" w:hAnsi="宋体" w:cs="宋体"/>
          <w:b/>
          <w:bCs/>
          <w:szCs w:val="21"/>
        </w:rPr>
        <w:t>9.5 投诉</w:t>
      </w:r>
      <w:bookmarkEnd w:id="234"/>
      <w:bookmarkEnd w:id="235"/>
      <w:bookmarkEnd w:id="236"/>
      <w:bookmarkEnd w:id="237"/>
    </w:p>
    <w:p>
      <w:pPr>
        <w:spacing w:line="360" w:lineRule="auto"/>
        <w:ind w:firstLine="420" w:firstLineChars="200"/>
        <w:rPr>
          <w:rFonts w:ascii="宋体" w:hAnsi="宋体" w:cs="宋体"/>
          <w:szCs w:val="21"/>
        </w:rPr>
      </w:pPr>
      <w:r>
        <w:rPr>
          <w:rFonts w:hint="eastAsia" w:ascii="宋体" w:hAnsi="宋体" w:cs="宋体"/>
          <w:szCs w:val="21"/>
        </w:rPr>
        <w:t xml:space="preserve">供应商和其他利害关系人认为本次招标活动违反法律、法规和规章规定的，有权向有关行政监督部门投诉。 </w:t>
      </w:r>
    </w:p>
    <w:p>
      <w:pPr>
        <w:spacing w:line="360" w:lineRule="auto"/>
        <w:ind w:firstLine="422" w:firstLineChars="200"/>
        <w:rPr>
          <w:rFonts w:ascii="宋体" w:hAnsi="宋体" w:cs="宋体"/>
          <w:b/>
          <w:bCs/>
          <w:szCs w:val="21"/>
        </w:rPr>
      </w:pPr>
      <w:bookmarkStart w:id="238" w:name="_Toc13602"/>
      <w:bookmarkStart w:id="239" w:name="_Toc426369529"/>
      <w:bookmarkStart w:id="240" w:name="_Toc13281"/>
      <w:bookmarkStart w:id="241" w:name="_Toc403122539"/>
      <w:bookmarkStart w:id="242" w:name="_Toc10880"/>
      <w:bookmarkStart w:id="243" w:name="_Toc23962"/>
      <w:bookmarkStart w:id="244" w:name="_Toc25080"/>
      <w:r>
        <w:rPr>
          <w:rFonts w:hint="eastAsia" w:ascii="宋体" w:hAnsi="宋体" w:cs="宋体"/>
          <w:b/>
          <w:bCs/>
          <w:szCs w:val="21"/>
        </w:rPr>
        <w:t>10. 需要补充的其他内容</w:t>
      </w:r>
      <w:bookmarkEnd w:id="238"/>
      <w:bookmarkEnd w:id="239"/>
      <w:bookmarkEnd w:id="240"/>
      <w:bookmarkEnd w:id="241"/>
      <w:bookmarkEnd w:id="242"/>
      <w:bookmarkEnd w:id="243"/>
      <w:bookmarkEnd w:id="244"/>
    </w:p>
    <w:p>
      <w:pPr>
        <w:spacing w:line="360" w:lineRule="auto"/>
        <w:ind w:firstLine="422" w:firstLineChars="200"/>
        <w:rPr>
          <w:rFonts w:ascii="宋体" w:hAnsi="宋体" w:cs="宋体"/>
          <w:b/>
          <w:bCs/>
          <w:szCs w:val="21"/>
        </w:rPr>
      </w:pPr>
      <w:r>
        <w:rPr>
          <w:rFonts w:hint="eastAsia" w:ascii="宋体" w:hAnsi="宋体" w:cs="宋体"/>
          <w:b/>
          <w:bCs/>
          <w:szCs w:val="21"/>
        </w:rPr>
        <w:t>10.1 费用承担</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（3）供应商与采购人签订合同后，将合同报采购代理机构备案。</w:t>
      </w:r>
    </w:p>
    <w:p>
      <w:pPr>
        <w:spacing w:line="360" w:lineRule="auto"/>
        <w:ind w:firstLine="422" w:firstLineChars="200"/>
        <w:rPr>
          <w:rFonts w:ascii="宋体" w:hAnsi="宋体" w:cs="宋体"/>
          <w:b/>
          <w:bCs/>
          <w:szCs w:val="21"/>
        </w:rPr>
      </w:pPr>
      <w:r>
        <w:rPr>
          <w:rFonts w:hint="eastAsia" w:ascii="宋体" w:hAnsi="宋体" w:cs="宋体"/>
          <w:b/>
          <w:bCs/>
          <w:szCs w:val="21"/>
        </w:rPr>
        <w:t>10.2本招标文件未尽事宜，按《中华人民共和国政府采购法》等法律法规的有关规定执行。</w:t>
      </w:r>
    </w:p>
    <w:p>
      <w:pPr>
        <w:pStyle w:val="10"/>
        <w:spacing w:line="360" w:lineRule="auto"/>
        <w:ind w:firstLine="420" w:firstLineChars="200"/>
        <w:rPr>
          <w:rFonts w:ascii="宋体" w:hAnsi="宋体" w:cs="宋体"/>
          <w:szCs w:val="21"/>
        </w:rPr>
      </w:pPr>
      <w:r>
        <w:rPr>
          <w:rFonts w:hint="eastAsia" w:ascii="宋体" w:hAnsi="宋体" w:cs="宋体"/>
          <w:szCs w:val="21"/>
        </w:rPr>
        <w:br w:type="page"/>
      </w:r>
    </w:p>
    <w:p>
      <w:pPr>
        <w:pStyle w:val="22"/>
        <w:numPr>
          <w:ilvl w:val="0"/>
          <w:numId w:val="3"/>
        </w:numPr>
        <w:spacing w:line="600" w:lineRule="exact"/>
        <w:ind w:right="-63" w:rightChars="-30"/>
        <w:rPr>
          <w:rFonts w:ascii="宋体" w:hAnsi="宋体" w:eastAsia="宋体" w:cs="宋体"/>
          <w:sz w:val="28"/>
          <w:szCs w:val="28"/>
        </w:rPr>
      </w:pPr>
      <w:bookmarkStart w:id="245" w:name="_Toc28433"/>
      <w:bookmarkStart w:id="246" w:name="_Toc403122540"/>
      <w:bookmarkStart w:id="247" w:name="_Toc426369530"/>
      <w:bookmarkStart w:id="248" w:name="_Toc15006"/>
      <w:r>
        <w:rPr>
          <w:rFonts w:hint="eastAsia" w:ascii="宋体" w:hAnsi="宋体" w:eastAsia="宋体" w:cs="宋体"/>
          <w:sz w:val="28"/>
          <w:szCs w:val="28"/>
        </w:rPr>
        <w:t>评标办法</w:t>
      </w:r>
      <w:bookmarkEnd w:id="245"/>
      <w:bookmarkEnd w:id="246"/>
      <w:bookmarkEnd w:id="247"/>
      <w:r>
        <w:rPr>
          <w:rFonts w:hint="eastAsia" w:ascii="宋体" w:hAnsi="宋体" w:eastAsia="宋体" w:cs="宋体"/>
          <w:sz w:val="28"/>
          <w:szCs w:val="28"/>
        </w:rPr>
        <w:t>（综合评分法）</w:t>
      </w:r>
      <w:bookmarkEnd w:id="248"/>
    </w:p>
    <w:p>
      <w:pPr>
        <w:pStyle w:val="46"/>
        <w:widowControl w:val="0"/>
        <w:spacing w:line="360" w:lineRule="auto"/>
        <w:jc w:val="center"/>
        <w:rPr>
          <w:rFonts w:ascii="宋体" w:hAnsi="宋体" w:cs="宋体"/>
          <w:b/>
          <w:bCs/>
          <w:sz w:val="28"/>
          <w:szCs w:val="28"/>
        </w:rPr>
      </w:pPr>
      <w:r>
        <w:rPr>
          <w:rFonts w:hint="eastAsia" w:ascii="宋体" w:hAnsi="宋体" w:cs="宋体"/>
          <w:b/>
          <w:bCs/>
          <w:sz w:val="28"/>
          <w:szCs w:val="28"/>
        </w:rPr>
        <w:t>评分办法前附表</w:t>
      </w:r>
    </w:p>
    <w:tbl>
      <w:tblPr>
        <w:tblStyle w:val="26"/>
        <w:tblpPr w:leftFromText="180" w:rightFromText="180" w:vertAnchor="text" w:horzAnchor="page" w:tblpXSpec="center" w:tblpY="640"/>
        <w:tblOverlap w:val="never"/>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125"/>
        <w:gridCol w:w="2119"/>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r>
              <w:rPr>
                <w:rFonts w:hint="eastAsia"/>
              </w:rPr>
              <w:t>审查主体</w:t>
            </w:r>
          </w:p>
        </w:tc>
        <w:tc>
          <w:tcPr>
            <w:tcW w:w="3244" w:type="dxa"/>
            <w:gridSpan w:val="2"/>
            <w:vAlign w:val="center"/>
          </w:tcPr>
          <w:p>
            <w:r>
              <w:rPr>
                <w:rFonts w:hint="eastAsia"/>
              </w:rPr>
              <w:t>评审因素</w:t>
            </w:r>
          </w:p>
        </w:tc>
        <w:tc>
          <w:tcPr>
            <w:tcW w:w="4792"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vAlign w:val="center"/>
          </w:tcPr>
          <w:p>
            <w:r>
              <w:rPr>
                <w:rFonts w:hint="eastAsia"/>
              </w:rPr>
              <w:t>资格审查小组</w:t>
            </w:r>
          </w:p>
        </w:tc>
        <w:tc>
          <w:tcPr>
            <w:tcW w:w="1125" w:type="dxa"/>
            <w:vMerge w:val="restart"/>
            <w:vAlign w:val="center"/>
          </w:tcPr>
          <w:p>
            <w:r>
              <w:rPr>
                <w:rFonts w:hint="eastAsia"/>
              </w:rPr>
              <w:t>一、资格评审标准</w:t>
            </w:r>
          </w:p>
        </w:tc>
        <w:tc>
          <w:tcPr>
            <w:tcW w:w="2119" w:type="dxa"/>
            <w:vAlign w:val="center"/>
          </w:tcPr>
          <w:p>
            <w:r>
              <w:rPr>
                <w:rFonts w:hint="eastAsia"/>
              </w:rPr>
              <w:t>营业执照、税务登记证、组织机构代码证（或三证合一的营业执照）</w:t>
            </w:r>
          </w:p>
        </w:tc>
        <w:tc>
          <w:tcPr>
            <w:tcW w:w="4792" w:type="dxa"/>
            <w:vAlign w:val="center"/>
          </w:tcPr>
          <w:p>
            <w:r>
              <w:rPr>
                <w:rFonts w:hint="eastAsia"/>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3" w:type="dxa"/>
            <w:vMerge w:val="continue"/>
            <w:vAlign w:val="center"/>
          </w:tcPr>
          <w:p/>
        </w:tc>
        <w:tc>
          <w:tcPr>
            <w:tcW w:w="1125" w:type="dxa"/>
            <w:vMerge w:val="continue"/>
            <w:vAlign w:val="center"/>
          </w:tcPr>
          <w:p/>
        </w:tc>
        <w:tc>
          <w:tcPr>
            <w:tcW w:w="2119" w:type="dxa"/>
            <w:vAlign w:val="center"/>
          </w:tcPr>
          <w:p>
            <w:r>
              <w:rPr>
                <w:rFonts w:hint="eastAsia"/>
              </w:rPr>
              <w:t>符合《中华人民共和国政府采购法》第二十二条之规定</w:t>
            </w:r>
          </w:p>
        </w:tc>
        <w:tc>
          <w:tcPr>
            <w:tcW w:w="4792" w:type="dxa"/>
            <w:vAlign w:val="center"/>
          </w:tcPr>
          <w:p>
            <w:r>
              <w:rPr>
                <w:rFonts w:hint="eastAsia"/>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tc>
        <w:tc>
          <w:tcPr>
            <w:tcW w:w="1125" w:type="dxa"/>
            <w:vMerge w:val="continue"/>
            <w:vAlign w:val="center"/>
          </w:tcPr>
          <w:p/>
        </w:tc>
        <w:tc>
          <w:tcPr>
            <w:tcW w:w="2119" w:type="dxa"/>
            <w:vAlign w:val="center"/>
          </w:tcPr>
          <w:p>
            <w:r>
              <w:rPr>
                <w:rFonts w:hint="eastAsia"/>
              </w:rPr>
              <w:t>法定代表人证明或法人授权委托书</w:t>
            </w:r>
          </w:p>
        </w:tc>
        <w:tc>
          <w:tcPr>
            <w:tcW w:w="4792" w:type="dxa"/>
            <w:vAlign w:val="center"/>
          </w:tcPr>
          <w:p>
            <w:r>
              <w:rPr>
                <w:rFonts w:hint="eastAsia"/>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tc>
        <w:tc>
          <w:tcPr>
            <w:tcW w:w="1125" w:type="dxa"/>
            <w:vMerge w:val="continue"/>
            <w:vAlign w:val="center"/>
          </w:tcPr>
          <w:p/>
        </w:tc>
        <w:tc>
          <w:tcPr>
            <w:tcW w:w="2119" w:type="dxa"/>
            <w:vAlign w:val="center"/>
          </w:tcPr>
          <w:p>
            <w:r>
              <w:rPr>
                <w:rFonts w:hint="eastAsia"/>
              </w:rPr>
              <w:t>信誉要求</w:t>
            </w:r>
          </w:p>
        </w:tc>
        <w:tc>
          <w:tcPr>
            <w:tcW w:w="4792" w:type="dxa"/>
            <w:vAlign w:val="center"/>
          </w:tcPr>
          <w:p>
            <w:r>
              <w:rPr>
                <w:rFonts w:hint="eastAsia"/>
              </w:rPr>
              <w:t>按照《财政部关于在政府采购活动中查询及使用信用记录有关问题的通知》（</w:t>
            </w:r>
            <w:r>
              <w:rPr>
                <w:rFonts w:hint="eastAsia" w:asciiTheme="minorEastAsia" w:hAnsiTheme="minorEastAsia" w:eastAsiaTheme="minorEastAsia" w:cstheme="minorEastAsia"/>
              </w:rPr>
              <w:t>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w:t>
            </w:r>
            <w:r>
              <w:rPr>
                <w:rFonts w:hint="eastAsia"/>
              </w:rPr>
              <w:t>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bottom w:val="single" w:color="auto" w:sz="4" w:space="0"/>
            </w:tcBorders>
            <w:vAlign w:val="center"/>
          </w:tcPr>
          <w:p/>
        </w:tc>
        <w:tc>
          <w:tcPr>
            <w:tcW w:w="1125" w:type="dxa"/>
            <w:vMerge w:val="continue"/>
            <w:tcBorders>
              <w:bottom w:val="single" w:color="auto" w:sz="4" w:space="0"/>
            </w:tcBorders>
            <w:vAlign w:val="center"/>
          </w:tcPr>
          <w:p/>
        </w:tc>
        <w:tc>
          <w:tcPr>
            <w:tcW w:w="2119" w:type="dxa"/>
            <w:tcBorders>
              <w:bottom w:val="single" w:color="auto" w:sz="4" w:space="0"/>
            </w:tcBorders>
            <w:vAlign w:val="center"/>
          </w:tcPr>
          <w:p>
            <w:r>
              <w:rPr>
                <w:rFonts w:hint="eastAsia"/>
              </w:rPr>
              <w:t>其他要求</w:t>
            </w:r>
          </w:p>
        </w:tc>
        <w:tc>
          <w:tcPr>
            <w:tcW w:w="4792" w:type="dxa"/>
            <w:tcBorders>
              <w:bottom w:val="single" w:color="auto" w:sz="4" w:space="0"/>
            </w:tcBorders>
            <w:vAlign w:val="center"/>
          </w:tcPr>
          <w:p>
            <w:r>
              <w:rPr>
                <w:rFonts w:hint="eastAsia"/>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评标委员会</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二、形式评审标准</w:t>
            </w: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供应商名称</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top w:val="single" w:color="auto" w:sz="4" w:space="0"/>
              <w:left w:val="single" w:color="auto" w:sz="4" w:space="0"/>
              <w:bottom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投标函签字盖章</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加盖企业电子签章并有法定代表人或其委托代理人签字或盖章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top w:val="single" w:color="auto" w:sz="4" w:space="0"/>
              <w:left w:val="single" w:color="auto" w:sz="4" w:space="0"/>
              <w:bottom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投标文件格式</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top w:val="single" w:color="auto" w:sz="4" w:space="0"/>
              <w:left w:val="single" w:color="auto" w:sz="4" w:space="0"/>
              <w:bottom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报价唯一</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restart"/>
            <w:tcBorders>
              <w:top w:val="single" w:color="auto" w:sz="4" w:space="0"/>
              <w:left w:val="single" w:color="auto" w:sz="4" w:space="0"/>
              <w:right w:val="single" w:color="auto" w:sz="4" w:space="0"/>
            </w:tcBorders>
            <w:vAlign w:val="center"/>
          </w:tcPr>
          <w:p/>
          <w:p/>
          <w:p>
            <w:r>
              <w:rPr>
                <w:rFonts w:hint="eastAsia"/>
              </w:rPr>
              <w:t>三、响应性评审标准</w:t>
            </w: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合同履行期限</w:t>
            </w:r>
          </w:p>
          <w:p>
            <w:r>
              <w:rPr>
                <w:rFonts w:hint="eastAsia"/>
              </w:rPr>
              <w:t>（供货及安装期）</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符合投标须知前附表合同供货安装期限要求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质量标准</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质保期</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符合投标须知前附表质保期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商务报价</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cstheme="minorEastAsia"/>
                <w:lang w:val="en-US" w:eastAsia="zh-CN"/>
              </w:rPr>
              <w:t>60</w:t>
            </w:r>
            <w:r>
              <w:rPr>
                <w:rFonts w:hint="eastAsia" w:asciiTheme="minorEastAsia" w:hAnsiTheme="minorEastAsia" w:eastAsiaTheme="minorEastAsia" w:cstheme="minorEastAsia"/>
              </w:rPr>
              <w:t>日</w:t>
            </w:r>
            <w:r>
              <w:rPr>
                <w:rFonts w:hint="eastAsia" w:eastAsia="宋体" w:cs="Times New Roman"/>
              </w:rPr>
              <w:t>历</w:t>
            </w:r>
            <w:r>
              <w:rPr>
                <w:rFonts w:hint="eastAsia"/>
              </w:rPr>
              <w:t>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权利义务</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技术标准和要求</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符合第五章“采购内容及要求”和“附件”规定，若不符合第五章“采购内容及要求”和“附件”规定，将不再进行评审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93" w:type="dxa"/>
            <w:vMerge w:val="continue"/>
            <w:tcBorders>
              <w:top w:val="single" w:color="auto" w:sz="4" w:space="0"/>
              <w:left w:val="single" w:color="auto" w:sz="4" w:space="0"/>
              <w:bottom w:val="single" w:color="auto" w:sz="4" w:space="0"/>
              <w:right w:val="single" w:color="auto" w:sz="4" w:space="0"/>
            </w:tcBorders>
            <w:vAlign w:val="center"/>
          </w:tcPr>
          <w:p/>
        </w:tc>
        <w:tc>
          <w:tcPr>
            <w:tcW w:w="1125" w:type="dxa"/>
            <w:vMerge w:val="continue"/>
            <w:tcBorders>
              <w:left w:val="single" w:color="auto" w:sz="4" w:space="0"/>
              <w:bottom w:val="single" w:color="auto" w:sz="4" w:space="0"/>
              <w:right w:val="single" w:color="auto" w:sz="4" w:space="0"/>
            </w:tcBorders>
            <w:vAlign w:val="center"/>
          </w:tcPr>
          <w:p/>
        </w:tc>
        <w:tc>
          <w:tcPr>
            <w:tcW w:w="2119" w:type="dxa"/>
            <w:tcBorders>
              <w:top w:val="single" w:color="auto" w:sz="4" w:space="0"/>
              <w:left w:val="single" w:color="auto" w:sz="4" w:space="0"/>
              <w:bottom w:val="single" w:color="auto" w:sz="4" w:space="0"/>
              <w:right w:val="single" w:color="auto" w:sz="4" w:space="0"/>
            </w:tcBorders>
            <w:vAlign w:val="center"/>
          </w:tcPr>
          <w:p>
            <w:r>
              <w:rPr>
                <w:rFonts w:hint="eastAsia"/>
              </w:rPr>
              <w:t>投标文件的其他响应</w:t>
            </w:r>
          </w:p>
        </w:tc>
        <w:tc>
          <w:tcPr>
            <w:tcW w:w="4792" w:type="dxa"/>
            <w:tcBorders>
              <w:top w:val="single" w:color="auto" w:sz="4" w:space="0"/>
              <w:left w:val="single" w:color="auto" w:sz="4" w:space="0"/>
              <w:bottom w:val="single" w:color="auto" w:sz="4" w:space="0"/>
              <w:right w:val="single" w:color="auto" w:sz="4" w:space="0"/>
            </w:tcBorders>
            <w:vAlign w:val="center"/>
          </w:tcPr>
          <w:p>
            <w:r>
              <w:rPr>
                <w:rFonts w:hint="eastAsia"/>
              </w:rPr>
              <w:t>符合法律、法规和招标文件中规定的其他实质性要求的</w:t>
            </w:r>
          </w:p>
        </w:tc>
      </w:tr>
    </w:tbl>
    <w:p>
      <w:pPr>
        <w:pStyle w:val="46"/>
        <w:widowControl w:val="0"/>
        <w:spacing w:line="360" w:lineRule="auto"/>
        <w:jc w:val="center"/>
        <w:rPr>
          <w:rFonts w:ascii="宋体" w:hAnsi="宋体" w:cs="宋体"/>
          <w:b/>
          <w:bCs/>
          <w:sz w:val="28"/>
          <w:szCs w:val="28"/>
        </w:rPr>
      </w:pPr>
    </w:p>
    <w:p>
      <w:pPr>
        <w:pStyle w:val="46"/>
        <w:widowControl w:val="0"/>
        <w:spacing w:line="360" w:lineRule="auto"/>
        <w:jc w:val="center"/>
        <w:rPr>
          <w:rFonts w:ascii="宋体" w:hAnsi="宋体" w:cs="宋体"/>
          <w:b/>
          <w:bCs/>
          <w:sz w:val="28"/>
          <w:szCs w:val="28"/>
        </w:rPr>
      </w:pPr>
      <w:bookmarkStart w:id="249" w:name="_Toc21885"/>
      <w:bookmarkStart w:id="250" w:name="_Toc30933"/>
      <w:bookmarkStart w:id="251" w:name="_Toc9561"/>
      <w:bookmarkStart w:id="252" w:name="_Toc16529"/>
      <w:bookmarkStart w:id="253" w:name="_Toc17859"/>
      <w:bookmarkStart w:id="254" w:name="_Toc29947"/>
      <w:bookmarkStart w:id="255" w:name="_Toc2761070"/>
    </w:p>
    <w:bookmarkEnd w:id="249"/>
    <w:bookmarkEnd w:id="250"/>
    <w:bookmarkEnd w:id="251"/>
    <w:bookmarkEnd w:id="252"/>
    <w:bookmarkEnd w:id="253"/>
    <w:bookmarkEnd w:id="254"/>
    <w:p>
      <w:pPr>
        <w:rPr>
          <w:rFonts w:hint="eastAsia" w:ascii="宋体" w:hAnsi="宋体" w:cs="宋体"/>
          <w:b/>
          <w:bCs/>
          <w:sz w:val="28"/>
          <w:szCs w:val="28"/>
        </w:rPr>
      </w:pPr>
      <w:bookmarkStart w:id="256" w:name="_Toc466017207"/>
      <w:bookmarkStart w:id="257" w:name="_Toc21064"/>
      <w:bookmarkStart w:id="258" w:name="_Toc454147538"/>
      <w:bookmarkStart w:id="259" w:name="_Toc19403"/>
      <w:bookmarkStart w:id="260" w:name="_Toc465502579"/>
      <w:bookmarkStart w:id="261" w:name="_Toc426369531"/>
      <w:bookmarkStart w:id="262" w:name="_Toc31084"/>
      <w:bookmarkStart w:id="263" w:name="_Toc403122541"/>
      <w:r>
        <w:rPr>
          <w:rFonts w:hint="eastAsia" w:ascii="宋体" w:hAnsi="宋体" w:cs="宋体"/>
          <w:b/>
          <w:bCs/>
          <w:sz w:val="28"/>
          <w:szCs w:val="28"/>
        </w:rPr>
        <w:br w:type="page"/>
      </w:r>
    </w:p>
    <w:p>
      <w:pPr>
        <w:pStyle w:val="46"/>
        <w:spacing w:line="560" w:lineRule="exact"/>
        <w:jc w:val="center"/>
        <w:rPr>
          <w:rFonts w:ascii="宋体" w:hAnsi="宋体" w:cs="宋体"/>
          <w:b/>
          <w:bCs/>
          <w:sz w:val="28"/>
          <w:szCs w:val="28"/>
        </w:rPr>
      </w:pPr>
      <w:r>
        <w:rPr>
          <w:rFonts w:hint="eastAsia" w:ascii="宋体" w:hAnsi="宋体" w:cs="宋体"/>
          <w:b/>
          <w:bCs/>
          <w:sz w:val="28"/>
          <w:szCs w:val="28"/>
        </w:rPr>
        <w:t>评分办法</w:t>
      </w:r>
    </w:p>
    <w:tbl>
      <w:tblPr>
        <w:tblStyle w:val="27"/>
        <w:tblpPr w:leftFromText="180" w:rightFromText="180" w:vertAnchor="text" w:horzAnchor="page" w:tblpX="1386" w:tblpY="601"/>
        <w:tblOverlap w:val="never"/>
        <w:tblW w:w="96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4"/>
        <w:gridCol w:w="1219"/>
        <w:gridCol w:w="2035"/>
        <w:gridCol w:w="49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4" w:type="dxa"/>
          </w:tcPr>
          <w:p>
            <w:pPr>
              <w:ind w:firstLine="210" w:firstLineChars="100"/>
            </w:pPr>
            <w:r>
              <w:rPr>
                <w:rFonts w:hint="eastAsia"/>
              </w:rPr>
              <w:br w:type="page"/>
            </w:r>
            <w:r>
              <w:rPr>
                <w:rFonts w:hint="eastAsia"/>
              </w:rPr>
              <w:t>条款号</w:t>
            </w:r>
          </w:p>
        </w:tc>
        <w:tc>
          <w:tcPr>
            <w:tcW w:w="1219" w:type="dxa"/>
          </w:tcPr>
          <w:p>
            <w:r>
              <w:rPr>
                <w:rFonts w:hint="eastAsia"/>
              </w:rPr>
              <w:t>评分项目</w:t>
            </w:r>
          </w:p>
        </w:tc>
        <w:tc>
          <w:tcPr>
            <w:tcW w:w="2035" w:type="dxa"/>
          </w:tcPr>
          <w:p>
            <w:r>
              <w:rPr>
                <w:rFonts w:hint="eastAsia"/>
              </w:rPr>
              <w:t>分项</w:t>
            </w:r>
          </w:p>
        </w:tc>
        <w:tc>
          <w:tcPr>
            <w:tcW w:w="4962" w:type="dxa"/>
          </w:tcPr>
          <w:p>
            <w:r>
              <w:rPr>
                <w:rFonts w:hint="eastAsia"/>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2" w:hRule="atLeast"/>
        </w:trPr>
        <w:tc>
          <w:tcPr>
            <w:tcW w:w="140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19"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p>
          <w:p>
            <w:pPr>
              <w:pStyle w:val="11"/>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（30分）</w:t>
            </w: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2"/>
                <w:sz w:val="21"/>
                <w:szCs w:val="24"/>
                <w:lang w:val="en-US" w:eastAsia="zh-CN" w:bidi="ar-SA"/>
              </w:rPr>
              <w:t>30分）</w:t>
            </w:r>
          </w:p>
        </w:tc>
        <w:tc>
          <w:tcPr>
            <w:tcW w:w="4962"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1.价格分采用低价优先法计算，即通过资格性和符合性审查且投标价格最低的投标报价为评标基准价，其价格得分为满分30分。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2.其他供应商的价格分统一按照下列公式计算：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投标报价得分=(评标基准价／投标报价)×30，注：价格分计算保留小数点后两位。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19" w:type="dxa"/>
            <w:vMerge w:val="restart"/>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技术部分（40分）</w:t>
            </w:r>
          </w:p>
        </w:tc>
        <w:tc>
          <w:tcPr>
            <w:tcW w:w="2035" w:type="dxa"/>
            <w:shd w:val="clear" w:color="auto" w:fill="auto"/>
            <w:vAlign w:val="center"/>
          </w:tcPr>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技术参数</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lang w:val="zh-CN"/>
              </w:rPr>
              <w:t>分）</w:t>
            </w:r>
          </w:p>
        </w:tc>
        <w:tc>
          <w:tcPr>
            <w:tcW w:w="4962" w:type="dxa"/>
            <w:shd w:val="clear" w:color="auto" w:fill="auto"/>
          </w:tcPr>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投标货物技术参数、性能及产品种类全部满足招标文件要求的，得基础分13分;其中加★参数为重要参数，需要按照产品参数描述中的要求提供相关证明材料和产品生产厂家针对本项目的授权许可并加盖厂家公章以示证明，每提供一项加1分，技术参数最高得分25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404" w:type="dxa"/>
            <w:vMerge w:val="continue"/>
            <w:vAlign w:val="center"/>
          </w:tcPr>
          <w:p>
            <w:pPr>
              <w:rPr>
                <w:rFonts w:hint="eastAsia" w:asciiTheme="minorEastAsia" w:hAnsiTheme="minorEastAsia" w:eastAsiaTheme="minorEastAsia" w:cstheme="minorEastAsia"/>
              </w:rPr>
            </w:pPr>
          </w:p>
        </w:tc>
        <w:tc>
          <w:tcPr>
            <w:tcW w:w="1219" w:type="dxa"/>
            <w:vMerge w:val="continue"/>
            <w:vAlign w:val="center"/>
          </w:tcPr>
          <w:p>
            <w:pPr>
              <w:rPr>
                <w:rFonts w:hint="eastAsia" w:asciiTheme="minorEastAsia" w:hAnsiTheme="minorEastAsia" w:eastAsiaTheme="minorEastAsia" w:cstheme="minorEastAsia"/>
              </w:rPr>
            </w:pP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技术方案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（8分）</w:t>
            </w:r>
          </w:p>
        </w:tc>
        <w:tc>
          <w:tcPr>
            <w:tcW w:w="4962" w:type="dxa"/>
            <w:shd w:val="clear" w:color="auto" w:fill="auto"/>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投标人提供的技术方案科学合理的得6-8分，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比较科学合理的得</w:t>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lang w:val="zh-CN"/>
              </w:rPr>
              <w:t>科学合理性一般的得</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lang w:val="zh-CN"/>
              </w:rPr>
              <w:t>缺项不得分。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404" w:type="dxa"/>
            <w:vMerge w:val="continue"/>
            <w:vAlign w:val="center"/>
          </w:tcPr>
          <w:p>
            <w:pPr>
              <w:rPr>
                <w:rFonts w:hint="eastAsia" w:asciiTheme="minorEastAsia" w:hAnsiTheme="minorEastAsia" w:eastAsiaTheme="minorEastAsia" w:cstheme="minorEastAsia"/>
              </w:rPr>
            </w:pPr>
          </w:p>
        </w:tc>
        <w:tc>
          <w:tcPr>
            <w:tcW w:w="1219" w:type="dxa"/>
            <w:vMerge w:val="continue"/>
            <w:vAlign w:val="center"/>
          </w:tcPr>
          <w:p>
            <w:pPr>
              <w:rPr>
                <w:rFonts w:hint="eastAsia" w:asciiTheme="minorEastAsia" w:hAnsiTheme="minorEastAsia" w:eastAsiaTheme="minorEastAsia" w:cstheme="minorEastAsia"/>
              </w:rPr>
            </w:pP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施工组织方案</w:t>
            </w:r>
          </w:p>
          <w:p>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（7分）</w:t>
            </w:r>
          </w:p>
        </w:tc>
        <w:tc>
          <w:tcPr>
            <w:tcW w:w="4962" w:type="dxa"/>
          </w:tcPr>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4"/>
              </w:rPr>
              <w:t>施工组织方案完整合理的得5-7分，</w:t>
            </w:r>
            <w:r>
              <w:rPr>
                <w:rFonts w:hint="eastAsia" w:asciiTheme="minorEastAsia" w:hAnsiTheme="minorEastAsia" w:eastAsiaTheme="minorEastAsia" w:cstheme="minorEastAsia"/>
              </w:rPr>
              <w:t>方案内容</w:t>
            </w:r>
            <w:r>
              <w:rPr>
                <w:rFonts w:hint="eastAsia" w:asciiTheme="minorEastAsia" w:hAnsiTheme="minorEastAsia" w:eastAsiaTheme="minorEastAsia" w:cstheme="minorEastAsia"/>
                <w:lang w:val="zh-CN"/>
              </w:rPr>
              <w:t>比较完整合理</w:t>
            </w:r>
            <w:r>
              <w:rPr>
                <w:rFonts w:hint="eastAsia" w:asciiTheme="minorEastAsia" w:hAnsiTheme="minorEastAsia" w:eastAsiaTheme="minorEastAsia" w:cstheme="minorEastAsia"/>
                <w:szCs w:val="24"/>
                <w:lang w:val="zh-CN"/>
              </w:rPr>
              <w:t>的得</w:t>
            </w:r>
            <w:r>
              <w:rPr>
                <w:rFonts w:hint="eastAsia" w:asciiTheme="minorEastAsia" w:hAnsiTheme="minorEastAsia" w:eastAsiaTheme="minorEastAsia" w:cstheme="minorEastAsia"/>
                <w:szCs w:val="24"/>
              </w:rPr>
              <w:t>2-4</w:t>
            </w:r>
            <w:r>
              <w:rPr>
                <w:rFonts w:hint="eastAsia" w:asciiTheme="minorEastAsia" w:hAnsiTheme="minorEastAsia" w:eastAsiaTheme="minorEastAsia" w:cstheme="minorEastAsia"/>
                <w:szCs w:val="24"/>
                <w:lang w:val="zh-CN"/>
              </w:rPr>
              <w:t>分</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方案内容</w:t>
            </w:r>
            <w:r>
              <w:rPr>
                <w:rFonts w:hint="eastAsia" w:asciiTheme="minorEastAsia" w:hAnsiTheme="minorEastAsia" w:eastAsiaTheme="minorEastAsia" w:cstheme="minorEastAsia"/>
                <w:lang w:val="zh-CN"/>
              </w:rPr>
              <w:t>不够完整合理的得</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分；缺项不得分。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4" w:type="dxa"/>
            <w:vMerge w:val="restart"/>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19" w:type="dxa"/>
            <w:vMerge w:val="restart"/>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综合部分（30分）</w:t>
            </w: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业绩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w:t>
            </w:r>
          </w:p>
        </w:tc>
        <w:tc>
          <w:tcPr>
            <w:tcW w:w="4962"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供应商提供2021年1月1日以来类似合同业绩（以合同签订日期为准），每提供一份业绩得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分，最多得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分。（须提供合同扫描件并加盖投标人公章）。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0" w:hRule="atLeast"/>
        </w:trPr>
        <w:tc>
          <w:tcPr>
            <w:tcW w:w="1404" w:type="dxa"/>
            <w:vMerge w:val="continue"/>
            <w:vAlign w:val="center"/>
          </w:tcPr>
          <w:p>
            <w:pPr>
              <w:rPr>
                <w:rFonts w:hint="eastAsia" w:asciiTheme="minorEastAsia" w:hAnsiTheme="minorEastAsia" w:eastAsiaTheme="minorEastAsia" w:cstheme="minorEastAsia"/>
              </w:rPr>
            </w:pPr>
          </w:p>
        </w:tc>
        <w:tc>
          <w:tcPr>
            <w:tcW w:w="1219" w:type="dxa"/>
            <w:vMerge w:val="continue"/>
            <w:vAlign w:val="center"/>
          </w:tcPr>
          <w:p>
            <w:pPr>
              <w:rPr>
                <w:rFonts w:hint="eastAsia" w:asciiTheme="minorEastAsia" w:hAnsiTheme="minorEastAsia" w:eastAsiaTheme="minorEastAsia" w:cstheme="minorEastAsia"/>
              </w:rPr>
            </w:pP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公司实力</w:t>
            </w:r>
          </w:p>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分）</w:t>
            </w:r>
          </w:p>
        </w:tc>
        <w:tc>
          <w:tcPr>
            <w:tcW w:w="4962" w:type="dxa"/>
          </w:tcPr>
          <w:p>
            <w:pPr>
              <w:numPr>
                <w:ilvl w:val="0"/>
                <w:numId w:val="4"/>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供应商具有国家认证的信息安全管理体系相关证书的得3分。</w:t>
            </w:r>
          </w:p>
          <w:p>
            <w:pPr>
              <w:numPr>
                <w:ilvl w:val="0"/>
                <w:numId w:val="4"/>
              </w:num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供应商具有国家认证的</w:t>
            </w:r>
            <w:r>
              <w:rPr>
                <w:rFonts w:hint="eastAsia" w:asciiTheme="minorEastAsia" w:hAnsiTheme="minorEastAsia" w:eastAsiaTheme="minorEastAsia" w:cstheme="minorEastAsia"/>
              </w:rPr>
              <w:t>信息系统安全运维服务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ISO2230</w:t>
            </w:r>
            <w:r>
              <w:rPr>
                <w:rFonts w:hint="eastAsia" w:asciiTheme="minorEastAsia" w:hAnsiTheme="minorEastAsia" w:eastAsiaTheme="minorEastAsia" w:cstheme="minorEastAsia"/>
                <w:lang w:val="en-US" w:eastAsia="zh-CN"/>
              </w:rPr>
              <w:t>1业务连续性管理体系认证、ISO/IEC27701隐私信息管理体系认证、</w:t>
            </w:r>
            <w:r>
              <w:rPr>
                <w:rFonts w:hint="eastAsia" w:asciiTheme="minorEastAsia" w:hAnsiTheme="minorEastAsia" w:eastAsiaTheme="minorEastAsia" w:cstheme="minorEastAsia"/>
              </w:rPr>
              <w:t>中国网络安全审查技术与认证中心颁发的软件安全开发服务、信息系统灾难备份与恢复（B类）服务、信息系统安全集成服务等信息安全服务资质认证证书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每有一项得2分。</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3.供应商</w:t>
            </w:r>
            <w:r>
              <w:rPr>
                <w:rFonts w:hint="eastAsia" w:asciiTheme="minorEastAsia" w:hAnsiTheme="minorEastAsia" w:eastAsiaTheme="minorEastAsia" w:cstheme="minorEastAsia"/>
              </w:rPr>
              <w:t>具有中国网络安全审查技术与认证中心颁发的信息安全风险评估服务资质认证证书得1分。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注：投标人提供上述证书在有效期内的扫描件。上述证明材料需加盖公章（查询结果证书状态为撤销、暂停、失效的不得分）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4" w:type="dxa"/>
            <w:vMerge w:val="continue"/>
            <w:vAlign w:val="center"/>
          </w:tcPr>
          <w:p>
            <w:pPr>
              <w:rPr>
                <w:rFonts w:hint="eastAsia" w:asciiTheme="minorEastAsia" w:hAnsiTheme="minorEastAsia" w:eastAsiaTheme="minorEastAsia" w:cstheme="minorEastAsia"/>
              </w:rPr>
            </w:pPr>
          </w:p>
        </w:tc>
        <w:tc>
          <w:tcPr>
            <w:tcW w:w="1219" w:type="dxa"/>
            <w:vMerge w:val="continue"/>
            <w:vAlign w:val="center"/>
          </w:tcPr>
          <w:p>
            <w:pPr>
              <w:rPr>
                <w:rFonts w:hint="eastAsia" w:asciiTheme="minorEastAsia" w:hAnsiTheme="minorEastAsia" w:eastAsiaTheme="minorEastAsia" w:cstheme="minorEastAsia"/>
              </w:rPr>
            </w:pPr>
          </w:p>
        </w:tc>
        <w:tc>
          <w:tcPr>
            <w:tcW w:w="2035" w:type="dxa"/>
            <w:noWrap/>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培训计划</w:t>
            </w:r>
          </w:p>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（5分）</w:t>
            </w:r>
          </w:p>
        </w:tc>
        <w:tc>
          <w:tcPr>
            <w:tcW w:w="4962"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根据投标人提供的培训内容、培训教材、培训方式、培训承诺进行打分。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培训计划内容</w:t>
            </w:r>
            <w:r>
              <w:rPr>
                <w:rFonts w:hint="eastAsia" w:asciiTheme="minorEastAsia" w:hAnsiTheme="minorEastAsia" w:eastAsiaTheme="minorEastAsia" w:cstheme="minorEastAsia"/>
                <w:lang w:val="zh-CN"/>
              </w:rPr>
              <w:t>完整、培训方式可行性强、培训承诺科学合理的得</w:t>
            </w:r>
            <w:r>
              <w:rPr>
                <w:rFonts w:hint="eastAsia" w:asciiTheme="minorEastAsia" w:hAnsiTheme="minorEastAsia" w:eastAsiaTheme="minorEastAsia" w:cstheme="minorEastAsia"/>
              </w:rPr>
              <w:t>4-5</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培训计划内容</w:t>
            </w:r>
            <w:r>
              <w:rPr>
                <w:rFonts w:hint="eastAsia" w:asciiTheme="minorEastAsia" w:hAnsiTheme="minorEastAsia" w:eastAsiaTheme="minorEastAsia" w:cstheme="minorEastAsia"/>
                <w:lang w:val="zh-CN"/>
              </w:rPr>
              <w:t>比较完整、培训方式可行性较强、培训承诺基本科学合理的得</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培训计划内容</w:t>
            </w:r>
            <w:r>
              <w:rPr>
                <w:rFonts w:hint="eastAsia" w:asciiTheme="minorEastAsia" w:hAnsiTheme="minorEastAsia" w:eastAsiaTheme="minorEastAsia" w:cstheme="minorEastAsia"/>
                <w:lang w:val="zh-CN"/>
              </w:rPr>
              <w:t>比较简单、培训方式可行性较差、培训承诺科学合理性一般的得1分；</w:t>
            </w:r>
          </w:p>
          <w:p>
            <w:pPr>
              <w:rPr>
                <w:rFonts w:hint="eastAsia" w:asciiTheme="minorEastAsia" w:hAnsiTheme="minorEastAsia" w:eastAsiaTheme="minorEastAsia" w:cstheme="minorEastAsia"/>
                <w:szCs w:val="24"/>
                <w:highlight w:val="red"/>
              </w:rPr>
            </w:pPr>
            <w:r>
              <w:rPr>
                <w:rFonts w:hint="eastAsia" w:asciiTheme="minorEastAsia" w:hAnsiTheme="minorEastAsia" w:eastAsiaTheme="minorEastAsia" w:cstheme="minorEastAsia"/>
                <w:lang w:val="zh-CN"/>
              </w:rPr>
              <w:t>缺项不得分。</w:t>
            </w:r>
            <w:r>
              <w:rPr>
                <w:rFonts w:hint="eastAsia" w:asciiTheme="minorEastAsia" w:hAnsiTheme="minorEastAsia" w:eastAsiaTheme="minorEastAsia" w:cstheme="minorEastAsia"/>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4" w:type="dxa"/>
            <w:vMerge w:val="continue"/>
            <w:vAlign w:val="center"/>
          </w:tcPr>
          <w:p>
            <w:pPr>
              <w:rPr>
                <w:rFonts w:hint="eastAsia" w:asciiTheme="minorEastAsia" w:hAnsiTheme="minorEastAsia" w:eastAsiaTheme="minorEastAsia" w:cstheme="minorEastAsia"/>
              </w:rPr>
            </w:pPr>
          </w:p>
        </w:tc>
        <w:tc>
          <w:tcPr>
            <w:tcW w:w="1219" w:type="dxa"/>
            <w:vMerge w:val="continue"/>
            <w:vAlign w:val="center"/>
          </w:tcPr>
          <w:p>
            <w:pPr>
              <w:rPr>
                <w:rFonts w:hint="eastAsia" w:asciiTheme="minorEastAsia" w:hAnsiTheme="minorEastAsia" w:eastAsiaTheme="minorEastAsia" w:cstheme="minorEastAsia"/>
              </w:rPr>
            </w:pPr>
          </w:p>
        </w:tc>
        <w:tc>
          <w:tcPr>
            <w:tcW w:w="2035"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售后服务方案</w:t>
            </w:r>
          </w:p>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（5分）</w:t>
            </w:r>
          </w:p>
        </w:tc>
        <w:tc>
          <w:tcPr>
            <w:tcW w:w="4962"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投标人提出完整的服务内容、服务形式、质保期内及质保期外服务承诺、维修单位及地点、技术人员情况、应急维修时间安排方案。</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方案内容</w:t>
            </w:r>
            <w:r>
              <w:rPr>
                <w:rFonts w:hint="eastAsia" w:asciiTheme="minorEastAsia" w:hAnsiTheme="minorEastAsia" w:eastAsiaTheme="minorEastAsia" w:cstheme="minorEastAsia"/>
                <w:lang w:val="zh-CN"/>
              </w:rPr>
              <w:t>非常详细，科学合理、可行性强的得</w:t>
            </w:r>
            <w:r>
              <w:rPr>
                <w:rFonts w:hint="eastAsia" w:asciiTheme="minorEastAsia" w:hAnsiTheme="minorEastAsia" w:eastAsiaTheme="minorEastAsia" w:cstheme="minorEastAsia"/>
              </w:rPr>
              <w:t>4-5</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方案内容</w:t>
            </w:r>
            <w:r>
              <w:rPr>
                <w:rFonts w:hint="eastAsia" w:asciiTheme="minorEastAsia" w:hAnsiTheme="minorEastAsia" w:eastAsiaTheme="minorEastAsia" w:cstheme="minorEastAsia"/>
                <w:lang w:val="zh-CN"/>
              </w:rPr>
              <w:t>比较完整、较科学合理、可行性较强的得</w:t>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方案内容</w:t>
            </w:r>
            <w:r>
              <w:rPr>
                <w:rFonts w:hint="eastAsia" w:asciiTheme="minorEastAsia" w:hAnsiTheme="minorEastAsia" w:eastAsiaTheme="minorEastAsia" w:cstheme="minorEastAsia"/>
                <w:lang w:val="zh-CN"/>
              </w:rPr>
              <w:t>比较简单、有可行性的得</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分；</w:t>
            </w:r>
          </w:p>
          <w:p>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lang w:val="zh-CN"/>
              </w:rPr>
              <w:t>缺项不得分。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0" w:type="dxa"/>
            <w:gridSpan w:val="4"/>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最终得分＝报价部分+技术部分+综合</w:t>
            </w:r>
            <w:r>
              <w:rPr>
                <w:rFonts w:hint="eastAsia" w:asciiTheme="minorEastAsia" w:hAnsiTheme="minorEastAsia" w:eastAsiaTheme="minorEastAsia" w:cstheme="minorEastAsia"/>
              </w:rPr>
              <w:t>部分。</w:t>
            </w:r>
          </w:p>
          <w:p>
            <w:pP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最终得分为评委的评分结果取平均值后作为该供应商的最终得分。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本评标办法在</w:t>
            </w:r>
            <w:r>
              <w:rPr>
                <w:rFonts w:hint="eastAsia" w:asciiTheme="minorEastAsia" w:hAnsiTheme="minorEastAsia" w:eastAsiaTheme="minorEastAsia" w:cstheme="minorEastAsia"/>
              </w:rPr>
              <w:t>本办法计算过程中分值按四舍五入保留二位小数。</w:t>
            </w:r>
          </w:p>
        </w:tc>
      </w:tr>
    </w:tbl>
    <w:p>
      <w:pPr>
        <w:rPr>
          <w:rFonts w:ascii="Arial" w:hAnsi="Arial" w:eastAsia="Arial" w:cs="Arial"/>
          <w:sz w:val="21"/>
          <w:szCs w:val="21"/>
        </w:rPr>
        <w:sectPr>
          <w:footerReference r:id="rId7" w:type="default"/>
          <w:pgSz w:w="12240" w:h="15840"/>
          <w:pgMar w:top="1346" w:right="834" w:bottom="1015" w:left="1054" w:header="0" w:footer="853" w:gutter="0"/>
          <w:pgNumType w:fmt="decimal" w:start="1"/>
          <w:cols w:space="720" w:num="1"/>
        </w:sectPr>
      </w:pPr>
    </w:p>
    <w:p>
      <w:pPr>
        <w:tabs>
          <w:tab w:val="left" w:pos="170"/>
          <w:tab w:val="left" w:pos="303"/>
          <w:tab w:val="left" w:pos="420"/>
        </w:tabs>
        <w:adjustRightInd w:val="0"/>
        <w:snapToGrid w:val="0"/>
        <w:spacing w:line="560" w:lineRule="exact"/>
        <w:outlineLvl w:val="1"/>
        <w:rPr>
          <w:rFonts w:ascii="宋体" w:hAnsi="宋体" w:cs="宋体"/>
          <w:b/>
          <w:szCs w:val="21"/>
        </w:rPr>
      </w:pPr>
      <w:r>
        <w:rPr>
          <w:rFonts w:ascii="宋体" w:hAnsi="宋体" w:cs="宋体"/>
          <w:b/>
          <w:szCs w:val="21"/>
        </w:rPr>
        <w:t>1.</w:t>
      </w:r>
      <w:r>
        <w:rPr>
          <w:rFonts w:hint="eastAsia" w:ascii="宋体" w:hAnsi="宋体" w:cs="宋体"/>
          <w:b/>
          <w:szCs w:val="21"/>
        </w:rPr>
        <w:t xml:space="preserve"> </w:t>
      </w:r>
      <w:bookmarkStart w:id="264" w:name="_Toc3350"/>
      <w:bookmarkStart w:id="265" w:name="_Toc6843"/>
      <w:bookmarkStart w:id="266" w:name="_Toc10429"/>
      <w:r>
        <w:rPr>
          <w:rFonts w:hint="eastAsia" w:ascii="宋体" w:hAnsi="宋体" w:cs="宋体"/>
          <w:b/>
          <w:szCs w:val="21"/>
        </w:rPr>
        <w:t>评标准则和评标方法</w:t>
      </w:r>
      <w:bookmarkEnd w:id="256"/>
      <w:bookmarkEnd w:id="257"/>
      <w:bookmarkEnd w:id="258"/>
      <w:bookmarkEnd w:id="259"/>
      <w:bookmarkEnd w:id="260"/>
      <w:bookmarkEnd w:id="264"/>
      <w:bookmarkEnd w:id="265"/>
      <w:bookmarkEnd w:id="266"/>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1.1 评标过程将遵循“公平、公正、科学、择优”的原则进行。</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1.2 评标将严格按照招标文件的要求和条件进行。</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1.3 本次评标采用综合评分法。</w:t>
      </w:r>
    </w:p>
    <w:p>
      <w:pPr>
        <w:tabs>
          <w:tab w:val="left" w:pos="170"/>
          <w:tab w:val="left" w:pos="303"/>
          <w:tab w:val="left" w:pos="420"/>
        </w:tabs>
        <w:adjustRightInd w:val="0"/>
        <w:snapToGrid w:val="0"/>
        <w:spacing w:line="560" w:lineRule="exact"/>
        <w:outlineLvl w:val="1"/>
        <w:rPr>
          <w:rFonts w:ascii="宋体" w:hAnsi="宋体" w:cs="宋体"/>
          <w:b/>
          <w:szCs w:val="21"/>
        </w:rPr>
      </w:pPr>
      <w:bookmarkStart w:id="267" w:name="_Toc465502580"/>
      <w:bookmarkStart w:id="268" w:name="_Toc3472"/>
      <w:bookmarkStart w:id="269" w:name="_Toc8852"/>
      <w:bookmarkStart w:id="270" w:name="_Toc466017208"/>
      <w:bookmarkStart w:id="271" w:name="_Toc7951"/>
      <w:bookmarkStart w:id="272" w:name="_Toc13195"/>
      <w:bookmarkStart w:id="273" w:name="_Toc15449"/>
      <w:bookmarkStart w:id="274" w:name="_Toc454147539"/>
      <w:r>
        <w:rPr>
          <w:rFonts w:ascii="宋体" w:hAnsi="宋体" w:cs="宋体"/>
          <w:b/>
          <w:szCs w:val="21"/>
        </w:rPr>
        <w:t>2.</w:t>
      </w:r>
      <w:r>
        <w:rPr>
          <w:rFonts w:hint="eastAsia" w:ascii="宋体" w:hAnsi="宋体" w:cs="宋体"/>
          <w:b/>
          <w:szCs w:val="21"/>
        </w:rPr>
        <w:t>评审标准</w:t>
      </w:r>
      <w:bookmarkEnd w:id="267"/>
      <w:bookmarkEnd w:id="268"/>
      <w:bookmarkEnd w:id="269"/>
      <w:bookmarkEnd w:id="270"/>
      <w:bookmarkEnd w:id="271"/>
      <w:bookmarkEnd w:id="272"/>
      <w:bookmarkEnd w:id="273"/>
      <w:bookmarkEnd w:id="274"/>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2.1 资格评审标准：详见《评分办法前附表》中资格评审标准。</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2.2 评分标准：详</w:t>
      </w:r>
      <w:r>
        <w:rPr>
          <w:rFonts w:hint="eastAsia" w:ascii="宋体" w:hAnsi="宋体" w:cs="宋体"/>
          <w:szCs w:val="21"/>
          <w:highlight w:val="none"/>
        </w:rPr>
        <w:t>见《评分办法前附表》报价部分、技术部分、</w:t>
      </w:r>
      <w:r>
        <w:rPr>
          <w:rFonts w:hint="eastAsia" w:ascii="宋体" w:hAnsi="宋体" w:cs="宋体"/>
          <w:szCs w:val="21"/>
          <w:highlight w:val="none"/>
          <w:lang w:val="en-US" w:eastAsia="zh-CN"/>
        </w:rPr>
        <w:t>综合</w:t>
      </w:r>
      <w:r>
        <w:rPr>
          <w:rFonts w:hint="eastAsia" w:ascii="宋体" w:hAnsi="宋体" w:cs="宋体"/>
          <w:szCs w:val="21"/>
          <w:highlight w:val="none"/>
        </w:rPr>
        <w:t>部分评审因素</w:t>
      </w:r>
      <w:r>
        <w:rPr>
          <w:rFonts w:hint="eastAsia" w:ascii="宋体" w:hAnsi="宋体" w:cs="宋体"/>
          <w:szCs w:val="21"/>
        </w:rPr>
        <w:t>。</w:t>
      </w:r>
    </w:p>
    <w:p>
      <w:pPr>
        <w:tabs>
          <w:tab w:val="left" w:pos="170"/>
          <w:tab w:val="left" w:pos="303"/>
          <w:tab w:val="left" w:pos="420"/>
        </w:tabs>
        <w:adjustRightInd w:val="0"/>
        <w:snapToGrid w:val="0"/>
        <w:spacing w:line="560" w:lineRule="exact"/>
        <w:outlineLvl w:val="1"/>
        <w:rPr>
          <w:rFonts w:ascii="宋体" w:hAnsi="宋体" w:cs="宋体"/>
          <w:b/>
          <w:szCs w:val="21"/>
        </w:rPr>
      </w:pPr>
      <w:bookmarkStart w:id="275" w:name="_Toc4292"/>
      <w:bookmarkStart w:id="276" w:name="_Toc11065"/>
      <w:bookmarkStart w:id="277" w:name="_Toc19609"/>
      <w:bookmarkStart w:id="278" w:name="_Toc7963"/>
      <w:r>
        <w:rPr>
          <w:rFonts w:ascii="宋体" w:hAnsi="宋体" w:cs="宋体"/>
          <w:b/>
          <w:szCs w:val="21"/>
        </w:rPr>
        <w:t>3.</w:t>
      </w:r>
      <w:r>
        <w:rPr>
          <w:rFonts w:hint="eastAsia" w:ascii="宋体" w:hAnsi="宋体" w:cs="宋体"/>
          <w:b/>
          <w:szCs w:val="21"/>
        </w:rPr>
        <w:t>评标程序</w:t>
      </w:r>
      <w:bookmarkEnd w:id="275"/>
      <w:bookmarkEnd w:id="276"/>
      <w:bookmarkEnd w:id="277"/>
      <w:bookmarkEnd w:id="278"/>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3.1初步评审</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3.11 </w:t>
      </w:r>
      <w:r>
        <w:rPr>
          <w:rFonts w:hint="eastAsia" w:ascii="宋体" w:hAnsi="宋体" w:cs="宋体"/>
          <w:szCs w:val="21"/>
          <w:lang w:val="zh-CN"/>
        </w:rPr>
        <w:t>采购人或代理机构可以要求投标人提交第二章“投标人须知”规定的有关证明。</w:t>
      </w:r>
      <w:r>
        <w:rPr>
          <w:rFonts w:hint="eastAsia" w:ascii="宋体" w:hAnsi="宋体" w:cs="宋体"/>
          <w:b/>
          <w:bCs/>
          <w:szCs w:val="21"/>
          <w:lang w:val="zh-CN"/>
        </w:rPr>
        <w:t>采购人或代理机构依据本章资格评审标准规定的标准对投标文件进行资格评审</w:t>
      </w:r>
      <w:r>
        <w:rPr>
          <w:rFonts w:hint="eastAsia" w:ascii="宋体" w:hAnsi="宋体" w:cs="宋体"/>
          <w:szCs w:val="21"/>
          <w:lang w:val="zh-CN"/>
        </w:rPr>
        <w:t>。有一项不符合资格评审标准的，作无效投标处理。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3.12 </w:t>
      </w:r>
      <w:r>
        <w:rPr>
          <w:rFonts w:hint="eastAsia" w:ascii="宋体" w:hAnsi="宋体" w:cs="宋体"/>
          <w:szCs w:val="21"/>
          <w:lang w:val="zh-CN"/>
        </w:rPr>
        <w:t>投标文件属下列情况之一的，应当在资格性、符合性检查时按照无效投标处理：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（1）未按照招标文件规定要求签署、盖章的；</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（2）不具备招标文件中规定资格要求的；</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（3）不符合法律、法规和招标文件中规定的其他实质性要求的。</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3.13 </w:t>
      </w:r>
      <w:r>
        <w:rPr>
          <w:rFonts w:hint="eastAsia" w:ascii="宋体" w:hAnsi="宋体" w:cs="宋体"/>
          <w:szCs w:val="21"/>
          <w:lang w:val="zh-CN"/>
        </w:rPr>
        <w:t>投标报价有算数错误的，评标委员会按以下原则对投标报价进行修正，修正的价格经投标人书面确认后具有约束力。投标人不接受修正价格的，其投标作无效投标处理。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（1）投标文件中的大写金额与小写金额不一致的，以大写金额为准；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（2）投标文件中开标一览表内容与投标文件中明细表内容不一致的，以开标一览表为准。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3.2 详细评审</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3.2.1 </w:t>
      </w:r>
      <w:r>
        <w:rPr>
          <w:rFonts w:hint="eastAsia" w:ascii="宋体" w:hAnsi="宋体" w:cs="宋体"/>
          <w:szCs w:val="21"/>
          <w:lang w:val="zh-CN"/>
        </w:rPr>
        <w:t>评标委员会按本章第2.2款的评分标准进行打分，并计算出综合评审得分。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3.2.2 </w:t>
      </w:r>
      <w:r>
        <w:rPr>
          <w:rFonts w:hint="eastAsia" w:ascii="宋体" w:hAnsi="宋体" w:cs="宋体"/>
          <w:szCs w:val="21"/>
          <w:lang w:val="zh-CN"/>
        </w:rPr>
        <w:t>评标委员会发现投标人的投标总报价</w:t>
      </w:r>
      <w:r>
        <w:rPr>
          <w:rFonts w:hint="eastAsia" w:ascii="宋体" w:hAnsi="宋体" w:cs="宋体"/>
          <w:szCs w:val="21"/>
        </w:rPr>
        <w:t>高</w:t>
      </w:r>
      <w:r>
        <w:rPr>
          <w:rFonts w:hint="eastAsia" w:ascii="宋体" w:hAnsi="宋体" w:cs="宋体"/>
          <w:szCs w:val="21"/>
          <w:lang w:val="zh-CN"/>
        </w:rPr>
        <w:t>于</w:t>
      </w:r>
      <w:r>
        <w:rPr>
          <w:rFonts w:hint="eastAsia" w:ascii="宋体" w:hAnsi="宋体" w:cs="宋体"/>
          <w:szCs w:val="21"/>
        </w:rPr>
        <w:t>招标文件规定的控制价</w:t>
      </w:r>
      <w:r>
        <w:rPr>
          <w:rFonts w:hint="eastAsia" w:ascii="宋体" w:hAnsi="宋体" w:cs="宋体"/>
          <w:szCs w:val="21"/>
          <w:lang w:val="zh-CN"/>
        </w:rPr>
        <w:t>，评标委员会应按无效投标处理。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3.3 投标文件的澄清和补正</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3.3.1 </w:t>
      </w:r>
      <w:r>
        <w:rPr>
          <w:rFonts w:hint="eastAsia" w:ascii="宋体" w:hAnsi="宋体" w:cs="宋体"/>
          <w:szCs w:val="21"/>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3.3.2 </w:t>
      </w:r>
      <w:r>
        <w:rPr>
          <w:rFonts w:hint="eastAsia" w:ascii="宋体" w:hAnsi="宋体" w:cs="宋体"/>
          <w:szCs w:val="21"/>
          <w:lang w:val="zh-CN"/>
        </w:rPr>
        <w:t>澄清、说明和补正不得改变投标文件的实质性内容（算术性错误修正的除外）。投标人的书面澄清、说明和补正属于投标文件的组成部分。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3.4 评标结果</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 xml:space="preserve">3.4.1 </w:t>
      </w:r>
      <w:r>
        <w:rPr>
          <w:rFonts w:hint="eastAsia" w:ascii="宋体" w:hAnsi="宋体" w:cs="宋体"/>
          <w:szCs w:val="21"/>
          <w:lang w:val="zh-CN"/>
        </w:rPr>
        <w:t>投标人得分=报价</w:t>
      </w:r>
      <w:r>
        <w:rPr>
          <w:rFonts w:hint="eastAsia" w:ascii="宋体" w:hAnsi="宋体" w:cs="宋体"/>
          <w:szCs w:val="21"/>
        </w:rPr>
        <w:t>部分</w:t>
      </w:r>
      <w:r>
        <w:rPr>
          <w:rFonts w:hint="eastAsia" w:ascii="宋体" w:hAnsi="宋体" w:cs="宋体"/>
          <w:szCs w:val="21"/>
          <w:lang w:val="zh-CN"/>
        </w:rPr>
        <w:t>得分+</w:t>
      </w:r>
      <w:r>
        <w:rPr>
          <w:rFonts w:hint="eastAsia" w:ascii="宋体" w:hAnsi="宋体" w:cs="宋体"/>
          <w:szCs w:val="21"/>
        </w:rPr>
        <w:t>技术部分得分</w:t>
      </w:r>
      <w:r>
        <w:rPr>
          <w:rFonts w:hint="eastAsia" w:ascii="宋体" w:hAnsi="宋体" w:cs="宋体"/>
          <w:szCs w:val="21"/>
          <w:lang w:val="zh-CN"/>
        </w:rPr>
        <w:t>+</w:t>
      </w:r>
      <w:r>
        <w:rPr>
          <w:rFonts w:hint="eastAsia" w:ascii="宋体" w:hAnsi="宋体" w:cs="宋体"/>
          <w:szCs w:val="21"/>
          <w:highlight w:val="none"/>
          <w:lang w:val="en-US" w:eastAsia="zh-CN"/>
        </w:rPr>
        <w:t>综合</w:t>
      </w:r>
      <w:r>
        <w:rPr>
          <w:rFonts w:hint="eastAsia" w:ascii="宋体" w:hAnsi="宋体" w:cs="宋体"/>
          <w:szCs w:val="21"/>
          <w:highlight w:val="none"/>
        </w:rPr>
        <w:t>部分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3.4.2</w:t>
      </w:r>
      <w:r>
        <w:rPr>
          <w:rFonts w:hint="eastAsia" w:ascii="宋体" w:hAnsi="宋体" w:cs="宋体"/>
          <w:szCs w:val="21"/>
          <w:lang w:val="zh-CN"/>
        </w:rPr>
        <w:t>投标人最终得分为评标委员会完成评审后所有评分的算术平均值，作为该投标人最终得分。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3.4.3 </w:t>
      </w:r>
      <w:r>
        <w:rPr>
          <w:rFonts w:hint="eastAsia" w:ascii="宋体" w:hAnsi="宋体" w:cs="宋体"/>
          <w:b/>
          <w:bCs/>
          <w:szCs w:val="21"/>
        </w:rPr>
        <w:t>评标委员会将按照评标最后得分由高到低的顺序对所有投标文件实质上响应采购文件要求的供应商进行排序；得分相同的，按投标报价由低到高顺序排列；得分和投标报价均相同的，按技术指标优劣（技术及</w:t>
      </w:r>
      <w:r>
        <w:rPr>
          <w:rFonts w:hint="eastAsia" w:ascii="宋体" w:hAnsi="宋体" w:cs="宋体"/>
          <w:b/>
          <w:bCs/>
          <w:szCs w:val="21"/>
          <w:lang w:eastAsia="zh-CN"/>
        </w:rPr>
        <w:t>综合</w:t>
      </w:r>
      <w:r>
        <w:rPr>
          <w:rFonts w:hint="eastAsia" w:ascii="宋体" w:hAnsi="宋体" w:cs="宋体"/>
          <w:b/>
          <w:bCs/>
          <w:szCs w:val="21"/>
        </w:rPr>
        <w:t>部分得分由高到低）顺序排列。</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3.4.4 </w:t>
      </w:r>
      <w:r>
        <w:rPr>
          <w:rFonts w:hint="eastAsia" w:ascii="宋体" w:hAnsi="宋体" w:cs="宋体"/>
          <w:szCs w:val="21"/>
          <w:lang w:val="zh-CN"/>
        </w:rPr>
        <w:t>计分过程中按四舍五入的法则，最终结果取至小数点后两位。</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3.4.5 </w:t>
      </w:r>
      <w:r>
        <w:rPr>
          <w:rFonts w:hint="eastAsia" w:ascii="宋体" w:hAnsi="宋体" w:cs="宋体"/>
          <w:szCs w:val="21"/>
          <w:lang w:val="zh-CN"/>
        </w:rPr>
        <w:t>评标委员会按照得分由高到低的顺序推荐</w:t>
      </w:r>
      <w:r>
        <w:rPr>
          <w:rFonts w:hint="eastAsia" w:ascii="宋体" w:hAnsi="宋体" w:cs="宋体"/>
          <w:szCs w:val="21"/>
        </w:rPr>
        <w:t>3名</w:t>
      </w:r>
      <w:r>
        <w:rPr>
          <w:rFonts w:hint="eastAsia" w:ascii="宋体" w:hAnsi="宋体" w:cs="宋体"/>
          <w:szCs w:val="21"/>
          <w:lang w:val="zh-CN"/>
        </w:rPr>
        <w:t>中标候选人。</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3.4.6 </w:t>
      </w:r>
      <w:r>
        <w:rPr>
          <w:rFonts w:hint="eastAsia" w:ascii="宋体" w:hAnsi="宋体" w:cs="宋体"/>
          <w:szCs w:val="21"/>
          <w:lang w:val="zh-CN"/>
        </w:rPr>
        <w:t>评标委员会完成评标后，应当向采购人提交书面评标报告。</w:t>
      </w:r>
    </w:p>
    <w:p>
      <w:pPr>
        <w:adjustRightInd w:val="0"/>
        <w:snapToGrid w:val="0"/>
        <w:spacing w:line="560" w:lineRule="exact"/>
        <w:ind w:firstLine="422" w:firstLineChars="200"/>
        <w:rPr>
          <w:rFonts w:ascii="宋体" w:hAnsi="宋体" w:cs="宋体"/>
          <w:b/>
          <w:bCs/>
          <w:szCs w:val="21"/>
          <w:lang w:val="zh-CN"/>
        </w:rPr>
      </w:pPr>
      <w:r>
        <w:rPr>
          <w:rFonts w:hint="eastAsia" w:ascii="宋体" w:hAnsi="宋体" w:cs="宋体"/>
          <w:b/>
          <w:bCs/>
          <w:szCs w:val="21"/>
        </w:rPr>
        <w:t xml:space="preserve">3.5 </w:t>
      </w:r>
      <w:r>
        <w:rPr>
          <w:rFonts w:hint="eastAsia" w:ascii="宋体" w:hAnsi="宋体" w:cs="宋体"/>
          <w:b/>
          <w:bCs/>
          <w:szCs w:val="21"/>
          <w:lang w:val="zh-CN"/>
        </w:rPr>
        <w:t>顺延中标人或重新招标</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ind w:firstLine="422" w:firstLineChars="200"/>
        <w:rPr>
          <w:rFonts w:ascii="宋体" w:hAnsi="宋体" w:cs="宋体"/>
          <w:b/>
          <w:bCs/>
          <w:szCs w:val="21"/>
        </w:rPr>
      </w:pPr>
      <w:bookmarkStart w:id="279" w:name="_Toc17922"/>
      <w:bookmarkStart w:id="280" w:name="_Toc28863"/>
      <w:bookmarkStart w:id="281" w:name="_Toc54"/>
      <w:bookmarkStart w:id="282" w:name="_Toc19590"/>
      <w:bookmarkStart w:id="283" w:name="_Toc16293"/>
      <w:bookmarkStart w:id="284" w:name="_Toc7468"/>
      <w:bookmarkStart w:id="285" w:name="_Toc11630"/>
      <w:r>
        <w:rPr>
          <w:rFonts w:hint="eastAsia" w:ascii="宋体" w:hAnsi="宋体" w:cs="宋体"/>
          <w:b/>
          <w:bCs/>
          <w:szCs w:val="21"/>
        </w:rPr>
        <w:t>3.6 保密及其他注意事项</w:t>
      </w:r>
      <w:bookmarkEnd w:id="279"/>
      <w:bookmarkEnd w:id="280"/>
      <w:bookmarkEnd w:id="281"/>
      <w:bookmarkEnd w:id="282"/>
      <w:bookmarkEnd w:id="283"/>
      <w:bookmarkEnd w:id="284"/>
      <w:bookmarkEnd w:id="285"/>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3.6.1 </w:t>
      </w:r>
      <w:r>
        <w:rPr>
          <w:rFonts w:hint="eastAsia" w:ascii="宋体" w:hAnsi="宋体" w:cs="宋体"/>
          <w:szCs w:val="21"/>
          <w:lang w:val="zh-CN"/>
        </w:rPr>
        <w:t>在评标期间，投标企业不得向评标委员会成员询问评标情况，不得进行旨在影响中标结果的活动。</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3.6.2 </w:t>
      </w:r>
      <w:r>
        <w:rPr>
          <w:rFonts w:hint="eastAsia" w:ascii="宋体" w:hAnsi="宋体" w:cs="宋体"/>
          <w:szCs w:val="21"/>
          <w:lang w:val="zh-CN"/>
        </w:rPr>
        <w:t>在评标结束后，凡与评标情况有接触的任何人不得也不应将评标情况扩散出评标委员会成员之外。</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3.6.3</w:t>
      </w:r>
      <w:r>
        <w:rPr>
          <w:rFonts w:hint="eastAsia" w:ascii="宋体" w:hAnsi="宋体" w:cs="宋体"/>
          <w:szCs w:val="21"/>
          <w:lang w:val="zh-CN"/>
        </w:rPr>
        <w:t>招标代理机构不向落标方解释落标原因，不退还投标文件。</w:t>
      </w:r>
    </w:p>
    <w:p>
      <w:pPr>
        <w:tabs>
          <w:tab w:val="left" w:pos="720"/>
        </w:tabs>
        <w:spacing w:line="440" w:lineRule="exact"/>
        <w:ind w:firstLine="420" w:firstLineChars="200"/>
        <w:rPr>
          <w:rFonts w:ascii="宋体" w:hAnsi="宋体" w:cs="宋体"/>
          <w:szCs w:val="28"/>
        </w:rPr>
      </w:pPr>
      <w:r>
        <w:rPr>
          <w:rFonts w:hint="eastAsia" w:ascii="宋体" w:hAnsi="宋体" w:cs="宋体"/>
          <w:bCs/>
          <w:kern w:val="0"/>
          <w:szCs w:val="21"/>
        </w:rPr>
        <w:br w:type="page"/>
      </w:r>
    </w:p>
    <w:p>
      <w:pPr>
        <w:pStyle w:val="22"/>
        <w:spacing w:line="600" w:lineRule="exact"/>
        <w:ind w:right="-63" w:rightChars="-30"/>
        <w:rPr>
          <w:rFonts w:ascii="宋体" w:hAnsi="宋体" w:eastAsia="宋体" w:cs="宋体"/>
          <w:sz w:val="28"/>
          <w:szCs w:val="28"/>
        </w:rPr>
      </w:pPr>
      <w:bookmarkStart w:id="286" w:name="_Toc1909"/>
      <w:r>
        <w:rPr>
          <w:rFonts w:hint="eastAsia" w:ascii="宋体" w:hAnsi="宋体" w:eastAsia="宋体" w:cs="宋体"/>
          <w:sz w:val="28"/>
          <w:szCs w:val="28"/>
        </w:rPr>
        <w:t>第四章 合同条款及格式</w:t>
      </w:r>
      <w:bookmarkEnd w:id="261"/>
      <w:bookmarkEnd w:id="262"/>
      <w:bookmarkEnd w:id="263"/>
      <w:bookmarkEnd w:id="286"/>
    </w:p>
    <w:p>
      <w:pPr>
        <w:jc w:val="center"/>
        <w:rPr>
          <w:rFonts w:ascii="宋体" w:hAnsi="宋体" w:cs="宋体"/>
          <w:sz w:val="28"/>
          <w:szCs w:val="28"/>
        </w:rPr>
      </w:pPr>
      <w:r>
        <w:rPr>
          <w:rFonts w:hint="eastAsia" w:ascii="宋体" w:hAnsi="宋体" w:cs="宋体"/>
          <w:b/>
          <w:sz w:val="28"/>
          <w:szCs w:val="28"/>
        </w:rPr>
        <w:t>（仅供参考）</w:t>
      </w:r>
    </w:p>
    <w:p>
      <w:pPr>
        <w:adjustRightInd w:val="0"/>
        <w:spacing w:line="360" w:lineRule="auto"/>
        <w:ind w:firstLine="420" w:firstLineChars="200"/>
        <w:textAlignment w:val="baseline"/>
        <w:rPr>
          <w:rFonts w:asciiTheme="minorEastAsia" w:hAnsiTheme="minorEastAsia" w:eastAsiaTheme="minorEastAsia" w:cstheme="minorEastAsia"/>
          <w:szCs w:val="21"/>
        </w:rPr>
      </w:pPr>
      <w:bookmarkStart w:id="287" w:name="_Toc12807"/>
      <w:r>
        <w:rPr>
          <w:rFonts w:hint="eastAsia" w:asciiTheme="minorEastAsia" w:hAnsiTheme="minorEastAsia" w:eastAsiaTheme="minorEastAsia" w:cstheme="minorEastAsia"/>
          <w:szCs w:val="21"/>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甲、乙双方持采购人、采购代理公司签发的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乙方应于202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 月 日前按甲方要求在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（甲方指定地点）将货物运送达到验收条件。货物运送产生的费用由乙方负责。由甲方组织相关人员进行验收。</w:t>
      </w:r>
    </w:p>
    <w:p>
      <w:pPr>
        <w:numPr>
          <w:ilvl w:val="0"/>
          <w:numId w:val="5"/>
        </w:numPr>
        <w:adjustRightInd w:val="0"/>
        <w:spacing w:line="360" w:lineRule="auto"/>
        <w:ind w:firstLine="48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付款方式：</w:t>
      </w:r>
      <w:r>
        <w:rPr>
          <w:rFonts w:hint="eastAsia" w:asciiTheme="minorEastAsia" w:hAnsiTheme="minorEastAsia" w:eastAsiaTheme="minorEastAsia" w:cstheme="minorEastAsia"/>
          <w:szCs w:val="21"/>
        </w:rPr>
        <w:t>项目量完成50%支付项目总价款的10%，项目完工经验收合格后付至项目总价款的20%，工程资料验收合格后支付至项目总价款的97%；剩余3%一年后一次性支付。</w:t>
      </w:r>
    </w:p>
    <w:p>
      <w:pPr>
        <w:numPr>
          <w:ilvl w:val="0"/>
          <w:numId w:val="5"/>
        </w:numPr>
        <w:adjustRightInd w:val="0"/>
        <w:spacing w:line="360" w:lineRule="auto"/>
        <w:ind w:firstLine="48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重要提示：以上合同文本作为签订合同的重要依据，涉及付款方式、供应商名称等实质性内容不得变更。</w:t>
      </w:r>
    </w:p>
    <w:p>
      <w:pPr>
        <w:rPr>
          <w:rFonts w:hint="eastAsia"/>
        </w:rPr>
      </w:pPr>
    </w:p>
    <w:p>
      <w:pPr>
        <w:rPr>
          <w:rFonts w:hint="eastAsia"/>
        </w:rPr>
      </w:pPr>
    </w:p>
    <w:p>
      <w:pPr>
        <w:rPr>
          <w:rFonts w:hint="eastAsia"/>
        </w:rPr>
      </w:pPr>
    </w:p>
    <w:p>
      <w:pPr>
        <w:pStyle w:val="25"/>
        <w:rPr>
          <w:rFonts w:hint="eastAsia"/>
        </w:rPr>
      </w:pPr>
    </w:p>
    <w:p>
      <w:pPr>
        <w:rPr>
          <w:rFonts w:hint="eastAsia"/>
        </w:rPr>
      </w:pPr>
    </w:p>
    <w:p>
      <w:pPr>
        <w:pStyle w:val="25"/>
        <w:rPr>
          <w:rFonts w:hint="eastAsia"/>
        </w:rPr>
      </w:pPr>
    </w:p>
    <w:p>
      <w:pPr>
        <w:pStyle w:val="9"/>
        <w:jc w:val="center"/>
        <w:outlineLvl w:val="0"/>
        <w:rPr>
          <w:rFonts w:ascii="宋体" w:hAnsi="宋体" w:cs="宋体"/>
          <w:b/>
          <w:bCs/>
          <w:sz w:val="21"/>
          <w:szCs w:val="21"/>
        </w:rPr>
      </w:pPr>
    </w:p>
    <w:p>
      <w:pPr>
        <w:pStyle w:val="9"/>
        <w:jc w:val="center"/>
        <w:outlineLvl w:val="0"/>
        <w:rPr>
          <w:rFonts w:ascii="宋体" w:hAnsi="宋体" w:cs="宋体"/>
          <w:b/>
          <w:bCs/>
          <w:sz w:val="21"/>
          <w:szCs w:val="21"/>
        </w:rPr>
      </w:pPr>
    </w:p>
    <w:p>
      <w:pPr>
        <w:pStyle w:val="9"/>
        <w:jc w:val="center"/>
        <w:outlineLvl w:val="0"/>
        <w:rPr>
          <w:rFonts w:ascii="宋体" w:hAnsi="宋体" w:cs="宋体"/>
          <w:b/>
          <w:bCs/>
          <w:sz w:val="21"/>
          <w:szCs w:val="21"/>
        </w:rPr>
      </w:pPr>
    </w:p>
    <w:bookmarkEnd w:id="287"/>
    <w:p>
      <w:pPr>
        <w:jc w:val="center"/>
        <w:rPr>
          <w:rFonts w:hint="eastAsia" w:ascii="宋体" w:hAnsi="宋体" w:cs="宋体"/>
          <w:b/>
          <w:bCs/>
          <w:color w:val="auto"/>
          <w:sz w:val="32"/>
          <w:szCs w:val="32"/>
        </w:rPr>
      </w:pPr>
      <w:bookmarkStart w:id="288" w:name="_Toc14121"/>
      <w:bookmarkStart w:id="289" w:name="_Toc426369533"/>
      <w:bookmarkStart w:id="290" w:name="_Toc403122572"/>
      <w:bookmarkStart w:id="291" w:name="_Toc7906"/>
    </w:p>
    <w:p>
      <w:pPr>
        <w:jc w:val="center"/>
        <w:rPr>
          <w:rFonts w:hint="eastAsia"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第五章 采购内容及要求</w:t>
      </w:r>
    </w:p>
    <w:p>
      <w:pPr>
        <w:bidi w:val="0"/>
        <w:jc w:val="left"/>
        <w:rPr>
          <w:rFonts w:hint="eastAsia" w:ascii="Book Antiqua" w:hAnsi="Book Antiqua" w:eastAsia="宋体" w:cs="Times New Roman"/>
          <w:kern w:val="2"/>
          <w:sz w:val="21"/>
          <w:szCs w:val="24"/>
          <w:lang w:val="en-US" w:eastAsia="zh-CN" w:bidi="ar-SA"/>
        </w:rPr>
      </w:pPr>
    </w:p>
    <w:tbl>
      <w:tblPr>
        <w:tblStyle w:val="26"/>
        <w:tblW w:w="9036" w:type="dxa"/>
        <w:tblInd w:w="93" w:type="dxa"/>
        <w:tblLayout w:type="fixed"/>
        <w:tblCellMar>
          <w:top w:w="0" w:type="dxa"/>
          <w:left w:w="108" w:type="dxa"/>
          <w:bottom w:w="0" w:type="dxa"/>
          <w:right w:w="108" w:type="dxa"/>
        </w:tblCellMar>
      </w:tblPr>
      <w:tblGrid>
        <w:gridCol w:w="672"/>
        <w:gridCol w:w="1066"/>
        <w:gridCol w:w="5686"/>
        <w:gridCol w:w="600"/>
        <w:gridCol w:w="615"/>
        <w:gridCol w:w="397"/>
      </w:tblGrid>
      <w:tr>
        <w:tblPrEx>
          <w:tblCellMar>
            <w:top w:w="0" w:type="dxa"/>
            <w:left w:w="108" w:type="dxa"/>
            <w:bottom w:w="0" w:type="dxa"/>
            <w:right w:w="108" w:type="dxa"/>
          </w:tblCellMar>
        </w:tblPrEx>
        <w:trPr>
          <w:trHeight w:val="600"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06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名称</w:t>
            </w:r>
          </w:p>
        </w:tc>
        <w:tc>
          <w:tcPr>
            <w:tcW w:w="568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b/>
                <w:bCs/>
                <w:kern w:val="0"/>
                <w:sz w:val="18"/>
                <w:szCs w:val="18"/>
                <w:lang w:val="en-US" w:eastAsia="zh-CN"/>
              </w:rPr>
            </w:pPr>
            <w:r>
              <w:rPr>
                <w:rFonts w:hint="eastAsia" w:ascii="宋体" w:hAnsi="宋体" w:cs="宋体"/>
                <w:b/>
                <w:bCs/>
                <w:kern w:val="0"/>
                <w:sz w:val="18"/>
                <w:szCs w:val="18"/>
              </w:rPr>
              <w:t>技术</w:t>
            </w:r>
            <w:r>
              <w:rPr>
                <w:rFonts w:hint="eastAsia" w:ascii="宋体" w:hAnsi="宋体" w:cs="宋体"/>
                <w:b/>
                <w:bCs/>
                <w:kern w:val="0"/>
                <w:sz w:val="18"/>
                <w:szCs w:val="18"/>
                <w:lang w:val="en-US" w:eastAsia="zh-CN"/>
              </w:rPr>
              <w:t>参数及要求</w:t>
            </w:r>
          </w:p>
        </w:tc>
        <w:tc>
          <w:tcPr>
            <w:tcW w:w="6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61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数量</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600" w:hRule="atLeast"/>
        </w:trPr>
        <w:tc>
          <w:tcPr>
            <w:tcW w:w="9036"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一</w:t>
            </w:r>
            <w:r>
              <w:rPr>
                <w:rFonts w:hint="eastAsia" w:ascii="宋体" w:hAnsi="宋体" w:cs="宋体"/>
                <w:b/>
                <w:bCs/>
                <w:kern w:val="0"/>
                <w:sz w:val="18"/>
                <w:szCs w:val="18"/>
                <w:lang w:eastAsia="zh-CN"/>
              </w:rPr>
              <w:t>、</w:t>
            </w:r>
            <w:r>
              <w:rPr>
                <w:rFonts w:hint="eastAsia" w:ascii="宋体" w:hAnsi="宋体" w:cs="宋体"/>
                <w:b/>
                <w:bCs/>
                <w:kern w:val="0"/>
                <w:sz w:val="18"/>
                <w:szCs w:val="18"/>
              </w:rPr>
              <w:t>智慧农业信息平台硬件配套</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1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云服务运行服务费</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val="en-US" w:eastAsia="zh-CN"/>
              </w:rPr>
            </w:pPr>
            <w:r>
              <w:rPr>
                <w:rFonts w:hint="eastAsia" w:ascii="宋体" w:hAnsi="宋体" w:cs="宋体"/>
                <w:kern w:val="0"/>
                <w:sz w:val="18"/>
                <w:szCs w:val="18"/>
              </w:rPr>
              <w:t>云服务运行服务</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年</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9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2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工作站</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rPr>
              <w:t>网络机柜（尺寸：635</w:t>
            </w:r>
            <w:r>
              <w:rPr>
                <w:rFonts w:hint="eastAsia" w:ascii="宋体" w:hAnsi="宋体" w:cs="宋体"/>
                <w:kern w:val="0"/>
                <w:sz w:val="18"/>
                <w:szCs w:val="18"/>
                <w:lang w:val="en-US" w:eastAsia="zh-CN"/>
              </w:rPr>
              <w:t>mm</w:t>
            </w:r>
            <w:r>
              <w:rPr>
                <w:rFonts w:hint="eastAsia" w:ascii="宋体" w:hAnsi="宋体" w:cs="宋体"/>
                <w:kern w:val="0"/>
                <w:sz w:val="18"/>
                <w:szCs w:val="18"/>
              </w:rPr>
              <w:t>*600</w:t>
            </w:r>
            <w:r>
              <w:rPr>
                <w:rFonts w:hint="eastAsia" w:ascii="宋体" w:hAnsi="宋体" w:cs="宋体"/>
                <w:kern w:val="0"/>
                <w:sz w:val="18"/>
                <w:szCs w:val="18"/>
                <w:lang w:val="en-US" w:eastAsia="zh-CN"/>
              </w:rPr>
              <w:t>mm</w:t>
            </w:r>
            <w:r>
              <w:rPr>
                <w:rFonts w:hint="eastAsia" w:ascii="宋体" w:hAnsi="宋体" w:cs="宋体"/>
                <w:kern w:val="0"/>
                <w:sz w:val="18"/>
                <w:szCs w:val="18"/>
              </w:rPr>
              <w:t>*600mm，材质：覆铝锌板及冷轧钢）、交换机（参数要求：1.包转发率12Mpps交换容量≥16Gbps</w:t>
            </w:r>
            <w:r>
              <w:rPr>
                <w:rFonts w:hint="eastAsia" w:ascii="宋体" w:hAnsi="宋体" w:cs="宋体"/>
                <w:kern w:val="0"/>
                <w:sz w:val="18"/>
                <w:szCs w:val="18"/>
                <w:lang w:eastAsia="zh-CN"/>
              </w:rPr>
              <w:t>；</w:t>
            </w:r>
            <w:r>
              <w:rPr>
                <w:rFonts w:hint="eastAsia" w:ascii="宋体" w:hAnsi="宋体" w:cs="宋体"/>
                <w:kern w:val="0"/>
                <w:sz w:val="18"/>
                <w:szCs w:val="18"/>
              </w:rPr>
              <w:t>2.固定端口8个10/100/1000BASE-T端口）及无线路由器（双频8通道，速率≥1000Mbps）等网络通讯设备</w:t>
            </w:r>
            <w:r>
              <w:rPr>
                <w:rFonts w:hint="eastAsia" w:ascii="宋体" w:hAnsi="宋体" w:cs="宋体"/>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2 </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3 </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国产便携式计算机</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rPr>
              <w:t>处理器：CPU型号第十三代i7处理器，十核，16线程，显示器：16英寸，分辨率2560*1600；电源：4芯锂离子电池；显卡：RTX 8GB；</w:t>
            </w:r>
            <w:r>
              <w:rPr>
                <w:rFonts w:hint="eastAsia" w:ascii="宋体" w:hAnsi="宋体" w:eastAsia="宋体" w:cs="宋体"/>
                <w:kern w:val="0"/>
                <w:sz w:val="18"/>
                <w:szCs w:val="18"/>
              </w:rPr>
              <w:t>≥</w:t>
            </w:r>
            <w:r>
              <w:rPr>
                <w:rFonts w:hint="eastAsia" w:ascii="宋体" w:hAnsi="宋体" w:cs="宋体"/>
                <w:kern w:val="0"/>
                <w:sz w:val="18"/>
                <w:szCs w:val="18"/>
                <w:highlight w:val="none"/>
              </w:rPr>
              <w:t>16G内存，</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1TB固态硬盘</w:t>
            </w:r>
            <w:r>
              <w:rPr>
                <w:rFonts w:hint="eastAsia" w:ascii="宋体" w:hAnsi="宋体" w:cs="宋体"/>
                <w:kern w:val="0"/>
                <w:sz w:val="18"/>
                <w:szCs w:val="18"/>
                <w:highlight w:val="none"/>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4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工作计算机</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rPr>
              <w:t>主机+27.0英寸高清显示器，CPU型号i7，十二核，16G内存，1TB固态硬盘，集成声卡集成显卡，显示器分辨率1920*1080</w:t>
            </w:r>
            <w:r>
              <w:rPr>
                <w:rFonts w:hint="eastAsia" w:ascii="宋体" w:hAnsi="宋体" w:cs="宋体"/>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 xml:space="preserve"> </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5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A4黑白激光一体机</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highlight w:val="none"/>
              </w:rPr>
              <w:t>打印复印扫描，含无线连接+输稿器+传真功能，自动双面打印，最佳分辨率600*600dpi</w:t>
            </w:r>
            <w:r>
              <w:rPr>
                <w:rFonts w:hint="eastAsia" w:ascii="宋体" w:hAnsi="宋体" w:cs="宋体"/>
                <w:kern w:val="0"/>
                <w:sz w:val="18"/>
                <w:szCs w:val="18"/>
                <w:highlight w:val="none"/>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 xml:space="preserve"> </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6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音响套装</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rPr>
              <w:t>含功放+4只8寸音响+4会议话筒（USB接口，蓝牙连接；音响额定功率60W，频率响应：60Hz-20KHz,灵敏度</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93dB（1M/1W</w:t>
            </w:r>
            <w:r>
              <w:rPr>
                <w:rFonts w:hint="eastAsia" w:ascii="宋体" w:hAnsi="宋体" w:cs="宋体"/>
                <w:kern w:val="0"/>
                <w:sz w:val="18"/>
                <w:szCs w:val="18"/>
              </w:rPr>
              <w:t>），功放：频率响应60Hz-20KHz，输出阻抗4Ω-16Ω；信噪比不小于74dB，尺寸：</w:t>
            </w:r>
            <w:r>
              <w:rPr>
                <w:rFonts w:hint="eastAsia" w:ascii="宋体" w:hAnsi="宋体" w:eastAsia="宋体" w:cs="宋体"/>
                <w:kern w:val="0"/>
                <w:sz w:val="18"/>
                <w:szCs w:val="18"/>
              </w:rPr>
              <w:t>≥</w:t>
            </w:r>
            <w:r>
              <w:rPr>
                <w:rFonts w:hint="eastAsia" w:ascii="宋体" w:hAnsi="宋体" w:cs="宋体"/>
                <w:kern w:val="0"/>
                <w:sz w:val="18"/>
                <w:szCs w:val="18"/>
              </w:rPr>
              <w:t>430</w:t>
            </w:r>
            <w:r>
              <w:rPr>
                <w:rFonts w:hint="eastAsia" w:ascii="宋体" w:hAnsi="宋体" w:cs="宋体"/>
                <w:kern w:val="0"/>
                <w:sz w:val="18"/>
                <w:szCs w:val="18"/>
                <w:lang w:val="en-US" w:eastAsia="zh-CN"/>
              </w:rPr>
              <w:t>mm</w:t>
            </w:r>
            <w:r>
              <w:rPr>
                <w:rFonts w:hint="eastAsia" w:ascii="宋体" w:hAnsi="宋体" w:cs="宋体"/>
                <w:kern w:val="0"/>
                <w:sz w:val="18"/>
                <w:szCs w:val="18"/>
              </w:rPr>
              <w:t>*310</w:t>
            </w:r>
            <w:r>
              <w:rPr>
                <w:rFonts w:hint="eastAsia" w:ascii="宋体" w:hAnsi="宋体" w:cs="宋体"/>
                <w:kern w:val="0"/>
                <w:sz w:val="18"/>
                <w:szCs w:val="18"/>
                <w:lang w:val="en-US" w:eastAsia="zh-CN"/>
              </w:rPr>
              <w:t>mm</w:t>
            </w:r>
            <w:r>
              <w:rPr>
                <w:rFonts w:hint="eastAsia" w:ascii="宋体" w:hAnsi="宋体" w:cs="宋体"/>
                <w:kern w:val="0"/>
                <w:sz w:val="18"/>
                <w:szCs w:val="18"/>
              </w:rPr>
              <w:t>*120mm</w:t>
            </w:r>
            <w:r>
              <w:rPr>
                <w:rFonts w:hint="eastAsia" w:ascii="宋体" w:hAnsi="宋体" w:cs="宋体"/>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xml:space="preserve">7 </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室内LED智慧大屏</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val="0"/>
              <w:wordWrap/>
              <w:overflowPunct w:val="0"/>
              <w:topLinePunct w:val="0"/>
              <w:autoSpaceDE/>
              <w:autoSpaceDN/>
              <w:bidi w:val="0"/>
              <w:adjustRightInd/>
              <w:snapToGrid/>
              <w:spacing w:line="320" w:lineRule="exact"/>
              <w:textAlignment w:val="auto"/>
              <w:rPr>
                <w:rFonts w:hint="eastAsia" w:ascii="宋体" w:hAnsi="宋体" w:eastAsia="宋体" w:cs="宋体"/>
                <w:kern w:val="0"/>
                <w:sz w:val="18"/>
                <w:szCs w:val="18"/>
                <w:lang w:eastAsia="zh-CN"/>
              </w:rPr>
            </w:pPr>
            <w:r>
              <w:rPr>
                <w:rFonts w:hint="eastAsia" w:ascii="宋体" w:hAnsi="宋体" w:cs="宋体"/>
                <w:kern w:val="0"/>
                <w:sz w:val="18"/>
                <w:szCs w:val="18"/>
              </w:rPr>
              <w:t>P1.5全彩小间距LED显示屏，刷新率3000hz，屏幕比例16:9，接口DVI，HDMI，USB扩展/充</w:t>
            </w:r>
            <w:r>
              <w:rPr>
                <w:rFonts w:hint="eastAsia" w:ascii="宋体" w:hAnsi="宋体" w:cs="宋体"/>
                <w:kern w:val="0"/>
                <w:sz w:val="18"/>
                <w:szCs w:val="18"/>
                <w:highlight w:val="none"/>
              </w:rPr>
              <w:t>电，每套6.67m2</w:t>
            </w:r>
            <w:r>
              <w:rPr>
                <w:rFonts w:hint="eastAsia" w:ascii="宋体" w:hAnsi="宋体" w:cs="宋体"/>
                <w:kern w:val="0"/>
                <w:sz w:val="18"/>
                <w:szCs w:val="18"/>
                <w:highlight w:val="none"/>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13.34</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双联式操作台</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主要材质：冷轧钢板；尺寸：1250*925*1000mm；含配套椅子2张</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办公</w:t>
            </w:r>
            <w:r>
              <w:rPr>
                <w:rFonts w:hint="eastAsia" w:ascii="宋体" w:hAnsi="宋体" w:cs="宋体"/>
                <w:i w:val="0"/>
                <w:iCs w:val="0"/>
                <w:color w:val="000000"/>
                <w:kern w:val="0"/>
                <w:sz w:val="18"/>
                <w:szCs w:val="18"/>
                <w:highlight w:val="none"/>
                <w:u w:val="none"/>
                <w:lang w:val="en-US" w:eastAsia="zh-CN" w:bidi="ar"/>
              </w:rPr>
              <w:t>桌</w:t>
            </w:r>
            <w:r>
              <w:rPr>
                <w:rFonts w:hint="eastAsia" w:ascii="宋体" w:hAnsi="宋体" w:eastAsia="宋体" w:cs="宋体"/>
                <w:i w:val="0"/>
                <w:iCs w:val="0"/>
                <w:color w:val="000000"/>
                <w:kern w:val="0"/>
                <w:sz w:val="18"/>
                <w:szCs w:val="18"/>
                <w:highlight w:val="none"/>
                <w:u w:val="none"/>
                <w:lang w:val="en-US" w:eastAsia="zh-CN" w:bidi="ar"/>
              </w:rPr>
              <w:t>椅</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会议桌：材质板式，颜色贴木皮红胡桃色，木皮封边，尺寸140*60*75cm</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含配套带皮椅子2</w:t>
            </w:r>
            <w:r>
              <w:rPr>
                <w:rFonts w:hint="eastAsia" w:ascii="宋体" w:hAnsi="宋体" w:cs="宋体"/>
                <w:i w:val="0"/>
                <w:iCs w:val="0"/>
                <w:color w:val="000000"/>
                <w:kern w:val="0"/>
                <w:sz w:val="18"/>
                <w:szCs w:val="18"/>
                <w:highlight w:val="none"/>
                <w:u w:val="none"/>
                <w:lang w:val="en-US" w:eastAsia="zh-CN" w:bidi="ar"/>
              </w:rPr>
              <w:t>把。（每套含一张桌子、2把椅子）</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网络硬盘录像机</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监控32路4盘位兼容8TNVR满配32个摄像头带4块10TB硬盘</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154"/>
              </w:tabs>
              <w:spacing w:line="320" w:lineRule="exact"/>
              <w:jc w:val="left"/>
              <w:rPr>
                <w:rFonts w:hint="eastAsia" w:ascii="宋体" w:hAnsi="宋体" w:eastAsia="宋体" w:cs="宋体"/>
                <w:kern w:val="0"/>
                <w:sz w:val="18"/>
                <w:szCs w:val="18"/>
                <w:lang w:eastAsia="zh-CN"/>
              </w:rPr>
            </w:pPr>
            <w:r>
              <w:rPr>
                <w:rFonts w:hint="eastAsia" w:ascii="宋体" w:hAnsi="宋体" w:cs="宋体"/>
                <w:b/>
                <w:bCs/>
                <w:kern w:val="0"/>
                <w:sz w:val="18"/>
                <w:szCs w:val="18"/>
                <w:lang w:val="en-US" w:eastAsia="zh-CN"/>
              </w:rPr>
              <w:t>二、</w:t>
            </w:r>
            <w:r>
              <w:rPr>
                <w:rFonts w:hint="eastAsia" w:ascii="宋体" w:hAnsi="宋体" w:cs="宋体"/>
                <w:b/>
                <w:bCs/>
                <w:kern w:val="0"/>
                <w:sz w:val="18"/>
                <w:szCs w:val="18"/>
                <w:lang w:eastAsia="zh-CN"/>
              </w:rPr>
              <w:t>智慧农业管理系统</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农田地理信息系统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基于空间地理信息系统GIS技术，按照省、市、县、乡、村、水源分级显示，形成科学、高效、丰富、安全可靠的农田灌溉系统管理档案，展示各地块属性、道路信息、机井信息、渠网信息、渠系建筑物信息、田间物联网设备及归属信息等。</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农业综合信息采集系统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采集田间地下水位、土壤、气象、作物等多源信息，建立“四情”（苗情、墒情、虫情、灾情）监测平台、田间气象及环境综合信息监测平台、田间视频监控信息平台、地下水位监测平台等</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农事综合管理系统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主要记录作物播种信息、施肥信息、用药信息、灌水信息（含地块信息、灌溉方式、灌水量）、除草、收割等人工农事管理信息，便于基地的农事日常管理，为进一步科学种植提供实践数据。</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5"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农业数据分析决策系统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创建农作物灌溉模型、植保模型算法，通过墒情、气象、水位、植保数据分析和灌溉模型、植保模型算法指导灌溉系统运行、发布气象信息、病虫害信息发布，指导农事作业</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农田智能灌溉控制系统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水源信息、用户信息、充值管理、灌溉分析、水位监测、用电信息、故障报警、信息储存、远程控制</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农业水价改革系统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满足灌区地块基本信息、水权、水价、水市场、精准补贴、节水奖励协会管理、报表分析、数据汇总等功能</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农业植保防控系统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具备病虫害疫情预警、疫情分析、疫情预警功能。</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气象监测预报预警系统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采集田间气象要素，推送农田气象环境数据、农用天气预报和气象灾害风险预警，指导科学开展田间管理、防灾减灾。根据需求，开展人工增雨作业和气象防灾减灾知识普及</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农事指导系统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可通过视频音频文字等方式实现农业生产知识培训，专家在线指导、决策功能，农产品信息交流展示功能，农业行业资讯分析功能等</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系统对接服务费</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土壤墒情、虫情、病情对接服务</w:t>
            </w:r>
            <w:r>
              <w:rPr>
                <w:rFonts w:hint="eastAsia" w:ascii="宋体" w:hAnsi="宋体" w:cs="宋体"/>
                <w:i w:val="0"/>
                <w:iCs w:val="0"/>
                <w:color w:val="000000"/>
                <w:kern w:val="0"/>
                <w:sz w:val="18"/>
                <w:szCs w:val="18"/>
                <w:u w:val="none"/>
                <w:lang w:val="en-US" w:eastAsia="zh-CN" w:bidi="ar"/>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2691"/>
              </w:tabs>
              <w:spacing w:line="320" w:lineRule="exact"/>
              <w:jc w:val="left"/>
              <w:rPr>
                <w:rFonts w:hint="eastAsia" w:ascii="宋体" w:hAnsi="宋体" w:eastAsia="宋体" w:cs="宋体"/>
                <w:kern w:val="0"/>
                <w:sz w:val="18"/>
                <w:szCs w:val="18"/>
                <w:lang w:eastAsia="zh-CN"/>
              </w:rPr>
            </w:pPr>
            <w:r>
              <w:rPr>
                <w:rFonts w:hint="eastAsia" w:ascii="宋体" w:hAnsi="宋体" w:cs="宋体"/>
                <w:b/>
                <w:bCs/>
                <w:kern w:val="0"/>
                <w:sz w:val="18"/>
                <w:szCs w:val="18"/>
                <w:lang w:val="en-US" w:eastAsia="zh-CN"/>
              </w:rPr>
              <w:t>三、</w:t>
            </w:r>
            <w:r>
              <w:rPr>
                <w:rFonts w:hint="eastAsia" w:ascii="宋体" w:hAnsi="宋体" w:cs="宋体"/>
                <w:b/>
                <w:bCs/>
                <w:kern w:val="0"/>
                <w:sz w:val="18"/>
                <w:szCs w:val="18"/>
                <w:lang w:eastAsia="zh-CN"/>
              </w:rPr>
              <w:t>农田管理手持终端系统</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cs="宋体"/>
                <w:kern w:val="0"/>
                <w:sz w:val="18"/>
                <w:szCs w:val="18"/>
              </w:rPr>
            </w:pPr>
            <w:r>
              <w:rPr>
                <w:rFonts w:hint="eastAsia" w:ascii="宋体" w:hAnsi="宋体" w:cs="宋体"/>
                <w:kern w:val="0"/>
                <w:sz w:val="18"/>
                <w:szCs w:val="18"/>
              </w:rPr>
              <w:t>农田管理手持终端系统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val="0"/>
              <w:wordWrap/>
              <w:overflowPunct w:val="0"/>
              <w:topLinePunct w:val="0"/>
              <w:autoSpaceDE/>
              <w:autoSpaceDN/>
              <w:bidi w:val="0"/>
              <w:adjustRightInd/>
              <w:snapToGrid/>
              <w:spacing w:line="320" w:lineRule="exact"/>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手持终端与管理平台通过移动互联网联结,应能实现田间信息的查询、显示与更新</w:t>
            </w:r>
            <w:r>
              <w:rPr>
                <w:rFonts w:hint="eastAsia" w:ascii="宋体" w:hAnsi="宋体" w:cs="宋体"/>
                <w:kern w:val="0"/>
                <w:sz w:val="18"/>
                <w:szCs w:val="18"/>
                <w:lang w:eastAsia="zh-CN"/>
              </w:rPr>
              <w:t>；</w:t>
            </w:r>
            <w:r>
              <w:rPr>
                <w:rFonts w:hint="eastAsia" w:ascii="宋体" w:hAnsi="宋体" w:cs="宋体"/>
                <w:kern w:val="0"/>
                <w:sz w:val="18"/>
                <w:szCs w:val="18"/>
              </w:rPr>
              <w:t>能获得田间农情的预警预报与智能决策信息</w:t>
            </w:r>
            <w:r>
              <w:rPr>
                <w:rFonts w:hint="eastAsia" w:ascii="宋体" w:hAnsi="宋体" w:cs="宋体"/>
                <w:kern w:val="0"/>
                <w:sz w:val="18"/>
                <w:szCs w:val="18"/>
                <w:lang w:eastAsia="zh-CN"/>
              </w:rPr>
              <w:t>；</w:t>
            </w:r>
            <w:r>
              <w:rPr>
                <w:rFonts w:hint="eastAsia" w:ascii="宋体" w:hAnsi="宋体" w:cs="宋体"/>
                <w:kern w:val="0"/>
                <w:sz w:val="18"/>
                <w:szCs w:val="18"/>
              </w:rPr>
              <w:t>能对田间物联网设备进行管理</w:t>
            </w:r>
            <w:r>
              <w:rPr>
                <w:rFonts w:hint="eastAsia" w:ascii="宋体" w:hAnsi="宋体" w:cs="宋体"/>
                <w:kern w:val="0"/>
                <w:sz w:val="18"/>
                <w:szCs w:val="18"/>
                <w:lang w:eastAsia="zh-CN"/>
              </w:rPr>
              <w:t>，</w:t>
            </w:r>
            <w:r>
              <w:rPr>
                <w:rFonts w:hint="eastAsia" w:ascii="宋体" w:hAnsi="宋体" w:cs="宋体"/>
                <w:kern w:val="0"/>
                <w:sz w:val="18"/>
                <w:szCs w:val="18"/>
              </w:rPr>
              <w:t>包括传感器设备信息监测、控制类设备远程控制以及视频监控类设备实时查看等</w:t>
            </w:r>
            <w:r>
              <w:rPr>
                <w:rFonts w:hint="eastAsia" w:ascii="宋体" w:hAnsi="宋体" w:cs="宋体"/>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9036"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四、</w:t>
            </w:r>
            <w:r>
              <w:rPr>
                <w:rFonts w:hint="eastAsia" w:ascii="宋体" w:hAnsi="宋体" w:cs="宋体"/>
                <w:b/>
                <w:bCs/>
                <w:kern w:val="0"/>
                <w:sz w:val="18"/>
                <w:szCs w:val="18"/>
              </w:rPr>
              <w:t>农业植保科技监测站</w:t>
            </w:r>
            <w:r>
              <w:rPr>
                <w:rFonts w:hint="eastAsia" w:ascii="宋体" w:hAnsi="宋体" w:cs="宋体"/>
                <w:b/>
                <w:bCs/>
                <w:kern w:val="0"/>
                <w:sz w:val="18"/>
                <w:szCs w:val="18"/>
                <w:lang w:eastAsia="zh-CN"/>
              </w:rPr>
              <w:t>（</w:t>
            </w:r>
            <w:r>
              <w:rPr>
                <w:rFonts w:hint="eastAsia" w:ascii="宋体" w:hAnsi="宋体" w:cs="宋体"/>
                <w:b/>
                <w:bCs/>
                <w:kern w:val="0"/>
                <w:sz w:val="18"/>
                <w:szCs w:val="18"/>
              </w:rPr>
              <w:t>1主1副站</w:t>
            </w:r>
            <w:r>
              <w:rPr>
                <w:rFonts w:hint="eastAsia" w:ascii="宋体" w:hAnsi="宋体" w:cs="宋体"/>
                <w:b/>
                <w:bCs/>
                <w:kern w:val="0"/>
                <w:sz w:val="18"/>
                <w:szCs w:val="18"/>
                <w:lang w:eastAsia="zh-CN"/>
              </w:rPr>
              <w:t>）</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物联网自动虫情信息采集设备</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符合《GB/T 24689.1-2009 植物保护机械 虫情测报灯》国家标准，整体结构采用钣金喷塑工艺；</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带防雨留虫百叶窗和防雨棚：具有防雨、防外物侵入、防昆虫逃逸三防功能；下雨天无需停机，可正常工作捕虫，实现全天候诱捕昆虫，不遗漏雨天的虫情信息；3、百叶窗板采用透明材料和复式结构，不遮挡诱虫光源、不影响光线发散、不影响诱虫效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4、昆虫图像采集（拍照）功能：标配1600万像素高清工业摄像头；</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5、昆虫图像处理功能：机器自带环形无影灯进行动态光源补偿，可连续多次拍照自动选取最优图像；</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6、★分段散虫功能：具有不同规格尺寸虫体过滤功能，能使昆虫按大小分段分离并均匀平铺，避免不同大小的昆虫混杂堆叠和大虫覆盖小虫；</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7、★虫体分散效果：图像中的昆虫实现按大小分段分布；</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8、★采用节能红外杀虫烘干装置，能耗不高于100W；</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9、工作时间15min后，远红外线虫体处理仓内温度达到80°C～90°C，虫体处理致死率不低于98%,虫体完整率不低于95%；</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10、诱集光源为主波长365nm的黑光灯，灯管启动不大于5S；</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晚上自动开灯运行，白天自动关灯，夜间工作时不受瞬间强光照射影响；</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11、绝缘电阻大于2.5MΩ，1500V耐电压测试1min无击穿；能在温度为0°C-70°C、湿度不大于95%RH的环境中正常工作；在-40°C-70°C环境温度下存放不影响正常使用；</w:t>
            </w:r>
          </w:p>
          <w:p>
            <w:pPr>
              <w:widowControl/>
              <w:numPr>
                <w:ilvl w:val="0"/>
                <w:numId w:val="6"/>
              </w:numPr>
              <w:spacing w:line="320" w:lineRule="exact"/>
              <w:rPr>
                <w:rFonts w:hint="eastAsia" w:ascii="宋体" w:hAnsi="宋体" w:cs="宋体"/>
                <w:kern w:val="0"/>
                <w:sz w:val="18"/>
                <w:szCs w:val="18"/>
              </w:rPr>
            </w:pPr>
            <w:r>
              <w:rPr>
                <w:rFonts w:hint="eastAsia" w:ascii="宋体" w:hAnsi="宋体" w:cs="宋体"/>
                <w:kern w:val="0"/>
                <w:sz w:val="18"/>
                <w:szCs w:val="18"/>
              </w:rPr>
              <w:t>标配采用交流220V供电；测报灯功率不大于450W，待机功率不大于5W；</w:t>
            </w:r>
          </w:p>
          <w:p>
            <w:pPr>
              <w:widowControl/>
              <w:numPr>
                <w:ilvl w:val="0"/>
                <w:numId w:val="6"/>
              </w:numPr>
              <w:spacing w:line="320" w:lineRule="exact"/>
              <w:rPr>
                <w:rFonts w:ascii="宋体" w:hAnsi="宋体" w:cs="宋体"/>
                <w:kern w:val="0"/>
                <w:sz w:val="18"/>
                <w:szCs w:val="18"/>
              </w:rPr>
            </w:pPr>
            <w:r>
              <w:rPr>
                <w:rFonts w:hint="eastAsia" w:ascii="宋体" w:hAnsi="宋体" w:cs="宋体"/>
                <w:kern w:val="0"/>
                <w:sz w:val="18"/>
                <w:szCs w:val="18"/>
              </w:rPr>
              <w:t>标配7寸彩色触摸显示中控屏；Linux操作系统；机器内置GPS/北斗定位模块；无人值守全自动运行，具有断电重启运行自检功能，机器运行进程屏内显示；</w:t>
            </w:r>
          </w:p>
          <w:p>
            <w:pPr>
              <w:widowControl/>
              <w:numPr>
                <w:ilvl w:val="0"/>
                <w:numId w:val="6"/>
              </w:numPr>
              <w:spacing w:line="320" w:lineRule="exact"/>
              <w:rPr>
                <w:rFonts w:ascii="宋体" w:hAnsi="宋体" w:cs="宋体"/>
                <w:kern w:val="0"/>
                <w:sz w:val="18"/>
                <w:szCs w:val="18"/>
              </w:rPr>
            </w:pPr>
            <w:r>
              <w:rPr>
                <w:rFonts w:hint="eastAsia" w:ascii="宋体" w:hAnsi="宋体" w:cs="宋体"/>
                <w:kern w:val="0"/>
                <w:sz w:val="18"/>
                <w:szCs w:val="18"/>
              </w:rPr>
              <w:t>机器自带自动清理装置，每次拍照完成后，清虫刷自动清理拍照板上的虫体；</w:t>
            </w:r>
          </w:p>
          <w:p>
            <w:pPr>
              <w:widowControl/>
              <w:numPr>
                <w:ilvl w:val="0"/>
                <w:numId w:val="0"/>
              </w:numPr>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rPr>
              <w:t>15、数据实现远程自动传输，可选择有线网络或无线网络多种传输方式；采集的昆虫图像自动上传到监测系统软件，系统软件自动记录每个时间段采集的图像数据，保证每个时间段采集的虫体不混淆</w:t>
            </w:r>
            <w:r>
              <w:rPr>
                <w:rFonts w:hint="eastAsia" w:ascii="宋体" w:hAnsi="宋体" w:cs="宋体"/>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3</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植物病菌孢子捕捉分析系统</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符合GB/T 24689.3-2009孢子捕捉仪（器）标准的技术要求、安全要求、试验方法、检验规则及标志、包装、运输及贮存；</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兼容智慧农业物联网系统；</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安放载玻带系统每天自动更换进行孢子采集；</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工作温湿度；-20℃—70℃，＜95%；</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太阳能供电系统：采用单晶硅太阳能板和胶体蓄电池或锂电池（80W40Ah锂电池）；</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集气口风速为0.3m/s-5m/s；</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气体采样：采集流量</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60L/分钟，采</w:t>
            </w:r>
            <w:r>
              <w:rPr>
                <w:rFonts w:hint="eastAsia" w:ascii="宋体" w:hAnsi="宋体" w:cs="宋体"/>
                <w:kern w:val="0"/>
                <w:sz w:val="18"/>
                <w:szCs w:val="18"/>
              </w:rPr>
              <w:t>集时间1~130min（可自由设置范围）；</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配置10寸高清触摸显示</w:t>
            </w:r>
            <w:r>
              <w:rPr>
                <w:rFonts w:hint="eastAsia" w:ascii="宋体" w:hAnsi="宋体" w:cs="宋体"/>
                <w:kern w:val="0"/>
                <w:sz w:val="18"/>
                <w:szCs w:val="18"/>
                <w:highlight w:val="none"/>
              </w:rPr>
              <w:t>屏；</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在壳体表面明显部位装有接地装置和标志，产品具有防雷击功能，装有避雷装置，结构外表面使用镀锌喷塑；</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定时：可根据需求设置开关机时间段；</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拍照装置：采用800w工业摄像机加10倍光学显微镜镜头，对所捕获病菌孢子进行高清显微图片摄取，所摄取图像清晰度能够达到人工识别病菌孢子种类的要求，并上传至物联网平台；</w:t>
            </w:r>
          </w:p>
          <w:p>
            <w:pPr>
              <w:widowControl/>
              <w:numPr>
                <w:ilvl w:val="0"/>
                <w:numId w:val="7"/>
              </w:numPr>
              <w:spacing w:line="320" w:lineRule="exact"/>
              <w:rPr>
                <w:rFonts w:ascii="宋体" w:hAnsi="宋体" w:cs="宋体"/>
                <w:kern w:val="0"/>
                <w:sz w:val="18"/>
                <w:szCs w:val="18"/>
              </w:rPr>
            </w:pPr>
            <w:r>
              <w:rPr>
                <w:rFonts w:hint="eastAsia" w:ascii="宋体" w:hAnsi="宋体" w:cs="宋体"/>
                <w:kern w:val="0"/>
                <w:sz w:val="18"/>
                <w:szCs w:val="18"/>
              </w:rPr>
              <w:t>壳体绝缘电阻≥2.5ＭΩ，承受频率50Hz，电压为1500V耐电压，历时1min无击穿现象。</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5</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农业环境科技监测站-主站（太阳能供电系统）</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lang w:val="en-US" w:eastAsia="zh-CN"/>
              </w:rPr>
            </w:pPr>
            <w:r>
              <w:rPr>
                <w:rFonts w:hint="eastAsia" w:ascii="宋体" w:hAnsi="宋体" w:cs="宋体"/>
                <w:kern w:val="0"/>
                <w:sz w:val="18"/>
                <w:szCs w:val="18"/>
                <w:lang w:val="en-US" w:eastAsia="zh-CN"/>
              </w:rPr>
              <w:t>1、160W太阳能电池板</w:t>
            </w:r>
          </w:p>
          <w:p>
            <w:pPr>
              <w:widowControl/>
              <w:numPr>
                <w:ilvl w:val="0"/>
                <w:numId w:val="0"/>
              </w:numPr>
              <w:spacing w:line="320" w:lineRule="exact"/>
              <w:rPr>
                <w:rFonts w:hint="eastAsia" w:ascii="宋体" w:hAnsi="宋体" w:cs="宋体"/>
                <w:kern w:val="0"/>
                <w:sz w:val="18"/>
                <w:szCs w:val="18"/>
                <w:lang w:val="en-US" w:eastAsia="zh-CN"/>
              </w:rPr>
            </w:pPr>
            <w:r>
              <w:rPr>
                <w:rFonts w:hint="eastAsia" w:ascii="宋体" w:hAnsi="宋体" w:cs="宋体"/>
                <w:kern w:val="0"/>
                <w:sz w:val="18"/>
                <w:szCs w:val="18"/>
                <w:lang w:val="en-US" w:eastAsia="zh-CN"/>
              </w:rPr>
              <w:t>2、DC12V，100AH专用太阳能电池</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太阳能板支架：采用镀锌钢管，表面烤漆，高度2000mm</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太阳能控制系统（含太阳能控制器、5000W逆变器、交直流自动切换设备等）</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配电柜</w:t>
            </w:r>
          </w:p>
          <w:p>
            <w:pPr>
              <w:widowControl/>
              <w:numPr>
                <w:ilvl w:val="0"/>
                <w:numId w:val="0"/>
              </w:numPr>
              <w:spacing w:line="320" w:lineRule="exact"/>
              <w:rPr>
                <w:rFonts w:hint="eastAsia"/>
              </w:rPr>
            </w:pPr>
            <w:r>
              <w:rPr>
                <w:rFonts w:hint="eastAsia" w:ascii="宋体" w:hAnsi="宋体" w:cs="宋体"/>
                <w:kern w:val="0"/>
                <w:sz w:val="18"/>
                <w:szCs w:val="18"/>
                <w:lang w:val="en-US" w:eastAsia="zh-CN"/>
              </w:rPr>
              <w:t>6、</w:t>
            </w:r>
            <w:r>
              <w:rPr>
                <w:rFonts w:hint="eastAsia" w:ascii="宋体" w:hAnsi="宋体" w:cs="宋体"/>
                <w:kern w:val="0"/>
                <w:sz w:val="18"/>
                <w:szCs w:val="18"/>
              </w:rPr>
              <w:t>辅材线路</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ascii="宋体" w:hAnsi="宋体" w:eastAsia="宋体" w:cs="宋体"/>
                <w:kern w:val="0"/>
                <w:sz w:val="22"/>
                <w:szCs w:val="22"/>
                <w:highlight w:val="none"/>
                <w:lang w:val="en-US" w:eastAsia="zh-CN"/>
              </w:rPr>
            </w:pPr>
            <w:r>
              <w:rPr>
                <w:rFonts w:hint="eastAsia" w:ascii="宋体" w:hAnsi="宋体" w:cs="宋体"/>
                <w:b/>
                <w:bCs/>
                <w:kern w:val="0"/>
                <w:sz w:val="18"/>
                <w:szCs w:val="18"/>
                <w:highlight w:val="none"/>
                <w:lang w:val="en-US" w:eastAsia="zh-CN"/>
              </w:rPr>
              <w:t>五、农业灾害预警监测站</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1</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智能性诱监测设备</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符合 GB/T 24689.1-2009《植物保护机械虫情测报灯标准》。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外观：表面应平整光洁，色泽均匀，无裂痕等缺陷；整体应牢固、无松动。不应有尖角、锐边和毛刺等缺陷。焊缝应平整、牢固、光滑、无毛刺。工作电压：DC24V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整机功率：≤50W。</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接虫箱体积：≥0.025m3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接地装置和标志：在机体的明显部位应装有接地装置和标志。</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绝缘电阻：电源输入端与外壳之间绝缘电阻≥2.5MΩ。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7、</w:t>
            </w:r>
            <w:r>
              <w:rPr>
                <w:rFonts w:hint="eastAsia" w:ascii="宋体" w:hAnsi="宋体" w:cs="宋体"/>
                <w:kern w:val="0"/>
                <w:sz w:val="18"/>
                <w:szCs w:val="18"/>
                <w:highlight w:val="none"/>
              </w:rPr>
              <w:t>介电强度：电源输入端对外壳之间应能承受频率为50Hz、电压为AC1500V的耐压试验，历时 1min 应无击穿现象。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低温工作试验：温度：-20℃ , 设备处于通电工作状态，时间4h，试验期间设备应能正常工作。</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9、</w:t>
            </w:r>
            <w:r>
              <w:rPr>
                <w:rFonts w:hint="eastAsia" w:ascii="宋体" w:hAnsi="宋体" w:cs="宋体"/>
                <w:kern w:val="0"/>
                <w:sz w:val="18"/>
                <w:szCs w:val="18"/>
                <w:highlight w:val="none"/>
              </w:rPr>
              <w:t>高温工作试验：温度：70℃ , 设备处于通电工作状态，时间4h，试验期间设备应能正常工作。</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湿热工作试验：温度：40℃、相对湿度 95﹪, 设备处于通电工作状态，时间 2h，试验期间设备应能正常工作。</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11、</w:t>
            </w:r>
            <w:r>
              <w:rPr>
                <w:rFonts w:hint="eastAsia" w:ascii="宋体" w:hAnsi="宋体" w:cs="宋体"/>
                <w:kern w:val="0"/>
                <w:sz w:val="18"/>
                <w:szCs w:val="18"/>
                <w:highlight w:val="none"/>
              </w:rPr>
              <w:t>性诱功能：设备应配置相应的性引诱剂,针对靶标害虫进行诱捕。</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12、</w:t>
            </w:r>
            <w:r>
              <w:rPr>
                <w:rFonts w:hint="eastAsia" w:ascii="宋体" w:hAnsi="宋体" w:cs="宋体"/>
                <w:kern w:val="0"/>
                <w:sz w:val="18"/>
                <w:szCs w:val="18"/>
                <w:highlight w:val="none"/>
              </w:rPr>
              <w:t xml:space="preserve">时控功能：采用 24 小时制，可任意设置工作开始和关闭时间。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13、</w:t>
            </w:r>
            <w:r>
              <w:rPr>
                <w:rFonts w:hint="eastAsia" w:ascii="宋体" w:hAnsi="宋体" w:cs="宋体"/>
                <w:kern w:val="0"/>
                <w:sz w:val="18"/>
                <w:szCs w:val="18"/>
                <w:highlight w:val="none"/>
              </w:rPr>
              <w:t>显示屏：具有 7 寸液晶显示屏,可查看设备工作状态或调整设备程序。</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14、</w:t>
            </w:r>
            <w:r>
              <w:rPr>
                <w:rFonts w:hint="eastAsia" w:ascii="宋体" w:hAnsi="宋体" w:cs="宋体"/>
                <w:kern w:val="0"/>
                <w:sz w:val="18"/>
                <w:szCs w:val="18"/>
                <w:highlight w:val="none"/>
              </w:rPr>
              <w:t>相机：配置高清相机,对捕捉到害虫进行拍照。</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ascii="宋体" w:hAnsi="宋体" w:cs="宋体"/>
                <w:kern w:val="0"/>
                <w:sz w:val="18"/>
                <w:szCs w:val="18"/>
                <w:highlight w:val="none"/>
              </w:rPr>
            </w:pPr>
            <w:r>
              <w:rPr>
                <w:rFonts w:hint="eastAsia" w:ascii="宋体" w:hAnsi="宋体" w:cs="宋体"/>
                <w:kern w:val="0"/>
                <w:sz w:val="18"/>
                <w:szCs w:val="18"/>
                <w:highlight w:val="none"/>
                <w:lang w:val="en-US" w:eastAsia="zh-CN"/>
              </w:rPr>
              <w:t>15、</w:t>
            </w:r>
            <w:r>
              <w:rPr>
                <w:rFonts w:hint="eastAsia" w:ascii="宋体" w:hAnsi="宋体" w:cs="宋体"/>
                <w:kern w:val="0"/>
                <w:sz w:val="18"/>
                <w:szCs w:val="18"/>
                <w:highlight w:val="none"/>
              </w:rPr>
              <w:t>物联网功能：⑴无线网络监测：可远程监测设备使用情况；⑵可通过 PC、APP 端远程控制设备开启或关闭、控制设备工作时间段等；⑶联网平台页面具有工作模式、蓄电池电压等多种功能显示页面可供用户查看；⑷能自动记录并统计每小时、每天、每周、每月的捕虫量、并能通过无线网络储存在云服务器上，可以在手机 APP 和电脑PC 客户端显示；⑸地理信息定位：可通过 GPS 确定设备地理位置；⑹害虫识别： 自动拍照上传平台并进行识别，设备对害虫进行自动识别。</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吸虫塔虫情智能测报分析系统</w:t>
            </w:r>
          </w:p>
        </w:tc>
        <w:tc>
          <w:tcPr>
            <w:tcW w:w="568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材质：产品主体采用镀锌版喷塑；</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整机高高度：8.8 米；</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主机柜</w:t>
            </w:r>
            <w:r>
              <w:rPr>
                <w:rFonts w:hint="eastAsia" w:ascii="宋体" w:hAnsi="宋体" w:cs="宋体"/>
                <w:kern w:val="0"/>
                <w:sz w:val="18"/>
                <w:szCs w:val="18"/>
                <w:lang w:val="en-US" w:eastAsia="zh-CN"/>
              </w:rPr>
              <w:t>：尺寸650mm</w:t>
            </w:r>
            <w:r>
              <w:rPr>
                <w:rFonts w:hint="eastAsia" w:ascii="宋体" w:hAnsi="宋体" w:cs="宋体"/>
                <w:kern w:val="0"/>
                <w:sz w:val="18"/>
                <w:szCs w:val="18"/>
              </w:rPr>
              <w:t>X 650</w:t>
            </w:r>
            <w:r>
              <w:rPr>
                <w:rFonts w:hint="eastAsia" w:ascii="宋体" w:hAnsi="宋体" w:cs="宋体"/>
                <w:kern w:val="0"/>
                <w:sz w:val="18"/>
                <w:szCs w:val="18"/>
                <w:lang w:val="en-US" w:eastAsia="zh-CN"/>
              </w:rPr>
              <w:t>mm</w:t>
            </w:r>
            <w:r>
              <w:rPr>
                <w:rFonts w:hint="eastAsia" w:ascii="宋体" w:hAnsi="宋体" w:cs="宋体"/>
                <w:kern w:val="0"/>
                <w:sz w:val="18"/>
                <w:szCs w:val="18"/>
              </w:rPr>
              <w:t>X2100mm；</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吸虫管：玻璃钢材质、两端法兰盘，Φ250X 3000mm；</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收集网：尼龙网状材质，40 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收集盒：200X200X1500mm；</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轴流风机：风量≥2000m3/h、风机转速 ≥1450r/min、风机功率 ≥0.12kw</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rPr>
              <w:t>8、工业相机：2000w 工业相机；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补光灯： 根据拍照实景调整补光灯；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、显示屏：10寸显示屏，便于现场操作；</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1</w:t>
            </w:r>
            <w:r>
              <w:rPr>
                <w:rFonts w:hint="eastAsia" w:ascii="宋体" w:hAnsi="宋体" w:cs="宋体"/>
                <w:kern w:val="0"/>
                <w:sz w:val="18"/>
                <w:szCs w:val="18"/>
              </w:rPr>
              <w:t>、防风拉索：3条直径 10mm 防风拉索；</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2</w:t>
            </w:r>
            <w:r>
              <w:rPr>
                <w:rFonts w:hint="eastAsia" w:ascii="宋体" w:hAnsi="宋体" w:cs="宋体"/>
                <w:kern w:val="0"/>
                <w:sz w:val="18"/>
                <w:szCs w:val="18"/>
              </w:rPr>
              <w:t>、4G 模块：实现远程数据传输并存储云平台；</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13、</w:t>
            </w:r>
            <w:r>
              <w:rPr>
                <w:rFonts w:hint="eastAsia" w:ascii="宋体" w:hAnsi="宋体" w:cs="宋体"/>
                <w:kern w:val="0"/>
                <w:sz w:val="18"/>
                <w:szCs w:val="18"/>
              </w:rPr>
              <w:t>环境温、湿度等信息显示屏直观显示，便于观察机器状态；</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14、</w:t>
            </w:r>
            <w:r>
              <w:rPr>
                <w:rFonts w:hint="eastAsia" w:ascii="宋体" w:hAnsi="宋体" w:cs="宋体"/>
                <w:kern w:val="0"/>
                <w:sz w:val="18"/>
                <w:szCs w:val="18"/>
              </w:rPr>
              <w:t>圆盘结构：拍照、传输、收集；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15、</w:t>
            </w:r>
            <w:r>
              <w:rPr>
                <w:rFonts w:hint="eastAsia" w:ascii="宋体" w:hAnsi="宋体" w:cs="宋体"/>
                <w:kern w:val="0"/>
                <w:sz w:val="18"/>
                <w:szCs w:val="18"/>
              </w:rPr>
              <w:t>拍打结构：定时清扫虫体落进收集盒内；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16、</w:t>
            </w:r>
            <w:r>
              <w:rPr>
                <w:rFonts w:hint="eastAsia" w:ascii="宋体" w:hAnsi="宋体" w:cs="宋体"/>
                <w:kern w:val="0"/>
                <w:sz w:val="18"/>
                <w:szCs w:val="18"/>
              </w:rPr>
              <w:t>目标害虫：蚜虫，飞虱；</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17、</w:t>
            </w:r>
            <w:r>
              <w:rPr>
                <w:rFonts w:hint="eastAsia" w:ascii="宋体" w:hAnsi="宋体" w:cs="宋体"/>
                <w:kern w:val="0"/>
                <w:sz w:val="18"/>
                <w:szCs w:val="18"/>
              </w:rPr>
              <w:t>设计防鸟装置，防止鸟类误进设备；</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18、</w:t>
            </w:r>
            <w:r>
              <w:rPr>
                <w:rFonts w:hint="eastAsia" w:ascii="宋体" w:hAnsi="宋体" w:cs="宋体"/>
                <w:kern w:val="0"/>
                <w:sz w:val="18"/>
                <w:szCs w:val="18"/>
              </w:rPr>
              <w:t>适用电源电压:AC220v；</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eastAsia" w:ascii="宋体" w:hAnsi="宋体" w:cs="宋体"/>
                <w:kern w:val="0"/>
                <w:sz w:val="18"/>
                <w:szCs w:val="18"/>
                <w:lang w:val="en-US" w:eastAsia="zh-CN"/>
              </w:rPr>
            </w:pPr>
            <w:r>
              <w:rPr>
                <w:rFonts w:hint="eastAsia" w:ascii="宋体" w:hAnsi="宋体" w:cs="宋体"/>
                <w:kern w:val="0"/>
                <w:sz w:val="18"/>
                <w:szCs w:val="18"/>
                <w:lang w:val="en-US" w:eastAsia="zh-CN"/>
              </w:rPr>
              <w:t>19、无线通讯系统（实现远程数据传输并存储云平台）</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r>
              <w:rPr>
                <w:rFonts w:hint="default" w:ascii="宋体" w:hAnsi="宋体" w:cs="宋体"/>
                <w:kern w:val="0"/>
                <w:sz w:val="18"/>
                <w:szCs w:val="18"/>
                <w:lang w:val="en-US" w:eastAsia="zh-CN"/>
              </w:rPr>
              <w:t>成像系统（内置</w:t>
            </w:r>
            <w:r>
              <w:rPr>
                <w:rFonts w:hint="eastAsia" w:ascii="宋体" w:hAnsi="宋体" w:eastAsia="宋体" w:cs="宋体"/>
                <w:kern w:val="0"/>
                <w:sz w:val="18"/>
                <w:szCs w:val="18"/>
              </w:rPr>
              <w:t>≥</w:t>
            </w:r>
            <w:r>
              <w:rPr>
                <w:rFonts w:hint="default" w:ascii="宋体" w:hAnsi="宋体" w:cs="宋体"/>
                <w:kern w:val="0"/>
                <w:sz w:val="18"/>
                <w:szCs w:val="18"/>
                <w:lang w:val="en-US" w:eastAsia="zh-CN"/>
              </w:rPr>
              <w:t>2000万像素高清相机）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kern w:val="0"/>
                <w:sz w:val="18"/>
                <w:szCs w:val="18"/>
                <w:lang w:val="en-US" w:eastAsia="zh-CN"/>
              </w:rPr>
              <w:t>21、</w:t>
            </w:r>
            <w:r>
              <w:rPr>
                <w:rFonts w:hint="default" w:ascii="宋体" w:hAnsi="宋体" w:cs="宋体"/>
                <w:kern w:val="0"/>
                <w:sz w:val="18"/>
                <w:szCs w:val="18"/>
                <w:lang w:val="en-US" w:eastAsia="zh-CN"/>
              </w:rPr>
              <w:t>昆虫自动识别、计数系统（蚜虫，飞虱等）。</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4</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小麦赤霉病、玉米大斑病自动预警监测设备</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jc w:val="left"/>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rPr>
              <w:t>兼容智慧农业物联网系统；</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安放载玻带系统每天自动更换进行孢子采集；一次更换，使用一年以上；</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3、工作温湿度；-20℃—70℃，＜95%；</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4、太阳能供电系统：采用单晶硅太阳能板和胶体蓄电池或锂电池；</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5、集气口风速为0.3m/s-5m/s；</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6、气体采样：采集</w:t>
            </w:r>
            <w:r>
              <w:rPr>
                <w:rFonts w:hint="eastAsia" w:ascii="宋体" w:hAnsi="宋体" w:eastAsia="宋体" w:cs="宋体"/>
                <w:sz w:val="18"/>
                <w:szCs w:val="18"/>
                <w:highlight w:val="none"/>
              </w:rPr>
              <w:t>流量</w:t>
            </w:r>
            <w:r>
              <w:rPr>
                <w:rFonts w:hint="eastAsia" w:ascii="宋体" w:hAnsi="宋体" w:eastAsia="宋体" w:cs="宋体"/>
                <w:kern w:val="0"/>
                <w:sz w:val="18"/>
                <w:szCs w:val="18"/>
                <w:highlight w:val="none"/>
              </w:rPr>
              <w:t>≥</w:t>
            </w:r>
            <w:r>
              <w:rPr>
                <w:rFonts w:hint="eastAsia" w:ascii="宋体" w:hAnsi="宋体" w:eastAsia="宋体" w:cs="宋体"/>
                <w:sz w:val="18"/>
                <w:szCs w:val="18"/>
                <w:highlight w:val="none"/>
              </w:rPr>
              <w:t>60L/分钟，采</w:t>
            </w:r>
            <w:r>
              <w:rPr>
                <w:rFonts w:hint="eastAsia" w:ascii="宋体" w:hAnsi="宋体" w:eastAsia="宋体" w:cs="宋体"/>
                <w:sz w:val="18"/>
                <w:szCs w:val="18"/>
              </w:rPr>
              <w:t>集时间1~130min（可自由设置范围）；</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7、配置10寸高清触摸显示屏；</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8、在壳体表面明显部位装有接地装置和标志，产品具有防雷击功能，装有避雷装置，结构外表面使用镀锌喷塑；</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9、定时：可根据需求设置开关机时间段；</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10、拍照装置：采用800w工业摄像机加10倍光学显微镜镜头，对所捕获病菌孢子进行高清显微图片摄取，所摄取图像清晰度能够达到人工识别病菌孢子种类的要求，并上传至物联网平台；</w:t>
            </w:r>
          </w:p>
          <w:p>
            <w:pPr>
              <w:widowControl/>
              <w:numPr>
                <w:ilvl w:val="0"/>
                <w:numId w:val="0"/>
              </w:numPr>
              <w:spacing w:line="320" w:lineRule="exact"/>
              <w:jc w:val="left"/>
              <w:rPr>
                <w:rFonts w:hint="eastAsia" w:ascii="宋体" w:hAnsi="宋体" w:eastAsia="宋体" w:cs="宋体"/>
                <w:sz w:val="18"/>
                <w:szCs w:val="18"/>
              </w:rPr>
            </w:pPr>
            <w:r>
              <w:rPr>
                <w:rFonts w:hint="eastAsia" w:ascii="宋体" w:hAnsi="宋体" w:eastAsia="宋体" w:cs="宋体"/>
                <w:sz w:val="18"/>
                <w:szCs w:val="18"/>
              </w:rPr>
              <w:t>11、壳体绝缘电阻≥2.5ＭΩ，承受频率50Hz，电压为1500V耐电压，历时1min无击穿现象；</w:t>
            </w:r>
          </w:p>
          <w:p>
            <w:pPr>
              <w:widowControl/>
              <w:numPr>
                <w:ilvl w:val="0"/>
                <w:numId w:val="0"/>
              </w:numPr>
              <w:spacing w:line="320" w:lineRule="exact"/>
              <w:jc w:val="left"/>
              <w:rPr>
                <w:rFonts w:hint="eastAsia" w:ascii="宋体" w:hAnsi="宋体" w:eastAsia="宋体" w:cs="宋体"/>
                <w:sz w:val="18"/>
                <w:szCs w:val="18"/>
                <w:highlight w:val="none"/>
              </w:rPr>
            </w:pPr>
            <w:r>
              <w:rPr>
                <w:rFonts w:hint="eastAsia" w:ascii="宋体" w:hAnsi="宋体" w:eastAsia="宋体" w:cs="宋体"/>
                <w:sz w:val="18"/>
                <w:szCs w:val="18"/>
              </w:rPr>
              <w:t>1</w:t>
            </w:r>
            <w:r>
              <w:rPr>
                <w:rFonts w:hint="eastAsia" w:ascii="宋体" w:hAnsi="宋体" w:eastAsia="宋体" w:cs="宋体"/>
                <w:sz w:val="18"/>
                <w:szCs w:val="18"/>
                <w:highlight w:val="none"/>
              </w:rPr>
              <w:t>2、传感器主要技术指标：</w:t>
            </w:r>
          </w:p>
          <w:p>
            <w:pPr>
              <w:widowControl/>
              <w:numPr>
                <w:ilvl w:val="0"/>
                <w:numId w:val="0"/>
              </w:numPr>
              <w:spacing w:line="320" w:lineRule="exact"/>
              <w:jc w:val="left"/>
              <w:rPr>
                <w:rFonts w:hint="eastAsia" w:ascii="宋体" w:hAnsi="宋体" w:cs="宋体"/>
                <w:sz w:val="18"/>
                <w:szCs w:val="18"/>
                <w:highlight w:val="none"/>
                <w:lang w:eastAsia="zh-CN"/>
              </w:rPr>
            </w:pPr>
            <w:r>
              <w:rPr>
                <w:rFonts w:hint="eastAsia" w:ascii="宋体" w:hAnsi="宋体" w:eastAsia="宋体" w:cs="宋体"/>
                <w:sz w:val="18"/>
                <w:szCs w:val="18"/>
                <w:highlight w:val="none"/>
              </w:rPr>
              <w:t xml:space="preserve">风速测量范围：0~70m/s；精度±（0.2+0.03V）m/s  V表示风速； 分辨率：0.1m/s </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cs="宋体"/>
                <w:sz w:val="18"/>
                <w:szCs w:val="18"/>
                <w:highlight w:val="none"/>
                <w:lang w:eastAsia="zh-CN"/>
              </w:rPr>
            </w:pPr>
            <w:r>
              <w:rPr>
                <w:rFonts w:hint="eastAsia" w:ascii="宋体" w:hAnsi="宋体" w:eastAsia="宋体" w:cs="宋体"/>
                <w:sz w:val="18"/>
                <w:szCs w:val="18"/>
                <w:highlight w:val="none"/>
              </w:rPr>
              <w:t>风向测量范围：0~360° 精度：±5°； 分辨率：0.1°</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空气温度范围：-40℃～120℃ 精度：±0.2℃； 分辨率：0.1℃</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空气</w:t>
            </w:r>
            <w:r>
              <w:rPr>
                <w:rFonts w:hint="eastAsia" w:ascii="宋体" w:hAnsi="宋体" w:cs="宋体"/>
                <w:sz w:val="18"/>
                <w:szCs w:val="18"/>
                <w:highlight w:val="none"/>
                <w:lang w:eastAsia="zh-CN"/>
              </w:rPr>
              <w:t>湿度</w:t>
            </w:r>
            <w:r>
              <w:rPr>
                <w:rFonts w:hint="eastAsia" w:ascii="宋体" w:hAnsi="宋体" w:eastAsia="宋体" w:cs="宋体"/>
                <w:sz w:val="18"/>
                <w:szCs w:val="18"/>
                <w:highlight w:val="none"/>
              </w:rPr>
              <w:t xml:space="preserve">范围：0～100%RH 精度：±2%RH； 分辨率：0.1%RH </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 xml:space="preserve">大气压力范围：0～120Kpa 精度：±0.5 Kpa； 分辨率：0.1 Kpa </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 xml:space="preserve">总辐射输出范围：0～2000W/m2 精度：±5% 分辨率：0.1 % </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 xml:space="preserve">降雨量范围：0～4mm/min 精度：±3%； 分辨率：0.2mm </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光照强度：量程：0-20万Lux；精度：±7%（25℃）</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探头类型：不锈钢电极</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土壤温湿度测量范围：湿度0～100% 温度 -40～80℃、分辨率：湿度0.1% 温度 0.1℃ 、准确度：湿度±2% 温度±0.5℃</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土壤EC值传感器：0-20ms .测量精度：±1% .分辨率：±0.01ms</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土壤PH值测量范围：0-14  分辨率：0.1  测量精度：±0.2%</w:t>
            </w:r>
            <w:r>
              <w:rPr>
                <w:rFonts w:hint="eastAsia" w:ascii="宋体" w:hAnsi="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 xml:space="preserve"> 氮磷钾参数：量程：1-1999 mg/kg(mg/L)  、分辨率：1 mg/kg(mg/L)、精度：±2%FS</w:t>
            </w:r>
            <w:r>
              <w:rPr>
                <w:rFonts w:hint="eastAsia" w:ascii="宋体" w:hAnsi="宋体" w:eastAsia="宋体" w:cs="宋体"/>
                <w:sz w:val="18"/>
                <w:szCs w:val="18"/>
                <w:highlight w:val="none"/>
                <w:lang w:eastAsia="zh-CN"/>
              </w:rPr>
              <w:t>；</w:t>
            </w:r>
          </w:p>
          <w:p>
            <w:pPr>
              <w:widowControl/>
              <w:numPr>
                <w:ilvl w:val="0"/>
                <w:numId w:val="0"/>
              </w:numPr>
              <w:spacing w:line="32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13、</w:t>
            </w:r>
            <w:r>
              <w:rPr>
                <w:rFonts w:hint="eastAsia" w:ascii="宋体" w:hAnsi="宋体" w:eastAsia="宋体" w:cs="宋体"/>
                <w:sz w:val="18"/>
                <w:szCs w:val="18"/>
                <w:lang w:eastAsia="zh-CN"/>
              </w:rPr>
              <w:t>无线通讯模块：兼容物联网卡4G/3G/GPRS通讯，自动将数据上传到服务器；</w:t>
            </w:r>
          </w:p>
          <w:p>
            <w:pPr>
              <w:widowControl/>
              <w:numPr>
                <w:ilvl w:val="0"/>
                <w:numId w:val="0"/>
              </w:numPr>
              <w:spacing w:line="32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14、</w:t>
            </w:r>
            <w:r>
              <w:rPr>
                <w:rFonts w:hint="eastAsia" w:ascii="宋体" w:hAnsi="宋体" w:eastAsia="宋体" w:cs="宋体"/>
                <w:sz w:val="18"/>
                <w:szCs w:val="18"/>
                <w:lang w:eastAsia="zh-CN"/>
              </w:rPr>
              <w:t>采用800w工业摄像机加10倍光学显微镜镜头，所摄取图像清晰，并上传至物联网平台；</w:t>
            </w:r>
          </w:p>
          <w:p>
            <w:pPr>
              <w:widowControl/>
              <w:numPr>
                <w:ilvl w:val="0"/>
                <w:numId w:val="0"/>
              </w:numPr>
              <w:spacing w:line="320" w:lineRule="exact"/>
              <w:jc w:val="left"/>
              <w:rPr>
                <w:rFonts w:hint="default"/>
                <w:lang w:val="en-US" w:eastAsia="zh-CN"/>
              </w:rPr>
            </w:pPr>
            <w:r>
              <w:rPr>
                <w:rFonts w:hint="eastAsia" w:ascii="宋体" w:hAnsi="宋体" w:cs="宋体"/>
                <w:sz w:val="18"/>
                <w:szCs w:val="18"/>
                <w:lang w:val="en-US" w:eastAsia="zh-CN"/>
              </w:rPr>
              <w:t>15、</w:t>
            </w:r>
            <w:r>
              <w:rPr>
                <w:rFonts w:hint="eastAsia" w:ascii="宋体" w:hAnsi="宋体" w:eastAsia="宋体" w:cs="宋体"/>
                <w:sz w:val="18"/>
                <w:szCs w:val="18"/>
                <w:lang w:eastAsia="zh-CN"/>
              </w:rPr>
              <w:t>定时：可根据需求设置开关机时间段</w:t>
            </w:r>
            <w:r>
              <w:rPr>
                <w:rFonts w:hint="eastAsia" w:ascii="宋体" w:hAnsi="宋体" w:cs="宋体"/>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高空测报灯</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符合GB／T 24689.1-2009 植物保护机械虫情测报灯标准。</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2、外观：外观应平整光洁、色泽均匀，无裂痕等缺陷；整体应牢固、无松动。不应有尖角、锐边和毛刺等缺陷。焊缝应平整、牢固、光滑、明亮、无毛刺。</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3、箱体材质：主体采用优质热镀锌钢材，并采用喷塑工艺防腐。</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4、整灯功率：≤500w。</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5、待机功率：≤15W。</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6、灯管自动时间：≤5S。</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7、虫体处理：虫体致死率不小于98%，虫体完整率不小于95%。虫体处理仓温度控制：加热烘干装置，处理工作15分钟后达80－90℃，处理时间可调。</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8、诱集光源：★1）采用功率为≤500W多波段LED光源。★2）能配置不同功率，波长的诱集光源，并且工作时间可调整。★3）诱集光源波长320nm-680nm,可根据靶标害虫调整光源波长。★4）光源垂直照射高度＞1000米。</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9、撞击屏：360度环形钢化玻璃撞击屏，均匀分布，撞击面积≥0.7㎡。</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10、★收集风机：设备配备有离心收集风机，风口风速≥2米／秒。</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11、接地装置：壳体明显部位应装有接地装置与标志。</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12、安全标志：灯体明显部位应标有高压安全标志符号。</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13、绝缘电阻：电源输入端对壳体之间的绝缘电阻应≥2.5MΩ．</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14、介电强度：电源输入端对壳体之间应能承受频率50Hz,1500V耐电压试验，历时lmin无击穿现象。</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15、低温工作试验：测报灯在非工作状态下，在环境温度为-40℃环境放置4h，试验后测报灯应能正常工作。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16、高温工作试验：测报灯在非工作状志下，在环境温度为70℃环境放置4h，试验后测报灯应能正常工作。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17、湿热工作试验：测报灯在工作状态下，温度40℃、相对湿度95%环境放置2h，试验期间测报灯应能正常工作。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18、光控功能：光控传感器应按外界光线变化自动控制测报灯工作，在夜间正常工作状态下，外界强光瞬间照射不得改变工作状态。</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19、雨控功能：雨控传感器应按外界雨量变化自动控制测报灯工作。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20、时控功能：采用24小时制，可任意设置工作开始和关闭时间，误差应不超过±5％。</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21、控制器：控制器能采集、处理并储存光控传感器、雨控传感器、时控传感器、温控传感器、定位传感器的信息。</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22、排水装置：能将雨、虫分离，箱体内不得有积水。</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23、★漏电保护功能，装有漏电保护装置，漏电自动断开。</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24、★物联网功能1）无线网络监测，可远程监测产品使用情况；2）可通PC、APP端远程控制高空测报灯开启或关闭，控制高空测报灯亮灯时间和设定工作时间段等；3）联网平台页面具有环境温湿度、光照、蓄电池电压、雨控、温控、光控、加热设定、定时模式等多种功能显示页面方便用户查看；4）地理信息定位，可通过GPS或其他方式确定高空测报灯的地理位置。</w:t>
            </w:r>
          </w:p>
          <w:p>
            <w:pPr>
              <w:widowControl/>
              <w:numPr>
                <w:ilvl w:val="0"/>
                <w:numId w:val="0"/>
              </w:numPr>
              <w:spacing w:line="320" w:lineRule="exact"/>
              <w:rPr>
                <w:rFonts w:ascii="宋体" w:hAnsi="宋体" w:cs="宋体"/>
                <w:kern w:val="0"/>
                <w:sz w:val="18"/>
                <w:szCs w:val="18"/>
              </w:rPr>
            </w:pPr>
            <w:r>
              <w:rPr>
                <w:rFonts w:hint="eastAsia" w:ascii="宋体" w:hAnsi="宋体" w:cs="宋体"/>
                <w:kern w:val="0"/>
                <w:sz w:val="18"/>
                <w:szCs w:val="18"/>
                <w:lang w:val="en-US" w:eastAsia="zh-CN"/>
              </w:rPr>
              <w:t>25、</w:t>
            </w:r>
            <w:r>
              <w:rPr>
                <w:rFonts w:hint="eastAsia" w:ascii="宋体" w:hAnsi="宋体" w:cs="宋体"/>
                <w:kern w:val="0"/>
                <w:sz w:val="18"/>
                <w:szCs w:val="18"/>
              </w:rPr>
              <w:t>无线通讯系统（通过PC或者手机端可以实现远程控制、设备的运行状态查看等功能。）</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06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市电供电系统</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8"/>
              </w:numPr>
              <w:spacing w:line="32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含专用控制柜；2、含辅材</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kern w:val="0"/>
                <w:sz w:val="22"/>
                <w:szCs w:val="22"/>
              </w:rPr>
            </w:pPr>
            <w:r>
              <w:rPr>
                <w:rFonts w:hint="eastAsia" w:ascii="宋体" w:hAnsi="宋体" w:cs="宋体"/>
                <w:b/>
                <w:bCs/>
                <w:kern w:val="0"/>
                <w:sz w:val="18"/>
                <w:szCs w:val="18"/>
                <w:highlight w:val="none"/>
                <w:lang w:val="en-US" w:eastAsia="zh-CN"/>
              </w:rPr>
              <w:t>六、农业环境监测站</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物联网农业气象监测站-主站</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风速传感器（测量范围：0～60m/s；准确度：±(0.3+0.03V)m/s）</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w:t>
            </w:r>
            <w:r>
              <w:rPr>
                <w:rFonts w:hint="eastAsia" w:ascii="宋体" w:hAnsi="宋体" w:cs="宋体"/>
                <w:kern w:val="0"/>
                <w:sz w:val="18"/>
                <w:szCs w:val="18"/>
              </w:rPr>
              <w:t>风向传感器（测量范围：0～360°；准确度：±5°）</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空气温度传感器（测量范围：-50～+80℃；准确度：±0.5℃）</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4、</w:t>
            </w:r>
            <w:r>
              <w:rPr>
                <w:rFonts w:hint="eastAsia" w:ascii="宋体" w:hAnsi="宋体" w:cs="宋体"/>
                <w:kern w:val="0"/>
                <w:sz w:val="18"/>
                <w:szCs w:val="18"/>
              </w:rPr>
              <w:t>空气湿度传感器（测量范围：0～100%RH；准确度：±3% RH）</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5、</w:t>
            </w:r>
            <w:r>
              <w:rPr>
                <w:rFonts w:hint="eastAsia" w:ascii="宋体" w:hAnsi="宋体" w:cs="宋体"/>
                <w:kern w:val="0"/>
                <w:sz w:val="18"/>
                <w:szCs w:val="18"/>
              </w:rPr>
              <w:t>气压传感器（测量范围：10～1100hPa；准确度：≤±3%）</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6、</w:t>
            </w:r>
            <w:r>
              <w:rPr>
                <w:rFonts w:hint="eastAsia" w:ascii="宋体" w:hAnsi="宋体" w:cs="宋体"/>
                <w:kern w:val="0"/>
                <w:sz w:val="18"/>
                <w:szCs w:val="18"/>
              </w:rPr>
              <w:t>降雨量传感器（测量范围：≦4mm/min；准确度：±0.4mm）</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7、</w:t>
            </w:r>
            <w:r>
              <w:rPr>
                <w:rFonts w:hint="eastAsia" w:ascii="宋体" w:hAnsi="宋体" w:cs="宋体"/>
                <w:kern w:val="0"/>
                <w:sz w:val="18"/>
                <w:szCs w:val="18"/>
              </w:rPr>
              <w:t>光照度传感器（测量范围：0-200000Lux；准确度：±7%）</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8、</w:t>
            </w:r>
            <w:r>
              <w:rPr>
                <w:rFonts w:hint="eastAsia" w:ascii="宋体" w:hAnsi="宋体" w:cs="宋体"/>
                <w:kern w:val="0"/>
                <w:sz w:val="18"/>
                <w:szCs w:val="18"/>
              </w:rPr>
              <w:t>日照时数传感器（测量范围：0～24h；准确度：±2％h）</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9、</w:t>
            </w:r>
            <w:r>
              <w:rPr>
                <w:rFonts w:hint="eastAsia" w:ascii="宋体" w:hAnsi="宋体" w:cs="宋体"/>
                <w:kern w:val="0"/>
                <w:sz w:val="18"/>
                <w:szCs w:val="18"/>
              </w:rPr>
              <w:t>二氧化碳传感器（测量范围：0～2000ppm；</w:t>
            </w:r>
            <w:r>
              <w:rPr>
                <w:rFonts w:hint="eastAsia" w:ascii="宋体" w:hAnsi="宋体" w:cs="宋体"/>
                <w:color w:val="0000FF"/>
                <w:kern w:val="0"/>
                <w:sz w:val="18"/>
                <w:szCs w:val="18"/>
              </w:rPr>
              <w:t>准确度：（40ppm+2%F?S））</w:t>
            </w:r>
            <w:r>
              <w:rPr>
                <w:rFonts w:hint="eastAsia" w:ascii="宋体" w:hAnsi="宋体" w:cs="宋体"/>
                <w:kern w:val="0"/>
                <w:sz w:val="18"/>
                <w:szCs w:val="18"/>
                <w:lang w:val="en-US" w:eastAsia="zh-CN"/>
              </w:rPr>
              <w:t>10、</w:t>
            </w:r>
            <w:r>
              <w:rPr>
                <w:rFonts w:hint="eastAsia" w:ascii="宋体" w:hAnsi="宋体" w:cs="宋体"/>
                <w:kern w:val="0"/>
                <w:sz w:val="18"/>
                <w:szCs w:val="18"/>
              </w:rPr>
              <w:t>总辐射传感器（测量范围：0-2000w/m2；准确度：±2％w/m2）</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无线通讯模块：兼容物联网卡4G/3G/GPRS通讯，自动将数据上传到服务器；</w:t>
            </w:r>
          </w:p>
          <w:p>
            <w:pPr>
              <w:widowControl/>
              <w:numPr>
                <w:ilvl w:val="0"/>
                <w:numId w:val="0"/>
              </w:numPr>
              <w:spacing w:line="320" w:lineRule="exact"/>
              <w:rPr>
                <w:rFonts w:hint="eastAsia" w:ascii="宋体" w:hAnsi="宋体" w:cs="宋体"/>
                <w:kern w:val="0"/>
                <w:sz w:val="18"/>
                <w:szCs w:val="18"/>
                <w:highlight w:val="none"/>
              </w:rPr>
            </w:pPr>
            <w:r>
              <w:rPr>
                <w:rFonts w:hint="eastAsia" w:ascii="宋体" w:hAnsi="宋体" w:cs="宋体"/>
                <w:kern w:val="0"/>
                <w:sz w:val="18"/>
                <w:szCs w:val="18"/>
                <w:lang w:val="en-US" w:eastAsia="zh-CN"/>
              </w:rPr>
              <w:t>12、</w:t>
            </w:r>
            <w:r>
              <w:rPr>
                <w:rFonts w:hint="eastAsia" w:ascii="宋体" w:hAnsi="宋体" w:cs="宋体"/>
                <w:kern w:val="0"/>
                <w:sz w:val="18"/>
                <w:szCs w:val="18"/>
              </w:rPr>
              <w:t>百叶箱：由玻璃钢百叶箱体和支架两部分组成，箱体尺寸：720*780*880mm；支架高度</w:t>
            </w:r>
            <w:r>
              <w:rPr>
                <w:rFonts w:hint="eastAsia" w:ascii="宋体" w:hAnsi="宋体" w:cs="宋体"/>
                <w:kern w:val="0"/>
                <w:sz w:val="18"/>
                <w:szCs w:val="18"/>
                <w:highlight w:val="none"/>
              </w:rPr>
              <w:t>：</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1230mm；整体高度：</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2095mm；</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13、</w:t>
            </w:r>
            <w:r>
              <w:rPr>
                <w:rFonts w:hint="eastAsia" w:ascii="宋体" w:hAnsi="宋体" w:cs="宋体"/>
                <w:kern w:val="0"/>
                <w:sz w:val="18"/>
                <w:szCs w:val="18"/>
              </w:rPr>
              <w:t>数据采集分析主机（限国产设备</w:t>
            </w:r>
            <w:r>
              <w:rPr>
                <w:rFonts w:hint="eastAsia" w:ascii="宋体" w:hAnsi="宋体" w:cs="宋体"/>
                <w:kern w:val="0"/>
                <w:sz w:val="18"/>
                <w:szCs w:val="18"/>
                <w:highlight w:val="none"/>
              </w:rPr>
              <w:t>）1</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、内核：ARM 32位Cortex-M3 CPU</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2</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、系统时钟：</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72MHz</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3</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、采用4.3寸全彩液晶触摸屏；4</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w:t>
            </w:r>
            <w:r>
              <w:rPr>
                <w:rFonts w:hint="eastAsia" w:ascii="宋体" w:hAnsi="宋体" w:cs="宋体"/>
                <w:kern w:val="0"/>
                <w:sz w:val="18"/>
                <w:szCs w:val="18"/>
              </w:rPr>
              <w:t>数据存数：可储存十万条数据，具有外部U盘存储扩展功能</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、传感器通道：RS485接口，波特率9600，MODBUS 主机协议</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、其他功能：2路DO/2路DI数字量输入输出</w:t>
            </w:r>
            <w:r>
              <w:rPr>
                <w:rFonts w:hint="eastAsia" w:ascii="宋体" w:hAnsi="宋体" w:cs="宋体"/>
                <w:kern w:val="0"/>
                <w:sz w:val="18"/>
                <w:szCs w:val="18"/>
                <w:lang w:eastAsia="zh-CN"/>
              </w:rPr>
              <w:t>；</w:t>
            </w:r>
            <w:r>
              <w:rPr>
                <w:rFonts w:hint="eastAsia" w:ascii="宋体" w:hAnsi="宋体" w:cs="宋体"/>
                <w:kern w:val="0"/>
                <w:sz w:val="18"/>
                <w:szCs w:val="18"/>
              </w:rPr>
              <w:t>7</w:t>
            </w:r>
            <w:r>
              <w:rPr>
                <w:rFonts w:hint="eastAsia" w:ascii="宋体" w:hAnsi="宋体" w:cs="宋体"/>
                <w:kern w:val="0"/>
                <w:sz w:val="18"/>
                <w:szCs w:val="18"/>
                <w:lang w:eastAsia="zh-CN"/>
              </w:rPr>
              <w:t>）</w:t>
            </w:r>
            <w:r>
              <w:rPr>
                <w:rFonts w:hint="eastAsia" w:ascii="宋体" w:hAnsi="宋体" w:cs="宋体"/>
                <w:kern w:val="0"/>
                <w:sz w:val="18"/>
                <w:szCs w:val="18"/>
              </w:rPr>
              <w:t>、供电显示：8V-28V宽电压输入</w:t>
            </w:r>
            <w:r>
              <w:rPr>
                <w:rFonts w:hint="eastAsia" w:ascii="宋体" w:hAnsi="宋体" w:cs="宋体"/>
                <w:kern w:val="0"/>
                <w:sz w:val="18"/>
                <w:szCs w:val="18"/>
                <w:lang w:eastAsia="zh-CN"/>
              </w:rPr>
              <w:t>；</w:t>
            </w:r>
            <w:r>
              <w:rPr>
                <w:rFonts w:hint="eastAsia" w:ascii="宋体" w:hAnsi="宋体" w:cs="宋体"/>
                <w:kern w:val="0"/>
                <w:sz w:val="18"/>
                <w:szCs w:val="18"/>
              </w:rPr>
              <w:t>8</w:t>
            </w:r>
            <w:r>
              <w:rPr>
                <w:rFonts w:hint="eastAsia" w:ascii="宋体" w:hAnsi="宋体" w:cs="宋体"/>
                <w:kern w:val="0"/>
                <w:sz w:val="18"/>
                <w:szCs w:val="18"/>
                <w:lang w:eastAsia="zh-CN"/>
              </w:rPr>
              <w:t>）</w:t>
            </w:r>
            <w:r>
              <w:rPr>
                <w:rFonts w:hint="eastAsia" w:ascii="宋体" w:hAnsi="宋体" w:cs="宋体"/>
                <w:kern w:val="0"/>
                <w:sz w:val="18"/>
                <w:szCs w:val="18"/>
              </w:rPr>
              <w:t>、通讯接口：串行RS485，RJ45有线以太网口，4G移动网络</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14、</w:t>
            </w:r>
            <w:r>
              <w:rPr>
                <w:rFonts w:hint="eastAsia" w:ascii="宋体" w:hAnsi="宋体" w:cs="宋体"/>
                <w:kern w:val="0"/>
                <w:sz w:val="18"/>
                <w:szCs w:val="18"/>
              </w:rPr>
              <w:t>设备支架（3.0米喷塑支架，防护箱，避雷系统）</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r>
              <w:rPr>
                <w:rFonts w:hint="eastAsia" w:ascii="宋体" w:hAnsi="宋体" w:cs="宋体"/>
                <w:kern w:val="0"/>
                <w:sz w:val="18"/>
                <w:szCs w:val="18"/>
              </w:rPr>
              <w:t>辅材（包括管材、螺丝、弯头、传感器横杆等配件）"</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农业环境科技监测站-主站（户外字幕轮播LED屏）</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P10户外LED屏（2m*1m）</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2、</w:t>
            </w:r>
            <w:r>
              <w:rPr>
                <w:rFonts w:hint="eastAsia" w:ascii="宋体" w:hAnsi="宋体" w:cs="宋体"/>
                <w:kern w:val="0"/>
                <w:sz w:val="18"/>
                <w:szCs w:val="18"/>
              </w:rPr>
              <w:t>显示屏支架（双立柱，高度1.5m）</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显示控制卡</w:t>
            </w:r>
            <w:r>
              <w:rPr>
                <w:rFonts w:hint="eastAsia" w:ascii="宋体" w:hAnsi="宋体" w:cs="宋体"/>
                <w:kern w:val="0"/>
                <w:sz w:val="18"/>
                <w:szCs w:val="18"/>
                <w:lang w:eastAsia="zh-CN"/>
              </w:rPr>
              <w:t>；</w:t>
            </w:r>
          </w:p>
          <w:p>
            <w:pPr>
              <w:widowControl/>
              <w:numPr>
                <w:ilvl w:val="0"/>
                <w:numId w:val="0"/>
              </w:numPr>
              <w:spacing w:line="320" w:lineRule="exact"/>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辅材（包含管材、螺丝、线材等配件）</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3</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农业环境科技监测站-主站（太阳能供电系统）</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160W太阳能电池板</w:t>
            </w:r>
            <w:r>
              <w:rPr>
                <w:rFonts w:hint="eastAsia" w:ascii="宋体" w:hAnsi="宋体" w:cs="宋体"/>
                <w:kern w:val="0"/>
                <w:sz w:val="18"/>
                <w:szCs w:val="18"/>
                <w:lang w:eastAsia="zh-CN"/>
              </w:rPr>
              <w:t>；</w:t>
            </w:r>
          </w:p>
          <w:p>
            <w:pPr>
              <w:widowControl/>
              <w:numPr>
                <w:ilvl w:val="0"/>
                <w:numId w:val="0"/>
              </w:numPr>
              <w:spacing w:line="320" w:lineRule="exact"/>
              <w:ind w:leftChars="0"/>
              <w:rPr>
                <w:rFonts w:hint="eastAsia" w:ascii="宋体" w:hAnsi="宋体" w:cs="宋体"/>
                <w:kern w:val="0"/>
                <w:sz w:val="18"/>
                <w:szCs w:val="18"/>
                <w:lang w:eastAsia="zh-CN"/>
              </w:rPr>
            </w:pPr>
            <w:r>
              <w:rPr>
                <w:rFonts w:hint="eastAsia" w:ascii="宋体" w:hAnsi="宋体" w:cs="宋体"/>
                <w:kern w:val="0"/>
                <w:sz w:val="18"/>
                <w:szCs w:val="18"/>
                <w:lang w:val="en-US" w:eastAsia="zh-CN"/>
              </w:rPr>
              <w:t>2、</w:t>
            </w:r>
            <w:r>
              <w:rPr>
                <w:rFonts w:hint="eastAsia" w:ascii="宋体" w:hAnsi="宋体" w:cs="宋体"/>
                <w:kern w:val="0"/>
                <w:sz w:val="18"/>
                <w:szCs w:val="18"/>
              </w:rPr>
              <w:t>DC12V，100AH专用太阳能电池</w:t>
            </w:r>
            <w:r>
              <w:rPr>
                <w:rFonts w:hint="eastAsia" w:ascii="宋体" w:hAnsi="宋体" w:cs="宋体"/>
                <w:kern w:val="0"/>
                <w:sz w:val="18"/>
                <w:szCs w:val="18"/>
                <w:lang w:eastAsia="zh-CN"/>
              </w:rPr>
              <w:t>；</w:t>
            </w:r>
          </w:p>
          <w:p>
            <w:pPr>
              <w:widowControl/>
              <w:numPr>
                <w:ilvl w:val="0"/>
                <w:numId w:val="0"/>
              </w:numPr>
              <w:spacing w:line="320" w:lineRule="exact"/>
              <w:ind w:leftChars="0"/>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太阳能板支架：采用镀锌钢管，表面烤漆，高度2000mm</w:t>
            </w:r>
            <w:r>
              <w:rPr>
                <w:rFonts w:hint="eastAsia" w:ascii="宋体" w:hAnsi="宋体" w:cs="宋体"/>
                <w:kern w:val="0"/>
                <w:sz w:val="18"/>
                <w:szCs w:val="18"/>
                <w:lang w:eastAsia="zh-CN"/>
              </w:rPr>
              <w:t>；</w:t>
            </w:r>
          </w:p>
          <w:p>
            <w:pPr>
              <w:widowControl/>
              <w:numPr>
                <w:ilvl w:val="0"/>
                <w:numId w:val="0"/>
              </w:numPr>
              <w:spacing w:line="320" w:lineRule="exact"/>
              <w:ind w:leftChars="0"/>
              <w:rPr>
                <w:rFonts w:hint="eastAsia" w:ascii="宋体" w:hAnsi="宋体" w:cs="宋体"/>
                <w:kern w:val="0"/>
                <w:sz w:val="18"/>
                <w:szCs w:val="18"/>
                <w:lang w:eastAsia="zh-CN"/>
              </w:rPr>
            </w:pPr>
            <w:r>
              <w:rPr>
                <w:rFonts w:hint="eastAsia" w:ascii="宋体" w:hAnsi="宋体" w:cs="宋体"/>
                <w:kern w:val="0"/>
                <w:sz w:val="18"/>
                <w:szCs w:val="18"/>
                <w:lang w:val="en-US" w:eastAsia="zh-CN"/>
              </w:rPr>
              <w:t>4、</w:t>
            </w:r>
            <w:r>
              <w:rPr>
                <w:rFonts w:hint="eastAsia" w:ascii="宋体" w:hAnsi="宋体" w:cs="宋体"/>
                <w:kern w:val="0"/>
                <w:sz w:val="18"/>
                <w:szCs w:val="18"/>
              </w:rPr>
              <w:t>太阳能控制系统（含太阳能控制器、5000W逆变器、交直流自动切换设备等）</w:t>
            </w:r>
            <w:r>
              <w:rPr>
                <w:rFonts w:hint="eastAsia" w:ascii="宋体" w:hAnsi="宋体" w:cs="宋体"/>
                <w:kern w:val="0"/>
                <w:sz w:val="18"/>
                <w:szCs w:val="18"/>
                <w:lang w:eastAsia="zh-CN"/>
              </w:rPr>
              <w:t>；</w:t>
            </w:r>
          </w:p>
          <w:p>
            <w:pPr>
              <w:widowControl/>
              <w:numPr>
                <w:ilvl w:val="0"/>
                <w:numId w:val="0"/>
              </w:numPr>
              <w:spacing w:line="320" w:lineRule="exact"/>
              <w:ind w:leftChars="0"/>
              <w:rPr>
                <w:rFonts w:hint="eastAsia" w:ascii="宋体" w:hAnsi="宋体" w:cs="宋体"/>
                <w:kern w:val="0"/>
                <w:sz w:val="18"/>
                <w:szCs w:val="18"/>
                <w:lang w:eastAsia="zh-CN"/>
              </w:rPr>
            </w:pPr>
            <w:r>
              <w:rPr>
                <w:rFonts w:hint="eastAsia" w:ascii="宋体" w:hAnsi="宋体" w:cs="宋体"/>
                <w:kern w:val="0"/>
                <w:sz w:val="18"/>
                <w:szCs w:val="18"/>
                <w:lang w:val="en-US" w:eastAsia="zh-CN"/>
              </w:rPr>
              <w:t>5、</w:t>
            </w:r>
            <w:r>
              <w:rPr>
                <w:rFonts w:hint="eastAsia" w:ascii="宋体" w:hAnsi="宋体" w:cs="宋体"/>
                <w:kern w:val="0"/>
                <w:sz w:val="18"/>
                <w:szCs w:val="18"/>
              </w:rPr>
              <w:t>专用控制柜</w:t>
            </w:r>
            <w:r>
              <w:rPr>
                <w:rFonts w:hint="eastAsia" w:ascii="宋体" w:hAnsi="宋体" w:cs="宋体"/>
                <w:kern w:val="0"/>
                <w:sz w:val="18"/>
                <w:szCs w:val="18"/>
                <w:lang w:eastAsia="zh-CN"/>
              </w:rPr>
              <w:t>；</w:t>
            </w:r>
          </w:p>
          <w:p>
            <w:pPr>
              <w:widowControl/>
              <w:numPr>
                <w:ilvl w:val="0"/>
                <w:numId w:val="0"/>
              </w:numPr>
              <w:spacing w:line="320" w:lineRule="exact"/>
              <w:ind w:lef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r>
              <w:rPr>
                <w:rFonts w:hint="eastAsia" w:ascii="宋体" w:hAnsi="宋体" w:cs="宋体"/>
                <w:kern w:val="0"/>
                <w:sz w:val="18"/>
                <w:szCs w:val="18"/>
              </w:rPr>
              <w:t>辅材（包含管材、螺丝、线材等配件）"</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22"/>
                <w:szCs w:val="22"/>
              </w:rPr>
            </w:pPr>
            <w:r>
              <w:rPr>
                <w:rFonts w:hint="eastAsia" w:ascii="宋体" w:hAnsi="宋体" w:cs="宋体"/>
                <w:b/>
                <w:bCs/>
                <w:kern w:val="0"/>
                <w:sz w:val="18"/>
                <w:szCs w:val="18"/>
                <w:lang w:val="en-US" w:eastAsia="zh-CN"/>
              </w:rPr>
              <w:t>七、</w:t>
            </w:r>
            <w:r>
              <w:rPr>
                <w:rFonts w:hint="eastAsia" w:ascii="宋体" w:hAnsi="宋体" w:cs="宋体"/>
                <w:b/>
                <w:bCs/>
                <w:kern w:val="0"/>
                <w:sz w:val="18"/>
                <w:szCs w:val="18"/>
              </w:rPr>
              <w:t>田间绿色防治系统</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b w:val="0"/>
                <w:bCs w:val="0"/>
                <w:kern w:val="0"/>
                <w:sz w:val="18"/>
                <w:szCs w:val="18"/>
              </w:rPr>
              <w:t>田间绿色防治系统</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符合GB/T24689.2- 2017《植物保护机械杀虫灯》标准。</w:t>
            </w:r>
          </w:p>
          <w:p>
            <w:pPr>
              <w:widowControl/>
              <w:numPr>
                <w:ilvl w:val="0"/>
                <w:numId w:val="0"/>
              </w:numPr>
              <w:spacing w:line="320" w:lineRule="exact"/>
              <w:rPr>
                <w:rFonts w:ascii="宋体" w:hAnsi="宋体" w:cs="宋体"/>
                <w:kern w:val="0"/>
                <w:sz w:val="18"/>
                <w:szCs w:val="18"/>
              </w:rPr>
            </w:pPr>
            <w:r>
              <w:rPr>
                <w:rFonts w:hint="eastAsia" w:ascii="宋体" w:hAnsi="宋体" w:cs="宋体"/>
                <w:kern w:val="0"/>
                <w:sz w:val="18"/>
                <w:szCs w:val="18"/>
              </w:rPr>
              <w:t>2、整灯功率：≤13W</w:t>
            </w:r>
            <w:r>
              <w:rPr>
                <w:rFonts w:hint="eastAsia" w:ascii="宋体" w:hAnsi="宋体" w:cs="宋体"/>
                <w:kern w:val="0"/>
                <w:sz w:val="18"/>
                <w:szCs w:val="18"/>
                <w:lang w:eastAsia="zh-CN"/>
              </w:rPr>
              <w:t>；</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3、外观质量：外观应整齐美观，表面平整光洁，色泽均匀；无裂痕、破损等现象；</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4、装配质量：各连接件和坚固件应无松动现象，整体应牢固；30min工作试验，不得有短路电弧及诱集光源闪烁现象；</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5、安全标志；在灯体明显部位应有符合GB10396规定的安全标志；</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6、机械强度：杀虫灯外壳应具有足够的机械强度，整机外壳机械强度试验（0.5J）后不应出现破、裂等破损现象。</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7、绝缘电阻：≥2.5MΩ。</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8、防护等级：应不低于GB/T4208－2017规定的外壳防护等级IP55</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9、太阳能板功率：≥40W单晶硅。</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10、★蓄电池：锂电池容量：≥12V/24AH，锂电池具有过充，过放，短路保护功能。</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11、诱集光源：波长320mm-680mm（主波：367/404/435/545/577）</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12、杀虫灯具有灯管损坏自动检测功能。</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3</w:t>
            </w:r>
            <w:r>
              <w:rPr>
                <w:rFonts w:hint="eastAsia" w:ascii="宋体" w:hAnsi="宋体" w:cs="宋体"/>
                <w:kern w:val="0"/>
                <w:sz w:val="18"/>
                <w:szCs w:val="18"/>
              </w:rPr>
              <w:t>、光控功能：根据昼夜交替自动开关灯。</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、雨控功能：杀虫灯应能在雨天应能自动进入保护状态，雨停后可自动恢复工作。</w:t>
            </w:r>
          </w:p>
          <w:p>
            <w:pPr>
              <w:widowControl/>
              <w:numPr>
                <w:ilvl w:val="0"/>
                <w:numId w:val="0"/>
              </w:numPr>
              <w:spacing w:line="320" w:lineRule="exac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5</w:t>
            </w:r>
            <w:r>
              <w:rPr>
                <w:rFonts w:hint="eastAsia" w:ascii="宋体" w:hAnsi="宋体" w:cs="宋体"/>
                <w:kern w:val="0"/>
                <w:sz w:val="18"/>
                <w:szCs w:val="18"/>
              </w:rPr>
              <w:t>、时控功能：杀虫灯应能在设定的时间开始工作或停止工作。</w:t>
            </w:r>
          </w:p>
          <w:p>
            <w:pPr>
              <w:widowControl/>
              <w:numPr>
                <w:ilvl w:val="0"/>
                <w:numId w:val="0"/>
              </w:numPr>
              <w:spacing w:line="320" w:lineRule="exact"/>
              <w:rPr>
                <w:rFonts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6</w:t>
            </w:r>
            <w:r>
              <w:rPr>
                <w:rFonts w:hint="eastAsia" w:ascii="宋体" w:hAnsi="宋体" w:cs="宋体"/>
                <w:kern w:val="0"/>
                <w:sz w:val="18"/>
                <w:szCs w:val="18"/>
              </w:rPr>
              <w:t>、灯杆：采用优质钢材，镀锌喷塑双重防腐处理。整体焊接牢靠；表面光滑，无明显的气孔、銲瘤。整灯高度≧3m，可根据项目地农作物情况定制高度。</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397" w:type="dxa"/>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9036"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lang w:val="en-US" w:eastAsia="zh-CN"/>
              </w:rPr>
              <w:t>八、</w:t>
            </w:r>
            <w:r>
              <w:rPr>
                <w:rFonts w:hint="eastAsia" w:ascii="宋体" w:hAnsi="宋体" w:cs="宋体"/>
                <w:b/>
                <w:bCs/>
                <w:kern w:val="0"/>
                <w:sz w:val="18"/>
                <w:szCs w:val="18"/>
              </w:rPr>
              <w:t>可视化农业系统（太阳能供电）</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b w:val="0"/>
                <w:bCs w:val="0"/>
                <w:kern w:val="0"/>
                <w:sz w:val="18"/>
                <w:szCs w:val="18"/>
              </w:rPr>
              <w:t>可视化农业系统（太阳能供电）</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高清网络球机，4寸，不小于200万像素</w:t>
            </w:r>
            <w:r>
              <w:rPr>
                <w:rFonts w:hint="eastAsia" w:ascii="宋体" w:hAnsi="宋体" w:cs="宋体"/>
                <w:kern w:val="0"/>
                <w:sz w:val="18"/>
                <w:szCs w:val="18"/>
                <w:lang w:eastAsia="zh-CN"/>
              </w:rPr>
              <w:t>；</w:t>
            </w:r>
          </w:p>
          <w:p>
            <w:pPr>
              <w:widowControl/>
              <w:numPr>
                <w:ilvl w:val="0"/>
                <w:numId w:val="0"/>
              </w:numPr>
              <w:spacing w:line="320" w:lineRule="exact"/>
              <w:jc w:val="left"/>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主杆（4m含基座）</w:t>
            </w:r>
            <w:r>
              <w:rPr>
                <w:rFonts w:hint="eastAsia" w:ascii="宋体" w:hAnsi="宋体" w:cs="宋体"/>
                <w:kern w:val="0"/>
                <w:sz w:val="18"/>
                <w:szCs w:val="18"/>
                <w:lang w:eastAsia="zh-CN"/>
              </w:rPr>
              <w:t>；</w:t>
            </w:r>
          </w:p>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通讯系统（含流量卡及三年流量费）</w:t>
            </w:r>
            <w:r>
              <w:rPr>
                <w:rFonts w:hint="eastAsia" w:ascii="宋体" w:hAnsi="宋体" w:cs="宋体"/>
                <w:kern w:val="0"/>
                <w:sz w:val="18"/>
                <w:szCs w:val="18"/>
                <w:lang w:eastAsia="zh-CN"/>
              </w:rPr>
              <w:t>；</w:t>
            </w:r>
          </w:p>
          <w:p>
            <w:pPr>
              <w:widowControl/>
              <w:numPr>
                <w:ilvl w:val="0"/>
                <w:numId w:val="0"/>
              </w:numPr>
              <w:spacing w:line="32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r>
              <w:rPr>
                <w:rFonts w:hint="eastAsia" w:ascii="宋体" w:hAnsi="宋体" w:cs="宋体"/>
                <w:kern w:val="0"/>
                <w:sz w:val="18"/>
                <w:szCs w:val="18"/>
              </w:rPr>
              <w:t>辅材（包括防护箱，管材、线材、弯头、横杆等配件）</w:t>
            </w:r>
            <w:r>
              <w:rPr>
                <w:rFonts w:hint="eastAsia" w:ascii="宋体" w:hAnsi="宋体" w:cs="宋体"/>
                <w:kern w:val="0"/>
                <w:sz w:val="18"/>
                <w:szCs w:val="18"/>
                <w:lang w:eastAsia="zh-CN"/>
              </w:rPr>
              <w:t>；</w:t>
            </w:r>
          </w:p>
          <w:p>
            <w:pPr>
              <w:widowControl/>
              <w:numPr>
                <w:ilvl w:val="0"/>
                <w:numId w:val="0"/>
              </w:numPr>
              <w:spacing w:line="320" w:lineRule="exact"/>
              <w:jc w:val="lef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太阳能供电系统（240W太阳能板，100Ah蓄电池）</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val="0"/>
                <w:bCs w:val="0"/>
                <w:kern w:val="0"/>
                <w:sz w:val="18"/>
                <w:szCs w:val="18"/>
              </w:rPr>
            </w:pPr>
            <w:r>
              <w:rPr>
                <w:rFonts w:hint="eastAsia" w:ascii="宋体" w:hAnsi="宋体" w:cs="宋体"/>
                <w:b/>
                <w:bCs/>
                <w:kern w:val="0"/>
                <w:sz w:val="18"/>
                <w:szCs w:val="18"/>
                <w:lang w:val="en-US" w:eastAsia="zh-CN"/>
              </w:rPr>
              <w:t>九、</w:t>
            </w:r>
            <w:r>
              <w:rPr>
                <w:rFonts w:hint="eastAsia" w:ascii="宋体" w:hAnsi="宋体" w:cs="宋体"/>
                <w:b/>
                <w:bCs/>
                <w:kern w:val="0"/>
                <w:sz w:val="18"/>
                <w:szCs w:val="18"/>
              </w:rPr>
              <w:t>苗情监测站设备</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b w:val="0"/>
                <w:bCs w:val="0"/>
                <w:kern w:val="0"/>
                <w:sz w:val="18"/>
                <w:szCs w:val="18"/>
              </w:rPr>
              <w:t>苗情监测站设备</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1、</w:t>
            </w:r>
            <w:r>
              <w:rPr>
                <w:rFonts w:hint="eastAsia" w:ascii="宋体" w:hAnsi="宋体" w:cs="宋体"/>
                <w:kern w:val="0"/>
                <w:sz w:val="18"/>
                <w:szCs w:val="18"/>
              </w:rPr>
              <w:t>高清网络球机，4寸，不小于200万像素</w:t>
            </w:r>
            <w:r>
              <w:rPr>
                <w:rFonts w:hint="eastAsia" w:ascii="宋体" w:hAnsi="宋体" w:cs="宋体"/>
                <w:kern w:val="0"/>
                <w:sz w:val="18"/>
                <w:szCs w:val="18"/>
                <w:lang w:eastAsia="zh-CN"/>
              </w:rPr>
              <w:t>；</w:t>
            </w:r>
          </w:p>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2、</w:t>
            </w:r>
            <w:r>
              <w:rPr>
                <w:rFonts w:hint="eastAsia" w:ascii="宋体" w:hAnsi="宋体" w:cs="宋体"/>
                <w:kern w:val="0"/>
                <w:sz w:val="18"/>
                <w:szCs w:val="18"/>
              </w:rPr>
              <w:t>主杆（4m含基座）</w:t>
            </w:r>
            <w:r>
              <w:rPr>
                <w:rFonts w:hint="eastAsia" w:ascii="宋体" w:hAnsi="宋体" w:cs="宋体"/>
                <w:kern w:val="0"/>
                <w:sz w:val="18"/>
                <w:szCs w:val="18"/>
                <w:lang w:eastAsia="zh-CN"/>
              </w:rPr>
              <w:t>；</w:t>
            </w:r>
          </w:p>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通讯系统（含流量卡及三年流量费）</w:t>
            </w:r>
            <w:r>
              <w:rPr>
                <w:rFonts w:hint="eastAsia" w:ascii="宋体" w:hAnsi="宋体" w:cs="宋体"/>
                <w:kern w:val="0"/>
                <w:sz w:val="18"/>
                <w:szCs w:val="18"/>
                <w:lang w:eastAsia="zh-CN"/>
              </w:rPr>
              <w:t>；</w:t>
            </w:r>
          </w:p>
          <w:p>
            <w:pPr>
              <w:widowControl/>
              <w:numPr>
                <w:ilvl w:val="0"/>
                <w:numId w:val="0"/>
              </w:numPr>
              <w:spacing w:line="320" w:lineRule="exact"/>
              <w:jc w:val="left"/>
              <w:rPr>
                <w:rFonts w:hint="eastAsia" w:ascii="宋体" w:hAnsi="宋体" w:cs="宋体"/>
                <w:kern w:val="0"/>
                <w:sz w:val="18"/>
                <w:szCs w:val="18"/>
                <w:lang w:eastAsia="zh-CN"/>
              </w:rPr>
            </w:pPr>
            <w:r>
              <w:rPr>
                <w:rFonts w:hint="eastAsia" w:ascii="宋体" w:hAnsi="宋体" w:cs="宋体"/>
                <w:kern w:val="0"/>
                <w:sz w:val="18"/>
                <w:szCs w:val="18"/>
                <w:lang w:val="en-US" w:eastAsia="zh-CN"/>
              </w:rPr>
              <w:t>4、</w:t>
            </w:r>
            <w:r>
              <w:rPr>
                <w:rFonts w:hint="eastAsia" w:ascii="宋体" w:hAnsi="宋体" w:cs="宋体"/>
                <w:kern w:val="0"/>
                <w:sz w:val="18"/>
                <w:szCs w:val="18"/>
              </w:rPr>
              <w:t>辅材（包括防护箱，管材、线材、弯头、横杆等配件）</w:t>
            </w:r>
            <w:r>
              <w:rPr>
                <w:rFonts w:hint="eastAsia" w:ascii="宋体" w:hAnsi="宋体" w:cs="宋体"/>
                <w:kern w:val="0"/>
                <w:sz w:val="18"/>
                <w:szCs w:val="18"/>
                <w:lang w:eastAsia="zh-CN"/>
              </w:rPr>
              <w:t>；</w:t>
            </w:r>
          </w:p>
          <w:p>
            <w:pPr>
              <w:widowControl/>
              <w:numPr>
                <w:ilvl w:val="0"/>
                <w:numId w:val="0"/>
              </w:numPr>
              <w:spacing w:line="320" w:lineRule="exact"/>
              <w:jc w:val="lef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太阳能供电系统（240W太阳能板，100Ah蓄电池）</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套</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指示牌</w:t>
            </w:r>
          </w:p>
        </w:tc>
        <w:tc>
          <w:tcPr>
            <w:tcW w:w="5686"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ascii="宋体" w:hAnsi="宋体" w:cs="宋体"/>
                <w:kern w:val="0"/>
                <w:sz w:val="18"/>
                <w:szCs w:val="18"/>
              </w:rPr>
            </w:pPr>
            <w:r>
              <w:rPr>
                <w:rFonts w:hint="eastAsia" w:ascii="宋体" w:hAnsi="宋体" w:cs="宋体"/>
                <w:kern w:val="0"/>
                <w:sz w:val="18"/>
                <w:szCs w:val="18"/>
                <w:highlight w:val="none"/>
                <w:lang w:val="en-US" w:eastAsia="zh-CN"/>
              </w:rPr>
              <w:t>材质：铝合金，尺寸：280mm*320mm*1070mm</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个</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600" w:hRule="atLeast"/>
        </w:trPr>
        <w:tc>
          <w:tcPr>
            <w:tcW w:w="9036" w:type="dxa"/>
            <w:gridSpan w:val="6"/>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lang w:val="en-US" w:eastAsia="zh-CN"/>
              </w:rPr>
              <w:t>十、</w:t>
            </w:r>
            <w:r>
              <w:rPr>
                <w:rFonts w:hint="eastAsia" w:ascii="宋体" w:hAnsi="宋体" w:cs="宋体"/>
                <w:b/>
                <w:bCs/>
                <w:kern w:val="0"/>
                <w:sz w:val="18"/>
                <w:szCs w:val="18"/>
              </w:rPr>
              <w:t>植保体系建设</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06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植保无人机</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0"/>
              </w:numPr>
              <w:spacing w:line="320" w:lineRule="exact"/>
              <w:jc w:val="lef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整机重量</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52kg（</w:t>
            </w:r>
            <w:r>
              <w:rPr>
                <w:rFonts w:hint="eastAsia" w:ascii="宋体" w:hAnsi="宋体" w:cs="宋体"/>
                <w:kern w:val="0"/>
                <w:sz w:val="18"/>
                <w:szCs w:val="18"/>
              </w:rPr>
              <w:t>含电池）；</w:t>
            </w:r>
          </w:p>
          <w:p>
            <w:pPr>
              <w:widowControl/>
              <w:numPr>
                <w:ilvl w:val="0"/>
                <w:numId w:val="0"/>
              </w:numPr>
              <w:spacing w:line="320" w:lineRule="exact"/>
              <w:jc w:val="left"/>
              <w:rPr>
                <w:rFonts w:hint="eastAsia" w:ascii="宋体" w:hAnsi="宋体" w:cs="宋体"/>
                <w:kern w:val="0"/>
                <w:sz w:val="18"/>
                <w:szCs w:val="18"/>
                <w:highlight w:val="none"/>
              </w:rPr>
            </w:pPr>
            <w:r>
              <w:rPr>
                <w:rFonts w:hint="eastAsia" w:ascii="宋体" w:hAnsi="宋体" w:cs="宋体"/>
                <w:kern w:val="0"/>
                <w:sz w:val="18"/>
                <w:szCs w:val="18"/>
                <w:lang w:val="en-US" w:eastAsia="zh-CN"/>
              </w:rPr>
              <w:t>2、</w:t>
            </w:r>
            <w:r>
              <w:rPr>
                <w:rFonts w:hint="eastAsia" w:ascii="宋体" w:hAnsi="宋体" w:cs="宋体"/>
                <w:kern w:val="0"/>
                <w:sz w:val="18"/>
                <w:szCs w:val="18"/>
                <w:highlight w:val="none"/>
              </w:rPr>
              <w:t>最大喷洒起飞重量：</w:t>
            </w:r>
            <w:r>
              <w:rPr>
                <w:rFonts w:hint="eastAsia" w:ascii="宋体" w:hAnsi="宋体" w:eastAsia="宋体" w:cs="宋体"/>
                <w:kern w:val="0"/>
                <w:sz w:val="18"/>
                <w:szCs w:val="18"/>
              </w:rPr>
              <w:t>≥</w:t>
            </w:r>
            <w:r>
              <w:rPr>
                <w:rFonts w:hint="eastAsia" w:ascii="宋体" w:hAnsi="宋体" w:cs="宋体"/>
                <w:kern w:val="0"/>
                <w:sz w:val="18"/>
                <w:szCs w:val="18"/>
                <w:highlight w:val="none"/>
              </w:rPr>
              <w:t>92 kg（标配2喷头+ 40 L作业箱，海平面附近）；</w:t>
            </w:r>
          </w:p>
          <w:p>
            <w:pPr>
              <w:widowControl/>
              <w:numPr>
                <w:ilvl w:val="0"/>
                <w:numId w:val="0"/>
              </w:numPr>
              <w:spacing w:line="320" w:lineRule="exact"/>
              <w:jc w:val="lef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最大喷洒起飞重量：</w:t>
            </w:r>
            <w:r>
              <w:rPr>
                <w:rFonts w:hint="eastAsia" w:ascii="宋体" w:hAnsi="宋体" w:eastAsia="宋体" w:cs="宋体"/>
                <w:kern w:val="0"/>
                <w:sz w:val="18"/>
                <w:szCs w:val="18"/>
              </w:rPr>
              <w:t>≥</w:t>
            </w:r>
            <w:r>
              <w:rPr>
                <w:rFonts w:hint="eastAsia" w:ascii="宋体" w:hAnsi="宋体" w:cs="宋体"/>
                <w:kern w:val="0"/>
                <w:sz w:val="18"/>
                <w:szCs w:val="18"/>
                <w:highlight w:val="none"/>
              </w:rPr>
              <w:t>103.5 kg（选配果树套件，加装2喷头 + 50 L作业箱，海平面附近）；</w:t>
            </w:r>
          </w:p>
          <w:p>
            <w:pPr>
              <w:widowControl/>
              <w:numPr>
                <w:ilvl w:val="0"/>
                <w:numId w:val="0"/>
              </w:numPr>
              <w:spacing w:line="32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最大播撒起飞重量：≥103 kg；</w:t>
            </w:r>
          </w:p>
          <w:p>
            <w:pPr>
              <w:widowControl/>
              <w:numPr>
                <w:ilvl w:val="0"/>
                <w:numId w:val="0"/>
              </w:numPr>
              <w:spacing w:line="32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最大轴距2200mm；</w:t>
            </w:r>
          </w:p>
          <w:p>
            <w:pPr>
              <w:widowControl/>
              <w:numPr>
                <w:ilvl w:val="0"/>
                <w:numId w:val="0"/>
              </w:numPr>
              <w:spacing w:line="320" w:lineRule="exact"/>
              <w:jc w:val="left"/>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悬停精度（GNSS信号良好）启用RTK定位：水平±10 cm，垂直±10 cm；</w:t>
            </w:r>
          </w:p>
          <w:p>
            <w:pPr>
              <w:widowControl/>
              <w:numPr>
                <w:ilvl w:val="0"/>
                <w:numId w:val="0"/>
              </w:numPr>
              <w:spacing w:line="320" w:lineRule="exact"/>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可设置最大飞行半径2000 m；</w:t>
            </w:r>
          </w:p>
          <w:p>
            <w:pPr>
              <w:widowControl/>
              <w:numPr>
                <w:ilvl w:val="0"/>
                <w:numId w:val="0"/>
              </w:numPr>
              <w:spacing w:line="320" w:lineRule="exact"/>
              <w:jc w:val="left"/>
              <w:rPr>
                <w:rFonts w:hint="eastAsia" w:ascii="宋体" w:hAnsi="宋体" w:cs="宋体"/>
                <w:kern w:val="0"/>
                <w:sz w:val="18"/>
                <w:szCs w:val="18"/>
              </w:rPr>
            </w:pPr>
            <w:r>
              <w:rPr>
                <w:rFonts w:hint="eastAsia" w:ascii="宋体" w:hAnsi="宋体" w:cs="宋体"/>
                <w:kern w:val="0"/>
                <w:sz w:val="18"/>
                <w:szCs w:val="18"/>
                <w:lang w:val="en-US" w:eastAsia="zh-CN"/>
              </w:rPr>
              <w:t>8、</w:t>
            </w:r>
            <w:r>
              <w:rPr>
                <w:rFonts w:hint="eastAsia" w:ascii="宋体" w:hAnsi="宋体" w:cs="宋体"/>
                <w:kern w:val="0"/>
                <w:sz w:val="18"/>
                <w:szCs w:val="18"/>
              </w:rPr>
              <w:t>可承受风速</w:t>
            </w:r>
            <w:r>
              <w:rPr>
                <w:rFonts w:hint="eastAsia" w:ascii="宋体" w:hAnsi="宋体" w:eastAsia="宋体" w:cs="宋体"/>
                <w:kern w:val="0"/>
                <w:sz w:val="18"/>
                <w:szCs w:val="18"/>
              </w:rPr>
              <w:t>≥</w:t>
            </w:r>
            <w:r>
              <w:rPr>
                <w:rFonts w:hint="eastAsia" w:ascii="宋体" w:hAnsi="宋体" w:cs="宋体"/>
                <w:kern w:val="0"/>
                <w:sz w:val="18"/>
                <w:szCs w:val="18"/>
              </w:rPr>
              <w:t>6 m/s；</w:t>
            </w:r>
          </w:p>
          <w:p>
            <w:pPr>
              <w:widowControl/>
              <w:numPr>
                <w:ilvl w:val="0"/>
                <w:numId w:val="0"/>
              </w:numPr>
              <w:spacing w:line="32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r>
              <w:rPr>
                <w:rFonts w:hint="eastAsia" w:ascii="宋体" w:hAnsi="宋体" w:cs="宋体"/>
                <w:kern w:val="0"/>
                <w:sz w:val="18"/>
                <w:szCs w:val="18"/>
              </w:rPr>
              <w:t>双重雾化喷洒系统</w:t>
            </w:r>
            <w:r>
              <w:rPr>
                <w:rFonts w:hint="eastAsia" w:ascii="宋体" w:hAnsi="宋体" w:cs="宋体"/>
                <w:kern w:val="0"/>
                <w:sz w:val="18"/>
                <w:szCs w:val="18"/>
                <w:highlight w:val="none"/>
              </w:rPr>
              <w:t>：作业箱（HDPE材质）容积</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40 L，作业载荷</w:t>
            </w:r>
            <w:r>
              <w:rPr>
                <w:rFonts w:hint="eastAsia" w:ascii="宋体" w:hAnsi="宋体" w:eastAsia="宋体" w:cs="宋体"/>
                <w:kern w:val="0"/>
                <w:sz w:val="18"/>
                <w:szCs w:val="18"/>
                <w:highlight w:val="none"/>
              </w:rPr>
              <w:t>≥</w:t>
            </w:r>
            <w:r>
              <w:rPr>
                <w:rFonts w:hint="eastAsia" w:ascii="宋体" w:hAnsi="宋体" w:cs="宋体"/>
                <w:kern w:val="0"/>
                <w:sz w:val="18"/>
                <w:szCs w:val="18"/>
                <w:highlight w:val="none"/>
              </w:rPr>
              <w:t>40 kg；</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600" w:hRule="atLeast"/>
        </w:trPr>
        <w:tc>
          <w:tcPr>
            <w:tcW w:w="67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066" w:type="dxa"/>
            <w:tcBorders>
              <w:top w:val="nil"/>
              <w:left w:val="nil"/>
              <w:bottom w:val="single" w:color="auto" w:sz="4" w:space="0"/>
              <w:right w:val="single" w:color="auto" w:sz="4" w:space="0"/>
            </w:tcBorders>
            <w:shd w:val="clear" w:color="auto" w:fill="auto"/>
            <w:noWrap w:val="0"/>
            <w:vAlign w:val="center"/>
          </w:tcPr>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喷杆喷雾机</w:t>
            </w:r>
          </w:p>
        </w:tc>
        <w:tc>
          <w:tcPr>
            <w:tcW w:w="5686" w:type="dxa"/>
            <w:tcBorders>
              <w:top w:val="nil"/>
              <w:left w:val="nil"/>
              <w:bottom w:val="single" w:color="auto" w:sz="4" w:space="0"/>
              <w:right w:val="single" w:color="auto" w:sz="4" w:space="0"/>
            </w:tcBorders>
            <w:shd w:val="clear" w:color="auto" w:fill="auto"/>
            <w:noWrap w:val="0"/>
            <w:vAlign w:val="center"/>
          </w:tcPr>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发动机：全柴100马力发动机；</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变速箱：高低速变速箱；</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整机尺寸：≥4850</w:t>
            </w:r>
            <w:r>
              <w:rPr>
                <w:rFonts w:hint="eastAsia" w:ascii="宋体" w:hAnsi="宋体" w:cs="宋体"/>
                <w:color w:val="0000FF"/>
                <w:kern w:val="0"/>
                <w:sz w:val="18"/>
                <w:szCs w:val="18"/>
                <w:lang w:val="en-US" w:eastAsia="zh-CN"/>
              </w:rPr>
              <w:t>mm</w:t>
            </w:r>
            <w:r>
              <w:rPr>
                <w:rFonts w:hint="eastAsia" w:ascii="宋体" w:hAnsi="宋体" w:cs="宋体"/>
                <w:color w:val="0000FF"/>
                <w:kern w:val="0"/>
                <w:sz w:val="18"/>
                <w:szCs w:val="18"/>
              </w:rPr>
              <w:t>×2400</w:t>
            </w:r>
            <w:r>
              <w:rPr>
                <w:rFonts w:hint="eastAsia" w:ascii="宋体" w:hAnsi="宋体" w:cs="宋体"/>
                <w:color w:val="0000FF"/>
                <w:kern w:val="0"/>
                <w:sz w:val="18"/>
                <w:szCs w:val="18"/>
                <w:lang w:val="en-US" w:eastAsia="zh-CN"/>
              </w:rPr>
              <w:t>mm</w:t>
            </w:r>
            <w:r>
              <w:rPr>
                <w:rFonts w:hint="eastAsia" w:ascii="宋体" w:hAnsi="宋体" w:cs="宋体"/>
                <w:color w:val="0000FF"/>
                <w:kern w:val="0"/>
                <w:sz w:val="18"/>
                <w:szCs w:val="18"/>
              </w:rPr>
              <w:t>×2800mm；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离地间隙：1000mm；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轮胎尺寸：1200mm充气胎轮距：车桥1.5-1.8m；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药箱容量：≥1500L；</w:t>
            </w:r>
            <w:bookmarkStart w:id="350" w:name="_GoBack"/>
            <w:bookmarkEnd w:id="350"/>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喷杆形式：三段式折叠，喷杆全液压升降；</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喷杆：20M；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喷杆高度：500-1600mm；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泵：隔膜泵撒肥系统：后置垂直升降撒肥系统；</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撒肥箱容量：8-10包肥；</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撒肥宽幅：20M；</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撒肥器传动形式：液压传动；</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加空调驾驶室；</w:t>
            </w:r>
          </w:p>
          <w:p>
            <w:pPr>
              <w:widowControl/>
              <w:numPr>
                <w:ilvl w:val="0"/>
                <w:numId w:val="9"/>
              </w:numPr>
              <w:spacing w:line="320" w:lineRule="exact"/>
              <w:jc w:val="left"/>
              <w:rPr>
                <w:rFonts w:hint="eastAsia" w:ascii="宋体" w:hAnsi="宋体" w:cs="宋体"/>
                <w:color w:val="0000FF"/>
                <w:kern w:val="0"/>
                <w:sz w:val="18"/>
                <w:szCs w:val="18"/>
              </w:rPr>
            </w:pPr>
            <w:r>
              <w:rPr>
                <w:rFonts w:hint="eastAsia" w:ascii="宋体" w:hAnsi="宋体" w:cs="宋体"/>
                <w:color w:val="0000FF"/>
                <w:kern w:val="0"/>
                <w:sz w:val="18"/>
                <w:szCs w:val="18"/>
              </w:rPr>
              <w:t>加装定位系统</w:t>
            </w:r>
            <w:r>
              <w:rPr>
                <w:rFonts w:hint="eastAsia" w:ascii="宋体" w:hAnsi="宋体" w:cs="宋体"/>
                <w:color w:val="0000FF"/>
                <w:kern w:val="0"/>
                <w:sz w:val="18"/>
                <w:szCs w:val="18"/>
                <w:lang w:eastAsia="zh-CN"/>
              </w:rPr>
              <w:t>。</w:t>
            </w:r>
          </w:p>
        </w:tc>
        <w:tc>
          <w:tcPr>
            <w:tcW w:w="600"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c>
          <w:tcPr>
            <w:tcW w:w="61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397"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left"/>
              <w:rPr>
                <w:rFonts w:ascii="宋体" w:hAnsi="宋体" w:cs="宋体"/>
                <w:b/>
                <w:bCs/>
                <w:kern w:val="0"/>
                <w:sz w:val="18"/>
                <w:szCs w:val="18"/>
              </w:rPr>
            </w:pPr>
            <w:r>
              <w:rPr>
                <w:rFonts w:hint="eastAsia" w:ascii="宋体" w:hAnsi="宋体" w:cs="宋体"/>
                <w:b/>
                <w:bCs/>
                <w:kern w:val="0"/>
                <w:sz w:val="18"/>
                <w:szCs w:val="18"/>
              </w:rPr>
              <w:t>　</w:t>
            </w:r>
          </w:p>
        </w:tc>
      </w:tr>
    </w:tbl>
    <w:p>
      <w:pPr>
        <w:rPr>
          <w:rFonts w:hint="eastAsia" w:eastAsia="宋体"/>
          <w:lang w:eastAsia="zh-CN"/>
        </w:rPr>
      </w:pPr>
    </w:p>
    <w:p>
      <w:pPr>
        <w:spacing w:line="560" w:lineRule="exact"/>
        <w:ind w:firstLine="482" w:firstLineChars="200"/>
        <w:rPr>
          <w:rFonts w:hint="eastAsia" w:ascii="宋体" w:hAnsi="宋体" w:cs="宋体"/>
          <w:b/>
          <w:bCs/>
          <w:kern w:val="0"/>
          <w:sz w:val="24"/>
        </w:rPr>
      </w:pPr>
      <w:r>
        <w:rPr>
          <w:rFonts w:hint="eastAsia" w:ascii="宋体" w:hAnsi="宋体" w:cs="宋体"/>
          <w:b/>
          <w:bCs/>
          <w:kern w:val="0"/>
          <w:sz w:val="24"/>
        </w:rPr>
        <w:t>注：本招标项目必须要实质性满足技术要求和商务要求：</w:t>
      </w:r>
    </w:p>
    <w:p>
      <w:pPr>
        <w:spacing w:line="560" w:lineRule="exact"/>
        <w:ind w:firstLine="482" w:firstLineChars="200"/>
        <w:rPr>
          <w:rFonts w:hint="eastAsia" w:ascii="宋体" w:hAnsi="宋体" w:cs="宋体"/>
          <w:b/>
          <w:bCs/>
          <w:kern w:val="0"/>
          <w:sz w:val="24"/>
          <w:lang w:val="en-US" w:eastAsia="zh-CN"/>
        </w:rPr>
      </w:pPr>
      <w:r>
        <w:rPr>
          <w:rFonts w:hint="eastAsia" w:ascii="宋体" w:hAnsi="宋体" w:cs="宋体"/>
          <w:b/>
          <w:bCs/>
          <w:kern w:val="0"/>
          <w:sz w:val="24"/>
        </w:rPr>
        <w:t>1、投标人提供的货物必须是原装全新、高于或等于招标文件规定技术参数的产品。</w:t>
      </w:r>
      <w:r>
        <w:rPr>
          <w:rFonts w:hint="eastAsia" w:ascii="宋体" w:hAnsi="宋体" w:cs="宋体"/>
          <w:b/>
          <w:bCs/>
          <w:kern w:val="0"/>
          <w:sz w:val="24"/>
          <w:lang w:eastAsia="zh-CN"/>
        </w:rPr>
        <w:t>加</w:t>
      </w:r>
      <w:r>
        <w:rPr>
          <w:rFonts w:hint="eastAsia" w:ascii="宋体" w:hAnsi="宋体" w:cs="宋体"/>
          <w:b/>
          <w:bCs/>
          <w:kern w:val="0"/>
          <w:sz w:val="24"/>
        </w:rPr>
        <w:t>★</w:t>
      </w:r>
      <w:r>
        <w:rPr>
          <w:rFonts w:hint="eastAsia" w:ascii="宋体" w:hAnsi="宋体" w:cs="宋体"/>
          <w:b/>
          <w:bCs/>
          <w:kern w:val="0"/>
          <w:sz w:val="24"/>
          <w:lang w:eastAsia="zh-CN"/>
        </w:rPr>
        <w:t>项所要求的证明材料</w:t>
      </w:r>
      <w:r>
        <w:rPr>
          <w:rFonts w:hint="eastAsia" w:ascii="宋体" w:hAnsi="宋体" w:cs="宋体"/>
          <w:b/>
          <w:bCs/>
          <w:kern w:val="0"/>
          <w:sz w:val="24"/>
          <w:lang w:val="en-US" w:eastAsia="zh-CN"/>
        </w:rPr>
        <w:t>未提供</w:t>
      </w:r>
      <w:r>
        <w:rPr>
          <w:rFonts w:hint="eastAsia" w:ascii="宋体" w:hAnsi="宋体" w:cs="宋体"/>
          <w:b/>
          <w:bCs/>
          <w:kern w:val="0"/>
          <w:sz w:val="24"/>
          <w:lang w:eastAsia="zh-CN"/>
        </w:rPr>
        <w:t>不加分，不视为未满足实质性条款。</w:t>
      </w:r>
    </w:p>
    <w:p>
      <w:pPr>
        <w:spacing w:line="560" w:lineRule="exact"/>
        <w:ind w:firstLine="482" w:firstLineChars="200"/>
        <w:rPr>
          <w:rFonts w:hint="eastAsia" w:ascii="宋体" w:hAnsi="宋体" w:cs="宋体"/>
          <w:b/>
          <w:bCs/>
          <w:kern w:val="0"/>
          <w:sz w:val="24"/>
          <w:highlight w:val="none"/>
        </w:rPr>
      </w:pPr>
      <w:r>
        <w:rPr>
          <w:rFonts w:hint="eastAsia" w:ascii="宋体" w:hAnsi="宋体" w:cs="宋体"/>
          <w:b/>
          <w:bCs/>
          <w:kern w:val="0"/>
          <w:sz w:val="24"/>
        </w:rPr>
        <w:t>2、属于节能产品政府采购品目规定必须强制采购的, 必须采购当期节能产品政府采购品目内设备或产品；在价格、技术、服务等指标同等条件下，优先采购节能、环保产品（需提供投</w:t>
      </w:r>
      <w:r>
        <w:rPr>
          <w:rFonts w:hint="eastAsia" w:ascii="宋体" w:hAnsi="宋体" w:cs="宋体"/>
          <w:b/>
          <w:bCs/>
          <w:kern w:val="0"/>
          <w:sz w:val="24"/>
          <w:highlight w:val="none"/>
        </w:rPr>
        <w:t>标人所投产品属于政府采购清单规定的节能环保产品的证明材料）。</w:t>
      </w:r>
    </w:p>
    <w:p>
      <w:pPr>
        <w:pStyle w:val="10"/>
        <w:ind w:firstLine="496"/>
        <w:rPr>
          <w:rFonts w:hint="eastAsia" w:ascii="宋体" w:hAnsi="宋体" w:eastAsia="宋体" w:cs="宋体"/>
          <w:b/>
          <w:bCs/>
          <w:spacing w:val="4"/>
          <w:sz w:val="24"/>
          <w:szCs w:val="24"/>
          <w:highlight w:val="none"/>
          <w:lang w:eastAsia="zh-CN"/>
          <w14:textFill>
            <w14:gradFill>
              <w14:gsLst>
                <w14:gs w14:pos="0">
                  <w14:srgbClr w14:val="E30000"/>
                </w14:gs>
                <w14:gs w14:pos="100000">
                  <w14:srgbClr w14:val="760303"/>
                </w14:gs>
              </w14:gsLst>
              <w14:lin w14:scaled="0"/>
            </w14:gradFill>
          </w14:textFill>
        </w:rPr>
      </w:pPr>
      <w:r>
        <w:rPr>
          <w:rFonts w:hint="eastAsia" w:ascii="宋体" w:hAnsi="宋体" w:cs="宋体"/>
          <w:b/>
          <w:bCs/>
          <w:spacing w:val="4"/>
          <w:sz w:val="24"/>
          <w:szCs w:val="24"/>
          <w:highlight w:val="none"/>
        </w:rPr>
        <w:t>3.本项目核心产品：</w:t>
      </w:r>
      <w:r>
        <w:rPr>
          <w:rFonts w:hint="eastAsia" w:ascii="宋体" w:hAnsi="宋体" w:eastAsia="宋体" w:cs="宋体"/>
          <w:b/>
          <w:bCs/>
          <w:kern w:val="0"/>
          <w:sz w:val="24"/>
          <w:szCs w:val="24"/>
          <w:highlight w:val="none"/>
          <w:lang w:val="en-US" w:eastAsia="zh-CN" w:bidi="ar-SA"/>
        </w:rPr>
        <w:t xml:space="preserve">物联网自动虫情信息采集设备 </w:t>
      </w:r>
    </w:p>
    <w:p>
      <w:pPr>
        <w:pStyle w:val="10"/>
        <w:ind w:firstLine="496"/>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4.本标的所属行业：制造业</w:t>
      </w:r>
    </w:p>
    <w:p>
      <w:pPr>
        <w:pStyle w:val="2"/>
        <w:spacing w:before="0" w:after="0" w:line="360" w:lineRule="auto"/>
        <w:jc w:val="both"/>
        <w:rPr>
          <w:rFonts w:hint="eastAsia" w:ascii="宋体" w:hAnsi="宋体" w:cs="宋体"/>
          <w:sz w:val="32"/>
          <w:szCs w:val="32"/>
        </w:rPr>
      </w:pPr>
    </w:p>
    <w:p>
      <w:pPr>
        <w:pStyle w:val="2"/>
        <w:spacing w:before="0" w:after="0" w:line="360" w:lineRule="auto"/>
        <w:ind w:firstLine="643" w:firstLineChars="200"/>
        <w:rPr>
          <w:rFonts w:hint="eastAsia" w:ascii="宋体" w:hAnsi="宋体" w:cs="宋体"/>
          <w:sz w:val="32"/>
          <w:szCs w:val="32"/>
        </w:rPr>
      </w:pPr>
    </w:p>
    <w:p>
      <w:pPr>
        <w:pStyle w:val="2"/>
        <w:spacing w:before="0" w:after="0" w:line="360" w:lineRule="auto"/>
        <w:ind w:firstLine="643" w:firstLineChars="200"/>
        <w:rPr>
          <w:rFonts w:hint="eastAsia" w:ascii="宋体" w:hAnsi="宋体" w:cs="宋体"/>
          <w:sz w:val="32"/>
          <w:szCs w:val="32"/>
        </w:rPr>
      </w:pPr>
    </w:p>
    <w:p>
      <w:pPr>
        <w:pStyle w:val="2"/>
        <w:spacing w:before="0" w:after="0" w:line="360" w:lineRule="auto"/>
        <w:ind w:firstLine="643" w:firstLineChars="200"/>
        <w:rPr>
          <w:rFonts w:hint="eastAsia" w:ascii="宋体" w:hAnsi="宋体" w:cs="宋体"/>
          <w:sz w:val="32"/>
          <w:szCs w:val="32"/>
        </w:rPr>
      </w:pPr>
    </w:p>
    <w:p>
      <w:pPr>
        <w:pStyle w:val="2"/>
        <w:spacing w:before="0" w:after="0" w:line="360" w:lineRule="auto"/>
        <w:jc w:val="both"/>
        <w:rPr>
          <w:rFonts w:hint="eastAsia" w:ascii="宋体" w:hAnsi="宋体" w:cs="宋体"/>
          <w:sz w:val="32"/>
          <w:szCs w:val="32"/>
        </w:rPr>
      </w:pPr>
    </w:p>
    <w:bookmarkEnd w:id="288"/>
    <w:p>
      <w:pPr>
        <w:pStyle w:val="2"/>
        <w:spacing w:before="0" w:after="0" w:line="360" w:lineRule="auto"/>
        <w:jc w:val="both"/>
        <w:rPr>
          <w:rFonts w:hint="eastAsia" w:ascii="宋体" w:hAnsi="宋体" w:cs="宋体"/>
          <w:sz w:val="32"/>
          <w:szCs w:val="32"/>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pStyle w:val="2"/>
        <w:spacing w:before="0" w:after="0" w:line="360" w:lineRule="auto"/>
        <w:jc w:val="center"/>
        <w:rPr>
          <w:rFonts w:hint="eastAsia" w:ascii="宋体" w:hAnsi="宋体" w:cs="宋体"/>
          <w:sz w:val="32"/>
          <w:szCs w:val="32"/>
        </w:rPr>
      </w:pPr>
    </w:p>
    <w:p>
      <w:pPr>
        <w:pStyle w:val="2"/>
        <w:spacing w:before="0" w:after="0" w:line="360" w:lineRule="auto"/>
        <w:jc w:val="center"/>
        <w:rPr>
          <w:rFonts w:hint="eastAsia" w:ascii="宋体" w:hAnsi="宋体" w:cs="宋体"/>
          <w:sz w:val="32"/>
          <w:szCs w:val="32"/>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numPr>
          <w:ilvl w:val="0"/>
          <w:numId w:val="10"/>
        </w:numPr>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质疑与投诉</w:t>
      </w:r>
    </w:p>
    <w:p>
      <w:pPr>
        <w:numPr>
          <w:ilvl w:val="0"/>
          <w:numId w:val="0"/>
        </w:numPr>
        <w:jc w:val="both"/>
        <w:rPr>
          <w:rFonts w:ascii="宋体" w:hAnsi="宋体" w:cs="宋体"/>
          <w:b/>
          <w:bCs/>
          <w:szCs w:val="21"/>
        </w:rPr>
      </w:pPr>
      <w:r>
        <w:rPr>
          <w:rFonts w:hint="eastAsia" w:ascii="宋体" w:hAnsi="宋体" w:cs="宋体"/>
          <w:b/>
          <w:bCs/>
          <w:szCs w:val="21"/>
        </w:rPr>
        <w:t>一、质疑与答复</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5"/>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25"/>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30"/>
          <w:rFonts w:hint="eastAsia" w:ascii="宋体" w:hAnsi="宋体" w:cs="宋体"/>
          <w:color w:val="auto"/>
          <w:szCs w:val="21"/>
        </w:rPr>
        <w:t>http://download.ccgp.gov.cn/2018/zhiyihanfanben.zip；</w:t>
      </w:r>
      <w:r>
        <w:rPr>
          <w:rStyle w:val="30"/>
          <w:rFonts w:hint="eastAsia" w:ascii="宋体" w:hAnsi="宋体" w:cs="宋体"/>
          <w:color w:val="auto"/>
          <w:szCs w:val="21"/>
        </w:rPr>
        <w:fldChar w:fldCharType="end"/>
      </w:r>
    </w:p>
    <w:p>
      <w:pPr>
        <w:numPr>
          <w:ilvl w:val="0"/>
          <w:numId w:val="11"/>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11"/>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11"/>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11"/>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11"/>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11"/>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11"/>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11"/>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11"/>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11"/>
        </w:numPr>
        <w:spacing w:line="360" w:lineRule="auto"/>
        <w:ind w:left="420" w:leftChars="200"/>
        <w:rPr>
          <w:rFonts w:ascii="宋体" w:hAnsi="宋体" w:cs="宋体"/>
          <w:szCs w:val="21"/>
        </w:rPr>
      </w:pPr>
      <w:r>
        <w:rPr>
          <w:rFonts w:hint="eastAsia" w:ascii="宋体" w:hAnsi="宋体" w:cs="宋体"/>
          <w:szCs w:val="21"/>
        </w:rPr>
        <w:t>以上资料一式二份（采购人、采购代理机构各执一份）。</w:t>
      </w:r>
    </w:p>
    <w:p>
      <w:pPr>
        <w:numPr>
          <w:ilvl w:val="0"/>
          <w:numId w:val="11"/>
        </w:numPr>
        <w:spacing w:line="360" w:lineRule="auto"/>
        <w:ind w:firstLine="420" w:firstLineChars="200"/>
        <w:rPr>
          <w:rFonts w:ascii="宋体" w:hAnsi="宋体" w:cs="宋体"/>
          <w:szCs w:val="21"/>
        </w:rPr>
      </w:pPr>
      <w:r>
        <w:rPr>
          <w:rFonts w:hint="eastAsia" w:ascii="宋体" w:hAnsi="宋体" w:cs="宋体"/>
          <w:szCs w:val="21"/>
        </w:rPr>
        <w:t>投标人不得虚假质疑和恶意质疑，并对质疑内容的真实性承担责任。</w:t>
      </w:r>
    </w:p>
    <w:p>
      <w:pPr>
        <w:spacing w:line="360" w:lineRule="auto"/>
        <w:rPr>
          <w:rFonts w:ascii="宋体" w:hAnsi="宋体" w:cs="宋体"/>
          <w:b/>
          <w:bCs/>
          <w:szCs w:val="21"/>
        </w:rPr>
      </w:pPr>
      <w:r>
        <w:rPr>
          <w:rFonts w:hint="eastAsia" w:ascii="宋体" w:hAnsi="宋体" w:cs="宋体"/>
          <w:b/>
          <w:bCs/>
          <w:szCs w:val="21"/>
        </w:rPr>
        <w:t>二、投诉与处理</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1、质疑供应商对采购人、采购代理机构的答复不满意，或者采购人、采购代理机构未在规定时间内作出答复的，可以在答复期满后15个工作日内向本办法第六条规定</w:t>
      </w:r>
      <w:r>
        <w:rPr>
          <w:rFonts w:hint="eastAsia" w:ascii="宋体" w:hAnsi="宋体" w:eastAsia="宋体" w:cs="宋体"/>
          <w:sz w:val="21"/>
          <w:szCs w:val="21"/>
          <w:lang w:val="en-US" w:eastAsia="zh-CN"/>
        </w:rPr>
        <w:t>向</w:t>
      </w:r>
      <w:r>
        <w:rPr>
          <w:rFonts w:hint="eastAsia" w:ascii="宋体" w:hAnsi="宋体" w:eastAsia="宋体" w:cs="宋体"/>
          <w:sz w:val="21"/>
          <w:szCs w:val="21"/>
        </w:rPr>
        <w:t>财政部门</w:t>
      </w:r>
      <w:r>
        <w:rPr>
          <w:rFonts w:ascii="宋体" w:hAnsi="宋体" w:eastAsia="宋体" w:cs="宋体"/>
          <w:sz w:val="21"/>
          <w:szCs w:val="21"/>
        </w:rPr>
        <w:t>提起投诉。</w:t>
      </w:r>
    </w:p>
    <w:p>
      <w:pPr>
        <w:spacing w:line="360" w:lineRule="auto"/>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w:t>
      </w:r>
      <w:r>
        <w:rPr>
          <w:rFonts w:hint="eastAsia" w:ascii="宋体" w:hAnsi="宋体" w:eastAsia="宋体" w:cs="宋体"/>
          <w:kern w:val="2"/>
          <w:sz w:val="21"/>
          <w:szCs w:val="21"/>
          <w:lang w:val="en-US" w:eastAsia="zh-CN" w:bidi="ar-SA"/>
        </w:rPr>
        <w:t>工作日内向财政部门提起投诉。</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4"/>
        <w:spacing w:line="360" w:lineRule="auto"/>
        <w:ind w:firstLine="640" w:firstLineChars="200"/>
        <w:rPr>
          <w:rFonts w:hint="default" w:ascii="宋体" w:hAnsi="宋体" w:eastAsia="宋体" w:cs="宋体"/>
          <w:sz w:val="21"/>
          <w:szCs w:val="21"/>
        </w:rPr>
      </w:pPr>
      <w:r>
        <w:fldChar w:fldCharType="begin"/>
      </w:r>
      <w:r>
        <w:instrText xml:space="preserve"> HYPERLINK "http://download.ccgp.gov.cn/2018/tousushufanben.zip" </w:instrText>
      </w:r>
      <w:r>
        <w:fldChar w:fldCharType="separate"/>
      </w:r>
      <w:r>
        <w:rPr>
          <w:rStyle w:val="30"/>
          <w:rFonts w:ascii="宋体" w:hAnsi="宋体" w:eastAsia="宋体" w:cs="宋体"/>
          <w:color w:val="auto"/>
          <w:sz w:val="21"/>
          <w:szCs w:val="21"/>
        </w:rPr>
        <w:t>http://download.ccgp.gov.cn/2018/tousushufanben.zip</w:t>
      </w:r>
      <w:r>
        <w:rPr>
          <w:rStyle w:val="30"/>
          <w:rFonts w:ascii="宋体" w:hAnsi="宋体" w:eastAsia="宋体" w:cs="宋体"/>
          <w:color w:val="auto"/>
          <w:sz w:val="21"/>
          <w:szCs w:val="21"/>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财政部门自收到投诉之日起30个工作日内，对投诉事项作出处理决定并公示。</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投诉人有财政部94号令第三十七条情形的，属于虚假、恶意投诉，由财政部门列入不良行为记录名单，禁止其1至3年内参加政府采购活动。</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投诉联系电话：0391-8683273  地址：博爱县机关综合办公楼主楼1213室 </w:t>
      </w:r>
    </w:p>
    <w:p>
      <w:pPr>
        <w:rPr>
          <w:rFonts w:ascii="宋体" w:hAnsi="宋体" w:cs="宋体"/>
          <w:szCs w:val="21"/>
        </w:rPr>
      </w:pPr>
    </w:p>
    <w:p>
      <w:pPr>
        <w:pStyle w:val="3"/>
        <w:rPr>
          <w:rFonts w:ascii="宋体" w:hAnsi="宋体" w:cs="宋体"/>
          <w:sz w:val="21"/>
          <w:szCs w:val="21"/>
        </w:rPr>
      </w:pPr>
    </w:p>
    <w:p>
      <w:pPr>
        <w:rPr>
          <w:rFonts w:ascii="宋体" w:hAnsi="宋体" w:cs="宋体"/>
          <w:szCs w:val="21"/>
        </w:rPr>
      </w:pPr>
    </w:p>
    <w:p>
      <w:pPr>
        <w:pStyle w:val="3"/>
        <w:rPr>
          <w:rFonts w:ascii="宋体" w:hAnsi="宋体" w:cs="宋体"/>
          <w:sz w:val="21"/>
          <w:szCs w:val="21"/>
        </w:rPr>
      </w:pPr>
    </w:p>
    <w:p>
      <w:pPr>
        <w:rPr>
          <w:rFonts w:ascii="宋体" w:hAnsi="宋体" w:cs="宋体"/>
          <w:szCs w:val="21"/>
        </w:rPr>
      </w:pPr>
    </w:p>
    <w:p>
      <w:pPr>
        <w:pStyle w:val="3"/>
        <w:rPr>
          <w:rFonts w:ascii="宋体" w:hAnsi="宋体" w:cs="宋体"/>
          <w:sz w:val="21"/>
          <w:szCs w:val="21"/>
        </w:rPr>
      </w:pPr>
    </w:p>
    <w:p>
      <w:pPr>
        <w:rPr>
          <w:rFonts w:ascii="宋体" w:hAnsi="宋体" w:cs="宋体"/>
        </w:rPr>
      </w:pPr>
    </w:p>
    <w:p>
      <w:pPr>
        <w:pStyle w:val="19"/>
        <w:rPr>
          <w:rFonts w:ascii="宋体" w:hAnsi="宋体" w:cs="宋体"/>
        </w:rPr>
      </w:pPr>
    </w:p>
    <w:p>
      <w:pPr>
        <w:pStyle w:val="10"/>
        <w:rPr>
          <w:rFonts w:ascii="宋体" w:hAnsi="宋体" w:cs="宋体"/>
        </w:rPr>
      </w:pPr>
    </w:p>
    <w:p>
      <w:pPr>
        <w:pStyle w:val="19"/>
        <w:rPr>
          <w:rFonts w:ascii="宋体" w:hAnsi="宋体" w:cs="宋体"/>
        </w:rPr>
      </w:pPr>
    </w:p>
    <w:p>
      <w:pPr>
        <w:pStyle w:val="10"/>
        <w:rPr>
          <w:rFonts w:ascii="宋体" w:hAnsi="宋体" w:cs="宋体"/>
        </w:rPr>
      </w:pPr>
    </w:p>
    <w:p>
      <w:pPr>
        <w:pStyle w:val="19"/>
        <w:rPr>
          <w:rFonts w:ascii="宋体" w:hAnsi="宋体" w:cs="宋体"/>
        </w:rPr>
      </w:pPr>
    </w:p>
    <w:p>
      <w:pPr>
        <w:pStyle w:val="10"/>
        <w:rPr>
          <w:rFonts w:ascii="宋体" w:hAnsi="宋体" w:cs="宋体"/>
        </w:rPr>
      </w:pPr>
    </w:p>
    <w:p>
      <w:pPr>
        <w:pStyle w:val="19"/>
        <w:rPr>
          <w:rFonts w:ascii="宋体" w:hAnsi="宋体" w:cs="宋体"/>
        </w:rPr>
      </w:pPr>
    </w:p>
    <w:p>
      <w:pPr>
        <w:jc w:val="center"/>
        <w:rPr>
          <w:rFonts w:ascii="宋体" w:hAnsi="宋体" w:cs="宋体"/>
          <w:b/>
          <w:bCs/>
          <w:sz w:val="32"/>
          <w:szCs w:val="32"/>
        </w:rPr>
      </w:pPr>
      <w:bookmarkStart w:id="292" w:name="_Toc8922"/>
      <w:r>
        <w:rPr>
          <w:rFonts w:hint="eastAsia" w:ascii="宋体" w:hAnsi="宋体" w:cs="宋体"/>
          <w:b/>
          <w:bCs/>
          <w:sz w:val="32"/>
          <w:szCs w:val="32"/>
        </w:rPr>
        <w:t>第七章 履约验收</w:t>
      </w:r>
      <w:bookmarkEnd w:id="292"/>
    </w:p>
    <w:p>
      <w:pPr>
        <w:pStyle w:val="24"/>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pPr>
        <w:pStyle w:val="24"/>
        <w:numPr>
          <w:ilvl w:val="0"/>
          <w:numId w:val="12"/>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4"/>
        <w:numPr>
          <w:ilvl w:val="0"/>
          <w:numId w:val="12"/>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4"/>
        <w:numPr>
          <w:ilvl w:val="0"/>
          <w:numId w:val="12"/>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4"/>
        <w:numPr>
          <w:ilvl w:val="0"/>
          <w:numId w:val="12"/>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0"/>
        <w:rPr>
          <w:rFonts w:ascii="宋体" w:hAnsi="宋体" w:cs="宋体"/>
          <w:szCs w:val="21"/>
        </w:rPr>
      </w:pPr>
    </w:p>
    <w:p>
      <w:pPr>
        <w:pStyle w:val="19"/>
        <w:rPr>
          <w:rFonts w:ascii="宋体" w:hAnsi="宋体" w:cs="宋体"/>
          <w:szCs w:val="21"/>
        </w:rPr>
      </w:pPr>
    </w:p>
    <w:p>
      <w:pPr>
        <w:pStyle w:val="10"/>
        <w:rPr>
          <w:rFonts w:ascii="宋体" w:hAnsi="宋体" w:cs="宋体"/>
          <w:szCs w:val="21"/>
        </w:rPr>
      </w:pPr>
    </w:p>
    <w:p>
      <w:pPr>
        <w:rPr>
          <w:rFonts w:hint="eastAsia" w:ascii="宋体" w:hAnsi="宋体" w:cs="宋体"/>
          <w:sz w:val="32"/>
          <w:szCs w:val="32"/>
        </w:rPr>
      </w:pPr>
      <w:bookmarkStart w:id="293" w:name="_Toc12999"/>
      <w:bookmarkStart w:id="294" w:name="_Toc23628"/>
      <w:bookmarkStart w:id="295" w:name="_Toc19054"/>
      <w:r>
        <w:rPr>
          <w:rFonts w:hint="eastAsia" w:ascii="宋体" w:hAnsi="宋体" w:cs="宋体"/>
          <w:sz w:val="32"/>
          <w:szCs w:val="32"/>
        </w:rPr>
        <w:br w:type="page"/>
      </w:r>
    </w:p>
    <w:p>
      <w:pPr>
        <w:jc w:val="center"/>
        <w:rPr>
          <w:rFonts w:ascii="宋体" w:hAnsi="宋体" w:cs="宋体"/>
          <w:sz w:val="32"/>
          <w:szCs w:val="32"/>
        </w:rPr>
      </w:pPr>
      <w:r>
        <w:rPr>
          <w:rFonts w:hint="eastAsia" w:ascii="宋体" w:hAnsi="宋体" w:cs="宋体"/>
          <w:sz w:val="32"/>
          <w:szCs w:val="32"/>
        </w:rPr>
        <w:t>第八章 投标文件格式</w:t>
      </w:r>
      <w:bookmarkEnd w:id="289"/>
      <w:bookmarkEnd w:id="290"/>
      <w:bookmarkEnd w:id="291"/>
      <w:bookmarkEnd w:id="293"/>
      <w:bookmarkEnd w:id="294"/>
      <w:bookmarkEnd w:id="295"/>
    </w:p>
    <w:p>
      <w:pPr>
        <w:rPr>
          <w:rFonts w:ascii="宋体" w:hAnsi="宋体" w:cs="宋体"/>
        </w:rPr>
      </w:pPr>
      <w:bookmarkStart w:id="296" w:name="_Toc27452"/>
      <w:bookmarkStart w:id="297" w:name="_Toc18905"/>
      <w:bookmarkStart w:id="298" w:name="_Toc403122573"/>
      <w:bookmarkStart w:id="299" w:name="_Toc402961301"/>
    </w:p>
    <w:bookmarkEnd w:id="296"/>
    <w:bookmarkEnd w:id="297"/>
    <w:bookmarkEnd w:id="298"/>
    <w:bookmarkEnd w:id="299"/>
    <w:p>
      <w:pPr>
        <w:ind w:firstLine="2891" w:firstLineChars="800"/>
        <w:rPr>
          <w:rFonts w:ascii="宋体" w:hAnsi="宋体" w:cs="宋体"/>
          <w:b/>
          <w:sz w:val="36"/>
          <w:szCs w:val="36"/>
        </w:rPr>
      </w:pPr>
    </w:p>
    <w:p>
      <w:pPr>
        <w:jc w:val="center"/>
        <w:rPr>
          <w:rFonts w:ascii="宋体" w:hAnsi="宋体" w:cs="宋体"/>
        </w:rPr>
      </w:pPr>
      <w:r>
        <w:rPr>
          <w:rFonts w:hint="eastAsia" w:ascii="宋体" w:hAnsi="宋体" w:cs="宋体"/>
          <w:b/>
          <w:sz w:val="36"/>
          <w:szCs w:val="36"/>
        </w:rPr>
        <w:t>（项目名称）</w:t>
      </w:r>
    </w:p>
    <w:p>
      <w:pPr>
        <w:spacing w:line="360" w:lineRule="auto"/>
        <w:jc w:val="center"/>
        <w:rPr>
          <w:rFonts w:ascii="宋体" w:hAnsi="宋体" w:cs="宋体"/>
          <w:b/>
          <w:sz w:val="32"/>
          <w:szCs w:val="32"/>
        </w:rPr>
      </w:pPr>
    </w:p>
    <w:p>
      <w:pPr>
        <w:pStyle w:val="25"/>
        <w:rPr>
          <w:rFonts w:ascii="宋体" w:hAnsi="宋体" w:cs="宋体"/>
        </w:rPr>
      </w:pPr>
    </w:p>
    <w:p>
      <w:pPr>
        <w:pStyle w:val="25"/>
        <w:rPr>
          <w:rFonts w:ascii="宋体" w:hAnsi="宋体" w:cs="宋体"/>
        </w:rPr>
      </w:pPr>
    </w:p>
    <w:p>
      <w:pPr>
        <w:pStyle w:val="25"/>
        <w:rPr>
          <w:rFonts w:ascii="宋体" w:hAnsi="宋体" w:cs="宋体"/>
        </w:rPr>
      </w:pPr>
    </w:p>
    <w:p>
      <w:pPr>
        <w:spacing w:line="360" w:lineRule="auto"/>
        <w:jc w:val="center"/>
        <w:rPr>
          <w:rFonts w:ascii="宋体" w:hAnsi="宋体" w:cs="宋体"/>
          <w:b/>
          <w:spacing w:val="24"/>
          <w:kern w:val="10"/>
          <w:sz w:val="52"/>
          <w:szCs w:val="52"/>
        </w:rPr>
      </w:pPr>
      <w:r>
        <w:rPr>
          <w:rFonts w:hint="eastAsia" w:ascii="宋体" w:hAnsi="宋体" w:cs="宋体"/>
          <w:b/>
          <w:spacing w:val="24"/>
          <w:kern w:val="10"/>
          <w:sz w:val="52"/>
          <w:szCs w:val="52"/>
        </w:rPr>
        <w:t>投  标  文  件</w:t>
      </w:r>
    </w:p>
    <w:p>
      <w:pPr>
        <w:jc w:val="center"/>
        <w:rPr>
          <w:rFonts w:ascii="宋体" w:hAnsi="宋体" w:cs="宋体"/>
          <w:sz w:val="24"/>
        </w:rPr>
      </w:pPr>
    </w:p>
    <w:p>
      <w:pPr>
        <w:pStyle w:val="7"/>
        <w:rPr>
          <w:rFonts w:ascii="宋体" w:hAnsi="宋体" w:cs="宋体"/>
        </w:rPr>
      </w:pPr>
      <w:r>
        <w:rPr>
          <w:rFonts w:hint="eastAsia" w:ascii="宋体" w:hAnsi="宋体" w:cs="宋体"/>
        </w:rPr>
        <w:t xml:space="preserve"> </w:t>
      </w:r>
    </w:p>
    <w:p>
      <w:pPr>
        <w:jc w:val="center"/>
        <w:rPr>
          <w:rFonts w:ascii="宋体" w:hAnsi="宋体" w:cs="宋体"/>
          <w:sz w:val="24"/>
        </w:rPr>
      </w:pPr>
      <w:r>
        <w:rPr>
          <w:rFonts w:hint="eastAsia" w:ascii="宋体" w:hAnsi="宋体" w:cs="宋体"/>
          <w:sz w:val="24"/>
        </w:rPr>
        <w:t>（封面）</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b/>
          <w:sz w:val="24"/>
        </w:rPr>
      </w:pPr>
    </w:p>
    <w:p>
      <w:pPr>
        <w:pStyle w:val="13"/>
        <w:spacing w:line="600" w:lineRule="exact"/>
        <w:ind w:left="1050" w:leftChars="500" w:firstLine="1152" w:firstLineChars="450"/>
        <w:rPr>
          <w:rFonts w:hint="default" w:hAnsi="宋体" w:cs="宋体"/>
          <w:sz w:val="24"/>
        </w:rPr>
      </w:pPr>
      <w:r>
        <w:rPr>
          <w:rFonts w:hAnsi="宋体" w:cs="宋体"/>
          <w:spacing w:val="8"/>
          <w:sz w:val="24"/>
        </w:rPr>
        <w:t>供  应  商：</w:t>
      </w:r>
      <w:r>
        <w:rPr>
          <w:rFonts w:hAnsi="宋体" w:cs="宋体"/>
          <w:sz w:val="24"/>
        </w:rPr>
        <w:t>（企业电子签章）</w:t>
      </w:r>
    </w:p>
    <w:p>
      <w:pPr>
        <w:pStyle w:val="13"/>
        <w:spacing w:line="600" w:lineRule="exact"/>
        <w:ind w:left="1050" w:leftChars="500" w:firstLine="1200" w:firstLineChars="500"/>
        <w:rPr>
          <w:rFonts w:hint="default" w:hAnsi="宋体" w:cs="宋体"/>
          <w:sz w:val="24"/>
        </w:rPr>
      </w:pPr>
      <w:r>
        <w:rPr>
          <w:rFonts w:hAnsi="宋体" w:cs="宋体"/>
          <w:sz w:val="24"/>
        </w:rPr>
        <w:t>法定代表人或</w:t>
      </w:r>
      <w:r>
        <w:rPr>
          <w:rFonts w:hAnsi="宋体" w:cs="宋体"/>
          <w:spacing w:val="12"/>
          <w:sz w:val="24"/>
        </w:rPr>
        <w:t>委托代理人：</w:t>
      </w:r>
      <w:r>
        <w:rPr>
          <w:rFonts w:hAnsi="宋体" w:cs="宋体"/>
          <w:sz w:val="24"/>
        </w:rPr>
        <w:t xml:space="preserve">（签字或盖章）  </w:t>
      </w:r>
    </w:p>
    <w:p>
      <w:pPr>
        <w:pStyle w:val="13"/>
        <w:spacing w:line="600" w:lineRule="exact"/>
        <w:ind w:left="1050" w:leftChars="500" w:firstLine="1200" w:firstLineChars="500"/>
        <w:rPr>
          <w:rFonts w:hint="default" w:hAnsi="宋体" w:cs="宋体"/>
          <w:b/>
          <w:bCs/>
          <w:sz w:val="28"/>
          <w:szCs w:val="28"/>
        </w:rPr>
      </w:pPr>
      <w:r>
        <w:rPr>
          <w:rFonts w:hAnsi="宋体" w:cs="宋体"/>
          <w:sz w:val="24"/>
        </w:rPr>
        <w:t>日       期：       年    月    日</w:t>
      </w:r>
    </w:p>
    <w:p>
      <w:pPr>
        <w:ind w:firstLine="540" w:firstLineChars="192"/>
        <w:jc w:val="center"/>
        <w:rPr>
          <w:rFonts w:ascii="宋体" w:hAnsi="宋体" w:cs="宋体"/>
          <w:b/>
          <w:bCs/>
          <w:sz w:val="28"/>
          <w:szCs w:val="28"/>
        </w:rPr>
      </w:pPr>
    </w:p>
    <w:p>
      <w:pPr>
        <w:ind w:firstLine="848" w:firstLineChars="192"/>
        <w:jc w:val="center"/>
        <w:rPr>
          <w:rFonts w:ascii="宋体" w:hAnsi="宋体" w:cs="宋体"/>
          <w:b/>
          <w:bCs/>
          <w:sz w:val="44"/>
          <w:szCs w:val="44"/>
        </w:rPr>
      </w:pPr>
    </w:p>
    <w:p>
      <w:pPr>
        <w:pStyle w:val="24"/>
        <w:ind w:firstLine="320"/>
        <w:rPr>
          <w:rFonts w:hint="default"/>
        </w:rPr>
      </w:pPr>
    </w:p>
    <w:p>
      <w:pPr>
        <w:pStyle w:val="25"/>
        <w:ind w:firstLine="883"/>
        <w:rPr>
          <w:rFonts w:ascii="宋体" w:hAnsi="宋体" w:cs="宋体"/>
          <w:b/>
          <w:bCs/>
          <w:sz w:val="44"/>
          <w:szCs w:val="44"/>
        </w:rPr>
      </w:pPr>
    </w:p>
    <w:p>
      <w:pPr>
        <w:jc w:val="center"/>
        <w:rPr>
          <w:rFonts w:ascii="宋体" w:hAnsi="宋体" w:cs="宋体"/>
          <w:sz w:val="24"/>
        </w:rPr>
      </w:pPr>
      <w:r>
        <w:rPr>
          <w:rFonts w:hint="eastAsia" w:ascii="宋体" w:hAnsi="宋体" w:cs="宋体"/>
          <w:b/>
          <w:bCs/>
          <w:sz w:val="44"/>
          <w:szCs w:val="44"/>
        </w:rPr>
        <w:t>目 录</w:t>
      </w:r>
    </w:p>
    <w:p>
      <w:pPr>
        <w:widowControl/>
        <w:spacing w:line="360" w:lineRule="auto"/>
        <w:jc w:val="center"/>
        <w:rPr>
          <w:rFonts w:ascii="宋体" w:hAnsi="宋体" w:cs="宋体"/>
          <w:b/>
          <w:bCs/>
          <w:kern w:val="0"/>
          <w:sz w:val="28"/>
          <w:szCs w:val="28"/>
        </w:rPr>
      </w:pPr>
      <w:bookmarkStart w:id="300" w:name="_Toc31547"/>
      <w:bookmarkStart w:id="301" w:name="_Toc1213"/>
      <w:bookmarkStart w:id="302" w:name="_Toc2130"/>
      <w:bookmarkStart w:id="303" w:name="_Toc19099"/>
      <w:r>
        <w:rPr>
          <w:rFonts w:hint="eastAsia" w:ascii="宋体" w:hAnsi="宋体" w:cs="宋体"/>
          <w:szCs w:val="21"/>
        </w:rPr>
        <w:t>（自拟）</w:t>
      </w:r>
      <w:r>
        <w:rPr>
          <w:rFonts w:hint="eastAsia" w:ascii="宋体" w:hAnsi="宋体" w:cs="宋体"/>
          <w:szCs w:val="21"/>
        </w:rPr>
        <w:br w:type="page"/>
      </w:r>
      <w:bookmarkStart w:id="304" w:name="_Toc1921"/>
      <w:r>
        <w:rPr>
          <w:rFonts w:hint="eastAsia" w:ascii="宋体" w:hAnsi="宋体" w:cs="宋体"/>
          <w:b/>
          <w:bCs/>
          <w:kern w:val="0"/>
          <w:sz w:val="28"/>
          <w:szCs w:val="28"/>
        </w:rPr>
        <w:t>一、投标函</w:t>
      </w:r>
      <w:bookmarkEnd w:id="300"/>
      <w:r>
        <w:rPr>
          <w:rFonts w:hint="eastAsia" w:ascii="宋体" w:hAnsi="宋体" w:cs="宋体"/>
          <w:b/>
          <w:bCs/>
          <w:kern w:val="0"/>
          <w:sz w:val="28"/>
          <w:szCs w:val="28"/>
        </w:rPr>
        <w:t>及开标一览表</w:t>
      </w:r>
      <w:bookmarkEnd w:id="301"/>
      <w:bookmarkEnd w:id="302"/>
      <w:bookmarkEnd w:id="303"/>
      <w:bookmarkEnd w:id="304"/>
    </w:p>
    <w:p>
      <w:pPr>
        <w:widowControl/>
        <w:spacing w:line="360" w:lineRule="auto"/>
        <w:jc w:val="center"/>
        <w:rPr>
          <w:rFonts w:ascii="宋体" w:hAnsi="宋体" w:cs="宋体"/>
          <w:b/>
          <w:bCs/>
          <w:kern w:val="0"/>
          <w:sz w:val="28"/>
          <w:szCs w:val="28"/>
        </w:rPr>
      </w:pPr>
      <w:bookmarkStart w:id="305" w:name="_Toc12044"/>
      <w:bookmarkStart w:id="306" w:name="_Toc27218"/>
      <w:bookmarkStart w:id="307" w:name="_Toc2605"/>
      <w:bookmarkStart w:id="308" w:name="_Toc70"/>
      <w:bookmarkStart w:id="309" w:name="_Toc28684"/>
      <w:bookmarkStart w:id="310" w:name="_Toc600"/>
      <w:r>
        <w:rPr>
          <w:rFonts w:hint="eastAsia" w:ascii="宋体" w:hAnsi="宋体" w:cs="宋体"/>
          <w:b/>
          <w:bCs/>
          <w:kern w:val="0"/>
          <w:sz w:val="28"/>
          <w:szCs w:val="28"/>
        </w:rPr>
        <w:t>（一）投标函</w:t>
      </w:r>
      <w:bookmarkEnd w:id="305"/>
      <w:bookmarkEnd w:id="306"/>
      <w:bookmarkEnd w:id="307"/>
      <w:bookmarkEnd w:id="308"/>
      <w:bookmarkEnd w:id="309"/>
      <w:bookmarkEnd w:id="310"/>
    </w:p>
    <w:p>
      <w:pPr>
        <w:widowControl/>
        <w:spacing w:line="360" w:lineRule="auto"/>
        <w:rPr>
          <w:rFonts w:ascii="宋体" w:hAnsi="宋体" w:cs="宋体"/>
          <w:b/>
          <w:bCs/>
          <w:kern w:val="0"/>
          <w:sz w:val="28"/>
          <w:szCs w:val="28"/>
          <w:u w:val="single"/>
        </w:rPr>
      </w:pPr>
      <w:r>
        <w:rPr>
          <w:rFonts w:hint="eastAsia" w:ascii="宋体" w:hAnsi="宋体" w:cs="宋体"/>
          <w:b/>
          <w:bCs/>
          <w:kern w:val="0"/>
          <w:sz w:val="28"/>
          <w:szCs w:val="28"/>
        </w:rPr>
        <w:t>致：</w:t>
      </w:r>
      <w:r>
        <w:rPr>
          <w:rFonts w:hint="eastAsia" w:ascii="宋体" w:hAnsi="宋体" w:cs="宋体"/>
          <w:b/>
          <w:bCs/>
          <w:kern w:val="0"/>
          <w:sz w:val="28"/>
          <w:szCs w:val="28"/>
          <w:u w:val="single"/>
        </w:rPr>
        <w:t>（采购人名称）</w:t>
      </w:r>
    </w:p>
    <w:p>
      <w:pPr>
        <w:pStyle w:val="24"/>
        <w:spacing w:line="360" w:lineRule="auto"/>
        <w:ind w:firstLine="480" w:firstLineChars="200"/>
        <w:rPr>
          <w:rFonts w:hint="default" w:ascii="宋体" w:hAnsi="宋体" w:eastAsia="宋体" w:cs="宋体"/>
          <w:sz w:val="24"/>
        </w:rPr>
      </w:pPr>
      <w:r>
        <w:rPr>
          <w:rFonts w:ascii="宋体" w:hAnsi="宋体" w:eastAsia="宋体" w:cs="宋体"/>
          <w:sz w:val="24"/>
        </w:rPr>
        <w:t>我单位已收到的</w:t>
      </w:r>
      <w:r>
        <w:rPr>
          <w:rFonts w:ascii="宋体" w:hAnsi="宋体" w:eastAsia="宋体" w:cs="宋体"/>
          <w:sz w:val="24"/>
          <w:u w:val="single"/>
        </w:rPr>
        <w:t xml:space="preserve">            </w:t>
      </w:r>
      <w:r>
        <w:rPr>
          <w:rFonts w:ascii="宋体" w:hAnsi="宋体" w:eastAsia="宋体" w:cs="宋体"/>
          <w:sz w:val="24"/>
        </w:rPr>
        <w:t>项目采购文件及有关纪要通知，现对参与投标及中标后工作，做出如下郑重承诺：</w:t>
      </w:r>
    </w:p>
    <w:p>
      <w:pPr>
        <w:spacing w:line="360" w:lineRule="auto"/>
        <w:ind w:firstLine="480" w:firstLineChars="200"/>
        <w:rPr>
          <w:rFonts w:ascii="宋体" w:hAnsi="宋体" w:cs="宋体"/>
          <w:sz w:val="24"/>
        </w:rPr>
      </w:pPr>
      <w:r>
        <w:rPr>
          <w:rFonts w:hint="eastAsia" w:ascii="宋体" w:hAnsi="宋体" w:cs="宋体"/>
          <w:sz w:val="24"/>
        </w:rPr>
        <w:t>1、我方愿以总价为人民币（大写）</w:t>
      </w:r>
      <w:r>
        <w:rPr>
          <w:rFonts w:hint="eastAsia" w:ascii="宋体" w:hAnsi="宋体" w:cs="宋体"/>
          <w:sz w:val="24"/>
          <w:u w:val="single"/>
        </w:rPr>
        <w:t xml:space="preserve">             </w:t>
      </w:r>
      <w:r>
        <w:rPr>
          <w:rFonts w:hint="eastAsia" w:ascii="宋体" w:hAnsi="宋体" w:cs="宋体"/>
          <w:sz w:val="24"/>
        </w:rPr>
        <w:t xml:space="preserve">（小写）￥ </w:t>
      </w:r>
      <w:r>
        <w:rPr>
          <w:rFonts w:hint="eastAsia" w:ascii="宋体" w:hAnsi="宋体" w:cs="宋体"/>
          <w:sz w:val="24"/>
          <w:u w:val="single"/>
        </w:rPr>
        <w:t xml:space="preserve">           </w:t>
      </w:r>
      <w:r>
        <w:rPr>
          <w:rFonts w:hint="eastAsia" w:ascii="宋体" w:hAnsi="宋体" w:cs="宋体"/>
          <w:sz w:val="24"/>
        </w:rPr>
        <w:t>元，合同履行期限（</w:t>
      </w:r>
      <w:r>
        <w:rPr>
          <w:rFonts w:hint="eastAsia" w:ascii="宋体" w:hAnsi="宋体" w:cs="宋体"/>
          <w:sz w:val="24"/>
          <w:lang w:eastAsia="zh-CN"/>
        </w:rPr>
        <w:t>供货安装期</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 xml:space="preserve">，按合同约定实施和完成本项目。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宋体" w:hAnsi="宋体" w:cs="宋体"/>
          <w:sz w:val="24"/>
        </w:rPr>
        <w:t>投标有效期</w:t>
      </w:r>
      <w:r>
        <w:rPr>
          <w:rFonts w:hint="eastAsia" w:ascii="宋体" w:hAnsi="宋体" w:cs="宋体"/>
          <w:sz w:val="24"/>
        </w:rPr>
        <w:fldChar w:fldCharType="end"/>
      </w:r>
      <w:r>
        <w:rPr>
          <w:rFonts w:hint="eastAsia" w:ascii="宋体" w:hAnsi="宋体" w:cs="宋体"/>
          <w:sz w:val="24"/>
        </w:rPr>
        <w:t>内，我单位不得要求退出竞标或者修改响应性文件。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rFonts w:ascii="宋体" w:hAnsi="宋体" w:cs="宋体"/>
        </w:rPr>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供应商：（</w:t>
      </w:r>
      <w:r>
        <w:rPr>
          <w:rFonts w:hint="eastAsia" w:ascii="宋体" w:hAnsi="宋体" w:cs="宋体"/>
          <w:sz w:val="24"/>
        </w:rPr>
        <w:t>企业电子签章</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法定代表人或授权委托代理人：（签字或盖章）</w:t>
      </w:r>
    </w:p>
    <w:p>
      <w:pPr>
        <w:widowControl/>
        <w:spacing w:line="360" w:lineRule="auto"/>
        <w:ind w:firstLine="480" w:firstLineChars="200"/>
        <w:rPr>
          <w:rFonts w:ascii="宋体" w:hAnsi="宋体" w:cs="宋体"/>
          <w:b/>
          <w:bCs/>
          <w:kern w:val="0"/>
          <w:sz w:val="32"/>
          <w:szCs w:val="32"/>
        </w:rPr>
      </w:pPr>
      <w:r>
        <w:rPr>
          <w:rFonts w:hint="eastAsia" w:ascii="宋体" w:hAnsi="宋体" w:cs="宋体"/>
          <w:kern w:val="0"/>
          <w:sz w:val="24"/>
        </w:rPr>
        <w:t>年      月      日</w:t>
      </w:r>
    </w:p>
    <w:p>
      <w:pPr>
        <w:spacing w:line="500" w:lineRule="exact"/>
        <w:jc w:val="center"/>
        <w:outlineLvl w:val="2"/>
        <w:rPr>
          <w:rFonts w:ascii="宋体" w:hAnsi="宋体" w:cs="宋体"/>
          <w:b/>
          <w:bCs/>
          <w:sz w:val="28"/>
          <w:szCs w:val="28"/>
        </w:rPr>
      </w:pPr>
      <w:r>
        <w:rPr>
          <w:rFonts w:hint="eastAsia" w:ascii="宋体" w:hAnsi="宋体" w:cs="宋体"/>
          <w:b/>
          <w:bCs/>
          <w:sz w:val="28"/>
          <w:szCs w:val="28"/>
        </w:rPr>
        <w:br w:type="page"/>
      </w:r>
      <w:bookmarkStart w:id="311" w:name="_Toc208"/>
      <w:bookmarkStart w:id="312" w:name="_Toc20165"/>
      <w:bookmarkStart w:id="313" w:name="_Toc9543"/>
      <w:bookmarkStart w:id="314" w:name="_Toc14778"/>
      <w:bookmarkStart w:id="315" w:name="_Toc31291"/>
      <w:bookmarkStart w:id="316" w:name="_Toc11230"/>
      <w:r>
        <w:rPr>
          <w:rFonts w:hint="eastAsia" w:ascii="宋体" w:hAnsi="宋体" w:cs="宋体"/>
          <w:b/>
          <w:bCs/>
          <w:sz w:val="28"/>
          <w:szCs w:val="28"/>
        </w:rPr>
        <w:t>（二） 开标一览表</w:t>
      </w:r>
      <w:bookmarkEnd w:id="311"/>
      <w:bookmarkEnd w:id="312"/>
      <w:bookmarkEnd w:id="313"/>
      <w:bookmarkEnd w:id="314"/>
      <w:bookmarkEnd w:id="315"/>
      <w:bookmarkEnd w:id="316"/>
    </w:p>
    <w:p>
      <w:pPr>
        <w:jc w:val="center"/>
        <w:rPr>
          <w:rFonts w:ascii="宋体" w:hAnsi="宋体" w:cs="宋体"/>
          <w:b/>
          <w:bCs/>
          <w:sz w:val="28"/>
        </w:rPr>
      </w:pPr>
    </w:p>
    <w:tbl>
      <w:tblPr>
        <w:tblStyle w:val="2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项目名称</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投 标 人</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投标总报价</w:t>
            </w:r>
          </w:p>
        </w:tc>
        <w:tc>
          <w:tcPr>
            <w:tcW w:w="6100" w:type="dxa"/>
            <w:vAlign w:val="center"/>
          </w:tcPr>
          <w:p>
            <w:pPr>
              <w:pStyle w:val="11"/>
              <w:spacing w:line="400" w:lineRule="exact"/>
              <w:ind w:firstLine="0" w:firstLineChars="0"/>
              <w:rPr>
                <w:rFonts w:ascii="宋体" w:hAnsi="宋体" w:cs="宋体"/>
                <w:sz w:val="24"/>
                <w:szCs w:val="20"/>
              </w:rPr>
            </w:pPr>
            <w:r>
              <w:rPr>
                <w:rFonts w:hint="eastAsia" w:ascii="宋体" w:hAnsi="宋体" w:cs="宋体"/>
                <w:sz w:val="24"/>
                <w:szCs w:val="20"/>
              </w:rPr>
              <w:t xml:space="preserve">（大写）                                </w:t>
            </w:r>
          </w:p>
          <w:p>
            <w:pPr>
              <w:pStyle w:val="11"/>
              <w:spacing w:line="400" w:lineRule="exact"/>
              <w:ind w:firstLine="0" w:firstLineChars="0"/>
              <w:rPr>
                <w:rFonts w:ascii="宋体" w:hAnsi="宋体" w:cs="宋体"/>
                <w:sz w:val="24"/>
                <w:szCs w:val="20"/>
              </w:rPr>
            </w:pPr>
            <w:r>
              <w:rPr>
                <w:rFonts w:hint="eastAsia" w:ascii="宋体" w:hAnsi="宋体" w:cs="宋体"/>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质量要求</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合同履行期限</w:t>
            </w:r>
          </w:p>
          <w:p>
            <w:pPr>
              <w:spacing w:line="300" w:lineRule="exact"/>
              <w:jc w:val="center"/>
              <w:rPr>
                <w:rFonts w:ascii="宋体" w:hAnsi="宋体" w:cs="宋体"/>
                <w:sz w:val="24"/>
              </w:rPr>
            </w:pPr>
            <w:r>
              <w:rPr>
                <w:rFonts w:hint="eastAsia" w:ascii="宋体" w:hAnsi="宋体" w:cs="宋体"/>
                <w:sz w:val="24"/>
              </w:rPr>
              <w:t>（</w:t>
            </w:r>
            <w:r>
              <w:rPr>
                <w:rFonts w:hint="eastAsia" w:ascii="宋体" w:hAnsi="宋体" w:cs="宋体"/>
                <w:sz w:val="24"/>
                <w:lang w:eastAsia="zh-CN"/>
              </w:rPr>
              <w:t>供货安装期</w:t>
            </w:r>
            <w:r>
              <w:rPr>
                <w:rFonts w:hint="eastAsia" w:ascii="宋体" w:hAnsi="宋体" w:cs="宋体"/>
                <w:sz w:val="24"/>
              </w:rPr>
              <w:t>）</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699" w:type="dxa"/>
            <w:vAlign w:val="center"/>
          </w:tcPr>
          <w:p>
            <w:pPr>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质保期</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699" w:type="dxa"/>
            <w:vAlign w:val="center"/>
          </w:tcPr>
          <w:p>
            <w:pPr>
              <w:spacing w:line="300" w:lineRule="exact"/>
              <w:jc w:val="center"/>
              <w:rPr>
                <w:rFonts w:ascii="宋体" w:hAnsi="宋体" w:cs="宋体"/>
                <w:bCs/>
                <w:iCs/>
                <w:sz w:val="24"/>
              </w:rPr>
            </w:pPr>
            <w:r>
              <w:rPr>
                <w:rFonts w:hint="eastAsia" w:ascii="宋体" w:hAnsi="宋体" w:cs="宋体"/>
                <w:bCs/>
                <w:iCs/>
                <w:sz w:val="24"/>
              </w:rPr>
              <w:t>投标有效期</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699" w:type="dxa"/>
            <w:vAlign w:val="center"/>
          </w:tcPr>
          <w:p>
            <w:pPr>
              <w:pStyle w:val="11"/>
              <w:spacing w:line="400" w:lineRule="exact"/>
              <w:ind w:firstLine="0" w:firstLineChars="0"/>
              <w:jc w:val="center"/>
              <w:rPr>
                <w:rFonts w:ascii="宋体" w:hAnsi="宋体" w:cs="宋体"/>
                <w:bCs/>
                <w:iCs/>
                <w:sz w:val="24"/>
              </w:rPr>
            </w:pPr>
            <w:r>
              <w:rPr>
                <w:rFonts w:hint="eastAsia" w:ascii="宋体" w:hAnsi="宋体" w:cs="宋体"/>
                <w:sz w:val="24"/>
                <w:szCs w:val="20"/>
              </w:rPr>
              <w:t>备注</w:t>
            </w:r>
          </w:p>
        </w:tc>
        <w:tc>
          <w:tcPr>
            <w:tcW w:w="6100" w:type="dxa"/>
            <w:vAlign w:val="center"/>
          </w:tcPr>
          <w:p>
            <w:pPr>
              <w:pStyle w:val="11"/>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99" w:type="dxa"/>
            <w:gridSpan w:val="2"/>
            <w:vAlign w:val="center"/>
          </w:tcPr>
          <w:p>
            <w:pPr>
              <w:pStyle w:val="11"/>
              <w:spacing w:line="400" w:lineRule="exact"/>
              <w:ind w:firstLine="480"/>
              <w:rPr>
                <w:rFonts w:ascii="宋体" w:hAnsi="宋体" w:cs="宋体"/>
                <w:sz w:val="24"/>
                <w:szCs w:val="20"/>
              </w:rPr>
            </w:pPr>
          </w:p>
        </w:tc>
      </w:tr>
    </w:tbl>
    <w:p>
      <w:pPr>
        <w:rPr>
          <w:rFonts w:ascii="宋体" w:hAnsi="宋体" w:cs="宋体"/>
          <w:sz w:val="24"/>
        </w:rPr>
      </w:pPr>
    </w:p>
    <w:p>
      <w:pPr>
        <w:ind w:firstLine="3240" w:firstLineChars="1350"/>
        <w:rPr>
          <w:rFonts w:ascii="宋体" w:hAnsi="宋体" w:cs="宋体"/>
          <w:sz w:val="24"/>
        </w:rPr>
      </w:pPr>
    </w:p>
    <w:p>
      <w:pPr>
        <w:rPr>
          <w:rFonts w:ascii="宋体" w:hAnsi="宋体" w:cs="宋体"/>
          <w:sz w:val="24"/>
        </w:rPr>
      </w:pPr>
      <w:r>
        <w:rPr>
          <w:rFonts w:hint="eastAsia" w:ascii="宋体" w:hAnsi="宋体" w:cs="宋体"/>
          <w:sz w:val="24"/>
        </w:rPr>
        <w:t>供应商：（企业电子签章）</w:t>
      </w:r>
    </w:p>
    <w:p>
      <w:pPr>
        <w:ind w:left="1050" w:leftChars="500"/>
        <w:jc w:val="center"/>
        <w:rPr>
          <w:rFonts w:ascii="宋体" w:hAnsi="宋体" w:cs="宋体"/>
          <w:sz w:val="24"/>
        </w:rPr>
      </w:pPr>
    </w:p>
    <w:p>
      <w:pPr>
        <w:rPr>
          <w:rFonts w:ascii="宋体" w:hAnsi="宋体" w:cs="宋体"/>
          <w:sz w:val="24"/>
        </w:rPr>
      </w:pPr>
      <w:r>
        <w:rPr>
          <w:rFonts w:hint="eastAsia" w:ascii="宋体" w:hAnsi="宋体" w:cs="宋体"/>
          <w:sz w:val="24"/>
        </w:rPr>
        <w:t>法定代表人</w:t>
      </w:r>
      <w:r>
        <w:rPr>
          <w:rFonts w:hint="eastAsia" w:ascii="宋体" w:hAnsi="宋体" w:cs="宋体"/>
          <w:sz w:val="24"/>
          <w:szCs w:val="20"/>
        </w:rPr>
        <w:t>或其委托代理人</w:t>
      </w:r>
      <w:r>
        <w:rPr>
          <w:rFonts w:hint="eastAsia" w:ascii="宋体" w:hAnsi="宋体" w:cs="宋体"/>
          <w:sz w:val="24"/>
        </w:rPr>
        <w:t>：（签字或盖章）</w:t>
      </w:r>
    </w:p>
    <w:p>
      <w:pPr>
        <w:ind w:left="1050" w:leftChars="500"/>
        <w:jc w:val="center"/>
        <w:rPr>
          <w:rFonts w:ascii="宋体" w:hAnsi="宋体" w:cs="宋体"/>
          <w:sz w:val="24"/>
        </w:rPr>
      </w:pPr>
    </w:p>
    <w:p>
      <w:pPr>
        <w:rPr>
          <w:rFonts w:ascii="宋体" w:hAnsi="宋体" w:cs="宋体"/>
          <w:sz w:val="24"/>
        </w:rPr>
      </w:pPr>
      <w:r>
        <w:rPr>
          <w:rFonts w:hint="eastAsia" w:ascii="宋体" w:hAnsi="宋体" w:cs="宋体"/>
          <w:sz w:val="24"/>
        </w:rPr>
        <w:t>日  期：     年   月   日</w:t>
      </w:r>
    </w:p>
    <w:p>
      <w:pPr>
        <w:rPr>
          <w:rFonts w:ascii="宋体" w:hAnsi="宋体" w:cs="宋体"/>
        </w:rPr>
      </w:pPr>
    </w:p>
    <w:p>
      <w:pPr>
        <w:rPr>
          <w:rFonts w:ascii="宋体" w:hAnsi="宋体" w:cs="宋体"/>
          <w:b/>
          <w:sz w:val="30"/>
          <w:szCs w:val="30"/>
        </w:rPr>
      </w:pPr>
      <w:r>
        <w:rPr>
          <w:rFonts w:hint="eastAsia" w:ascii="宋体" w:hAnsi="宋体" w:cs="宋体"/>
          <w:b/>
          <w:sz w:val="30"/>
          <w:szCs w:val="30"/>
        </w:rPr>
        <w:br w:type="page"/>
      </w:r>
    </w:p>
    <w:p>
      <w:pPr>
        <w:spacing w:line="500" w:lineRule="exact"/>
        <w:jc w:val="center"/>
        <w:outlineLvl w:val="2"/>
        <w:rPr>
          <w:rFonts w:asciiTheme="minorEastAsia" w:hAnsiTheme="minorEastAsia" w:eastAsiaTheme="minorEastAsia" w:cstheme="minorEastAsia"/>
          <w:b/>
          <w:bCs/>
          <w:sz w:val="28"/>
          <w:szCs w:val="28"/>
        </w:rPr>
      </w:pPr>
      <w:bookmarkStart w:id="317" w:name="_Toc5614"/>
      <w:bookmarkStart w:id="318" w:name="_Toc26698"/>
      <w:bookmarkStart w:id="319" w:name="_Toc23283"/>
      <w:bookmarkStart w:id="320" w:name="_Toc2213"/>
      <w:bookmarkStart w:id="321" w:name="_Toc16500"/>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6"/>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rPr>
            </w:pPr>
          </w:p>
          <w:p>
            <w:pPr>
              <w:pStyle w:val="21"/>
              <w:widowControl w:val="0"/>
              <w:adjustRightInd w:val="0"/>
              <w:spacing w:before="0" w:beforeAutospacing="0" w:after="0" w:afterAutospacing="0" w:line="480" w:lineRule="exact"/>
              <w:jc w:val="center"/>
              <w:rPr>
                <w:bCs/>
              </w:rPr>
            </w:pPr>
            <w:r>
              <w:rPr>
                <w:rFonts w:hint="eastAsia"/>
                <w:bCs/>
              </w:rPr>
              <w:t>单价（元）</w:t>
            </w:r>
          </w:p>
          <w:p>
            <w:pPr>
              <w:pStyle w:val="21"/>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1"/>
              <w:widowControl w:val="0"/>
              <w:adjustRightInd w:val="0"/>
              <w:spacing w:before="0" w:beforeAutospacing="0" w:after="0" w:afterAutospacing="0" w:line="480" w:lineRule="exact"/>
              <w:jc w:val="both"/>
              <w:rPr>
                <w:bCs/>
              </w:rPr>
            </w:pPr>
            <w:r>
              <w:rPr>
                <w:rFonts w:hint="eastAsia"/>
                <w:bCs/>
              </w:rPr>
              <w:t xml:space="preserve"> </w:t>
            </w:r>
          </w:p>
          <w:p>
            <w:pPr>
              <w:pStyle w:val="21"/>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1"/>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
                <w:sz w:val="24"/>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6"/>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1"/>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80" w:firstLineChars="200"/>
        <w:rPr>
          <w:rFonts w:ascii="宋体" w:hAnsi="宋体"/>
          <w:sz w:val="24"/>
        </w:rPr>
      </w:pPr>
      <w:r>
        <w:rPr>
          <w:rFonts w:hint="eastAsia" w:ascii="宋体" w:hAnsi="宋体"/>
          <w:sz w:val="24"/>
        </w:rPr>
        <w:t>注：供应商须对照招标文件技术规格，将自己所投的所有货物的功能、技术性能、配置等内容按照上表格式与招标文件要求逐条填写，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3"/>
        </w:numPr>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3"/>
        </w:numPr>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Theme="minorEastAsia" w:hAnsiTheme="minorEastAsia" w:eastAsiaTheme="minorEastAsia" w:cstheme="minorEastAsia"/>
          <w:sz w:val="24"/>
        </w:rPr>
        <w:t>供应商</w:t>
      </w:r>
      <w:r>
        <w:rPr>
          <w:rFonts w:hint="eastAsia" w:ascii="宋体" w:hAnsi="宋体" w:cs="宋体"/>
          <w:sz w:val="24"/>
        </w:rPr>
        <w:t>（盖章）：</w:t>
      </w:r>
    </w:p>
    <w:p>
      <w:pPr>
        <w:spacing w:line="600" w:lineRule="exact"/>
        <w:rPr>
          <w:rFonts w:ascii="宋体" w:hAnsi="宋体" w:cs="宋体"/>
          <w:sz w:val="24"/>
        </w:rPr>
      </w:pPr>
      <w:r>
        <w:rPr>
          <w:rFonts w:hint="eastAsia" w:ascii="宋体" w:hAnsi="宋体" w:cs="宋体"/>
          <w:sz w:val="24"/>
        </w:rPr>
        <w:t>法人代表或授权委托人（签字或盖章）：</w:t>
      </w:r>
    </w:p>
    <w:p>
      <w:pPr>
        <w:ind w:firstLine="480"/>
        <w:rPr>
          <w:rFonts w:ascii="宋体" w:hAnsi="宋体" w:cs="宋体"/>
          <w:sz w:val="24"/>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rPr>
        <w:t xml:space="preserve">                                         年    月    日  </w:t>
      </w:r>
    </w:p>
    <w:p>
      <w:pPr>
        <w:pStyle w:val="22"/>
        <w:spacing w:before="0" w:after="0" w:line="360" w:lineRule="auto"/>
        <w:outlineLvl w:val="1"/>
        <w:rPr>
          <w:rFonts w:ascii="宋体" w:hAnsi="宋体" w:eastAsia="宋体" w:cs="宋体"/>
          <w:sz w:val="28"/>
          <w:szCs w:val="28"/>
        </w:rPr>
      </w:pPr>
      <w:r>
        <w:rPr>
          <w:rFonts w:hint="eastAsia" w:ascii="宋体" w:hAnsi="宋体" w:eastAsia="宋体" w:cs="宋体"/>
          <w:sz w:val="28"/>
          <w:szCs w:val="28"/>
        </w:rPr>
        <w:t>二、法定代表人身份证明书</w:t>
      </w:r>
      <w:bookmarkEnd w:id="317"/>
      <w:bookmarkEnd w:id="318"/>
      <w:bookmarkEnd w:id="319"/>
      <w:bookmarkEnd w:id="320"/>
      <w:bookmarkEnd w:id="321"/>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szCs w:val="18"/>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_</w:t>
      </w:r>
    </w:p>
    <w:p>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360" w:lineRule="auto"/>
        <w:ind w:firstLine="480" w:firstLineChars="200"/>
        <w:rPr>
          <w:rFonts w:ascii="宋体" w:hAnsi="宋体" w:cs="宋体"/>
          <w:sz w:val="24"/>
        </w:rPr>
      </w:pPr>
      <w:r>
        <w:rPr>
          <w:rFonts w:hint="eastAsia" w:ascii="宋体" w:hAnsi="宋体" w:cs="宋体"/>
          <w:sz w:val="24"/>
        </w:rPr>
        <w:t>特此证明。</w:t>
      </w:r>
    </w:p>
    <w:p>
      <w:pPr>
        <w:pStyle w:val="3"/>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p>
    <w:p>
      <w:pPr>
        <w:rPr>
          <w:rFonts w:ascii="宋体" w:hAnsi="宋体" w:cs="宋体"/>
          <w:sz w:val="24"/>
        </w:rPr>
      </w:pPr>
    </w:p>
    <w:p>
      <w:pPr>
        <w:pStyle w:val="3"/>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cs="宋体"/>
          <w:sz w:val="24"/>
        </w:rPr>
      </w:pPr>
    </w:p>
    <w:p>
      <w:pPr>
        <w:pStyle w:val="3"/>
        <w:rPr>
          <w:rFonts w:ascii="宋体" w:hAnsi="宋体" w:cs="宋体"/>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供应商： （企业电子签章）</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5760" w:firstLineChars="2400"/>
        <w:rPr>
          <w:rFonts w:ascii="宋体" w:hAnsi="宋体" w:cs="宋体"/>
          <w:sz w:val="24"/>
        </w:rPr>
      </w:pPr>
      <w:r>
        <w:rPr>
          <w:rFonts w:hint="eastAsia" w:ascii="宋体" w:hAnsi="宋体" w:cs="宋体"/>
          <w:sz w:val="24"/>
        </w:rPr>
        <w:t>年    月    日</w:t>
      </w:r>
    </w:p>
    <w:p>
      <w:pPr>
        <w:spacing w:line="440" w:lineRule="exact"/>
        <w:rPr>
          <w:rFonts w:ascii="宋体" w:hAnsi="宋体" w:cs="宋体"/>
        </w:rPr>
      </w:pPr>
    </w:p>
    <w:p>
      <w:pPr>
        <w:pStyle w:val="24"/>
        <w:ind w:firstLine="320"/>
        <w:rPr>
          <w:rFonts w:hint="default"/>
        </w:rPr>
      </w:pPr>
    </w:p>
    <w:p>
      <w:pPr>
        <w:pStyle w:val="22"/>
        <w:spacing w:before="120" w:after="120" w:line="500" w:lineRule="exact"/>
        <w:ind w:right="29" w:rightChars="14"/>
        <w:outlineLvl w:val="1"/>
        <w:rPr>
          <w:rFonts w:ascii="宋体" w:hAnsi="宋体" w:eastAsia="宋体" w:cs="宋体"/>
          <w:sz w:val="28"/>
          <w:szCs w:val="28"/>
        </w:rPr>
      </w:pPr>
      <w:bookmarkStart w:id="322" w:name="_Toc26257"/>
      <w:bookmarkStart w:id="323" w:name="_Toc15395"/>
      <w:bookmarkStart w:id="324" w:name="_Toc6009"/>
      <w:bookmarkStart w:id="325" w:name="_Toc729"/>
      <w:bookmarkStart w:id="326" w:name="_Toc17980"/>
      <w:r>
        <w:rPr>
          <w:rFonts w:hint="eastAsia" w:ascii="宋体" w:hAnsi="宋体" w:eastAsia="宋体" w:cs="宋体"/>
          <w:sz w:val="28"/>
          <w:szCs w:val="28"/>
        </w:rPr>
        <w:t>三、授权委托书</w:t>
      </w:r>
      <w:bookmarkEnd w:id="322"/>
      <w:bookmarkEnd w:id="323"/>
      <w:bookmarkEnd w:id="324"/>
      <w:bookmarkEnd w:id="325"/>
      <w:bookmarkEnd w:id="326"/>
    </w:p>
    <w:p>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（项目名称）项目响应文件、签订合同和处理有关事宜，其法律后果由我方承担。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（企业电子签章） </w:t>
      </w:r>
    </w:p>
    <w:p>
      <w:pPr>
        <w:spacing w:line="360" w:lineRule="auto"/>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5040" w:firstLineChars="2100"/>
        <w:rPr>
          <w:rFonts w:ascii="宋体" w:hAnsi="宋体" w:cs="宋体"/>
          <w:sz w:val="24"/>
        </w:rPr>
      </w:pPr>
    </w:p>
    <w:p>
      <w:pPr>
        <w:spacing w:line="360" w:lineRule="auto"/>
        <w:ind w:firstLine="6000" w:firstLineChars="2500"/>
        <w:rPr>
          <w:rFonts w:ascii="宋体" w:hAnsi="宋体" w:cs="宋体"/>
          <w:sz w:val="30"/>
          <w:szCs w:val="3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255"/>
    </w:p>
    <w:p>
      <w:pPr>
        <w:pStyle w:val="21"/>
        <w:widowControl w:val="0"/>
        <w:spacing w:before="120" w:beforeAutospacing="0" w:after="120" w:afterAutospacing="0" w:line="500" w:lineRule="exact"/>
        <w:ind w:right="29" w:rightChars="14"/>
        <w:jc w:val="center"/>
        <w:outlineLvl w:val="1"/>
        <w:rPr>
          <w:b/>
          <w:kern w:val="2"/>
          <w:sz w:val="30"/>
          <w:szCs w:val="30"/>
        </w:rPr>
      </w:pPr>
      <w:bookmarkStart w:id="327" w:name="_Toc25161"/>
      <w:bookmarkStart w:id="328" w:name="_Toc8304"/>
    </w:p>
    <w:p>
      <w:pPr>
        <w:pStyle w:val="21"/>
        <w:widowControl w:val="0"/>
        <w:spacing w:before="120" w:beforeAutospacing="0" w:after="120" w:afterAutospacing="0" w:line="500" w:lineRule="exact"/>
        <w:ind w:right="29" w:rightChars="14"/>
        <w:jc w:val="center"/>
        <w:outlineLvl w:val="1"/>
        <w:rPr>
          <w:b/>
          <w:kern w:val="2"/>
          <w:sz w:val="30"/>
          <w:szCs w:val="30"/>
        </w:rPr>
      </w:pPr>
    </w:p>
    <w:bookmarkEnd w:id="327"/>
    <w:bookmarkEnd w:id="328"/>
    <w:p>
      <w:pPr>
        <w:pStyle w:val="21"/>
        <w:widowControl w:val="0"/>
        <w:tabs>
          <w:tab w:val="left" w:pos="0"/>
        </w:tabs>
        <w:spacing w:before="0" w:beforeAutospacing="0" w:after="0" w:afterAutospacing="0" w:line="360" w:lineRule="auto"/>
        <w:outlineLvl w:val="1"/>
        <w:rPr>
          <w:rFonts w:hint="eastAsia"/>
          <w:b/>
          <w:kern w:val="2"/>
          <w:sz w:val="28"/>
          <w:szCs w:val="28"/>
        </w:rPr>
      </w:pPr>
      <w:bookmarkStart w:id="329" w:name="_Toc21039"/>
      <w:bookmarkStart w:id="330" w:name="_Toc19465"/>
    </w:p>
    <w:p>
      <w:pPr>
        <w:pStyle w:val="21"/>
        <w:widowControl w:val="0"/>
        <w:tabs>
          <w:tab w:val="left" w:pos="0"/>
        </w:tabs>
        <w:spacing w:before="0" w:beforeAutospacing="0" w:after="0" w:afterAutospacing="0" w:line="360" w:lineRule="auto"/>
        <w:jc w:val="center"/>
        <w:outlineLvl w:val="1"/>
        <w:rPr>
          <w:b/>
          <w:kern w:val="2"/>
          <w:sz w:val="28"/>
          <w:szCs w:val="28"/>
        </w:rPr>
      </w:pPr>
      <w:r>
        <w:rPr>
          <w:rFonts w:hint="eastAsia"/>
          <w:b/>
          <w:kern w:val="2"/>
          <w:sz w:val="28"/>
          <w:szCs w:val="28"/>
          <w:lang w:val="en-US" w:eastAsia="zh-CN"/>
        </w:rPr>
        <w:t>四</w:t>
      </w:r>
      <w:r>
        <w:rPr>
          <w:rFonts w:hint="eastAsia"/>
          <w:b/>
          <w:kern w:val="2"/>
          <w:sz w:val="28"/>
          <w:szCs w:val="28"/>
        </w:rPr>
        <w:t>、供应商的资格证明承诺函</w:t>
      </w:r>
      <w:bookmarkEnd w:id="329"/>
      <w:bookmarkEnd w:id="330"/>
    </w:p>
    <w:p>
      <w:pPr>
        <w:pStyle w:val="21"/>
        <w:widowControl w:val="0"/>
        <w:tabs>
          <w:tab w:val="left" w:pos="0"/>
        </w:tabs>
        <w:spacing w:before="0" w:beforeAutospacing="0" w:after="0" w:afterAutospacing="0" w:line="360" w:lineRule="auto"/>
        <w:jc w:val="center"/>
        <w:outlineLvl w:val="1"/>
        <w:rPr>
          <w:rFonts w:hint="eastAsia"/>
          <w:b/>
          <w:kern w:val="2"/>
          <w:sz w:val="28"/>
          <w:szCs w:val="28"/>
        </w:rPr>
      </w:pPr>
    </w:p>
    <w:p>
      <w:pPr>
        <w:widowControl/>
        <w:spacing w:line="360" w:lineRule="auto"/>
        <w:jc w:val="left"/>
        <w:rPr>
          <w:rFonts w:ascii="宋体" w:hAnsi="宋体" w:cs="宋体"/>
          <w:sz w:val="24"/>
          <w:szCs w:val="21"/>
        </w:rPr>
      </w:pPr>
      <w:r>
        <w:rPr>
          <w:rFonts w:hint="eastAsia" w:ascii="宋体" w:hAnsi="宋体" w:cs="宋体"/>
          <w:sz w:val="24"/>
          <w:szCs w:val="21"/>
        </w:rPr>
        <w:t xml:space="preserve">致(采购人)：_________________________________ </w:t>
      </w:r>
    </w:p>
    <w:p>
      <w:pPr>
        <w:widowControl/>
        <w:spacing w:line="360" w:lineRule="auto"/>
        <w:jc w:val="left"/>
        <w:rPr>
          <w:rFonts w:ascii="宋体" w:hAnsi="宋体" w:cs="宋体"/>
          <w:sz w:val="24"/>
          <w:szCs w:val="21"/>
        </w:rPr>
      </w:pPr>
      <w:r>
        <w:rPr>
          <w:rFonts w:hint="eastAsia" w:ascii="宋体" w:hAnsi="宋体" w:cs="宋体"/>
          <w:sz w:val="24"/>
          <w:szCs w:val="21"/>
        </w:rPr>
        <w:t>供应商名称： ________________________________</w:t>
      </w:r>
    </w:p>
    <w:p>
      <w:pPr>
        <w:widowControl/>
        <w:spacing w:line="360" w:lineRule="auto"/>
        <w:jc w:val="left"/>
        <w:rPr>
          <w:rFonts w:ascii="宋体" w:hAnsi="宋体" w:cs="宋体"/>
          <w:sz w:val="24"/>
          <w:szCs w:val="21"/>
        </w:rPr>
      </w:pPr>
      <w:r>
        <w:rPr>
          <w:rFonts w:hint="eastAsia" w:ascii="宋体" w:hAnsi="宋体" w:cs="宋体"/>
          <w:sz w:val="24"/>
          <w:szCs w:val="21"/>
        </w:rPr>
        <w:t>统一社会信用代码：___________________________</w:t>
      </w:r>
    </w:p>
    <w:p>
      <w:pPr>
        <w:widowControl/>
        <w:spacing w:line="360" w:lineRule="auto"/>
        <w:jc w:val="left"/>
        <w:rPr>
          <w:rFonts w:ascii="宋体" w:hAnsi="宋体" w:cs="宋体"/>
          <w:sz w:val="24"/>
          <w:szCs w:val="21"/>
        </w:rPr>
      </w:pPr>
      <w:r>
        <w:rPr>
          <w:rFonts w:hint="eastAsia" w:ascii="宋体" w:hAnsi="宋体" w:cs="宋体"/>
          <w:sz w:val="24"/>
          <w:szCs w:val="21"/>
        </w:rPr>
        <w:t>供应商地址：_________________________________</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highlight w:val="none"/>
        </w:rPr>
        <w:t>一、我单位具有有效的营业执照</w:t>
      </w:r>
      <w:r>
        <w:rPr>
          <w:rFonts w:hint="eastAsia" w:ascii="宋体" w:hAnsi="宋体" w:cs="宋体"/>
          <w:sz w:val="24"/>
          <w:szCs w:val="21"/>
        </w:rPr>
        <w:t>（三证合一）；</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2.我单位具有符合采购文件资格要求的财务状况报告；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5.我单位参加政府采购活动前三年内，在经营活动中没有重大违法记录。 </w:t>
      </w:r>
      <w:bookmarkStart w:id="331" w:name="_Toc19168"/>
      <w:bookmarkStart w:id="332" w:name="_Toc25215"/>
      <w:bookmarkStart w:id="333" w:name="_Toc27289"/>
    </w:p>
    <w:bookmarkEnd w:id="331"/>
    <w:bookmarkEnd w:id="332"/>
    <w:bookmarkEnd w:id="333"/>
    <w:p>
      <w:pPr>
        <w:pStyle w:val="3"/>
        <w:keepNext w:val="0"/>
        <w:keepLines w:val="0"/>
        <w:spacing w:before="0" w:line="360" w:lineRule="auto"/>
        <w:ind w:firstLine="482" w:firstLineChars="200"/>
        <w:rPr>
          <w:rFonts w:ascii="宋体" w:hAnsi="宋体" w:cs="宋体"/>
          <w:sz w:val="24"/>
          <w:szCs w:val="21"/>
        </w:rPr>
      </w:pPr>
      <w:bookmarkStart w:id="334" w:name="_Toc5743"/>
      <w:bookmarkStart w:id="335" w:name="_Toc23227"/>
      <w:bookmarkStart w:id="336" w:name="_Toc24850"/>
      <w:bookmarkStart w:id="337" w:name="_Toc10717"/>
      <w:bookmarkStart w:id="338" w:name="_Toc8898"/>
      <w:bookmarkStart w:id="339" w:name="_Toc16608"/>
      <w:bookmarkStart w:id="340" w:name="_Toc18605"/>
      <w:bookmarkStart w:id="341" w:name="_Toc17917"/>
      <w:bookmarkStart w:id="342" w:name="_Toc26550"/>
      <w:r>
        <w:rPr>
          <w:rFonts w:hint="eastAsia" w:ascii="宋体" w:hAnsi="宋体" w:cs="宋体"/>
          <w:sz w:val="24"/>
          <w:szCs w:val="21"/>
        </w:rPr>
        <w:t xml:space="preserve">若我单位承诺不实，自愿承担提供虚假材料谋取中标、成交的法律责任。 </w:t>
      </w:r>
    </w:p>
    <w:p>
      <w:pPr>
        <w:widowControl/>
        <w:spacing w:line="480" w:lineRule="exact"/>
        <w:jc w:val="right"/>
        <w:rPr>
          <w:rFonts w:ascii="宋体" w:hAnsi="宋体" w:cs="宋体"/>
          <w:sz w:val="24"/>
          <w:szCs w:val="21"/>
        </w:rPr>
      </w:pPr>
      <w:r>
        <w:rPr>
          <w:rFonts w:hint="eastAsia" w:ascii="宋体" w:hAnsi="宋体" w:cs="宋体"/>
          <w:sz w:val="24"/>
          <w:szCs w:val="21"/>
        </w:rPr>
        <w:t>承诺供应商（</w:t>
      </w:r>
      <w:r>
        <w:rPr>
          <w:rFonts w:hint="eastAsia" w:ascii="宋体" w:hAnsi="宋体" w:cs="宋体"/>
          <w:sz w:val="24"/>
        </w:rPr>
        <w:t>企业电子签章</w:t>
      </w:r>
      <w:r>
        <w:rPr>
          <w:rFonts w:hint="eastAsia" w:ascii="宋体" w:hAnsi="宋体" w:cs="宋体"/>
          <w:sz w:val="24"/>
          <w:szCs w:val="21"/>
        </w:rPr>
        <w:t xml:space="preserve">）：__________________ </w:t>
      </w:r>
    </w:p>
    <w:p>
      <w:pPr>
        <w:widowControl/>
        <w:spacing w:line="480" w:lineRule="exact"/>
        <w:jc w:val="right"/>
        <w:rPr>
          <w:rFonts w:ascii="宋体" w:hAnsi="宋体" w:cs="宋体"/>
          <w:sz w:val="24"/>
          <w:szCs w:val="21"/>
        </w:rPr>
      </w:pPr>
    </w:p>
    <w:p>
      <w:pPr>
        <w:widowControl/>
        <w:spacing w:line="480" w:lineRule="exact"/>
        <w:jc w:val="right"/>
        <w:rPr>
          <w:rFonts w:ascii="宋体" w:hAnsi="宋体" w:cs="宋体"/>
          <w:sz w:val="24"/>
          <w:szCs w:val="21"/>
        </w:rPr>
      </w:pPr>
      <w:r>
        <w:rPr>
          <w:rFonts w:hint="eastAsia" w:ascii="宋体" w:hAnsi="宋体" w:cs="宋体"/>
          <w:sz w:val="24"/>
          <w:szCs w:val="21"/>
        </w:rPr>
        <w:t xml:space="preserve">法定代表人或授权代表(签字或签章)：__________________ </w:t>
      </w:r>
    </w:p>
    <w:p>
      <w:pPr>
        <w:widowControl/>
        <w:spacing w:line="480" w:lineRule="exact"/>
        <w:jc w:val="right"/>
        <w:rPr>
          <w:rFonts w:ascii="宋体" w:hAnsi="宋体" w:cs="宋体"/>
          <w:sz w:val="24"/>
          <w:szCs w:val="21"/>
        </w:rPr>
      </w:pPr>
    </w:p>
    <w:p>
      <w:pPr>
        <w:widowControl/>
        <w:spacing w:line="480" w:lineRule="exact"/>
        <w:jc w:val="right"/>
        <w:rPr>
          <w:rFonts w:ascii="宋体" w:hAnsi="宋体" w:cs="宋体"/>
          <w:sz w:val="24"/>
          <w:szCs w:val="21"/>
        </w:rPr>
      </w:pPr>
      <w:r>
        <w:rPr>
          <w:rFonts w:hint="eastAsia" w:ascii="宋体" w:hAnsi="宋体" w:cs="宋体"/>
          <w:sz w:val="24"/>
          <w:szCs w:val="21"/>
        </w:rPr>
        <w:t>日期：_____年___ 月____ 日</w:t>
      </w:r>
    </w:p>
    <w:p>
      <w:pPr>
        <w:rPr>
          <w:rFonts w:ascii="宋体" w:hAnsi="宋体" w:cs="宋体"/>
          <w:b/>
          <w:bCs/>
          <w:spacing w:val="8"/>
          <w:shd w:val="clear" w:color="auto" w:fill="FFFFFF"/>
        </w:rPr>
      </w:pPr>
      <w:r>
        <w:rPr>
          <w:rFonts w:hint="eastAsia" w:ascii="宋体" w:hAnsi="宋体" w:cs="宋体"/>
          <w:b/>
          <w:bCs/>
          <w:spacing w:val="8"/>
          <w:shd w:val="clear" w:color="auto" w:fill="FFFFFF"/>
        </w:rPr>
        <w:t xml:space="preserve">   </w:t>
      </w:r>
    </w:p>
    <w:p>
      <w:pPr>
        <w:ind w:firstLine="454" w:firstLineChars="200"/>
        <w:rPr>
          <w:sz w:val="30"/>
          <w:szCs w:val="30"/>
        </w:rPr>
      </w:pPr>
      <w:r>
        <w:rPr>
          <w:rFonts w:hint="eastAsia" w:ascii="宋体" w:hAnsi="宋体" w:cs="宋体"/>
          <w:b/>
          <w:bCs/>
          <w:spacing w:val="8"/>
          <w:shd w:val="clear" w:color="auto" w:fill="FFFFFF"/>
        </w:rPr>
        <w:t>注：供应商须在投标文件中按此模板提供承诺函，未提供视为未实质性响应招标文件要求，按无效投标处理。</w:t>
      </w:r>
      <w:bookmarkStart w:id="343" w:name="_Toc31553"/>
    </w:p>
    <w:bookmarkEnd w:id="343"/>
    <w:p>
      <w:pPr>
        <w:pStyle w:val="21"/>
        <w:widowControl w:val="0"/>
        <w:spacing w:before="120" w:beforeAutospacing="0" w:after="120" w:afterAutospacing="0" w:line="500" w:lineRule="exact"/>
        <w:ind w:right="29" w:rightChars="14"/>
        <w:jc w:val="center"/>
        <w:rPr>
          <w:rFonts w:hint="eastAsia"/>
          <w:sz w:val="30"/>
          <w:szCs w:val="30"/>
        </w:rPr>
      </w:pPr>
    </w:p>
    <w:p>
      <w:pPr>
        <w:pStyle w:val="21"/>
        <w:widowControl w:val="0"/>
        <w:spacing w:before="120" w:beforeAutospacing="0" w:after="120" w:afterAutospacing="0" w:line="500" w:lineRule="exact"/>
        <w:ind w:right="29" w:rightChars="14"/>
        <w:jc w:val="center"/>
        <w:outlineLvl w:val="1"/>
        <w:rPr>
          <w:sz w:val="28"/>
          <w:szCs w:val="28"/>
        </w:rPr>
      </w:pPr>
      <w:r>
        <w:rPr>
          <w:rFonts w:hint="eastAsia"/>
          <w:b/>
          <w:kern w:val="2"/>
          <w:sz w:val="28"/>
          <w:szCs w:val="28"/>
          <w:lang w:val="en-US" w:eastAsia="zh-CN"/>
        </w:rPr>
        <w:t>五</w:t>
      </w:r>
      <w:r>
        <w:rPr>
          <w:rFonts w:hint="eastAsia"/>
          <w:b/>
          <w:kern w:val="2"/>
          <w:sz w:val="28"/>
          <w:szCs w:val="28"/>
        </w:rPr>
        <w:t>、中小企业声明函</w:t>
      </w:r>
      <w:bookmarkEnd w:id="334"/>
      <w:bookmarkEnd w:id="335"/>
      <w:bookmarkEnd w:id="336"/>
      <w:bookmarkEnd w:id="337"/>
      <w:bookmarkEnd w:id="338"/>
    </w:p>
    <w:p>
      <w:pPr>
        <w:spacing w:line="560" w:lineRule="exact"/>
        <w:ind w:firstLine="480" w:firstLineChars="200"/>
        <w:rPr>
          <w:rFonts w:ascii="宋体" w:hAnsi="宋体" w:cs="宋体"/>
          <w:sz w:val="24"/>
        </w:rPr>
      </w:pPr>
      <w:r>
        <w:rPr>
          <w:rFonts w:ascii="宋体" w:hAnsi="宋体" w:cs="宋体"/>
          <w:sz w:val="24"/>
        </w:rPr>
        <w:t>本公司（联合体）郑重声明，根据《政府采购促进中小企业发展管理办法》（财库﹝2020﹞46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pPr>
        <w:numPr>
          <w:ilvl w:val="0"/>
          <w:numId w:val="14"/>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pPr>
        <w:numPr>
          <w:ilvl w:val="0"/>
          <w:numId w:val="14"/>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pPr>
        <w:spacing w:line="560" w:lineRule="exact"/>
        <w:ind w:left="525" w:leftChars="250"/>
        <w:rPr>
          <w:rFonts w:ascii="宋体" w:hAnsi="宋体" w:cs="宋体"/>
          <w:sz w:val="24"/>
        </w:rPr>
      </w:pPr>
      <w:r>
        <w:rPr>
          <w:rFonts w:ascii="宋体" w:hAnsi="宋体" w:cs="宋体"/>
          <w:sz w:val="24"/>
        </w:rPr>
        <w:t xml:space="preserve"> …… </w:t>
      </w:r>
    </w:p>
    <w:p>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pPr>
        <w:spacing w:line="560" w:lineRule="exact"/>
        <w:ind w:left="5" w:firstLine="518" w:firstLineChars="216"/>
        <w:rPr>
          <w:rFonts w:ascii="宋体" w:hAnsi="宋体" w:cs="宋体"/>
          <w:sz w:val="24"/>
        </w:rPr>
      </w:pPr>
    </w:p>
    <w:p>
      <w:pPr>
        <w:spacing w:line="560" w:lineRule="exact"/>
        <w:ind w:left="5" w:firstLine="518" w:firstLineChars="216"/>
        <w:rPr>
          <w:rFonts w:ascii="宋体" w:hAnsi="宋体" w:cs="宋体"/>
          <w:sz w:val="24"/>
        </w:rPr>
      </w:pPr>
    </w:p>
    <w:p>
      <w:pPr>
        <w:spacing w:line="560" w:lineRule="exact"/>
        <w:ind w:left="5" w:firstLine="518" w:firstLineChars="216"/>
        <w:jc w:val="right"/>
        <w:rPr>
          <w:rFonts w:ascii="宋体" w:hAnsi="宋体" w:cs="宋体"/>
          <w:sz w:val="24"/>
        </w:rPr>
      </w:pPr>
      <w:r>
        <w:rPr>
          <w:rFonts w:ascii="宋体" w:hAnsi="宋体" w:cs="宋体"/>
          <w:sz w:val="24"/>
        </w:rPr>
        <w:t>企业名称（盖章）：</w:t>
      </w:r>
    </w:p>
    <w:p>
      <w:pPr>
        <w:spacing w:line="560" w:lineRule="exact"/>
        <w:ind w:left="5" w:firstLine="518" w:firstLineChars="216"/>
        <w:jc w:val="right"/>
        <w:rPr>
          <w:rFonts w:ascii="宋体" w:hAnsi="宋体" w:cs="宋体"/>
          <w:sz w:val="24"/>
        </w:rPr>
      </w:pPr>
      <w:r>
        <w:rPr>
          <w:rFonts w:ascii="宋体" w:hAnsi="宋体" w:cs="宋体"/>
          <w:sz w:val="24"/>
        </w:rPr>
        <w:t xml:space="preserve"> 日 期： </w:t>
      </w:r>
    </w:p>
    <w:p>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pPr>
        <w:pStyle w:val="25"/>
        <w:rPr>
          <w:rFonts w:hint="eastAsia"/>
        </w:rPr>
      </w:pPr>
      <w:r>
        <w:rPr>
          <w:rFonts w:hint="eastAsia" w:ascii="宋体" w:hAnsi="宋体" w:cs="宋体"/>
          <w:sz w:val="24"/>
        </w:rPr>
        <w:t>2、供应商提供的声明函将在中标后随中标公告一并公示，若声明函内容不实的，将依照《政府采购法》等国家有关规定追究相应责任。</w:t>
      </w:r>
    </w:p>
    <w:p>
      <w:pPr>
        <w:rPr>
          <w:rFonts w:hint="eastAsia"/>
          <w:b/>
          <w:kern w:val="2"/>
          <w:sz w:val="28"/>
          <w:szCs w:val="28"/>
        </w:rPr>
      </w:pPr>
      <w:bookmarkStart w:id="344" w:name="_Toc26108"/>
      <w:bookmarkStart w:id="345" w:name="_Toc11708"/>
      <w:bookmarkStart w:id="346" w:name="_Toc13288"/>
      <w:bookmarkStart w:id="347" w:name="_Toc20881"/>
      <w:bookmarkStart w:id="348" w:name="_Toc14292"/>
      <w:bookmarkStart w:id="349" w:name="_Toc30170"/>
      <w:r>
        <w:rPr>
          <w:rFonts w:hint="eastAsia"/>
          <w:b/>
          <w:kern w:val="2"/>
          <w:sz w:val="28"/>
          <w:szCs w:val="28"/>
        </w:rPr>
        <w:br w:type="page"/>
      </w:r>
    </w:p>
    <w:p>
      <w:pPr>
        <w:pStyle w:val="21"/>
        <w:widowControl w:val="0"/>
        <w:spacing w:before="120" w:beforeAutospacing="0" w:after="120" w:afterAutospacing="0" w:line="500" w:lineRule="exact"/>
        <w:ind w:right="29" w:rightChars="14"/>
        <w:jc w:val="center"/>
        <w:outlineLvl w:val="1"/>
        <w:rPr>
          <w:b/>
          <w:sz w:val="28"/>
          <w:szCs w:val="28"/>
        </w:rPr>
      </w:pPr>
      <w:r>
        <w:rPr>
          <w:rFonts w:hint="eastAsia"/>
          <w:b/>
          <w:kern w:val="2"/>
          <w:sz w:val="28"/>
          <w:szCs w:val="28"/>
        </w:rPr>
        <w:t>2、监狱企业、残疾人福利性单位声明函（如有）</w:t>
      </w:r>
      <w:bookmarkEnd w:id="344"/>
      <w:bookmarkEnd w:id="345"/>
      <w:bookmarkEnd w:id="346"/>
      <w:bookmarkEnd w:id="347"/>
    </w:p>
    <w:p>
      <w:pPr>
        <w:spacing w:after="758" w:afterLines="200"/>
        <w:ind w:firstLine="2108" w:firstLineChars="750"/>
        <w:rPr>
          <w:rFonts w:ascii="宋体" w:hAnsi="宋体" w:cs="宋体"/>
          <w:b/>
          <w:sz w:val="28"/>
          <w:szCs w:val="28"/>
        </w:rPr>
      </w:pPr>
    </w:p>
    <w:p>
      <w:pPr>
        <w:pStyle w:val="24"/>
        <w:ind w:firstLine="281"/>
        <w:rPr>
          <w:rFonts w:hint="default" w:ascii="宋体" w:hAnsi="宋体" w:eastAsia="宋体" w:cs="宋体"/>
          <w:b/>
          <w:sz w:val="28"/>
          <w:szCs w:val="28"/>
        </w:rPr>
      </w:pPr>
    </w:p>
    <w:p>
      <w:pPr>
        <w:pStyle w:val="2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pStyle w:val="2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pStyle w:val="5"/>
        <w:rPr>
          <w:rFonts w:hint="eastAsia"/>
        </w:rPr>
      </w:pPr>
    </w:p>
    <w:p>
      <w:pPr>
        <w:pStyle w:val="24"/>
        <w:ind w:firstLine="280"/>
        <w:rPr>
          <w:rFonts w:hint="default"/>
          <w:sz w:val="28"/>
          <w:szCs w:val="28"/>
        </w:rPr>
      </w:pPr>
    </w:p>
    <w:bookmarkEnd w:id="348"/>
    <w:bookmarkEnd w:id="349"/>
    <w:p>
      <w:pPr>
        <w:pStyle w:val="21"/>
        <w:widowControl w:val="0"/>
        <w:spacing w:before="120" w:beforeAutospacing="0" w:after="120" w:afterAutospacing="0" w:line="500" w:lineRule="exact"/>
        <w:ind w:right="29" w:rightChars="14"/>
        <w:jc w:val="center"/>
        <w:outlineLvl w:val="1"/>
        <w:rPr>
          <w:rFonts w:hint="eastAsia"/>
          <w:b/>
          <w:kern w:val="2"/>
          <w:sz w:val="28"/>
          <w:szCs w:val="28"/>
          <w:lang w:val="en-US" w:eastAsia="zh-CN"/>
        </w:rPr>
      </w:pPr>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r>
        <w:rPr>
          <w:rFonts w:hint="eastAsia"/>
          <w:b/>
          <w:kern w:val="2"/>
          <w:sz w:val="28"/>
          <w:szCs w:val="28"/>
          <w:lang w:val="en-US" w:eastAsia="zh-CN"/>
        </w:rPr>
        <w:t>六</w:t>
      </w:r>
      <w:r>
        <w:rPr>
          <w:rFonts w:hint="eastAsia"/>
          <w:b/>
          <w:kern w:val="2"/>
          <w:sz w:val="28"/>
          <w:szCs w:val="28"/>
        </w:rPr>
        <w:t>、</w:t>
      </w:r>
      <w:r>
        <w:rPr>
          <w:rFonts w:hint="eastAsia" w:asciiTheme="minorEastAsia" w:hAnsiTheme="minorEastAsia" w:eastAsiaTheme="minorEastAsia" w:cstheme="minorEastAsia"/>
          <w:b/>
          <w:kern w:val="2"/>
          <w:sz w:val="30"/>
          <w:szCs w:val="30"/>
        </w:rPr>
        <w:t>项目实施方案等</w:t>
      </w: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rFonts w:hint="eastAsia"/>
          <w:b/>
          <w:kern w:val="2"/>
          <w:sz w:val="28"/>
          <w:szCs w:val="28"/>
          <w:lang w:eastAsia="zh-CN"/>
        </w:rPr>
      </w:pPr>
    </w:p>
    <w:p>
      <w:pPr>
        <w:pStyle w:val="21"/>
        <w:widowControl w:val="0"/>
        <w:spacing w:before="120" w:beforeAutospacing="0" w:after="120" w:afterAutospacing="0" w:line="500" w:lineRule="exact"/>
        <w:ind w:right="29" w:rightChars="14"/>
        <w:jc w:val="center"/>
        <w:outlineLvl w:val="1"/>
        <w:rPr>
          <w:sz w:val="28"/>
          <w:szCs w:val="28"/>
          <w:shd w:val="clear" w:color="FFFFFF" w:fill="D9D9D9"/>
        </w:rPr>
      </w:pPr>
      <w:r>
        <w:rPr>
          <w:rFonts w:hint="eastAsia"/>
          <w:b/>
          <w:kern w:val="2"/>
          <w:sz w:val="28"/>
          <w:szCs w:val="28"/>
          <w:lang w:eastAsia="zh-CN"/>
        </w:rPr>
        <w:t>七、</w:t>
      </w:r>
      <w:r>
        <w:rPr>
          <w:rFonts w:hint="eastAsia"/>
          <w:b/>
          <w:kern w:val="2"/>
          <w:sz w:val="28"/>
          <w:szCs w:val="28"/>
        </w:rPr>
        <w:t>招标文件要求的或供应商认为须提交的其他材料</w:t>
      </w:r>
      <w:bookmarkEnd w:id="339"/>
      <w:bookmarkEnd w:id="340"/>
      <w:bookmarkEnd w:id="341"/>
      <w:bookmarkEnd w:id="342"/>
    </w:p>
    <w:p>
      <w:pPr>
        <w:spacing w:line="600" w:lineRule="exact"/>
        <w:jc w:val="center"/>
        <w:rPr>
          <w:rFonts w:ascii="宋体" w:hAnsi="宋体" w:cs="宋体"/>
          <w:sz w:val="24"/>
        </w:rPr>
      </w:pPr>
      <w:r>
        <w:rPr>
          <w:rFonts w:hint="eastAsia" w:ascii="宋体" w:hAnsi="宋体" w:cs="宋体"/>
          <w:sz w:val="24"/>
        </w:rPr>
        <w:t>招标文件规定的其他资料及供应商认为需要提交的其他材料。</w:t>
      </w:r>
    </w:p>
    <w:p>
      <w:pPr>
        <w:spacing w:line="600" w:lineRule="exact"/>
        <w:ind w:firstLine="480" w:firstLineChars="200"/>
        <w:rPr>
          <w:rFonts w:ascii="宋体" w:hAnsi="宋体" w:cs="宋体"/>
          <w:sz w:val="24"/>
        </w:rPr>
      </w:pPr>
    </w:p>
    <w:p>
      <w:pPr>
        <w:widowControl/>
        <w:spacing w:line="580" w:lineRule="atLeast"/>
        <w:jc w:val="center"/>
        <w:rPr>
          <w:rFonts w:ascii="宋体" w:hAnsi="宋体" w:cs="宋体"/>
          <w:b/>
          <w:kern w:val="0"/>
          <w:sz w:val="32"/>
          <w:szCs w:val="32"/>
        </w:rPr>
      </w:pPr>
    </w:p>
    <w:p>
      <w:pPr>
        <w:pStyle w:val="53"/>
        <w:rPr>
          <w:rFonts w:ascii="宋体" w:hAnsi="宋体" w:cs="宋体"/>
          <w:b/>
          <w:bCs/>
          <w:kern w:val="0"/>
          <w:sz w:val="32"/>
          <w:szCs w:val="32"/>
        </w:rPr>
      </w:pPr>
    </w:p>
    <w:p>
      <w:pPr>
        <w:rPr>
          <w:rFonts w:ascii="宋体" w:hAnsi="宋体" w:cs="宋体"/>
          <w:b/>
          <w:bCs/>
          <w:kern w:val="0"/>
          <w:sz w:val="32"/>
          <w:szCs w:val="32"/>
        </w:rPr>
      </w:pPr>
    </w:p>
    <w:p>
      <w:pPr>
        <w:pStyle w:val="53"/>
        <w:rPr>
          <w:rFonts w:ascii="宋体" w:hAnsi="宋体" w:cs="宋体"/>
          <w:b/>
          <w:bCs/>
          <w:kern w:val="0"/>
          <w:sz w:val="32"/>
          <w:szCs w:val="32"/>
        </w:rPr>
      </w:pPr>
    </w:p>
    <w:p>
      <w:pPr>
        <w:rPr>
          <w:rFonts w:ascii="宋体" w:hAnsi="宋体" w:cs="宋体"/>
          <w:b/>
          <w:bCs/>
          <w:kern w:val="0"/>
          <w:sz w:val="32"/>
          <w:szCs w:val="32"/>
        </w:rPr>
      </w:pPr>
    </w:p>
    <w:p>
      <w:pPr>
        <w:pStyle w:val="53"/>
        <w:rPr>
          <w:rFonts w:ascii="宋体" w:hAnsi="宋体" w:cs="宋体"/>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kern w:val="0"/>
          <w:sz w:val="24"/>
        </w:rPr>
        <w:br w:type="page"/>
      </w:r>
    </w:p>
    <w:p>
      <w:pPr>
        <w:spacing w:line="360" w:lineRule="auto"/>
        <w:jc w:val="center"/>
        <w:rPr>
          <w:rFonts w:ascii="宋体" w:hAnsi="宋体" w:cs="宋体"/>
          <w:sz w:val="28"/>
          <w:szCs w:val="28"/>
        </w:rPr>
      </w:pPr>
      <w:r>
        <w:rPr>
          <w:rFonts w:hint="eastAsia" w:ascii="宋体" w:hAnsi="宋体" w:cs="宋体"/>
          <w:b/>
          <w:sz w:val="28"/>
          <w:szCs w:val="28"/>
        </w:rPr>
        <w:t>优化和提升政府采购政策</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一、全面取消采购文件费用和投标保证金费用。</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二、免收履约保证金。确因项目需要的，应以保函等非现金形式收取，比例不得超过合同金额的</w:t>
      </w:r>
      <w:r>
        <w:rPr>
          <w:rFonts w:hint="eastAsia" w:ascii="宋体" w:hAnsi="宋体" w:cs="宋体"/>
          <w:sz w:val="24"/>
          <w:u w:val="single"/>
        </w:rPr>
        <w:t>6%</w:t>
      </w:r>
      <w:r>
        <w:rPr>
          <w:rFonts w:hint="eastAsia" w:ascii="宋体" w:hAnsi="宋体" w:cs="宋体"/>
          <w:sz w:val="24"/>
        </w:rPr>
        <w:t>，并按约定的时间和条件退还。</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四、合同签订时限。自中标通知书发出之日起</w:t>
      </w:r>
      <w:r>
        <w:rPr>
          <w:rFonts w:hint="eastAsia" w:ascii="宋体" w:hAnsi="宋体" w:cs="宋体"/>
          <w:sz w:val="24"/>
          <w:u w:val="single"/>
        </w:rPr>
        <w:t>15</w:t>
      </w:r>
      <w:r>
        <w:rPr>
          <w:rFonts w:hint="eastAsia" w:ascii="宋体" w:hAnsi="宋体" w:cs="宋体"/>
          <w:sz w:val="24"/>
        </w:rPr>
        <w:t xml:space="preserve">日内，按照采购文件和投标文件确定的事项签订政府采购合同。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五、合同公告和备案时限。自合同签订之日起2个工作日内。</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六、项目验收。自收到供应商项目验收建议之日起7个工作日内组织验收；验收结束后2个工作日内出具《验收报告》，并在焦作市政府采购网公告验收结果。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在政府采购活动中，若发现采购人或采购代理机构未按以上政策执行的，可向监督部门举报反映。</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3"/>
        <w:rPr>
          <w:rFonts w:ascii="宋体" w:hAnsi="宋体" w:cs="宋体"/>
          <w:sz w:val="36"/>
          <w:szCs w:val="36"/>
        </w:rPr>
      </w:pPr>
    </w:p>
    <w:p>
      <w:pPr>
        <w:spacing w:line="440" w:lineRule="exact"/>
        <w:rPr>
          <w:rFonts w:ascii="宋体" w:hAnsi="宋体" w:cs="宋体"/>
          <w:b/>
          <w:sz w:val="36"/>
          <w:szCs w:val="36"/>
        </w:rPr>
      </w:pPr>
    </w:p>
    <w:p>
      <w:pPr>
        <w:pStyle w:val="24"/>
        <w:rPr>
          <w:rFonts w:ascii="宋体" w:hAnsi="宋体" w:cs="宋体"/>
          <w:b/>
          <w:sz w:val="36"/>
          <w:szCs w:val="36"/>
        </w:rPr>
      </w:pPr>
    </w:p>
    <w:p>
      <w:pPr>
        <w:pStyle w:val="25"/>
        <w:rPr>
          <w:rFonts w:ascii="宋体" w:hAnsi="宋体" w:cs="宋体"/>
          <w:b/>
          <w:sz w:val="36"/>
          <w:szCs w:val="36"/>
        </w:rPr>
      </w:pPr>
    </w:p>
    <w:p>
      <w:pPr>
        <w:pStyle w:val="5"/>
      </w:pPr>
    </w:p>
    <w:p>
      <w:pPr>
        <w:pStyle w:val="34"/>
        <w:rPr>
          <w:rFonts w:ascii="宋体" w:hAnsi="宋体" w:cs="宋体"/>
        </w:rPr>
      </w:pPr>
    </w:p>
    <w:p>
      <w:pPr>
        <w:spacing w:line="440" w:lineRule="exact"/>
        <w:jc w:val="center"/>
        <w:rPr>
          <w:rFonts w:ascii="宋体" w:hAnsi="宋体" w:cs="宋体"/>
          <w:b/>
          <w:sz w:val="36"/>
          <w:szCs w:val="36"/>
        </w:rPr>
      </w:pPr>
    </w:p>
    <w:p>
      <w:pPr>
        <w:spacing w:line="440" w:lineRule="exact"/>
        <w:jc w:val="center"/>
        <w:rPr>
          <w:rFonts w:ascii="宋体" w:hAnsi="宋体" w:cs="宋体"/>
          <w:b/>
          <w:sz w:val="28"/>
          <w:szCs w:val="28"/>
        </w:rPr>
      </w:pPr>
      <w:r>
        <w:rPr>
          <w:rFonts w:hint="eastAsia" w:ascii="宋体" w:hAnsi="宋体" w:cs="宋体"/>
          <w:b/>
          <w:sz w:val="28"/>
          <w:szCs w:val="28"/>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cs="宋体"/>
          <w:b/>
          <w:sz w:val="32"/>
          <w:szCs w:val="32"/>
        </w:rPr>
      </w:pPr>
      <w:r>
        <w:rPr>
          <w:rFonts w:hint="eastAsia" w:ascii="宋体" w:hAnsi="宋体" w:cs="宋体"/>
          <w:b/>
          <w:sz w:val="32"/>
          <w:szCs w:val="32"/>
        </w:rPr>
        <w:t>焦作市政府采购合同融资合作企业</w:t>
      </w:r>
    </w:p>
    <w:tbl>
      <w:tblPr>
        <w:tblStyle w:val="26"/>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名称</w:t>
            </w:r>
          </w:p>
        </w:tc>
        <w:tc>
          <w:tcPr>
            <w:tcW w:w="1353"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联系人</w:t>
            </w:r>
          </w:p>
        </w:tc>
        <w:tc>
          <w:tcPr>
            <w:tcW w:w="2064"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联系电话</w:t>
            </w:r>
          </w:p>
        </w:tc>
        <w:tc>
          <w:tcPr>
            <w:tcW w:w="2558"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中国农业银行股份有限公司焦作分行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rPr>
      </w:pPr>
      <w:r>
        <w:rPr>
          <w:rFonts w:hint="eastAsia" w:ascii="宋体" w:hAnsi="宋体" w:cs="宋体"/>
          <w:sz w:val="24"/>
        </w:rPr>
        <w:t>备注：融资服务机构名单和人员联系方式会随时变化。具体情况可登录“焦作市政府采购网”政府采购合同融资平台查询。</w:t>
      </w:r>
    </w:p>
    <w:sectPr>
      <w:headerReference r:id="rId8" w:type="default"/>
      <w:footerReference r:id="rId9" w:type="default"/>
      <w:pgSz w:w="11907" w:h="16840"/>
      <w:pgMar w:top="1440" w:right="1080" w:bottom="1440" w:left="1080" w:header="850" w:footer="998" w:gutter="0"/>
      <w:pgNumType w:fmt="decimal"/>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6"/>
        <w:szCs w:val="22"/>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E0071"/>
    <w:multiLevelType w:val="singleLevel"/>
    <w:tmpl w:val="8B2E0071"/>
    <w:lvl w:ilvl="0" w:tentative="0">
      <w:start w:val="1"/>
      <w:numFmt w:val="decimal"/>
      <w:suff w:val="nothing"/>
      <w:lvlText w:val="%1、"/>
      <w:lvlJc w:val="left"/>
    </w:lvl>
  </w:abstractNum>
  <w:abstractNum w:abstractNumId="1">
    <w:nsid w:val="A58974FB"/>
    <w:multiLevelType w:val="singleLevel"/>
    <w:tmpl w:val="A58974FB"/>
    <w:lvl w:ilvl="0" w:tentative="0">
      <w:start w:val="1"/>
      <w:numFmt w:val="decimal"/>
      <w:suff w:val="space"/>
      <w:lvlText w:val="%1."/>
      <w:lvlJc w:val="left"/>
    </w:lvl>
  </w:abstractNum>
  <w:abstractNum w:abstractNumId="2">
    <w:nsid w:val="B7CCEAB9"/>
    <w:multiLevelType w:val="singleLevel"/>
    <w:tmpl w:val="B7CCEAB9"/>
    <w:lvl w:ilvl="0" w:tentative="0">
      <w:start w:val="1"/>
      <w:numFmt w:val="decimal"/>
      <w:suff w:val="space"/>
      <w:lvlText w:val="%1."/>
      <w:lvlJc w:val="left"/>
      <w:pPr>
        <w:ind w:left="600" w:firstLine="0"/>
      </w:pPr>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074054F6"/>
    <w:multiLevelType w:val="multilevel"/>
    <w:tmpl w:val="074054F6"/>
    <w:lvl w:ilvl="0" w:tentative="0">
      <w:start w:val="1"/>
      <w:numFmt w:val="decimal"/>
      <w:pStyle w:val="4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253809FE"/>
    <w:multiLevelType w:val="singleLevel"/>
    <w:tmpl w:val="253809FE"/>
    <w:lvl w:ilvl="0" w:tentative="0">
      <w:start w:val="6"/>
      <w:numFmt w:val="chineseCounting"/>
      <w:suff w:val="space"/>
      <w:lvlText w:val="第%1章"/>
      <w:lvlJc w:val="left"/>
      <w:rPr>
        <w:rFonts w:hint="eastAsia"/>
      </w:rPr>
    </w:lvl>
  </w:abstractNum>
  <w:abstractNum w:abstractNumId="7">
    <w:nsid w:val="59951865"/>
    <w:multiLevelType w:val="singleLevel"/>
    <w:tmpl w:val="59951865"/>
    <w:lvl w:ilvl="0" w:tentative="0">
      <w:start w:val="1"/>
      <w:numFmt w:val="decimal"/>
      <w:suff w:val="nothing"/>
      <w:lvlText w:val="%1、"/>
      <w:lvlJc w:val="left"/>
    </w:lvl>
  </w:abstractNum>
  <w:abstractNum w:abstractNumId="8">
    <w:nsid w:val="59CCA2E1"/>
    <w:multiLevelType w:val="singleLevel"/>
    <w:tmpl w:val="59CCA2E1"/>
    <w:lvl w:ilvl="0" w:tentative="0">
      <w:start w:val="1"/>
      <w:numFmt w:val="decimal"/>
      <w:suff w:val="nothing"/>
      <w:lvlText w:val="（%1）"/>
      <w:lvlJc w:val="left"/>
    </w:lvl>
  </w:abstractNum>
  <w:abstractNum w:abstractNumId="9">
    <w:nsid w:val="5C8DC644"/>
    <w:multiLevelType w:val="singleLevel"/>
    <w:tmpl w:val="5C8DC644"/>
    <w:lvl w:ilvl="0" w:tentative="0">
      <w:start w:val="1"/>
      <w:numFmt w:val="decimal"/>
      <w:suff w:val="nothing"/>
      <w:lvlText w:val="%1、"/>
      <w:lvlJc w:val="left"/>
    </w:lvl>
  </w:abstractNum>
  <w:abstractNum w:abstractNumId="10">
    <w:nsid w:val="6BBC29D3"/>
    <w:multiLevelType w:val="singleLevel"/>
    <w:tmpl w:val="6BBC29D3"/>
    <w:lvl w:ilvl="0" w:tentative="0">
      <w:start w:val="3"/>
      <w:numFmt w:val="chineseCounting"/>
      <w:suff w:val="space"/>
      <w:lvlText w:val="第%1章"/>
      <w:lvlJc w:val="left"/>
      <w:rPr>
        <w:rFonts w:hint="eastAsia"/>
      </w:rPr>
    </w:lvl>
  </w:abstractNum>
  <w:abstractNum w:abstractNumId="11">
    <w:nsid w:val="6F92A75D"/>
    <w:multiLevelType w:val="singleLevel"/>
    <w:tmpl w:val="6F92A75D"/>
    <w:lvl w:ilvl="0" w:tentative="0">
      <w:start w:val="12"/>
      <w:numFmt w:val="decimal"/>
      <w:suff w:val="nothing"/>
      <w:lvlText w:val="%1、"/>
      <w:lvlJc w:val="left"/>
    </w:lvl>
  </w:abstractNum>
  <w:abstractNum w:abstractNumId="12">
    <w:nsid w:val="768FB672"/>
    <w:multiLevelType w:val="singleLevel"/>
    <w:tmpl w:val="768FB672"/>
    <w:lvl w:ilvl="0" w:tentative="0">
      <w:start w:val="4"/>
      <w:numFmt w:val="chineseCounting"/>
      <w:suff w:val="nothing"/>
      <w:lvlText w:val="%1、"/>
      <w:lvlJc w:val="left"/>
      <w:pPr>
        <w:ind w:left="-60"/>
      </w:pPr>
      <w:rPr>
        <w:rFonts w:hint="eastAsia"/>
      </w:rPr>
    </w:lvl>
  </w:abstractNum>
  <w:abstractNum w:abstractNumId="13">
    <w:nsid w:val="78038F50"/>
    <w:multiLevelType w:val="singleLevel"/>
    <w:tmpl w:val="78038F50"/>
    <w:lvl w:ilvl="0" w:tentative="0">
      <w:start w:val="1"/>
      <w:numFmt w:val="decimal"/>
      <w:lvlText w:val="%1."/>
      <w:lvlJc w:val="left"/>
      <w:pPr>
        <w:tabs>
          <w:tab w:val="left" w:pos="312"/>
        </w:tabs>
      </w:pPr>
    </w:lvl>
  </w:abstractNum>
  <w:num w:numId="1">
    <w:abstractNumId w:val="4"/>
  </w:num>
  <w:num w:numId="2">
    <w:abstractNumId w:val="3"/>
  </w:num>
  <w:num w:numId="3">
    <w:abstractNumId w:val="10"/>
  </w:num>
  <w:num w:numId="4">
    <w:abstractNumId w:val="13"/>
  </w:num>
  <w:num w:numId="5">
    <w:abstractNumId w:val="12"/>
  </w:num>
  <w:num w:numId="6">
    <w:abstractNumId w:val="11"/>
  </w:num>
  <w:num w:numId="7">
    <w:abstractNumId w:val="7"/>
  </w:num>
  <w:num w:numId="8">
    <w:abstractNumId w:val="0"/>
  </w:num>
  <w:num w:numId="9">
    <w:abstractNumId w:val="9"/>
  </w:num>
  <w:num w:numId="10">
    <w:abstractNumId w:val="6"/>
  </w:num>
  <w:num w:numId="11">
    <w:abstractNumId w:val="5"/>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YzU5OTczZDgyZWFkMjg5YTNkNmY4NzhmNGNhZGEifQ=="/>
  </w:docVars>
  <w:rsids>
    <w:rsidRoot w:val="00CF3BAF"/>
    <w:rsid w:val="000E2D26"/>
    <w:rsid w:val="00281BCC"/>
    <w:rsid w:val="0034193D"/>
    <w:rsid w:val="0036139C"/>
    <w:rsid w:val="003641CF"/>
    <w:rsid w:val="00382698"/>
    <w:rsid w:val="003B0152"/>
    <w:rsid w:val="00414B3D"/>
    <w:rsid w:val="004E39AE"/>
    <w:rsid w:val="00531C94"/>
    <w:rsid w:val="005D05AD"/>
    <w:rsid w:val="006479DF"/>
    <w:rsid w:val="0066418C"/>
    <w:rsid w:val="00666E50"/>
    <w:rsid w:val="006B2CA3"/>
    <w:rsid w:val="006D7342"/>
    <w:rsid w:val="006D778E"/>
    <w:rsid w:val="00723732"/>
    <w:rsid w:val="007240B4"/>
    <w:rsid w:val="007944BD"/>
    <w:rsid w:val="007E7D25"/>
    <w:rsid w:val="00823A9C"/>
    <w:rsid w:val="009424C4"/>
    <w:rsid w:val="009D73E0"/>
    <w:rsid w:val="00AB75B4"/>
    <w:rsid w:val="00B156D1"/>
    <w:rsid w:val="00C94A06"/>
    <w:rsid w:val="00C94AF7"/>
    <w:rsid w:val="00C94F3C"/>
    <w:rsid w:val="00CF3BAF"/>
    <w:rsid w:val="00D049E6"/>
    <w:rsid w:val="00D11977"/>
    <w:rsid w:val="00D904BB"/>
    <w:rsid w:val="00D907EC"/>
    <w:rsid w:val="00E0562D"/>
    <w:rsid w:val="00E61A34"/>
    <w:rsid w:val="00E72FB4"/>
    <w:rsid w:val="00F53A00"/>
    <w:rsid w:val="00FB3E02"/>
    <w:rsid w:val="00FC74CB"/>
    <w:rsid w:val="015A0ED7"/>
    <w:rsid w:val="019C74BD"/>
    <w:rsid w:val="01A249C3"/>
    <w:rsid w:val="01CD0413"/>
    <w:rsid w:val="01FD42EF"/>
    <w:rsid w:val="0224187C"/>
    <w:rsid w:val="023A16F5"/>
    <w:rsid w:val="02534437"/>
    <w:rsid w:val="02A079AD"/>
    <w:rsid w:val="02AD7AC3"/>
    <w:rsid w:val="02B2279A"/>
    <w:rsid w:val="02C572FD"/>
    <w:rsid w:val="02D07C54"/>
    <w:rsid w:val="02D346FD"/>
    <w:rsid w:val="03237D85"/>
    <w:rsid w:val="033F393B"/>
    <w:rsid w:val="038D6339"/>
    <w:rsid w:val="03B629A7"/>
    <w:rsid w:val="03C3096B"/>
    <w:rsid w:val="03EC16DB"/>
    <w:rsid w:val="03ED5BC4"/>
    <w:rsid w:val="03EF01A2"/>
    <w:rsid w:val="04351B1E"/>
    <w:rsid w:val="04446205"/>
    <w:rsid w:val="044C6E68"/>
    <w:rsid w:val="04730C9A"/>
    <w:rsid w:val="047563BF"/>
    <w:rsid w:val="047C67F1"/>
    <w:rsid w:val="04806EAA"/>
    <w:rsid w:val="049A5F70"/>
    <w:rsid w:val="04BD38C2"/>
    <w:rsid w:val="04C133B2"/>
    <w:rsid w:val="04E04210"/>
    <w:rsid w:val="04F14708"/>
    <w:rsid w:val="04F44273"/>
    <w:rsid w:val="05476DA0"/>
    <w:rsid w:val="057D7DBB"/>
    <w:rsid w:val="0584083C"/>
    <w:rsid w:val="0587053C"/>
    <w:rsid w:val="05CF063D"/>
    <w:rsid w:val="061F1094"/>
    <w:rsid w:val="064662A5"/>
    <w:rsid w:val="064B3EA8"/>
    <w:rsid w:val="0654535D"/>
    <w:rsid w:val="06760F6D"/>
    <w:rsid w:val="067F5595"/>
    <w:rsid w:val="069A3EBB"/>
    <w:rsid w:val="06D03D80"/>
    <w:rsid w:val="06F1337E"/>
    <w:rsid w:val="06FB674B"/>
    <w:rsid w:val="074D4119"/>
    <w:rsid w:val="079923C4"/>
    <w:rsid w:val="07997BA5"/>
    <w:rsid w:val="08355432"/>
    <w:rsid w:val="083A174E"/>
    <w:rsid w:val="083B347B"/>
    <w:rsid w:val="083D3697"/>
    <w:rsid w:val="08760CC8"/>
    <w:rsid w:val="0885658D"/>
    <w:rsid w:val="08B6562F"/>
    <w:rsid w:val="08CB678E"/>
    <w:rsid w:val="090655BA"/>
    <w:rsid w:val="094B5940"/>
    <w:rsid w:val="09DE60EB"/>
    <w:rsid w:val="09EF451D"/>
    <w:rsid w:val="0A051F93"/>
    <w:rsid w:val="0A253323"/>
    <w:rsid w:val="0A645EB1"/>
    <w:rsid w:val="0A742C74"/>
    <w:rsid w:val="0ACC0835"/>
    <w:rsid w:val="0ACE05D7"/>
    <w:rsid w:val="0AF674AA"/>
    <w:rsid w:val="0AFE4F5A"/>
    <w:rsid w:val="0B057D70"/>
    <w:rsid w:val="0B072F0F"/>
    <w:rsid w:val="0B2D5070"/>
    <w:rsid w:val="0B4A6B00"/>
    <w:rsid w:val="0B664CB3"/>
    <w:rsid w:val="0BA457DB"/>
    <w:rsid w:val="0C051155"/>
    <w:rsid w:val="0C076843"/>
    <w:rsid w:val="0C0F4630"/>
    <w:rsid w:val="0C1A1EAE"/>
    <w:rsid w:val="0C2D57D1"/>
    <w:rsid w:val="0C3220F9"/>
    <w:rsid w:val="0C913FB2"/>
    <w:rsid w:val="0CBA5DD0"/>
    <w:rsid w:val="0CD05128"/>
    <w:rsid w:val="0CDA3277"/>
    <w:rsid w:val="0CF955DF"/>
    <w:rsid w:val="0D106594"/>
    <w:rsid w:val="0D270828"/>
    <w:rsid w:val="0D297A40"/>
    <w:rsid w:val="0D380844"/>
    <w:rsid w:val="0D3A1F53"/>
    <w:rsid w:val="0D792EC2"/>
    <w:rsid w:val="0D81592D"/>
    <w:rsid w:val="0D8716C8"/>
    <w:rsid w:val="0DC71EAB"/>
    <w:rsid w:val="0DE853AC"/>
    <w:rsid w:val="0E372AA8"/>
    <w:rsid w:val="0E412ABE"/>
    <w:rsid w:val="0E651252"/>
    <w:rsid w:val="0E682982"/>
    <w:rsid w:val="0E8C0D4D"/>
    <w:rsid w:val="0EA33B28"/>
    <w:rsid w:val="0EDC105C"/>
    <w:rsid w:val="0EDE6CBA"/>
    <w:rsid w:val="0EF32EFA"/>
    <w:rsid w:val="0F0410E0"/>
    <w:rsid w:val="0F2464E9"/>
    <w:rsid w:val="0FDE2EA6"/>
    <w:rsid w:val="0FE73EE9"/>
    <w:rsid w:val="1012372A"/>
    <w:rsid w:val="101D658D"/>
    <w:rsid w:val="10305890"/>
    <w:rsid w:val="10544429"/>
    <w:rsid w:val="107A1722"/>
    <w:rsid w:val="10BB41F6"/>
    <w:rsid w:val="110F7AF4"/>
    <w:rsid w:val="11294F78"/>
    <w:rsid w:val="115D157E"/>
    <w:rsid w:val="119A56B6"/>
    <w:rsid w:val="11A25357"/>
    <w:rsid w:val="11AE4CBE"/>
    <w:rsid w:val="11B34CF4"/>
    <w:rsid w:val="11CD6280"/>
    <w:rsid w:val="11E80B0D"/>
    <w:rsid w:val="11EC5893"/>
    <w:rsid w:val="11F2782C"/>
    <w:rsid w:val="12055F77"/>
    <w:rsid w:val="12253125"/>
    <w:rsid w:val="12253216"/>
    <w:rsid w:val="125F42F7"/>
    <w:rsid w:val="12A473AA"/>
    <w:rsid w:val="12AA67B8"/>
    <w:rsid w:val="13732E71"/>
    <w:rsid w:val="13901621"/>
    <w:rsid w:val="1395655F"/>
    <w:rsid w:val="13FF40BD"/>
    <w:rsid w:val="14397409"/>
    <w:rsid w:val="143C687A"/>
    <w:rsid w:val="144162BD"/>
    <w:rsid w:val="144353ED"/>
    <w:rsid w:val="144D63F0"/>
    <w:rsid w:val="14542E3B"/>
    <w:rsid w:val="14860849"/>
    <w:rsid w:val="14E629C1"/>
    <w:rsid w:val="14F2765E"/>
    <w:rsid w:val="15210B5F"/>
    <w:rsid w:val="152E231F"/>
    <w:rsid w:val="159A1461"/>
    <w:rsid w:val="15DF5D8E"/>
    <w:rsid w:val="164D1414"/>
    <w:rsid w:val="165F3BC6"/>
    <w:rsid w:val="16663DB9"/>
    <w:rsid w:val="16997753"/>
    <w:rsid w:val="169D288C"/>
    <w:rsid w:val="16A018F6"/>
    <w:rsid w:val="16D65438"/>
    <w:rsid w:val="16EB2510"/>
    <w:rsid w:val="1706617A"/>
    <w:rsid w:val="1712066B"/>
    <w:rsid w:val="17350DFC"/>
    <w:rsid w:val="174E00A5"/>
    <w:rsid w:val="178070FD"/>
    <w:rsid w:val="179C380B"/>
    <w:rsid w:val="17AC6DF4"/>
    <w:rsid w:val="17D02C45"/>
    <w:rsid w:val="181D2455"/>
    <w:rsid w:val="18247F4A"/>
    <w:rsid w:val="183D74A2"/>
    <w:rsid w:val="188327F5"/>
    <w:rsid w:val="18AE13FF"/>
    <w:rsid w:val="18C45473"/>
    <w:rsid w:val="18DF6EA4"/>
    <w:rsid w:val="191169DA"/>
    <w:rsid w:val="196A7BE4"/>
    <w:rsid w:val="19CC03D7"/>
    <w:rsid w:val="19CD0334"/>
    <w:rsid w:val="19DE4DBB"/>
    <w:rsid w:val="19EF2318"/>
    <w:rsid w:val="19FF69FF"/>
    <w:rsid w:val="1A2B26E2"/>
    <w:rsid w:val="1A843CE5"/>
    <w:rsid w:val="1A913822"/>
    <w:rsid w:val="1A957E6A"/>
    <w:rsid w:val="1B041DF3"/>
    <w:rsid w:val="1B1F03A0"/>
    <w:rsid w:val="1B33310F"/>
    <w:rsid w:val="1BD529D4"/>
    <w:rsid w:val="1BE9127A"/>
    <w:rsid w:val="1BEC2A23"/>
    <w:rsid w:val="1C211654"/>
    <w:rsid w:val="1C2D32A0"/>
    <w:rsid w:val="1C352369"/>
    <w:rsid w:val="1C3D42E7"/>
    <w:rsid w:val="1C753023"/>
    <w:rsid w:val="1C9363D1"/>
    <w:rsid w:val="1CBF06C7"/>
    <w:rsid w:val="1CD57C9C"/>
    <w:rsid w:val="1CEB326A"/>
    <w:rsid w:val="1D1E6C5C"/>
    <w:rsid w:val="1D2360F1"/>
    <w:rsid w:val="1D5A65E9"/>
    <w:rsid w:val="1D6923E1"/>
    <w:rsid w:val="1D887F78"/>
    <w:rsid w:val="1DA90CED"/>
    <w:rsid w:val="1DC13FCB"/>
    <w:rsid w:val="1DD65CC8"/>
    <w:rsid w:val="1DDA0B91"/>
    <w:rsid w:val="1E212A6F"/>
    <w:rsid w:val="1E331F19"/>
    <w:rsid w:val="1E360353"/>
    <w:rsid w:val="1E3F22B3"/>
    <w:rsid w:val="1E471A6E"/>
    <w:rsid w:val="1E4779B9"/>
    <w:rsid w:val="1E9F1834"/>
    <w:rsid w:val="1EB33136"/>
    <w:rsid w:val="1EB47120"/>
    <w:rsid w:val="1EBB6248"/>
    <w:rsid w:val="1ED67807"/>
    <w:rsid w:val="1EE937D9"/>
    <w:rsid w:val="1F111512"/>
    <w:rsid w:val="1F7D78F4"/>
    <w:rsid w:val="1F8D2032"/>
    <w:rsid w:val="1FCF0C21"/>
    <w:rsid w:val="1FF40688"/>
    <w:rsid w:val="2043516B"/>
    <w:rsid w:val="20820C62"/>
    <w:rsid w:val="208B0045"/>
    <w:rsid w:val="20E259AF"/>
    <w:rsid w:val="21551087"/>
    <w:rsid w:val="219C4D8C"/>
    <w:rsid w:val="21BC5882"/>
    <w:rsid w:val="21BF16DB"/>
    <w:rsid w:val="21C91F74"/>
    <w:rsid w:val="21D873DA"/>
    <w:rsid w:val="21EF4232"/>
    <w:rsid w:val="221E1096"/>
    <w:rsid w:val="22417174"/>
    <w:rsid w:val="224430C8"/>
    <w:rsid w:val="228357B3"/>
    <w:rsid w:val="22851F14"/>
    <w:rsid w:val="22937A29"/>
    <w:rsid w:val="229D04C5"/>
    <w:rsid w:val="22D44F9A"/>
    <w:rsid w:val="22D97B1D"/>
    <w:rsid w:val="237E05CC"/>
    <w:rsid w:val="23841D23"/>
    <w:rsid w:val="23A75A11"/>
    <w:rsid w:val="23AC4AA2"/>
    <w:rsid w:val="23C21A0E"/>
    <w:rsid w:val="2438180A"/>
    <w:rsid w:val="24402787"/>
    <w:rsid w:val="244B62E0"/>
    <w:rsid w:val="24581EC9"/>
    <w:rsid w:val="245D7AC3"/>
    <w:rsid w:val="24612217"/>
    <w:rsid w:val="250D077C"/>
    <w:rsid w:val="2584425C"/>
    <w:rsid w:val="25B93555"/>
    <w:rsid w:val="25C66622"/>
    <w:rsid w:val="25D13487"/>
    <w:rsid w:val="25EA095E"/>
    <w:rsid w:val="25F12CF3"/>
    <w:rsid w:val="26211AAB"/>
    <w:rsid w:val="263374CD"/>
    <w:rsid w:val="26393AC2"/>
    <w:rsid w:val="2671382C"/>
    <w:rsid w:val="26AE7E29"/>
    <w:rsid w:val="26AF355A"/>
    <w:rsid w:val="26CA3EF0"/>
    <w:rsid w:val="27070CA1"/>
    <w:rsid w:val="27C052F3"/>
    <w:rsid w:val="27CE4396"/>
    <w:rsid w:val="283F4141"/>
    <w:rsid w:val="287019A1"/>
    <w:rsid w:val="288D3224"/>
    <w:rsid w:val="28BA7F95"/>
    <w:rsid w:val="28BD1C36"/>
    <w:rsid w:val="29583D25"/>
    <w:rsid w:val="297354DE"/>
    <w:rsid w:val="29A97E89"/>
    <w:rsid w:val="29AD1F3E"/>
    <w:rsid w:val="29BF788B"/>
    <w:rsid w:val="2A1118F0"/>
    <w:rsid w:val="2A334727"/>
    <w:rsid w:val="2A571F3F"/>
    <w:rsid w:val="2A877B3A"/>
    <w:rsid w:val="2AEC5AB9"/>
    <w:rsid w:val="2B30453E"/>
    <w:rsid w:val="2B9A5BB7"/>
    <w:rsid w:val="2BFE5946"/>
    <w:rsid w:val="2C5243EF"/>
    <w:rsid w:val="2C9E3204"/>
    <w:rsid w:val="2CAB2971"/>
    <w:rsid w:val="2CBD60AC"/>
    <w:rsid w:val="2CE61600"/>
    <w:rsid w:val="2D217C65"/>
    <w:rsid w:val="2D4759F0"/>
    <w:rsid w:val="2D4B17C9"/>
    <w:rsid w:val="2D5C5A09"/>
    <w:rsid w:val="2DDA23E8"/>
    <w:rsid w:val="2DFB7085"/>
    <w:rsid w:val="2E346FDA"/>
    <w:rsid w:val="2E36070D"/>
    <w:rsid w:val="2E7164C1"/>
    <w:rsid w:val="2E9A064C"/>
    <w:rsid w:val="2ED80964"/>
    <w:rsid w:val="2F4358AA"/>
    <w:rsid w:val="2F4D6159"/>
    <w:rsid w:val="2FA713A3"/>
    <w:rsid w:val="2FDC5ED2"/>
    <w:rsid w:val="2FDD5FA0"/>
    <w:rsid w:val="2FF8474F"/>
    <w:rsid w:val="30204B81"/>
    <w:rsid w:val="3054090C"/>
    <w:rsid w:val="305F6F5A"/>
    <w:rsid w:val="30766F52"/>
    <w:rsid w:val="31012C04"/>
    <w:rsid w:val="31174440"/>
    <w:rsid w:val="315301E3"/>
    <w:rsid w:val="315E08FB"/>
    <w:rsid w:val="3163566D"/>
    <w:rsid w:val="316B691F"/>
    <w:rsid w:val="3196654A"/>
    <w:rsid w:val="31AC19A4"/>
    <w:rsid w:val="31B301DE"/>
    <w:rsid w:val="31B97E17"/>
    <w:rsid w:val="31FF7E7F"/>
    <w:rsid w:val="32323203"/>
    <w:rsid w:val="32384404"/>
    <w:rsid w:val="323B2146"/>
    <w:rsid w:val="32466B0F"/>
    <w:rsid w:val="327D1486"/>
    <w:rsid w:val="3281581E"/>
    <w:rsid w:val="32931F82"/>
    <w:rsid w:val="32AC094E"/>
    <w:rsid w:val="32DD09B1"/>
    <w:rsid w:val="32DF2AD1"/>
    <w:rsid w:val="33103EA3"/>
    <w:rsid w:val="33596D28"/>
    <w:rsid w:val="33737977"/>
    <w:rsid w:val="337F7BF3"/>
    <w:rsid w:val="338F3F5A"/>
    <w:rsid w:val="33951DBC"/>
    <w:rsid w:val="3396158A"/>
    <w:rsid w:val="3398566D"/>
    <w:rsid w:val="33B84EB1"/>
    <w:rsid w:val="33BA180B"/>
    <w:rsid w:val="33CB74FA"/>
    <w:rsid w:val="33EF31E8"/>
    <w:rsid w:val="340561D4"/>
    <w:rsid w:val="34123199"/>
    <w:rsid w:val="34242DD3"/>
    <w:rsid w:val="34375174"/>
    <w:rsid w:val="343D702F"/>
    <w:rsid w:val="34692F9B"/>
    <w:rsid w:val="34735BC7"/>
    <w:rsid w:val="34745AAA"/>
    <w:rsid w:val="34A57D4B"/>
    <w:rsid w:val="34BF0E0C"/>
    <w:rsid w:val="34EA3DEA"/>
    <w:rsid w:val="356103C1"/>
    <w:rsid w:val="35624307"/>
    <w:rsid w:val="35697DFF"/>
    <w:rsid w:val="35A324DC"/>
    <w:rsid w:val="35EF40B4"/>
    <w:rsid w:val="3679469E"/>
    <w:rsid w:val="367C137F"/>
    <w:rsid w:val="36F2243E"/>
    <w:rsid w:val="3711635E"/>
    <w:rsid w:val="371511B8"/>
    <w:rsid w:val="37316346"/>
    <w:rsid w:val="37476E97"/>
    <w:rsid w:val="37696BED"/>
    <w:rsid w:val="376D0FF4"/>
    <w:rsid w:val="37740FCE"/>
    <w:rsid w:val="37825A15"/>
    <w:rsid w:val="37B07132"/>
    <w:rsid w:val="37BB5BE3"/>
    <w:rsid w:val="380F6394"/>
    <w:rsid w:val="3812008E"/>
    <w:rsid w:val="382C0303"/>
    <w:rsid w:val="38365225"/>
    <w:rsid w:val="385E298D"/>
    <w:rsid w:val="389820A0"/>
    <w:rsid w:val="389B4E02"/>
    <w:rsid w:val="38C56745"/>
    <w:rsid w:val="38ED5B17"/>
    <w:rsid w:val="391F5908"/>
    <w:rsid w:val="396E4BAF"/>
    <w:rsid w:val="39F31703"/>
    <w:rsid w:val="3A310127"/>
    <w:rsid w:val="3A4A701C"/>
    <w:rsid w:val="3A7F08F8"/>
    <w:rsid w:val="3ABD3090"/>
    <w:rsid w:val="3AC405E4"/>
    <w:rsid w:val="3AEC222F"/>
    <w:rsid w:val="3AF31810"/>
    <w:rsid w:val="3B334A39"/>
    <w:rsid w:val="3B3B31B7"/>
    <w:rsid w:val="3B451940"/>
    <w:rsid w:val="3B5B5607"/>
    <w:rsid w:val="3B680882"/>
    <w:rsid w:val="3B7B35B3"/>
    <w:rsid w:val="3BF84C04"/>
    <w:rsid w:val="3C3E4D0D"/>
    <w:rsid w:val="3C5740DD"/>
    <w:rsid w:val="3C806CA2"/>
    <w:rsid w:val="3C875BD5"/>
    <w:rsid w:val="3D20040A"/>
    <w:rsid w:val="3D3F6549"/>
    <w:rsid w:val="3D4751E1"/>
    <w:rsid w:val="3D532A3A"/>
    <w:rsid w:val="3D544A5A"/>
    <w:rsid w:val="3D561139"/>
    <w:rsid w:val="3D6E3B32"/>
    <w:rsid w:val="3D773197"/>
    <w:rsid w:val="3D7F55DD"/>
    <w:rsid w:val="3DA476DF"/>
    <w:rsid w:val="3DA82AC2"/>
    <w:rsid w:val="3DC4168B"/>
    <w:rsid w:val="3E0E070F"/>
    <w:rsid w:val="3E3D23ED"/>
    <w:rsid w:val="3E3D2DA2"/>
    <w:rsid w:val="3E504EFA"/>
    <w:rsid w:val="3E590BEC"/>
    <w:rsid w:val="3E691AD9"/>
    <w:rsid w:val="3E8D7BD1"/>
    <w:rsid w:val="3E8E1D06"/>
    <w:rsid w:val="3E957D58"/>
    <w:rsid w:val="3EB43064"/>
    <w:rsid w:val="3EFD0EAF"/>
    <w:rsid w:val="3F51170A"/>
    <w:rsid w:val="3FD074F4"/>
    <w:rsid w:val="3FD66319"/>
    <w:rsid w:val="407C1AED"/>
    <w:rsid w:val="40920F06"/>
    <w:rsid w:val="40AE6405"/>
    <w:rsid w:val="40D55514"/>
    <w:rsid w:val="40E2372C"/>
    <w:rsid w:val="41001CDB"/>
    <w:rsid w:val="41432623"/>
    <w:rsid w:val="417B430D"/>
    <w:rsid w:val="419D1E08"/>
    <w:rsid w:val="41A82C28"/>
    <w:rsid w:val="41F75B2D"/>
    <w:rsid w:val="420C4EF5"/>
    <w:rsid w:val="42181E5B"/>
    <w:rsid w:val="425E4C07"/>
    <w:rsid w:val="429105A6"/>
    <w:rsid w:val="42B75819"/>
    <w:rsid w:val="42C65A5C"/>
    <w:rsid w:val="42CF1785"/>
    <w:rsid w:val="42D53B65"/>
    <w:rsid w:val="42E02E33"/>
    <w:rsid w:val="42F460AF"/>
    <w:rsid w:val="42F65BA4"/>
    <w:rsid w:val="43000F6E"/>
    <w:rsid w:val="43764BFE"/>
    <w:rsid w:val="43CF26EE"/>
    <w:rsid w:val="43E20C41"/>
    <w:rsid w:val="43F97022"/>
    <w:rsid w:val="44035AC2"/>
    <w:rsid w:val="440A24EA"/>
    <w:rsid w:val="4453447A"/>
    <w:rsid w:val="44625310"/>
    <w:rsid w:val="44BB2A9F"/>
    <w:rsid w:val="44E855CD"/>
    <w:rsid w:val="44EB10C3"/>
    <w:rsid w:val="44FC5765"/>
    <w:rsid w:val="45156827"/>
    <w:rsid w:val="451E56DB"/>
    <w:rsid w:val="45305047"/>
    <w:rsid w:val="45847714"/>
    <w:rsid w:val="459B770E"/>
    <w:rsid w:val="45C45DB8"/>
    <w:rsid w:val="45D313A6"/>
    <w:rsid w:val="45D94A67"/>
    <w:rsid w:val="45E375FE"/>
    <w:rsid w:val="46040D75"/>
    <w:rsid w:val="46560EA5"/>
    <w:rsid w:val="465F404D"/>
    <w:rsid w:val="46715CDF"/>
    <w:rsid w:val="46C17760"/>
    <w:rsid w:val="471C20EE"/>
    <w:rsid w:val="472509CB"/>
    <w:rsid w:val="47673460"/>
    <w:rsid w:val="477517FF"/>
    <w:rsid w:val="478A2A55"/>
    <w:rsid w:val="47986858"/>
    <w:rsid w:val="47EA7AF7"/>
    <w:rsid w:val="47EB734B"/>
    <w:rsid w:val="47F33399"/>
    <w:rsid w:val="484F02A2"/>
    <w:rsid w:val="48587156"/>
    <w:rsid w:val="486C7808"/>
    <w:rsid w:val="486E372E"/>
    <w:rsid w:val="4876582E"/>
    <w:rsid w:val="48934AEB"/>
    <w:rsid w:val="48DC71AB"/>
    <w:rsid w:val="492B03C7"/>
    <w:rsid w:val="492E33C0"/>
    <w:rsid w:val="495261A3"/>
    <w:rsid w:val="4956400F"/>
    <w:rsid w:val="495F62C2"/>
    <w:rsid w:val="496454F1"/>
    <w:rsid w:val="497E6723"/>
    <w:rsid w:val="49867716"/>
    <w:rsid w:val="499A379E"/>
    <w:rsid w:val="49BE56DF"/>
    <w:rsid w:val="49EF4693"/>
    <w:rsid w:val="4A0550BC"/>
    <w:rsid w:val="4AA2385A"/>
    <w:rsid w:val="4AB746EB"/>
    <w:rsid w:val="4ADD1B95"/>
    <w:rsid w:val="4AF33166"/>
    <w:rsid w:val="4B1425FF"/>
    <w:rsid w:val="4B3D75FD"/>
    <w:rsid w:val="4BBA7A06"/>
    <w:rsid w:val="4C1823DA"/>
    <w:rsid w:val="4C4814B5"/>
    <w:rsid w:val="4C7327B1"/>
    <w:rsid w:val="4C83051A"/>
    <w:rsid w:val="4CB32302"/>
    <w:rsid w:val="4CD16F98"/>
    <w:rsid w:val="4CD846C7"/>
    <w:rsid w:val="4CF904BE"/>
    <w:rsid w:val="4D3C68BD"/>
    <w:rsid w:val="4D3D7CDA"/>
    <w:rsid w:val="4D88228C"/>
    <w:rsid w:val="4D8C494F"/>
    <w:rsid w:val="4DEE5DF2"/>
    <w:rsid w:val="4E4C44BA"/>
    <w:rsid w:val="4E7C3AE4"/>
    <w:rsid w:val="4EFC5790"/>
    <w:rsid w:val="4F1813ED"/>
    <w:rsid w:val="4F2A2BCF"/>
    <w:rsid w:val="4FA766A8"/>
    <w:rsid w:val="4FB96B4A"/>
    <w:rsid w:val="4FDA48F5"/>
    <w:rsid w:val="506B2B6E"/>
    <w:rsid w:val="507765E7"/>
    <w:rsid w:val="50E0418D"/>
    <w:rsid w:val="50F97A16"/>
    <w:rsid w:val="51171D45"/>
    <w:rsid w:val="51404F43"/>
    <w:rsid w:val="51856AE2"/>
    <w:rsid w:val="51870AAC"/>
    <w:rsid w:val="519805C3"/>
    <w:rsid w:val="519C21AA"/>
    <w:rsid w:val="51B11685"/>
    <w:rsid w:val="51F82BBB"/>
    <w:rsid w:val="522B7DE8"/>
    <w:rsid w:val="522D3402"/>
    <w:rsid w:val="52C2650E"/>
    <w:rsid w:val="52CC2C1B"/>
    <w:rsid w:val="52DC6BD6"/>
    <w:rsid w:val="52EB6588"/>
    <w:rsid w:val="52FE4D9E"/>
    <w:rsid w:val="53157C48"/>
    <w:rsid w:val="53360253"/>
    <w:rsid w:val="53C41B44"/>
    <w:rsid w:val="542076D2"/>
    <w:rsid w:val="542D2B1D"/>
    <w:rsid w:val="54366397"/>
    <w:rsid w:val="54422A68"/>
    <w:rsid w:val="54A92AFF"/>
    <w:rsid w:val="54BF4DDE"/>
    <w:rsid w:val="54C45680"/>
    <w:rsid w:val="54D77655"/>
    <w:rsid w:val="550146D2"/>
    <w:rsid w:val="551C7980"/>
    <w:rsid w:val="55311C75"/>
    <w:rsid w:val="5549056E"/>
    <w:rsid w:val="55546EF7"/>
    <w:rsid w:val="557F64B2"/>
    <w:rsid w:val="55933CB3"/>
    <w:rsid w:val="55B41744"/>
    <w:rsid w:val="55C07B2F"/>
    <w:rsid w:val="55C81AB9"/>
    <w:rsid w:val="55D844D3"/>
    <w:rsid w:val="564B20A8"/>
    <w:rsid w:val="5664557C"/>
    <w:rsid w:val="56BB3C75"/>
    <w:rsid w:val="56DE7067"/>
    <w:rsid w:val="570109B9"/>
    <w:rsid w:val="570955B4"/>
    <w:rsid w:val="5725657E"/>
    <w:rsid w:val="57425FEC"/>
    <w:rsid w:val="57527C3E"/>
    <w:rsid w:val="576B22D6"/>
    <w:rsid w:val="5783793E"/>
    <w:rsid w:val="57886463"/>
    <w:rsid w:val="57BC3D6B"/>
    <w:rsid w:val="57CC2BA0"/>
    <w:rsid w:val="580A1AEF"/>
    <w:rsid w:val="58133074"/>
    <w:rsid w:val="587F6039"/>
    <w:rsid w:val="58DC7930"/>
    <w:rsid w:val="58DF3A45"/>
    <w:rsid w:val="590D7AE9"/>
    <w:rsid w:val="593F79A0"/>
    <w:rsid w:val="594013EC"/>
    <w:rsid w:val="598A738C"/>
    <w:rsid w:val="598D26AC"/>
    <w:rsid w:val="598E4EAD"/>
    <w:rsid w:val="599F77C9"/>
    <w:rsid w:val="59C95F43"/>
    <w:rsid w:val="59E44CEE"/>
    <w:rsid w:val="59EC0FD0"/>
    <w:rsid w:val="5A196B49"/>
    <w:rsid w:val="5A93268F"/>
    <w:rsid w:val="5AB2046A"/>
    <w:rsid w:val="5AC43179"/>
    <w:rsid w:val="5AC82B93"/>
    <w:rsid w:val="5AE14D89"/>
    <w:rsid w:val="5AE6318E"/>
    <w:rsid w:val="5BB3212F"/>
    <w:rsid w:val="5C125734"/>
    <w:rsid w:val="5C533A65"/>
    <w:rsid w:val="5C7A1030"/>
    <w:rsid w:val="5C856C16"/>
    <w:rsid w:val="5C8A6BD1"/>
    <w:rsid w:val="5C8E651C"/>
    <w:rsid w:val="5CE779D0"/>
    <w:rsid w:val="5D072AA1"/>
    <w:rsid w:val="5D120EE1"/>
    <w:rsid w:val="5D7C6FEB"/>
    <w:rsid w:val="5DA03386"/>
    <w:rsid w:val="5DB443B5"/>
    <w:rsid w:val="5DC012A8"/>
    <w:rsid w:val="5DCA7D57"/>
    <w:rsid w:val="5DFC1EDA"/>
    <w:rsid w:val="5E313880"/>
    <w:rsid w:val="5E4A37D5"/>
    <w:rsid w:val="5E754F4A"/>
    <w:rsid w:val="5E803BCC"/>
    <w:rsid w:val="5E8A187A"/>
    <w:rsid w:val="5EAE4FD3"/>
    <w:rsid w:val="5F09244A"/>
    <w:rsid w:val="5F0E4D9B"/>
    <w:rsid w:val="5F3B04A6"/>
    <w:rsid w:val="5F9177D9"/>
    <w:rsid w:val="5FBA426A"/>
    <w:rsid w:val="600D4872"/>
    <w:rsid w:val="60192D83"/>
    <w:rsid w:val="601A2AEB"/>
    <w:rsid w:val="602A334A"/>
    <w:rsid w:val="6036225F"/>
    <w:rsid w:val="60831CFD"/>
    <w:rsid w:val="6085145A"/>
    <w:rsid w:val="60A41C39"/>
    <w:rsid w:val="60B25AEA"/>
    <w:rsid w:val="60D85EE9"/>
    <w:rsid w:val="60DF4E94"/>
    <w:rsid w:val="615C36F1"/>
    <w:rsid w:val="615C6151"/>
    <w:rsid w:val="61B72CE8"/>
    <w:rsid w:val="61BD2A1D"/>
    <w:rsid w:val="61C62F2B"/>
    <w:rsid w:val="61DC274E"/>
    <w:rsid w:val="62047871"/>
    <w:rsid w:val="622B0FE0"/>
    <w:rsid w:val="622B3906"/>
    <w:rsid w:val="62494283"/>
    <w:rsid w:val="62756DDC"/>
    <w:rsid w:val="627A63CA"/>
    <w:rsid w:val="628D7A93"/>
    <w:rsid w:val="62967EC8"/>
    <w:rsid w:val="62ED4EF7"/>
    <w:rsid w:val="62EF46F3"/>
    <w:rsid w:val="63295D1B"/>
    <w:rsid w:val="634C24E2"/>
    <w:rsid w:val="634C7342"/>
    <w:rsid w:val="637D586B"/>
    <w:rsid w:val="63A03DA6"/>
    <w:rsid w:val="63A07141"/>
    <w:rsid w:val="63AC6D9C"/>
    <w:rsid w:val="642E6B65"/>
    <w:rsid w:val="64805BFE"/>
    <w:rsid w:val="64AB045B"/>
    <w:rsid w:val="64CA3CB4"/>
    <w:rsid w:val="64CD5039"/>
    <w:rsid w:val="64EC0669"/>
    <w:rsid w:val="65044496"/>
    <w:rsid w:val="65162C86"/>
    <w:rsid w:val="651B7F18"/>
    <w:rsid w:val="65221B38"/>
    <w:rsid w:val="6550225B"/>
    <w:rsid w:val="6559487C"/>
    <w:rsid w:val="65693C54"/>
    <w:rsid w:val="65711400"/>
    <w:rsid w:val="65821595"/>
    <w:rsid w:val="659A62FC"/>
    <w:rsid w:val="65A13CC9"/>
    <w:rsid w:val="65D200F0"/>
    <w:rsid w:val="65EF7DA6"/>
    <w:rsid w:val="663C2EEE"/>
    <w:rsid w:val="664520D4"/>
    <w:rsid w:val="66870296"/>
    <w:rsid w:val="66BA6E26"/>
    <w:rsid w:val="66F10A4A"/>
    <w:rsid w:val="672F4C93"/>
    <w:rsid w:val="67477DD7"/>
    <w:rsid w:val="67923FAF"/>
    <w:rsid w:val="67A856DC"/>
    <w:rsid w:val="67AB689B"/>
    <w:rsid w:val="68071134"/>
    <w:rsid w:val="682E6AFE"/>
    <w:rsid w:val="6831217B"/>
    <w:rsid w:val="684921C0"/>
    <w:rsid w:val="68827BC9"/>
    <w:rsid w:val="689D7DF8"/>
    <w:rsid w:val="68AC75FB"/>
    <w:rsid w:val="68AF4719"/>
    <w:rsid w:val="68B476C6"/>
    <w:rsid w:val="69303CF0"/>
    <w:rsid w:val="695B6585"/>
    <w:rsid w:val="69676C0C"/>
    <w:rsid w:val="698D10CC"/>
    <w:rsid w:val="69AE1092"/>
    <w:rsid w:val="69B30239"/>
    <w:rsid w:val="69C959DF"/>
    <w:rsid w:val="6A130CD7"/>
    <w:rsid w:val="6A1B530C"/>
    <w:rsid w:val="6A1C3F03"/>
    <w:rsid w:val="6A26672A"/>
    <w:rsid w:val="6A38073E"/>
    <w:rsid w:val="6A753B41"/>
    <w:rsid w:val="6A967468"/>
    <w:rsid w:val="6AA84521"/>
    <w:rsid w:val="6AC00E8A"/>
    <w:rsid w:val="6AD10B21"/>
    <w:rsid w:val="6B1C1C99"/>
    <w:rsid w:val="6B525FA1"/>
    <w:rsid w:val="6B98703D"/>
    <w:rsid w:val="6BA84AE2"/>
    <w:rsid w:val="6BC664F4"/>
    <w:rsid w:val="6BD36CF4"/>
    <w:rsid w:val="6C306864"/>
    <w:rsid w:val="6C9F6C69"/>
    <w:rsid w:val="6CDE2D6D"/>
    <w:rsid w:val="6D0A63C2"/>
    <w:rsid w:val="6D2917A9"/>
    <w:rsid w:val="6D2B4915"/>
    <w:rsid w:val="6D4E6E2B"/>
    <w:rsid w:val="6D514B1A"/>
    <w:rsid w:val="6D675648"/>
    <w:rsid w:val="6D9C2E25"/>
    <w:rsid w:val="6DC527AC"/>
    <w:rsid w:val="6DDE05B9"/>
    <w:rsid w:val="6DF826BE"/>
    <w:rsid w:val="6E2056EF"/>
    <w:rsid w:val="6E2C05BA"/>
    <w:rsid w:val="6E334F30"/>
    <w:rsid w:val="6E6C0E13"/>
    <w:rsid w:val="6E8615C7"/>
    <w:rsid w:val="6EA4707E"/>
    <w:rsid w:val="6EDD1581"/>
    <w:rsid w:val="6EE37D9F"/>
    <w:rsid w:val="6EE96A10"/>
    <w:rsid w:val="6F154B2D"/>
    <w:rsid w:val="6F33431F"/>
    <w:rsid w:val="6F712CE6"/>
    <w:rsid w:val="6F875D92"/>
    <w:rsid w:val="6FE0340A"/>
    <w:rsid w:val="6FF65C83"/>
    <w:rsid w:val="70227EC6"/>
    <w:rsid w:val="70375C5A"/>
    <w:rsid w:val="703F60A8"/>
    <w:rsid w:val="705D2071"/>
    <w:rsid w:val="70763D6E"/>
    <w:rsid w:val="70822713"/>
    <w:rsid w:val="70A66401"/>
    <w:rsid w:val="70B46F74"/>
    <w:rsid w:val="70C64CF5"/>
    <w:rsid w:val="70EB02B8"/>
    <w:rsid w:val="71005C9C"/>
    <w:rsid w:val="71032634"/>
    <w:rsid w:val="71943AB8"/>
    <w:rsid w:val="71E7047C"/>
    <w:rsid w:val="720A0C12"/>
    <w:rsid w:val="72343EE1"/>
    <w:rsid w:val="72395053"/>
    <w:rsid w:val="72875C50"/>
    <w:rsid w:val="72C316B4"/>
    <w:rsid w:val="72C33559"/>
    <w:rsid w:val="72D03219"/>
    <w:rsid w:val="72D134DE"/>
    <w:rsid w:val="72D9617A"/>
    <w:rsid w:val="72FD1EE3"/>
    <w:rsid w:val="7316264A"/>
    <w:rsid w:val="731A5E0F"/>
    <w:rsid w:val="73465C7A"/>
    <w:rsid w:val="73900C02"/>
    <w:rsid w:val="73AA445A"/>
    <w:rsid w:val="73BE334D"/>
    <w:rsid w:val="73D94CFF"/>
    <w:rsid w:val="73DA4614"/>
    <w:rsid w:val="742E2236"/>
    <w:rsid w:val="744E238E"/>
    <w:rsid w:val="74533F57"/>
    <w:rsid w:val="746C5BB4"/>
    <w:rsid w:val="74E538AA"/>
    <w:rsid w:val="74F00593"/>
    <w:rsid w:val="751A116C"/>
    <w:rsid w:val="751B3A30"/>
    <w:rsid w:val="75360D61"/>
    <w:rsid w:val="75682033"/>
    <w:rsid w:val="75763A2E"/>
    <w:rsid w:val="757E5B9F"/>
    <w:rsid w:val="75AB44BA"/>
    <w:rsid w:val="75CC203F"/>
    <w:rsid w:val="75E11C8A"/>
    <w:rsid w:val="75F6021B"/>
    <w:rsid w:val="767E397C"/>
    <w:rsid w:val="76A52F33"/>
    <w:rsid w:val="76AD3EE0"/>
    <w:rsid w:val="770D2568"/>
    <w:rsid w:val="77463913"/>
    <w:rsid w:val="774A385E"/>
    <w:rsid w:val="778E7BEF"/>
    <w:rsid w:val="77B3710F"/>
    <w:rsid w:val="77EE0719"/>
    <w:rsid w:val="7837549E"/>
    <w:rsid w:val="7863107C"/>
    <w:rsid w:val="78702E03"/>
    <w:rsid w:val="78AA56F0"/>
    <w:rsid w:val="78AE679B"/>
    <w:rsid w:val="78E05537"/>
    <w:rsid w:val="79124F6B"/>
    <w:rsid w:val="791A3E30"/>
    <w:rsid w:val="79905FE8"/>
    <w:rsid w:val="79992F3A"/>
    <w:rsid w:val="79A23380"/>
    <w:rsid w:val="79D02A72"/>
    <w:rsid w:val="79DD6C0C"/>
    <w:rsid w:val="79EC68CF"/>
    <w:rsid w:val="7A014471"/>
    <w:rsid w:val="7A1B4C87"/>
    <w:rsid w:val="7A805F15"/>
    <w:rsid w:val="7A921700"/>
    <w:rsid w:val="7A9D7487"/>
    <w:rsid w:val="7ABB519F"/>
    <w:rsid w:val="7AE77D48"/>
    <w:rsid w:val="7AEF0A4F"/>
    <w:rsid w:val="7BBF4CC5"/>
    <w:rsid w:val="7BE7258B"/>
    <w:rsid w:val="7BF40B89"/>
    <w:rsid w:val="7C1A207B"/>
    <w:rsid w:val="7C30076C"/>
    <w:rsid w:val="7C537629"/>
    <w:rsid w:val="7C694787"/>
    <w:rsid w:val="7C9D2185"/>
    <w:rsid w:val="7CC04CEF"/>
    <w:rsid w:val="7CC83F86"/>
    <w:rsid w:val="7CCA3711"/>
    <w:rsid w:val="7CFE770C"/>
    <w:rsid w:val="7D1F193A"/>
    <w:rsid w:val="7D2E5A63"/>
    <w:rsid w:val="7D324EEC"/>
    <w:rsid w:val="7D7A30EF"/>
    <w:rsid w:val="7D86745E"/>
    <w:rsid w:val="7D935920"/>
    <w:rsid w:val="7DB77BF0"/>
    <w:rsid w:val="7DB84178"/>
    <w:rsid w:val="7DC61E5E"/>
    <w:rsid w:val="7DDA033E"/>
    <w:rsid w:val="7E0D666E"/>
    <w:rsid w:val="7E467C69"/>
    <w:rsid w:val="7EF95A5A"/>
    <w:rsid w:val="7F0B23D7"/>
    <w:rsid w:val="7F2E09F5"/>
    <w:rsid w:val="7F457E5E"/>
    <w:rsid w:val="7F636288"/>
    <w:rsid w:val="7F7D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Calibri" w:hAnsi="Calibri"/>
      <w:szCs w:val="20"/>
    </w:rPr>
  </w:style>
  <w:style w:type="paragraph" w:styleId="6">
    <w:name w:val="caption"/>
    <w:basedOn w:val="1"/>
    <w:next w:val="1"/>
    <w:autoRedefine/>
    <w:qFormat/>
    <w:uiPriority w:val="0"/>
    <w:rPr>
      <w:rFonts w:ascii="Arial" w:hAnsi="Arial" w:eastAsia="黑体" w:cstheme="minorBidi"/>
      <w:sz w:val="20"/>
    </w:rPr>
  </w:style>
  <w:style w:type="paragraph" w:styleId="7">
    <w:name w:val="toa heading"/>
    <w:basedOn w:val="1"/>
    <w:next w:val="1"/>
    <w:autoRedefine/>
    <w:unhideWhenUsed/>
    <w:qFormat/>
    <w:uiPriority w:val="99"/>
    <w:pPr>
      <w:spacing w:before="120"/>
    </w:pPr>
    <w:rPr>
      <w:rFonts w:ascii="Arial" w:hAnsi="Arial" w:cs="Arial"/>
      <w:sz w:val="24"/>
    </w:rPr>
  </w:style>
  <w:style w:type="paragraph" w:styleId="8">
    <w:name w:val="annotation text"/>
    <w:basedOn w:val="1"/>
    <w:autoRedefine/>
    <w:semiHidden/>
    <w:qFormat/>
    <w:uiPriority w:val="0"/>
    <w:pPr>
      <w:jc w:val="left"/>
    </w:pPr>
  </w:style>
  <w:style w:type="paragraph" w:styleId="9">
    <w:name w:val="Body Text 3"/>
    <w:basedOn w:val="1"/>
    <w:autoRedefine/>
    <w:unhideWhenUsed/>
    <w:qFormat/>
    <w:uiPriority w:val="0"/>
    <w:pPr>
      <w:spacing w:after="120"/>
    </w:pPr>
    <w:rPr>
      <w:rFonts w:ascii="Times New Roman" w:hAnsi="Times New Roman"/>
      <w:sz w:val="16"/>
      <w:szCs w:val="16"/>
    </w:rPr>
  </w:style>
  <w:style w:type="paragraph" w:styleId="10">
    <w:name w:val="Body Text"/>
    <w:basedOn w:val="1"/>
    <w:autoRedefine/>
    <w:qFormat/>
    <w:uiPriority w:val="0"/>
    <w:rPr>
      <w:rFonts w:ascii="Times New Roman" w:hAnsi="Times New Roman"/>
    </w:rPr>
  </w:style>
  <w:style w:type="paragraph" w:styleId="11">
    <w:name w:val="Body Text Indent"/>
    <w:basedOn w:val="1"/>
    <w:autoRedefine/>
    <w:qFormat/>
    <w:uiPriority w:val="0"/>
    <w:pPr>
      <w:ind w:firstLine="560" w:firstLineChars="200"/>
    </w:pPr>
    <w:rPr>
      <w:rFonts w:ascii="Times New Roman" w:hAnsi="Times New Roman"/>
    </w:rPr>
  </w:style>
  <w:style w:type="paragraph" w:styleId="12">
    <w:name w:val="toc 3"/>
    <w:basedOn w:val="1"/>
    <w:next w:val="1"/>
    <w:autoRedefine/>
    <w:qFormat/>
    <w:uiPriority w:val="0"/>
    <w:pPr>
      <w:ind w:left="840" w:leftChars="400"/>
    </w:pPr>
  </w:style>
  <w:style w:type="paragraph" w:styleId="13">
    <w:name w:val="Plain Text"/>
    <w:basedOn w:val="1"/>
    <w:link w:val="61"/>
    <w:autoRedefine/>
    <w:qFormat/>
    <w:uiPriority w:val="0"/>
    <w:rPr>
      <w:rFonts w:hint="eastAsia" w:ascii="宋体" w:hAnsi="Courier New"/>
      <w:szCs w:val="21"/>
    </w:rPr>
  </w:style>
  <w:style w:type="paragraph" w:styleId="14">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5">
    <w:name w:val="envelope return"/>
    <w:basedOn w:val="1"/>
    <w:autoRedefine/>
    <w:qFormat/>
    <w:uiPriority w:val="99"/>
    <w:pPr>
      <w:snapToGrid w:val="0"/>
    </w:pPr>
    <w:rPr>
      <w:rFonts w:ascii="Arial" w:hAnsi="Arial" w:cs="Arial"/>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7">
    <w:name w:val="toc 1"/>
    <w:basedOn w:val="1"/>
    <w:next w:val="1"/>
    <w:autoRedefine/>
    <w:qFormat/>
    <w:uiPriority w:val="0"/>
    <w:rPr>
      <w:rFonts w:ascii="Times New Roman" w:hAnsi="Times New Roman"/>
    </w:rPr>
  </w:style>
  <w:style w:type="paragraph" w:styleId="18">
    <w:name w:val="toc 2"/>
    <w:basedOn w:val="1"/>
    <w:next w:val="1"/>
    <w:autoRedefine/>
    <w:qFormat/>
    <w:uiPriority w:val="0"/>
    <w:pPr>
      <w:ind w:left="420" w:leftChars="200"/>
    </w:pPr>
  </w:style>
  <w:style w:type="paragraph" w:styleId="19">
    <w:name w:val="Body Text 2"/>
    <w:basedOn w:val="1"/>
    <w:next w:val="10"/>
    <w:autoRedefine/>
    <w:unhideWhenUsed/>
    <w:qFormat/>
    <w:uiPriority w:val="0"/>
    <w:pPr>
      <w:spacing w:after="120" w:line="480" w:lineRule="auto"/>
    </w:pPr>
    <w:rPr>
      <w:rFonts w:ascii="Times New Roman" w:hAnsi="Times New Roman"/>
    </w:r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3">
    <w:name w:val="annotation subject"/>
    <w:basedOn w:val="8"/>
    <w:next w:val="1"/>
    <w:autoRedefine/>
    <w:qFormat/>
    <w:uiPriority w:val="0"/>
    <w:rPr>
      <w:b/>
      <w:bCs/>
    </w:rPr>
  </w:style>
  <w:style w:type="paragraph" w:styleId="24">
    <w:name w:val="Body Text First Indent"/>
    <w:basedOn w:val="10"/>
    <w:next w:val="25"/>
    <w:autoRedefine/>
    <w:unhideWhenUsed/>
    <w:qFormat/>
    <w:uiPriority w:val="0"/>
    <w:pPr>
      <w:ind w:firstLine="420" w:firstLineChars="100"/>
    </w:pPr>
    <w:rPr>
      <w:rFonts w:hint="eastAsia" w:ascii="楷体_GB2312" w:eastAsia="楷体_GB2312"/>
      <w:sz w:val="32"/>
    </w:rPr>
  </w:style>
  <w:style w:type="paragraph" w:styleId="25">
    <w:name w:val="Body Text First Indent 2"/>
    <w:basedOn w:val="11"/>
    <w:next w:val="5"/>
    <w:autoRedefine/>
    <w:qFormat/>
    <w:uiPriority w:val="0"/>
    <w:pPr>
      <w:ind w:firstLine="42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vanish/>
    </w:rPr>
  </w:style>
  <w:style w:type="character" w:styleId="30">
    <w:name w:val="Hyperlink"/>
    <w:autoRedefine/>
    <w:qFormat/>
    <w:uiPriority w:val="99"/>
    <w:rPr>
      <w:rFonts w:cs="Times New Roman"/>
      <w:color w:val="0000FF"/>
      <w:u w:val="single"/>
    </w:rPr>
  </w:style>
  <w:style w:type="paragraph" w:customStyle="1" w:styleId="31">
    <w:name w:val="BodyText1I2"/>
    <w:basedOn w:val="32"/>
    <w:autoRedefine/>
    <w:qFormat/>
    <w:uiPriority w:val="0"/>
    <w:pPr>
      <w:ind w:firstLine="420" w:firstLineChars="200"/>
    </w:pPr>
  </w:style>
  <w:style w:type="paragraph" w:customStyle="1" w:styleId="32">
    <w:name w:val="BodyTextIndent"/>
    <w:basedOn w:val="1"/>
    <w:autoRedefine/>
    <w:qFormat/>
    <w:uiPriority w:val="0"/>
    <w:pPr>
      <w:spacing w:after="120"/>
      <w:ind w:left="420" w:leftChars="200"/>
      <w:textAlignment w:val="baseline"/>
    </w:pPr>
  </w:style>
  <w:style w:type="paragraph" w:customStyle="1" w:styleId="33">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34">
    <w:name w:val="无间隔1"/>
    <w:basedOn w:val="1"/>
    <w:next w:val="35"/>
    <w:autoRedefine/>
    <w:qFormat/>
    <w:uiPriority w:val="0"/>
    <w:pPr>
      <w:spacing w:line="400" w:lineRule="exact"/>
    </w:pPr>
    <w:rPr>
      <w:sz w:val="24"/>
    </w:rPr>
  </w:style>
  <w:style w:type="paragraph" w:customStyle="1" w:styleId="35">
    <w:name w:val="正文（首行缩进） Char"/>
    <w:basedOn w:val="1"/>
    <w:next w:val="36"/>
    <w:autoRedefine/>
    <w:qFormat/>
    <w:uiPriority w:val="0"/>
    <w:pPr>
      <w:spacing w:line="360" w:lineRule="auto"/>
      <w:ind w:firstLine="480"/>
    </w:pPr>
    <w:rPr>
      <w:rFonts w:ascii="Arial"/>
      <w:color w:val="000000"/>
      <w:sz w:val="24"/>
    </w:rPr>
  </w:style>
  <w:style w:type="paragraph" w:customStyle="1" w:styleId="36">
    <w:name w:val="2号黑体加粗"/>
    <w:basedOn w:val="1"/>
    <w:next w:val="37"/>
    <w:autoRedefine/>
    <w:qFormat/>
    <w:uiPriority w:val="0"/>
    <w:pPr>
      <w:jc w:val="center"/>
    </w:pPr>
    <w:rPr>
      <w:rFonts w:ascii="Calibri" w:eastAsia="黑体"/>
      <w:b/>
      <w:sz w:val="44"/>
    </w:rPr>
  </w:style>
  <w:style w:type="paragraph" w:customStyle="1" w:styleId="37">
    <w:name w:val="表格文字"/>
    <w:basedOn w:val="1"/>
    <w:next w:val="1"/>
    <w:autoRedefine/>
    <w:qFormat/>
    <w:uiPriority w:val="0"/>
    <w:pPr>
      <w:adjustRightInd w:val="0"/>
      <w:spacing w:line="420" w:lineRule="atLeast"/>
      <w:jc w:val="left"/>
      <w:textAlignment w:val="baseline"/>
    </w:pPr>
    <w:rPr>
      <w:kern w:val="0"/>
    </w:rPr>
  </w:style>
  <w:style w:type="paragraph" w:customStyle="1" w:styleId="38">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9">
    <w:name w:val="style4"/>
    <w:basedOn w:val="40"/>
    <w:next w:val="4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正文_0"/>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Style1"/>
    <w:next w:val="43"/>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3">
    <w:name w:val="*正文"/>
    <w:basedOn w:val="1"/>
    <w:autoRedefine/>
    <w:qFormat/>
    <w:uiPriority w:val="0"/>
    <w:pPr>
      <w:ind w:firstLine="200" w:firstLineChars="200"/>
    </w:pPr>
    <w:rPr>
      <w:rFonts w:ascii="宋体" w:hAnsi="宋体"/>
      <w:szCs w:val="22"/>
    </w:rPr>
  </w:style>
  <w:style w:type="paragraph" w:customStyle="1" w:styleId="44">
    <w:name w:val="Body Text First Indent1"/>
    <w:basedOn w:val="10"/>
    <w:autoRedefine/>
    <w:qFormat/>
    <w:uiPriority w:val="0"/>
    <w:pPr>
      <w:ind w:firstLine="420" w:firstLineChars="100"/>
    </w:pPr>
  </w:style>
  <w:style w:type="paragraph" w:customStyle="1" w:styleId="45">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6">
    <w:name w:val="p0"/>
    <w:basedOn w:val="47"/>
    <w:autoRedefine/>
    <w:qFormat/>
    <w:uiPriority w:val="0"/>
    <w:pPr>
      <w:widowControl/>
    </w:pPr>
    <w:rPr>
      <w:kern w:val="0"/>
      <w:szCs w:val="21"/>
    </w:rPr>
  </w:style>
  <w:style w:type="paragraph" w:customStyle="1" w:styleId="47">
    <w:name w:val="正文1"/>
    <w:next w:val="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1"/>
    <w:basedOn w:val="47"/>
    <w:autoRedefine/>
    <w:qFormat/>
    <w:uiPriority w:val="99"/>
    <w:rPr>
      <w:rFonts w:eastAsia="楷体_GB2312"/>
      <w:sz w:val="28"/>
    </w:rPr>
  </w:style>
  <w:style w:type="character" w:customStyle="1" w:styleId="49">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50">
    <w:name w:val="BodyText1I"/>
    <w:basedOn w:val="51"/>
    <w:next w:val="31"/>
    <w:autoRedefine/>
    <w:qFormat/>
    <w:uiPriority w:val="0"/>
    <w:pPr>
      <w:ind w:firstLine="420" w:firstLineChars="100"/>
    </w:pPr>
    <w:rPr>
      <w:rFonts w:ascii="楷体_GB2312"/>
      <w:sz w:val="32"/>
    </w:rPr>
  </w:style>
  <w:style w:type="paragraph" w:customStyle="1" w:styleId="51">
    <w:name w:val="BodyText"/>
    <w:basedOn w:val="1"/>
    <w:next w:val="52"/>
    <w:autoRedefine/>
    <w:qFormat/>
    <w:uiPriority w:val="0"/>
    <w:pPr>
      <w:textAlignment w:val="baseline"/>
    </w:pPr>
    <w:rPr>
      <w:rFonts w:ascii="Calibri" w:hAnsi="Calibri" w:eastAsia="楷体_GB2312"/>
      <w:kern w:val="0"/>
      <w:sz w:val="28"/>
    </w:rPr>
  </w:style>
  <w:style w:type="paragraph" w:customStyle="1" w:styleId="52">
    <w:name w:val="BodyText2"/>
    <w:basedOn w:val="1"/>
    <w:next w:val="51"/>
    <w:autoRedefine/>
    <w:qFormat/>
    <w:uiPriority w:val="0"/>
    <w:pPr>
      <w:spacing w:after="120" w:line="480" w:lineRule="auto"/>
      <w:textAlignment w:val="baseline"/>
    </w:pPr>
  </w:style>
  <w:style w:type="paragraph" w:customStyle="1" w:styleId="53">
    <w:name w:val="TOAHeading"/>
    <w:basedOn w:val="1"/>
    <w:next w:val="1"/>
    <w:autoRedefine/>
    <w:qFormat/>
    <w:uiPriority w:val="0"/>
    <w:pPr>
      <w:spacing w:before="120"/>
      <w:textAlignment w:val="baseline"/>
    </w:pPr>
    <w:rPr>
      <w:rFonts w:ascii="Arial" w:hAnsi="Arial"/>
      <w:sz w:val="24"/>
      <w:szCs w:val="22"/>
    </w:rPr>
  </w:style>
  <w:style w:type="paragraph" w:customStyle="1" w:styleId="54">
    <w:name w:val="Table Paragraph"/>
    <w:basedOn w:val="1"/>
    <w:autoRedefine/>
    <w:qFormat/>
    <w:uiPriority w:val="1"/>
    <w:rPr>
      <w:rFonts w:ascii="宋体" w:hAnsi="宋体" w:cs="宋体"/>
      <w:lang w:val="zh-CN" w:bidi="zh-CN"/>
    </w:rPr>
  </w:style>
  <w:style w:type="paragraph" w:styleId="55">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autoRedefine/>
    <w:qFormat/>
    <w:uiPriority w:val="34"/>
    <w:pPr>
      <w:ind w:firstLine="420" w:firstLineChars="200"/>
    </w:pPr>
    <w:rPr>
      <w:rFonts w:ascii="等线" w:hAnsi="等线" w:eastAsia="等线"/>
      <w:szCs w:val="22"/>
    </w:rPr>
  </w:style>
  <w:style w:type="paragraph" w:customStyle="1" w:styleId="57">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列出段落1"/>
    <w:basedOn w:val="1"/>
    <w:autoRedefine/>
    <w:qFormat/>
    <w:uiPriority w:val="34"/>
    <w:pPr>
      <w:ind w:firstLine="420" w:firstLineChars="200"/>
    </w:pPr>
    <w:rPr>
      <w:rFonts w:ascii="Calibri" w:hAnsi="Calibri"/>
      <w:szCs w:val="22"/>
    </w:rPr>
  </w:style>
  <w:style w:type="paragraph" w:customStyle="1" w:styleId="60">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纯文本 字符"/>
    <w:basedOn w:val="28"/>
    <w:link w:val="13"/>
    <w:autoRedefine/>
    <w:qFormat/>
    <w:uiPriority w:val="0"/>
    <w:rPr>
      <w:rFonts w:ascii="宋体" w:hAnsi="Courier New"/>
      <w:kern w:val="2"/>
      <w:sz w:val="21"/>
      <w:szCs w:val="21"/>
    </w:rPr>
  </w:style>
  <w:style w:type="paragraph" w:customStyle="1" w:styleId="62">
    <w:name w:val="首行缩进"/>
    <w:basedOn w:val="1"/>
    <w:autoRedefine/>
    <w:qFormat/>
    <w:uiPriority w:val="0"/>
    <w:pPr>
      <w:ind w:firstLine="480"/>
    </w:pPr>
    <w:rPr>
      <w:rFonts w:ascii="Arial" w:hAnsi="Arial"/>
      <w:szCs w:val="20"/>
      <w:lang w:val="zh-CN"/>
    </w:rPr>
  </w:style>
  <w:style w:type="paragraph" w:customStyle="1" w:styleId="63">
    <w:name w:val="Table Text"/>
    <w:basedOn w:val="1"/>
    <w:autoRedefine/>
    <w:semiHidden/>
    <w:qFormat/>
    <w:uiPriority w:val="0"/>
    <w:rPr>
      <w:rFonts w:ascii="宋体" w:hAnsi="宋体" w:eastAsia="宋体" w:cs="宋体"/>
      <w:sz w:val="24"/>
      <w:szCs w:val="24"/>
      <w:lang w:val="en-US" w:eastAsia="en-US"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28989</Words>
  <Characters>32335</Characters>
  <Lines>198</Lines>
  <Paragraphs>56</Paragraphs>
  <TotalTime>11</TotalTime>
  <ScaleCrop>false</ScaleCrop>
  <LinksUpToDate>false</LinksUpToDate>
  <CharactersWithSpaces>34108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Estrus</cp:lastModifiedBy>
  <cp:lastPrinted>2024-02-18T01:03:00Z</cp:lastPrinted>
  <dcterms:modified xsi:type="dcterms:W3CDTF">2024-03-01T08:30:47Z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4DA1F214AC804F7CBC2B7A189108C51E_13</vt:lpwstr>
  </property>
</Properties>
</file>