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9F63A">
      <w:pPr>
        <w:pStyle w:val="10"/>
        <w:ind w:firstLine="0" w:firstLineChars="0"/>
        <w:jc w:val="center"/>
        <w:rPr>
          <w:rFonts w:hint="eastAsia" w:ascii="宋体" w:hAnsi="宋体" w:cs="宋体"/>
          <w:b/>
          <w:kern w:val="0"/>
          <w:sz w:val="44"/>
          <w:szCs w:val="44"/>
          <w:lang w:eastAsia="zh-CN"/>
        </w:rPr>
      </w:pPr>
    </w:p>
    <w:p w14:paraId="1019176C">
      <w:pPr>
        <w:pStyle w:val="11"/>
        <w:jc w:val="center"/>
        <w:rPr>
          <w:rFonts w:ascii="宋体" w:hAnsi="宋体" w:cs="宋体"/>
          <w:b/>
          <w:sz w:val="44"/>
          <w:szCs w:val="44"/>
          <w:highlight w:val="red"/>
        </w:rPr>
      </w:pPr>
      <w:r>
        <w:rPr>
          <w:rFonts w:hint="eastAsia" w:ascii="宋体" w:hAnsi="宋体" w:cs="宋体"/>
          <w:b/>
          <w:kern w:val="0"/>
          <w:sz w:val="44"/>
          <w:szCs w:val="44"/>
          <w:lang w:eastAsia="zh-CN"/>
        </w:rPr>
        <w:t>博爱县旅游资源普查</w:t>
      </w:r>
      <w:r>
        <w:rPr>
          <w:rFonts w:hint="eastAsia" w:ascii="宋体" w:hAnsi="宋体" w:cs="宋体"/>
          <w:b/>
          <w:kern w:val="0"/>
          <w:sz w:val="44"/>
          <w:szCs w:val="44"/>
          <w:lang w:val="en-US" w:eastAsia="zh-CN"/>
        </w:rPr>
        <w:t>采购</w:t>
      </w:r>
      <w:r>
        <w:rPr>
          <w:rFonts w:hint="eastAsia" w:ascii="宋体" w:hAnsi="宋体" w:cs="宋体"/>
          <w:b/>
          <w:kern w:val="0"/>
          <w:sz w:val="44"/>
          <w:szCs w:val="44"/>
          <w:highlight w:val="none"/>
          <w:lang w:eastAsia="zh-CN"/>
        </w:rPr>
        <w:t>项目</w:t>
      </w:r>
    </w:p>
    <w:p w14:paraId="05D99076">
      <w:pPr>
        <w:snapToGrid w:val="0"/>
        <w:spacing w:line="360" w:lineRule="auto"/>
        <w:jc w:val="both"/>
        <w:rPr>
          <w:rFonts w:ascii="宋体" w:hAnsi="宋体" w:cs="宋体"/>
          <w:b/>
          <w:kern w:val="0"/>
          <w:sz w:val="72"/>
          <w:szCs w:val="72"/>
        </w:rPr>
      </w:pPr>
    </w:p>
    <w:p w14:paraId="36FAE285">
      <w:pPr>
        <w:snapToGrid w:val="0"/>
        <w:spacing w:line="360" w:lineRule="auto"/>
        <w:jc w:val="center"/>
        <w:rPr>
          <w:rFonts w:ascii="宋体" w:hAnsi="宋体" w:cs="宋体"/>
          <w:b/>
          <w:kern w:val="0"/>
          <w:sz w:val="72"/>
          <w:szCs w:val="72"/>
        </w:rPr>
      </w:pPr>
      <w:r>
        <w:rPr>
          <w:rFonts w:hint="eastAsia" w:ascii="宋体" w:hAnsi="宋体" w:cs="宋体"/>
          <w:b/>
          <w:kern w:val="0"/>
          <w:sz w:val="72"/>
          <w:szCs w:val="72"/>
        </w:rPr>
        <w:t>竞争性谈判文件</w:t>
      </w:r>
    </w:p>
    <w:p w14:paraId="726E8A4A">
      <w:pPr>
        <w:snapToGrid w:val="0"/>
        <w:spacing w:line="360" w:lineRule="auto"/>
        <w:jc w:val="center"/>
        <w:rPr>
          <w:rFonts w:hint="eastAsia" w:ascii="宋体" w:hAnsi="宋体" w:eastAsia="宋体" w:cs="宋体"/>
          <w:b/>
          <w:color w:val="auto"/>
          <w:spacing w:val="-6"/>
          <w:sz w:val="30"/>
          <w:szCs w:val="30"/>
          <w:lang w:eastAsia="zh-CN"/>
        </w:rPr>
      </w:pPr>
      <w:r>
        <w:rPr>
          <w:rFonts w:hint="eastAsia" w:ascii="宋体" w:hAnsi="宋体" w:cs="宋体"/>
          <w:b/>
          <w:color w:val="auto"/>
          <w:spacing w:val="-6"/>
          <w:sz w:val="30"/>
          <w:szCs w:val="30"/>
        </w:rPr>
        <w:t>采购编号：</w:t>
      </w:r>
      <w:r>
        <w:rPr>
          <w:rFonts w:hint="eastAsia" w:ascii="宋体" w:hAnsi="宋体" w:cs="宋体"/>
          <w:b/>
          <w:color w:val="auto"/>
          <w:spacing w:val="-6"/>
          <w:sz w:val="30"/>
          <w:szCs w:val="30"/>
          <w:lang w:eastAsia="zh-CN"/>
        </w:rPr>
        <w:t>博政采购〔2024〕</w:t>
      </w:r>
      <w:r>
        <w:rPr>
          <w:rFonts w:hint="eastAsia" w:ascii="宋体" w:hAnsi="宋体" w:cs="宋体"/>
          <w:b/>
          <w:color w:val="auto"/>
          <w:spacing w:val="-6"/>
          <w:sz w:val="30"/>
          <w:szCs w:val="30"/>
          <w:lang w:val="en-US" w:eastAsia="zh-CN"/>
        </w:rPr>
        <w:t>103</w:t>
      </w:r>
      <w:r>
        <w:rPr>
          <w:rFonts w:hint="eastAsia" w:ascii="宋体" w:hAnsi="宋体" w:cs="宋体"/>
          <w:b/>
          <w:color w:val="auto"/>
          <w:spacing w:val="-6"/>
          <w:sz w:val="30"/>
          <w:szCs w:val="30"/>
          <w:lang w:eastAsia="zh-CN"/>
        </w:rPr>
        <w:t>号</w:t>
      </w:r>
    </w:p>
    <w:p w14:paraId="4F75B175">
      <w:pPr>
        <w:snapToGrid w:val="0"/>
        <w:spacing w:line="360" w:lineRule="auto"/>
        <w:ind w:firstLine="2397" w:firstLineChars="746"/>
        <w:jc w:val="left"/>
        <w:rPr>
          <w:rFonts w:ascii="宋体"/>
          <w:b/>
          <w:color w:val="000000" w:themeColor="text1"/>
          <w:kern w:val="0"/>
          <w:sz w:val="32"/>
          <w:szCs w:val="32"/>
          <w:u w:val="double"/>
          <w14:textFill>
            <w14:solidFill>
              <w14:schemeClr w14:val="tx1"/>
            </w14:solidFill>
          </w14:textFill>
        </w:rPr>
      </w:pPr>
      <w:r>
        <w:rPr>
          <w:rFonts w:hint="eastAsia" w:ascii="宋体"/>
          <w:b/>
          <w:color w:val="000000" w:themeColor="text1"/>
          <w:kern w:val="0"/>
          <w:sz w:val="32"/>
          <w:szCs w:val="32"/>
          <w:u w:val="double"/>
          <w14:textFill>
            <w14:solidFill>
              <w14:schemeClr w14:val="tx1"/>
            </w14:solidFill>
          </w14:textFill>
        </w:rPr>
        <w:t>该项目全额面向中小企业采购</w:t>
      </w:r>
    </w:p>
    <w:p w14:paraId="4A4233E2">
      <w:pPr>
        <w:snapToGrid w:val="0"/>
        <w:spacing w:line="360" w:lineRule="auto"/>
        <w:jc w:val="center"/>
        <w:rPr>
          <w:rFonts w:ascii="宋体" w:hAnsi="宋体" w:cs="宋体"/>
          <w:b/>
          <w:spacing w:val="-6"/>
          <w:sz w:val="30"/>
          <w:szCs w:val="30"/>
        </w:rPr>
      </w:pPr>
      <w:r>
        <w:rPr>
          <w:rFonts w:hint="eastAsia" w:ascii="宋体" w:hAnsi="宋体"/>
          <w:sz w:val="28"/>
        </w:rPr>
        <w:drawing>
          <wp:inline distT="0" distB="0" distL="114300" distR="114300">
            <wp:extent cx="2389505" cy="2445385"/>
            <wp:effectExtent l="0" t="0" r="10795" b="12065"/>
            <wp:docPr id="31" name="图片 1"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腾豫1-13-02"/>
                    <pic:cNvPicPr>
                      <a:picLocks noChangeAspect="1"/>
                    </pic:cNvPicPr>
                  </pic:nvPicPr>
                  <pic:blipFill>
                    <a:blip r:embed="rId14"/>
                    <a:srcRect l="27940" t="6529" r="26994" b="9663"/>
                    <a:stretch>
                      <a:fillRect/>
                    </a:stretch>
                  </pic:blipFill>
                  <pic:spPr>
                    <a:xfrm>
                      <a:off x="0" y="0"/>
                      <a:ext cx="2389505" cy="2445385"/>
                    </a:xfrm>
                    <a:prstGeom prst="rect">
                      <a:avLst/>
                    </a:prstGeom>
                    <a:noFill/>
                    <a:ln>
                      <a:noFill/>
                    </a:ln>
                  </pic:spPr>
                </pic:pic>
              </a:graphicData>
            </a:graphic>
          </wp:inline>
        </w:drawing>
      </w:r>
    </w:p>
    <w:p w14:paraId="6C113FA7">
      <w:pPr>
        <w:pStyle w:val="4"/>
        <w:rPr>
          <w:rFonts w:ascii="宋体" w:hAnsi="宋体" w:cs="宋体"/>
          <w:bCs w:val="0"/>
          <w:spacing w:val="-6"/>
          <w:sz w:val="30"/>
          <w:szCs w:val="30"/>
        </w:rPr>
      </w:pPr>
    </w:p>
    <w:p w14:paraId="196CB926">
      <w:pPr>
        <w:snapToGrid w:val="0"/>
        <w:spacing w:line="360" w:lineRule="auto"/>
        <w:ind w:left="1260" w:leftChars="600" w:firstLine="578" w:firstLineChars="200"/>
        <w:rPr>
          <w:rFonts w:hint="eastAsia" w:ascii="宋体" w:hAnsi="宋体" w:cs="宋体"/>
          <w:b/>
          <w:spacing w:val="-6"/>
          <w:sz w:val="30"/>
          <w:szCs w:val="30"/>
          <w:lang w:eastAsia="zh-CN"/>
        </w:rPr>
      </w:pPr>
      <w:r>
        <w:rPr>
          <w:rFonts w:hint="eastAsia" w:ascii="宋体" w:hAnsi="宋体" w:cs="宋体"/>
          <w:b/>
          <w:spacing w:val="-6"/>
          <w:sz w:val="30"/>
          <w:szCs w:val="30"/>
        </w:rPr>
        <w:t>采 购 人：</w:t>
      </w:r>
      <w:r>
        <w:rPr>
          <w:rFonts w:hint="eastAsia" w:ascii="宋体" w:hAnsi="宋体" w:cs="宋体"/>
          <w:b/>
          <w:spacing w:val="-6"/>
          <w:sz w:val="30"/>
          <w:szCs w:val="30"/>
          <w:lang w:eastAsia="zh-CN"/>
        </w:rPr>
        <w:t>博爱县文化广电和旅游局</w:t>
      </w:r>
    </w:p>
    <w:p w14:paraId="77D54C7F">
      <w:pPr>
        <w:snapToGrid w:val="0"/>
        <w:spacing w:line="360" w:lineRule="auto"/>
        <w:ind w:left="1260" w:leftChars="600" w:firstLine="578" w:firstLineChars="200"/>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代理机构：河南腾豫工程管理有限公司</w:t>
      </w:r>
    </w:p>
    <w:p w14:paraId="08DD396E">
      <w:pPr>
        <w:snapToGrid w:val="0"/>
        <w:spacing w:line="360" w:lineRule="auto"/>
        <w:ind w:left="1260" w:leftChars="600" w:firstLine="578" w:firstLineChars="200"/>
        <w:rPr>
          <w:rFonts w:ascii="宋体" w:hAnsi="宋体" w:cs="宋体"/>
          <w:b/>
          <w:color w:val="auto"/>
          <w:spacing w:val="-6"/>
          <w:sz w:val="30"/>
          <w:szCs w:val="30"/>
          <w:highlight w:val="red"/>
        </w:rPr>
        <w:sectPr>
          <w:footerReference r:id="rId4" w:type="first"/>
          <w:headerReference r:id="rId3" w:type="default"/>
          <w:pgSz w:w="11907" w:h="16840"/>
          <w:pgMar w:top="1417" w:right="1417" w:bottom="1417" w:left="1417"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期：202</w:t>
      </w:r>
      <w:r>
        <w:rPr>
          <w:rFonts w:ascii="宋体" w:hAnsi="宋体" w:cs="宋体"/>
          <w:b/>
          <w:color w:val="auto"/>
          <w:spacing w:val="-6"/>
          <w:sz w:val="30"/>
          <w:szCs w:val="30"/>
          <w:highlight w:val="none"/>
        </w:rPr>
        <w:t>4</w:t>
      </w:r>
      <w:r>
        <w:rPr>
          <w:rFonts w:hint="eastAsia" w:ascii="宋体" w:hAnsi="宋体" w:cs="宋体"/>
          <w:b/>
          <w:color w:val="auto"/>
          <w:spacing w:val="-6"/>
          <w:sz w:val="30"/>
          <w:szCs w:val="30"/>
          <w:highlight w:val="none"/>
        </w:rPr>
        <w:t>年</w:t>
      </w:r>
      <w:r>
        <w:rPr>
          <w:rFonts w:hint="eastAsia" w:ascii="宋体" w:hAnsi="宋体" w:cs="宋体"/>
          <w:b/>
          <w:color w:val="auto"/>
          <w:spacing w:val="-6"/>
          <w:sz w:val="30"/>
          <w:szCs w:val="30"/>
          <w:highlight w:val="none"/>
          <w:lang w:val="en-US" w:eastAsia="zh-CN"/>
        </w:rPr>
        <w:t>9</w:t>
      </w:r>
      <w:r>
        <w:rPr>
          <w:rFonts w:hint="eastAsia" w:ascii="宋体" w:hAnsi="宋体" w:cs="宋体"/>
          <w:b/>
          <w:color w:val="auto"/>
          <w:spacing w:val="-6"/>
          <w:sz w:val="30"/>
          <w:szCs w:val="30"/>
          <w:highlight w:val="none"/>
        </w:rPr>
        <w:t>月</w:t>
      </w:r>
    </w:p>
    <w:p w14:paraId="7D9923BC">
      <w:pPr>
        <w:pStyle w:val="80"/>
        <w:spacing w:line="480" w:lineRule="auto"/>
        <w:jc w:val="center"/>
        <w:rPr>
          <w:color w:val="auto"/>
          <w:sz w:val="44"/>
          <w:szCs w:val="44"/>
        </w:rPr>
      </w:pPr>
      <w:r>
        <w:rPr>
          <w:color w:val="auto"/>
          <w:sz w:val="44"/>
          <w:szCs w:val="44"/>
          <w:lang w:val="zh-CN"/>
        </w:rPr>
        <w:t>目</w:t>
      </w:r>
      <w:r>
        <w:rPr>
          <w:rFonts w:hint="eastAsia"/>
          <w:color w:val="auto"/>
          <w:sz w:val="44"/>
          <w:szCs w:val="44"/>
          <w:lang w:val="en-US" w:eastAsia="zh-CN"/>
        </w:rPr>
        <w:t xml:space="preserve"> </w:t>
      </w:r>
      <w:r>
        <w:rPr>
          <w:color w:val="auto"/>
          <w:sz w:val="44"/>
          <w:szCs w:val="44"/>
          <w:lang w:val="zh-CN"/>
        </w:rPr>
        <w:t>录</w:t>
      </w:r>
    </w:p>
    <w:p w14:paraId="0AF9B4FC">
      <w:pPr>
        <w:pStyle w:val="19"/>
        <w:tabs>
          <w:tab w:val="right" w:leader="dot" w:pos="8890"/>
        </w:tabs>
        <w:rPr>
          <w:rFonts w:asciiTheme="minorHAnsi" w:hAnsiTheme="minorHAnsi" w:eastAsiaTheme="minorEastAsia" w:cstheme="minorBidi"/>
          <w:szCs w:val="22"/>
        </w:rPr>
      </w:pPr>
      <w:r>
        <w:fldChar w:fldCharType="begin"/>
      </w:r>
      <w:r>
        <w:instrText xml:space="preserve"> TOC \o "1-3" \h \z \u </w:instrText>
      </w:r>
      <w:r>
        <w:fldChar w:fldCharType="separate"/>
      </w:r>
      <w:r>
        <w:rPr>
          <w:rStyle w:val="36"/>
        </w:rPr>
        <w:fldChar w:fldCharType="begin"/>
      </w:r>
      <w:r>
        <w:rPr>
          <w:rStyle w:val="36"/>
        </w:rPr>
        <w:instrText xml:space="preserve"> </w:instrText>
      </w:r>
      <w:r>
        <w:instrText xml:space="preserve">HYPERLINK \l "_Toc160007344"</w:instrText>
      </w:r>
      <w:r>
        <w:rPr>
          <w:rStyle w:val="36"/>
        </w:rPr>
        <w:instrText xml:space="preserve"> </w:instrText>
      </w:r>
      <w:r>
        <w:rPr>
          <w:rStyle w:val="36"/>
        </w:rPr>
        <w:fldChar w:fldCharType="separate"/>
      </w:r>
      <w:r>
        <w:rPr>
          <w:rStyle w:val="36"/>
          <w:rFonts w:hint="eastAsia"/>
          <w:kern w:val="0"/>
        </w:rPr>
        <w:t>重要事项提示</w:t>
      </w:r>
      <w:r>
        <w:tab/>
      </w:r>
      <w:r>
        <w:fldChar w:fldCharType="begin"/>
      </w:r>
      <w:r>
        <w:instrText xml:space="preserve"> PAGEREF _Toc160007344 \h </w:instrText>
      </w:r>
      <w:r>
        <w:fldChar w:fldCharType="separate"/>
      </w:r>
      <w:r>
        <w:t>1</w:t>
      </w:r>
      <w:r>
        <w:fldChar w:fldCharType="end"/>
      </w:r>
      <w:r>
        <w:rPr>
          <w:rStyle w:val="36"/>
        </w:rPr>
        <w:fldChar w:fldCharType="end"/>
      </w:r>
    </w:p>
    <w:p w14:paraId="7F7A45A6">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"_Toc160007345" </w:instrText>
      </w:r>
      <w:r>
        <w:fldChar w:fldCharType="separate"/>
      </w:r>
      <w:r>
        <w:rPr>
          <w:rStyle w:val="36"/>
          <w:rFonts w:hint="eastAsia"/>
          <w:kern w:val="0"/>
        </w:rPr>
        <w:t>采购公告</w:t>
      </w:r>
      <w:r>
        <w:tab/>
      </w:r>
      <w:r>
        <w:rPr>
          <w:rFonts w:hint="eastAsia"/>
          <w:lang w:val="en-US" w:eastAsia="zh-CN"/>
        </w:rPr>
        <w:t>3</w:t>
      </w:r>
      <w:r>
        <w:fldChar w:fldCharType="end"/>
      </w:r>
    </w:p>
    <w:p w14:paraId="1A9390EF">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"_Toc160007346" </w:instrText>
      </w:r>
      <w:r>
        <w:fldChar w:fldCharType="separate"/>
      </w:r>
      <w:r>
        <w:rPr>
          <w:rStyle w:val="36"/>
          <w:rFonts w:hint="eastAsia"/>
          <w:kern w:val="0"/>
        </w:rPr>
        <w:t>投标须知前附表</w:t>
      </w:r>
      <w:r>
        <w:tab/>
      </w:r>
      <w:r>
        <w:rPr>
          <w:rFonts w:hint="eastAsia"/>
          <w:lang w:val="en-US" w:eastAsia="zh-CN"/>
        </w:rPr>
        <w:t>7</w:t>
      </w:r>
      <w:r>
        <w:fldChar w:fldCharType="end"/>
      </w:r>
    </w:p>
    <w:p w14:paraId="41C490CE">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"_Toc160007347" </w:instrText>
      </w:r>
      <w:r>
        <w:fldChar w:fldCharType="separate"/>
      </w:r>
      <w:r>
        <w:rPr>
          <w:rStyle w:val="36"/>
          <w:rFonts w:hint="eastAsia"/>
          <w:kern w:val="0"/>
        </w:rPr>
        <w:t>第一部分</w:t>
      </w:r>
      <w:r>
        <w:rPr>
          <w:rStyle w:val="36"/>
          <w:kern w:val="0"/>
        </w:rPr>
        <w:t xml:space="preserve"> </w:t>
      </w:r>
      <w:r>
        <w:rPr>
          <w:rStyle w:val="36"/>
          <w:rFonts w:hint="eastAsia"/>
          <w:kern w:val="0"/>
        </w:rPr>
        <w:t>采购项目相关内容及要求</w:t>
      </w:r>
      <w:r>
        <w:tab/>
      </w:r>
      <w:r>
        <w:fldChar w:fldCharType="begin"/>
      </w:r>
      <w:r>
        <w:instrText xml:space="preserve"> PAGEREF _Toc160007347 \h </w:instrText>
      </w:r>
      <w:r>
        <w:fldChar w:fldCharType="separate"/>
      </w:r>
      <w:r>
        <w:t>11</w:t>
      </w:r>
      <w:r>
        <w:fldChar w:fldCharType="end"/>
      </w:r>
      <w:r>
        <w:fldChar w:fldCharType="end"/>
      </w:r>
    </w:p>
    <w:p w14:paraId="4A639F2C">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"_Toc160007348" </w:instrText>
      </w:r>
      <w:r>
        <w:fldChar w:fldCharType="separate"/>
      </w:r>
      <w:r>
        <w:rPr>
          <w:rStyle w:val="36"/>
          <w:rFonts w:hint="eastAsia"/>
          <w:kern w:val="0"/>
        </w:rPr>
        <w:t>第二部分</w:t>
      </w:r>
      <w:r>
        <w:rPr>
          <w:rStyle w:val="36"/>
          <w:kern w:val="0"/>
        </w:rPr>
        <w:t xml:space="preserve"> </w:t>
      </w:r>
      <w:r>
        <w:rPr>
          <w:rStyle w:val="36"/>
          <w:rFonts w:hint="eastAsia"/>
          <w:kern w:val="0"/>
        </w:rPr>
        <w:t>投标须知</w:t>
      </w:r>
      <w:r>
        <w:tab/>
      </w:r>
      <w:r>
        <w:fldChar w:fldCharType="begin"/>
      </w:r>
      <w:r>
        <w:instrText xml:space="preserve"> PAGEREF _Toc160007348 \h </w:instrText>
      </w:r>
      <w:r>
        <w:fldChar w:fldCharType="separate"/>
      </w:r>
      <w:r>
        <w:t>12</w:t>
      </w:r>
      <w:r>
        <w:fldChar w:fldCharType="end"/>
      </w:r>
      <w:r>
        <w:fldChar w:fldCharType="end"/>
      </w:r>
    </w:p>
    <w:p w14:paraId="1A2714F2">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"_Toc160007349" </w:instrText>
      </w:r>
      <w:r>
        <w:fldChar w:fldCharType="separate"/>
      </w:r>
      <w:r>
        <w:rPr>
          <w:rStyle w:val="36"/>
          <w:rFonts w:hint="eastAsia"/>
          <w:kern w:val="0"/>
        </w:rPr>
        <w:t>第三部分</w:t>
      </w:r>
      <w:r>
        <w:rPr>
          <w:rStyle w:val="36"/>
          <w:kern w:val="0"/>
        </w:rPr>
        <w:t xml:space="preserve"> </w:t>
      </w:r>
      <w:r>
        <w:rPr>
          <w:rStyle w:val="36"/>
          <w:rFonts w:hint="eastAsia"/>
          <w:kern w:val="0"/>
        </w:rPr>
        <w:t>其他要求</w:t>
      </w:r>
      <w:r>
        <w:tab/>
      </w:r>
      <w:r>
        <w:fldChar w:fldCharType="begin"/>
      </w:r>
      <w:r>
        <w:instrText xml:space="preserve"> PAGEREF _Toc160007349 \h </w:instrText>
      </w:r>
      <w:r>
        <w:fldChar w:fldCharType="separate"/>
      </w:r>
      <w:r>
        <w:t>23</w:t>
      </w:r>
      <w:r>
        <w:fldChar w:fldCharType="end"/>
      </w:r>
      <w:r>
        <w:fldChar w:fldCharType="end"/>
      </w:r>
    </w:p>
    <w:p w14:paraId="0E81EAA9">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"_Toc160007350" </w:instrText>
      </w:r>
      <w:r>
        <w:fldChar w:fldCharType="separate"/>
      </w:r>
      <w:r>
        <w:rPr>
          <w:rStyle w:val="36"/>
          <w:rFonts w:hint="eastAsia"/>
          <w:kern w:val="0"/>
        </w:rPr>
        <w:t>第四部分</w:t>
      </w:r>
      <w:r>
        <w:rPr>
          <w:rStyle w:val="36"/>
          <w:kern w:val="0"/>
        </w:rPr>
        <w:t xml:space="preserve"> </w:t>
      </w:r>
      <w:r>
        <w:rPr>
          <w:rStyle w:val="36"/>
          <w:rFonts w:hint="eastAsia"/>
          <w:kern w:val="0"/>
        </w:rPr>
        <w:t>质疑与投诉</w:t>
      </w:r>
      <w:r>
        <w:tab/>
      </w:r>
      <w:r>
        <w:fldChar w:fldCharType="begin"/>
      </w:r>
      <w:r>
        <w:instrText xml:space="preserve"> PAGEREF _Toc160007350 \h </w:instrText>
      </w:r>
      <w:r>
        <w:fldChar w:fldCharType="separate"/>
      </w:r>
      <w:r>
        <w:t>23</w:t>
      </w:r>
      <w:r>
        <w:fldChar w:fldCharType="end"/>
      </w:r>
      <w:r>
        <w:fldChar w:fldCharType="end"/>
      </w:r>
    </w:p>
    <w:p w14:paraId="68A1E2F0">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"_Toc160007351" </w:instrText>
      </w:r>
      <w:r>
        <w:fldChar w:fldCharType="separate"/>
      </w:r>
      <w:r>
        <w:rPr>
          <w:rStyle w:val="36"/>
          <w:rFonts w:hint="eastAsia"/>
          <w:kern w:val="0"/>
        </w:rPr>
        <w:t>第五部分</w:t>
      </w:r>
      <w:r>
        <w:rPr>
          <w:rStyle w:val="36"/>
          <w:kern w:val="0"/>
        </w:rPr>
        <w:t xml:space="preserve"> </w:t>
      </w:r>
      <w:r>
        <w:rPr>
          <w:rStyle w:val="36"/>
          <w:rFonts w:hint="eastAsia"/>
          <w:kern w:val="0"/>
        </w:rPr>
        <w:t>监督单位</w:t>
      </w:r>
      <w:r>
        <w:tab/>
      </w:r>
      <w:r>
        <w:fldChar w:fldCharType="begin"/>
      </w:r>
      <w:r>
        <w:instrText xml:space="preserve"> PAGEREF _Toc160007351 \h </w:instrText>
      </w:r>
      <w:r>
        <w:fldChar w:fldCharType="separate"/>
      </w:r>
      <w:r>
        <w:t>24</w:t>
      </w:r>
      <w:r>
        <w:fldChar w:fldCharType="end"/>
      </w:r>
      <w:r>
        <w:fldChar w:fldCharType="end"/>
      </w:r>
    </w:p>
    <w:p w14:paraId="127E1878">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"_Toc160007352" </w:instrText>
      </w:r>
      <w:r>
        <w:fldChar w:fldCharType="separate"/>
      </w:r>
      <w:r>
        <w:rPr>
          <w:rStyle w:val="36"/>
          <w:rFonts w:hint="eastAsia"/>
          <w:kern w:val="0"/>
        </w:rPr>
        <w:t>第六部分</w:t>
      </w:r>
      <w:r>
        <w:rPr>
          <w:rStyle w:val="36"/>
          <w:kern w:val="0"/>
        </w:rPr>
        <w:t xml:space="preserve"> </w:t>
      </w:r>
      <w:r>
        <w:rPr>
          <w:rStyle w:val="36"/>
          <w:rFonts w:hint="eastAsia"/>
          <w:kern w:val="0"/>
        </w:rPr>
        <w:t>服务内容及要求</w:t>
      </w:r>
      <w:r>
        <w:tab/>
      </w:r>
      <w:r>
        <w:fldChar w:fldCharType="begin"/>
      </w:r>
      <w:r>
        <w:instrText xml:space="preserve"> PAGEREF _Toc160007352 \h </w:instrText>
      </w:r>
      <w:r>
        <w:fldChar w:fldCharType="separate"/>
      </w:r>
      <w:r>
        <w:t>25</w:t>
      </w:r>
      <w:r>
        <w:fldChar w:fldCharType="end"/>
      </w:r>
      <w:r>
        <w:fldChar w:fldCharType="end"/>
      </w:r>
    </w:p>
    <w:p w14:paraId="76E602DF">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"_Toc160007353" </w:instrText>
      </w:r>
      <w:r>
        <w:fldChar w:fldCharType="separate"/>
      </w:r>
      <w:r>
        <w:rPr>
          <w:rStyle w:val="36"/>
          <w:rFonts w:hint="eastAsia"/>
          <w:kern w:val="0"/>
        </w:rPr>
        <w:t>第七部分</w:t>
      </w:r>
      <w:r>
        <w:rPr>
          <w:rStyle w:val="36"/>
          <w:kern w:val="0"/>
        </w:rPr>
        <w:t xml:space="preserve"> </w:t>
      </w:r>
      <w:r>
        <w:rPr>
          <w:rStyle w:val="36"/>
          <w:rFonts w:hint="eastAsia"/>
          <w:kern w:val="0"/>
        </w:rPr>
        <w:t>合同格式及主要条款</w:t>
      </w:r>
      <w:r>
        <w:rPr>
          <w:rStyle w:val="36"/>
          <w:kern w:val="0"/>
        </w:rPr>
        <w:t xml:space="preserve"> </w:t>
      </w:r>
      <w:r>
        <w:rPr>
          <w:rStyle w:val="36"/>
          <w:rFonts w:hint="eastAsia"/>
          <w:kern w:val="0"/>
        </w:rPr>
        <w:t>（仅供参考）</w:t>
      </w:r>
      <w:r>
        <w:tab/>
      </w:r>
      <w:r>
        <w:fldChar w:fldCharType="begin"/>
      </w:r>
      <w:r>
        <w:instrText xml:space="preserve"> PAGEREF _Toc160007353 \h </w:instrText>
      </w:r>
      <w:r>
        <w:fldChar w:fldCharType="separate"/>
      </w:r>
      <w:r>
        <w:t>25</w:t>
      </w:r>
      <w:r>
        <w:fldChar w:fldCharType="end"/>
      </w:r>
      <w:r>
        <w:fldChar w:fldCharType="end"/>
      </w:r>
    </w:p>
    <w:p w14:paraId="1D03F8DC">
      <w:pPr>
        <w:pStyle w:val="19"/>
        <w:tabs>
          <w:tab w:val="right" w:leader="dot" w:pos="8890"/>
        </w:tabs>
        <w:rPr>
          <w:rFonts w:asciiTheme="minorHAnsi" w:hAnsiTheme="minorHAnsi" w:eastAsiaTheme="minorEastAsia" w:cstheme="minorBidi"/>
          <w:szCs w:val="22"/>
        </w:rPr>
      </w:pPr>
      <w:r>
        <w:fldChar w:fldCharType="begin"/>
      </w:r>
      <w:r>
        <w:instrText xml:space="preserve"> HYPERLINK \l "_Toc160007355" </w:instrText>
      </w:r>
      <w:r>
        <w:fldChar w:fldCharType="separate"/>
      </w:r>
      <w:r>
        <w:rPr>
          <w:rStyle w:val="36"/>
          <w:rFonts w:hint="eastAsia"/>
          <w:kern w:val="0"/>
        </w:rPr>
        <w:t>第</w:t>
      </w:r>
      <w:r>
        <w:rPr>
          <w:rStyle w:val="36"/>
          <w:rFonts w:hint="eastAsia"/>
          <w:kern w:val="0"/>
          <w:lang w:val="en-US" w:eastAsia="zh-CN"/>
        </w:rPr>
        <w:t>八</w:t>
      </w:r>
      <w:r>
        <w:rPr>
          <w:rStyle w:val="36"/>
          <w:rFonts w:hint="eastAsia"/>
          <w:kern w:val="0"/>
        </w:rPr>
        <w:t>部分</w:t>
      </w:r>
      <w:r>
        <w:rPr>
          <w:rStyle w:val="36"/>
          <w:kern w:val="0"/>
        </w:rPr>
        <w:t xml:space="preserve"> </w:t>
      </w:r>
      <w:r>
        <w:rPr>
          <w:rStyle w:val="36"/>
          <w:rFonts w:hint="eastAsia"/>
          <w:kern w:val="0"/>
        </w:rPr>
        <w:t>附件—供应商响应文件格式</w:t>
      </w:r>
      <w:r>
        <w:tab/>
      </w:r>
      <w:r>
        <w:fldChar w:fldCharType="begin"/>
      </w:r>
      <w:r>
        <w:instrText xml:space="preserve"> PAGEREF _Toc160007355 \h </w:instrText>
      </w:r>
      <w:r>
        <w:fldChar w:fldCharType="separate"/>
      </w:r>
      <w:r>
        <w:t>31</w:t>
      </w:r>
      <w:r>
        <w:fldChar w:fldCharType="end"/>
      </w:r>
      <w:r>
        <w:fldChar w:fldCharType="end"/>
      </w:r>
    </w:p>
    <w:p w14:paraId="20ADE4B9">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"_Toc160007356" </w:instrText>
      </w:r>
      <w:r>
        <w:rPr>
          <w:rFonts w:hint="eastAsia" w:ascii="宋体" w:hAnsi="宋体" w:eastAsia="宋体" w:cs="宋体"/>
        </w:rPr>
        <w:fldChar w:fldCharType="separate"/>
      </w:r>
      <w:r>
        <w:rPr>
          <w:rStyle w:val="36"/>
          <w:rFonts w:hint="eastAsia" w:ascii="宋体" w:hAnsi="宋体" w:eastAsia="宋体" w:cs="宋体"/>
        </w:rPr>
        <w:t>附件1：</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68C50FF4">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"_Toc160007357" </w:instrText>
      </w:r>
      <w:r>
        <w:rPr>
          <w:rFonts w:hint="eastAsia" w:ascii="宋体" w:hAnsi="宋体" w:eastAsia="宋体" w:cs="宋体"/>
        </w:rPr>
        <w:fldChar w:fldCharType="separate"/>
      </w:r>
      <w:r>
        <w:rPr>
          <w:rStyle w:val="36"/>
          <w:rFonts w:hint="eastAsia" w:ascii="宋体" w:hAnsi="宋体" w:eastAsia="宋体" w:cs="宋体"/>
        </w:rPr>
        <w:t>附件2：</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_Toc160007357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14:paraId="746E9A74">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"_Toc160007358" </w:instrText>
      </w:r>
      <w:r>
        <w:rPr>
          <w:rFonts w:hint="eastAsia" w:ascii="宋体" w:hAnsi="宋体" w:eastAsia="宋体" w:cs="宋体"/>
        </w:rPr>
        <w:fldChar w:fldCharType="separate"/>
      </w:r>
      <w:r>
        <w:rPr>
          <w:rStyle w:val="36"/>
          <w:rFonts w:hint="eastAsia" w:ascii="宋体" w:hAnsi="宋体" w:eastAsia="宋体" w:cs="宋体"/>
        </w:rPr>
        <w:t>附件3：</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5E5E4A87">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"_Toc160007359" </w:instrText>
      </w:r>
      <w:r>
        <w:rPr>
          <w:rFonts w:hint="eastAsia" w:ascii="宋体" w:hAnsi="宋体" w:eastAsia="宋体" w:cs="宋体"/>
        </w:rPr>
        <w:fldChar w:fldCharType="separate"/>
      </w:r>
      <w:r>
        <w:rPr>
          <w:rStyle w:val="36"/>
          <w:rFonts w:hint="eastAsia" w:ascii="宋体" w:hAnsi="宋体" w:eastAsia="宋体" w:cs="宋体"/>
        </w:rPr>
        <w:t>附件4：</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_Toc160007359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14:paraId="5647AB8E">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"_Toc160007360" </w:instrText>
      </w:r>
      <w:r>
        <w:rPr>
          <w:rFonts w:hint="eastAsia" w:ascii="宋体" w:hAnsi="宋体" w:eastAsia="宋体" w:cs="宋体"/>
        </w:rPr>
        <w:fldChar w:fldCharType="separate"/>
      </w:r>
      <w:r>
        <w:rPr>
          <w:rStyle w:val="36"/>
          <w:rFonts w:hint="eastAsia" w:ascii="宋体" w:hAnsi="宋体" w:eastAsia="宋体" w:cs="宋体"/>
        </w:rPr>
        <w:t>附件5：</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_Toc160007360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4897B480">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"_Toc160007361" </w:instrText>
      </w:r>
      <w:r>
        <w:rPr>
          <w:rFonts w:hint="eastAsia" w:ascii="宋体" w:hAnsi="宋体" w:eastAsia="宋体" w:cs="宋体"/>
        </w:rPr>
        <w:fldChar w:fldCharType="separate"/>
      </w:r>
      <w:r>
        <w:rPr>
          <w:rStyle w:val="36"/>
          <w:rFonts w:hint="eastAsia" w:ascii="宋体" w:hAnsi="宋体" w:eastAsia="宋体" w:cs="宋体"/>
        </w:rPr>
        <w:t>附件6：</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14:paraId="25E140C6">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"_Toc160007362" </w:instrText>
      </w:r>
      <w:r>
        <w:rPr>
          <w:rFonts w:hint="eastAsia" w:ascii="宋体" w:hAnsi="宋体" w:eastAsia="宋体" w:cs="宋体"/>
        </w:rPr>
        <w:fldChar w:fldCharType="separate"/>
      </w:r>
      <w:r>
        <w:rPr>
          <w:rStyle w:val="36"/>
          <w:rFonts w:hint="eastAsia" w:ascii="宋体" w:hAnsi="宋体" w:eastAsia="宋体" w:cs="宋体"/>
        </w:rPr>
        <w:t>附件7：</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_Toc160007362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fldChar w:fldCharType="end"/>
      </w:r>
    </w:p>
    <w:p w14:paraId="57964D4F">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"_Toc160007363" </w:instrText>
      </w:r>
      <w:r>
        <w:rPr>
          <w:rFonts w:hint="eastAsia" w:ascii="宋体" w:hAnsi="宋体" w:eastAsia="宋体" w:cs="宋体"/>
        </w:rPr>
        <w:fldChar w:fldCharType="separate"/>
      </w:r>
      <w:r>
        <w:rPr>
          <w:rStyle w:val="36"/>
          <w:rFonts w:hint="eastAsia" w:ascii="宋体" w:hAnsi="宋体" w:eastAsia="宋体" w:cs="宋体"/>
        </w:rPr>
        <w:t>附件8：</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_Toc160007363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4DA13E88">
      <w:pPr>
        <w:pStyle w:val="20"/>
        <w:tabs>
          <w:tab w:val="right" w:leader="dot" w:pos="8890"/>
        </w:tabs>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"_Toc160007364" </w:instrText>
      </w:r>
      <w:r>
        <w:rPr>
          <w:rFonts w:hint="eastAsia" w:ascii="宋体" w:hAnsi="宋体" w:eastAsia="宋体" w:cs="宋体"/>
        </w:rPr>
        <w:fldChar w:fldCharType="separate"/>
      </w:r>
      <w:r>
        <w:rPr>
          <w:rStyle w:val="36"/>
          <w:rFonts w:hint="eastAsia" w:ascii="宋体" w:hAnsi="宋体" w:eastAsia="宋体" w:cs="宋体"/>
        </w:rPr>
        <w:t>附件9：</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68310C8C">
      <w:pPr>
        <w:pStyle w:val="20"/>
        <w:tabs>
          <w:tab w:val="right" w:leader="dot" w:pos="8890"/>
        </w:tabs>
        <w:rPr>
          <w:rFonts w:asciiTheme="minorHAnsi" w:hAnsiTheme="minorHAnsi" w:eastAsiaTheme="minorEastAsia" w:cstheme="minorBidi"/>
          <w:szCs w:val="22"/>
        </w:rPr>
      </w:pPr>
      <w:r>
        <w:rPr>
          <w:rFonts w:hint="eastAsia" w:ascii="宋体" w:hAnsi="宋体" w:eastAsia="宋体" w:cs="宋体"/>
        </w:rPr>
        <w:fldChar w:fldCharType="begin"/>
      </w:r>
      <w:r>
        <w:rPr>
          <w:rFonts w:hint="eastAsia" w:ascii="宋体" w:hAnsi="宋体" w:eastAsia="宋体" w:cs="宋体"/>
        </w:rPr>
        <w:instrText xml:space="preserve"> HYPERLINK \l "_Toc160007365" </w:instrText>
      </w:r>
      <w:r>
        <w:rPr>
          <w:rFonts w:hint="eastAsia" w:ascii="宋体" w:hAnsi="宋体" w:eastAsia="宋体" w:cs="宋体"/>
        </w:rPr>
        <w:fldChar w:fldCharType="separate"/>
      </w:r>
      <w:r>
        <w:rPr>
          <w:rStyle w:val="36"/>
          <w:rFonts w:hint="eastAsia" w:ascii="宋体" w:hAnsi="宋体" w:eastAsia="宋体" w:cs="宋体"/>
        </w:rPr>
        <w:t>附件10：</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_Toc160007365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31629285">
      <w:r>
        <w:fldChar w:fldCharType="end"/>
      </w:r>
    </w:p>
    <w:p w14:paraId="23833A67">
      <w:pPr>
        <w:spacing w:line="480" w:lineRule="auto"/>
        <w:ind w:firstLine="480" w:firstLineChars="200"/>
        <w:rPr>
          <w:sz w:val="24"/>
        </w:rPr>
      </w:pPr>
    </w:p>
    <w:p w14:paraId="4D6FA9A5">
      <w:pPr>
        <w:spacing w:line="360" w:lineRule="auto"/>
        <w:jc w:val="center"/>
        <w:rPr>
          <w:rFonts w:ascii="方正小标宋简体" w:hAnsi="方正小标宋简体" w:eastAsia="方正小标宋简体" w:cs="方正小标宋简体"/>
          <w:sz w:val="36"/>
          <w:szCs w:val="36"/>
        </w:rPr>
        <w:sectPr>
          <w:footerReference r:id="rId7" w:type="first"/>
          <w:headerReference r:id="rId5" w:type="default"/>
          <w:footerReference r:id="rId6" w:type="default"/>
          <w:endnotePr>
            <w:numFmt w:val="decimal"/>
          </w:endnotePr>
          <w:pgSz w:w="11905" w:h="16837"/>
          <w:pgMar w:top="1417" w:right="1417" w:bottom="1417" w:left="1417" w:header="851" w:footer="737" w:gutter="0"/>
          <w:pgNumType w:fmt="numberInDash" w:start="1"/>
          <w:cols w:space="720" w:num="1"/>
          <w:titlePg/>
          <w:docGrid w:linePitch="286" w:charSpace="0"/>
        </w:sectPr>
      </w:pPr>
      <w:bookmarkStart w:id="0" w:name="_Toc19411"/>
      <w:bookmarkStart w:id="1" w:name="_Toc533668867"/>
      <w:bookmarkStart w:id="2" w:name="_Toc760"/>
    </w:p>
    <w:p w14:paraId="3D5AC8B8">
      <w:pPr>
        <w:pStyle w:val="3"/>
        <w:spacing w:before="0" w:after="0" w:line="360" w:lineRule="auto"/>
        <w:jc w:val="center"/>
        <w:rPr>
          <w:kern w:val="0"/>
        </w:rPr>
      </w:pPr>
      <w:bookmarkStart w:id="3" w:name="_Toc160007344"/>
      <w:bookmarkStart w:id="4" w:name="_Toc137128173"/>
      <w:r>
        <w:rPr>
          <w:rFonts w:hint="eastAsia"/>
          <w:kern w:val="0"/>
        </w:rPr>
        <w:t>重要事项提示</w:t>
      </w:r>
      <w:bookmarkEnd w:id="3"/>
      <w:bookmarkEnd w:id="4"/>
    </w:p>
    <w:p w14:paraId="62ABC7A0">
      <w:pPr>
        <w:spacing w:line="360" w:lineRule="auto"/>
        <w:rPr>
          <w:rFonts w:ascii="宋体" w:hAnsi="宋体" w:cs="宋体"/>
          <w:sz w:val="24"/>
        </w:rPr>
      </w:pPr>
      <w:r>
        <w:rPr>
          <w:rFonts w:hint="eastAsia" w:ascii="宋体" w:hAnsi="宋体" w:cs="宋体"/>
          <w:sz w:val="24"/>
        </w:rPr>
        <w:t>各潜在供应商：</w:t>
      </w:r>
    </w:p>
    <w:p w14:paraId="20C94A36">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以下环节是此采购文件中需要重点关注的环节，对以下内容的忽视，可能是影响贵公司中标的重要因素。请在编制响应性文件参与政府采购时高度重视。</w:t>
      </w:r>
    </w:p>
    <w:p w14:paraId="59A407D9">
      <w:pPr>
        <w:spacing w:line="360" w:lineRule="auto"/>
        <w:ind w:firstLine="480" w:firstLineChars="200"/>
        <w:rPr>
          <w:rFonts w:ascii="宋体" w:hAnsi="宋体" w:cs="宋体"/>
          <w:sz w:val="24"/>
        </w:rPr>
      </w:pPr>
      <w:r>
        <w:rPr>
          <w:rFonts w:hint="eastAsia" w:ascii="宋体" w:hAnsi="宋体" w:cs="宋体"/>
          <w:sz w:val="24"/>
        </w:rPr>
        <w:t>1、谈判文件应通过焦作市公共资源交易中心网站会员系统进行网上下载；未使用企业 CA 密匙登录焦作市公共资源交易中心网站会员系统进行网上下载文件的，投标视为无效；</w:t>
      </w:r>
    </w:p>
    <w:p w14:paraId="40DFB47E">
      <w:pPr>
        <w:spacing w:line="360" w:lineRule="auto"/>
        <w:ind w:firstLine="480" w:firstLineChars="200"/>
        <w:rPr>
          <w:rFonts w:ascii="宋体" w:hAnsi="宋体" w:cs="宋体"/>
          <w:sz w:val="24"/>
        </w:rPr>
      </w:pPr>
      <w:r>
        <w:rPr>
          <w:rFonts w:hint="eastAsia" w:ascii="宋体" w:hAnsi="宋体" w:cs="宋体"/>
          <w:sz w:val="24"/>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DF2E925">
      <w:pPr>
        <w:pStyle w:val="21"/>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）按要求解密投标文件。因文件未及时上传导致投标失败的责任由供应商自行承担，具体要求详见竞争性谈判文件。 平台统一技术服务电话：400-998-0000，服务 QQ：4008503300，服务时间：周一至周日 8：00-17：30。</w:t>
      </w:r>
    </w:p>
    <w:p w14:paraId="6DE3228F">
      <w:pPr>
        <w:pStyle w:val="21"/>
        <w:spacing w:before="0" w:beforeAutospacing="0" w:after="0" w:afterAutospacing="0" w:line="360" w:lineRule="auto"/>
        <w:ind w:firstLine="480" w:firstLineChars="200"/>
        <w:jc w:val="both"/>
      </w:pPr>
      <w:r>
        <w:rPr>
          <w:rFonts w:hint="eastAsia"/>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495152D2">
      <w:pPr>
        <w:pStyle w:val="21"/>
        <w:numPr>
          <w:ilvl w:val="0"/>
          <w:numId w:val="1"/>
        </w:numPr>
        <w:spacing w:before="0" w:beforeAutospacing="0" w:after="0" w:afterAutospacing="0" w:line="360" w:lineRule="auto"/>
        <w:ind w:firstLine="480" w:firstLineChars="200"/>
        <w:jc w:val="both"/>
      </w:pPr>
      <w:r>
        <w:rPr>
          <w:rFonts w:hint="eastAsia"/>
        </w:rPr>
        <w:t>有下列情形之一的，将作为自动放弃、无效投标或废标处理：</w:t>
      </w:r>
    </w:p>
    <w:p w14:paraId="3F911D68">
      <w:pPr>
        <w:widowControl/>
        <w:spacing w:line="360" w:lineRule="auto"/>
        <w:ind w:firstLine="480" w:firstLineChars="200"/>
        <w:rPr>
          <w:rFonts w:ascii="宋体" w:hAnsi="宋体"/>
          <w:kern w:val="0"/>
          <w:sz w:val="24"/>
        </w:rPr>
      </w:pPr>
      <w:r>
        <w:rPr>
          <w:rFonts w:hint="eastAsia" w:ascii="宋体" w:hAnsi="宋体"/>
          <w:kern w:val="0"/>
          <w:sz w:val="24"/>
        </w:rPr>
        <w:t>3.1. 未按竞争性谈判文件明示的规定签字或盖章的；</w:t>
      </w:r>
    </w:p>
    <w:p w14:paraId="4BE94525">
      <w:pPr>
        <w:widowControl/>
        <w:spacing w:line="360" w:lineRule="auto"/>
        <w:ind w:firstLine="480" w:firstLineChars="200"/>
        <w:rPr>
          <w:rFonts w:ascii="宋体" w:hAnsi="宋体"/>
          <w:kern w:val="0"/>
          <w:sz w:val="24"/>
        </w:rPr>
      </w:pPr>
      <w:r>
        <w:rPr>
          <w:rFonts w:hint="eastAsia" w:ascii="宋体" w:hAnsi="宋体"/>
          <w:kern w:val="0"/>
          <w:sz w:val="24"/>
        </w:rPr>
        <w:t>3.2. 响应文件的关键内容（投标报价、</w:t>
      </w:r>
      <w:r>
        <w:rPr>
          <w:rFonts w:hint="eastAsia" w:ascii="宋体" w:hAnsi="宋体"/>
          <w:kern w:val="0"/>
          <w:sz w:val="24"/>
          <w:lang w:val="en-US" w:eastAsia="zh-CN"/>
        </w:rPr>
        <w:t>合同履行期</w:t>
      </w:r>
      <w:r>
        <w:rPr>
          <w:rFonts w:hint="eastAsia" w:ascii="宋体" w:hAnsi="宋体"/>
          <w:kern w:val="0"/>
          <w:sz w:val="24"/>
        </w:rPr>
        <w:t>、质量要求等）未填写或填写字迹模糊无法辨认的；</w:t>
      </w:r>
    </w:p>
    <w:p w14:paraId="01416073">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14:paraId="4D114859">
      <w:pPr>
        <w:widowControl/>
        <w:spacing w:line="360" w:lineRule="auto"/>
        <w:ind w:firstLine="480" w:firstLineChars="200"/>
        <w:rPr>
          <w:rFonts w:ascii="宋体" w:hAnsi="宋体"/>
          <w:kern w:val="0"/>
          <w:sz w:val="24"/>
        </w:rPr>
      </w:pPr>
      <w:r>
        <w:rPr>
          <w:rFonts w:hint="eastAsia" w:ascii="宋体" w:hAnsi="宋体"/>
          <w:kern w:val="0"/>
          <w:sz w:val="24"/>
        </w:rPr>
        <w:t>3.4. 响应文件中对同一项目有两个或多个报价，且未声明哪一个有效的；</w:t>
      </w:r>
    </w:p>
    <w:p w14:paraId="03E0429F">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14:paraId="49ECF56B">
      <w:pPr>
        <w:widowControl/>
        <w:spacing w:line="360" w:lineRule="auto"/>
        <w:ind w:firstLine="480" w:firstLineChars="200"/>
        <w:rPr>
          <w:rFonts w:ascii="宋体" w:hAnsi="宋体"/>
          <w:kern w:val="0"/>
          <w:sz w:val="24"/>
        </w:rPr>
      </w:pPr>
      <w:r>
        <w:rPr>
          <w:rFonts w:hint="eastAsia" w:ascii="宋体" w:hAnsi="宋体"/>
          <w:kern w:val="0"/>
          <w:sz w:val="24"/>
        </w:rPr>
        <w:t>3.6. 响应文件中附有采购人不能接受的条件的；</w:t>
      </w:r>
    </w:p>
    <w:p w14:paraId="1AFA370F">
      <w:pPr>
        <w:widowControl/>
        <w:spacing w:line="360" w:lineRule="auto"/>
        <w:ind w:firstLine="480" w:firstLineChars="200"/>
        <w:rPr>
          <w:rFonts w:ascii="宋体" w:hAnsi="宋体"/>
          <w:kern w:val="0"/>
          <w:sz w:val="24"/>
        </w:rPr>
      </w:pPr>
      <w:r>
        <w:rPr>
          <w:rFonts w:hint="eastAsia" w:ascii="宋体" w:hAnsi="宋体"/>
          <w:kern w:val="0"/>
          <w:sz w:val="24"/>
        </w:rPr>
        <w:t>3.7. 响应文件有明显不符合竞争性谈判文件其它要求和有关法律法规的；</w:t>
      </w:r>
    </w:p>
    <w:p w14:paraId="05C6DA67">
      <w:pPr>
        <w:widowControl/>
        <w:spacing w:line="360" w:lineRule="auto"/>
        <w:ind w:firstLine="480" w:firstLineChars="200"/>
      </w:pPr>
      <w:r>
        <w:rPr>
          <w:rFonts w:hint="eastAsia" w:ascii="宋体" w:hAnsi="宋体"/>
          <w:kern w:val="0"/>
          <w:sz w:val="24"/>
        </w:rPr>
        <w:t>3.8. 评标过程中，如因两个或两个以上供应商在同一台计算机或同一个IP上传响应文件，而被不见面开标系统提示为“投标文件制作机器码一致”的，则视其投标无效；</w:t>
      </w:r>
    </w:p>
    <w:p w14:paraId="2D1B5475">
      <w:pPr>
        <w:widowControl/>
        <w:spacing w:line="360" w:lineRule="auto"/>
        <w:ind w:firstLine="480" w:firstLineChars="200"/>
        <w:rPr>
          <w:rFonts w:ascii="宋体" w:hAnsi="宋体"/>
          <w:kern w:val="0"/>
          <w:sz w:val="24"/>
        </w:rPr>
        <w:sectPr>
          <w:headerReference r:id="rId8" w:type="default"/>
          <w:footerReference r:id="rId9" w:type="default"/>
          <w:endnotePr>
            <w:numFmt w:val="decimal"/>
          </w:endnotePr>
          <w:pgSz w:w="11905" w:h="16837"/>
          <w:pgMar w:top="1417" w:right="1417" w:bottom="1417" w:left="1417" w:header="851" w:footer="737" w:gutter="0"/>
          <w:pgNumType w:start="1"/>
          <w:cols w:space="720" w:num="1"/>
          <w:titlePg/>
          <w:docGrid w:linePitch="286" w:charSpace="0"/>
        </w:sectPr>
      </w:pPr>
      <w:r>
        <w:rPr>
          <w:rFonts w:hint="eastAsia" w:ascii="宋体" w:hAnsi="宋体"/>
          <w:kern w:val="0"/>
          <w:sz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47FDD189">
      <w:pPr>
        <w:spacing w:line="360" w:lineRule="auto"/>
        <w:jc w:val="center"/>
        <w:rPr>
          <w:b/>
          <w:color w:val="auto"/>
          <w:sz w:val="28"/>
          <w:szCs w:val="28"/>
          <w:highlight w:val="none"/>
        </w:rPr>
      </w:pPr>
      <w:bookmarkStart w:id="5" w:name="_Toc137128175"/>
      <w:bookmarkStart w:id="6" w:name="_Toc160007346"/>
      <w:r>
        <w:rPr>
          <w:rFonts w:hint="eastAsia"/>
          <w:b/>
          <w:color w:val="auto"/>
          <w:sz w:val="28"/>
          <w:szCs w:val="28"/>
          <w:highlight w:val="none"/>
          <w:lang w:eastAsia="zh-CN"/>
        </w:rPr>
        <w:t>博爱县旅游资源普查</w:t>
      </w:r>
      <w:r>
        <w:rPr>
          <w:rFonts w:hint="eastAsia"/>
          <w:b/>
          <w:color w:val="auto"/>
          <w:sz w:val="28"/>
          <w:szCs w:val="28"/>
          <w:highlight w:val="none"/>
          <w:lang w:val="en-US" w:eastAsia="zh-CN"/>
        </w:rPr>
        <w:t>采购</w:t>
      </w:r>
      <w:r>
        <w:rPr>
          <w:rFonts w:hint="eastAsia"/>
          <w:b/>
          <w:color w:val="auto"/>
          <w:sz w:val="28"/>
          <w:szCs w:val="28"/>
          <w:highlight w:val="none"/>
          <w:lang w:eastAsia="zh-CN"/>
        </w:rPr>
        <w:t>项目</w:t>
      </w:r>
      <w:r>
        <w:rPr>
          <w:rFonts w:hint="eastAsia"/>
          <w:b/>
          <w:color w:val="auto"/>
          <w:sz w:val="28"/>
          <w:szCs w:val="28"/>
          <w:highlight w:val="none"/>
        </w:rPr>
        <w:t>竞争性谈判公告（不见面开标）</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14:paraId="1297A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4" w:hRule="atLeast"/>
          <w:jc w:val="center"/>
        </w:trPr>
        <w:tc>
          <w:tcPr>
            <w:tcW w:w="8759" w:type="dxa"/>
            <w:vAlign w:val="center"/>
          </w:tcPr>
          <w:p w14:paraId="43F9A815">
            <w:pPr>
              <w:pStyle w:val="25"/>
              <w:spacing w:after="0" w:line="360" w:lineRule="auto"/>
              <w:ind w:left="0" w:leftChars="0" w:firstLine="720" w:firstLineChars="300"/>
              <w:jc w:val="left"/>
              <w:rPr>
                <w:rFonts w:ascii="宋体" w:hAnsi="宋体" w:cs="宋体"/>
                <w:color w:val="auto"/>
                <w:sz w:val="24"/>
                <w:highlight w:val="none"/>
              </w:rPr>
            </w:pPr>
            <w:r>
              <w:rPr>
                <w:rFonts w:hint="eastAsia" w:ascii="宋体" w:hAnsi="宋体" w:cs="宋体"/>
                <w:color w:val="auto"/>
                <w:sz w:val="24"/>
                <w:highlight w:val="none"/>
              </w:rPr>
              <w:t>重要提醒：</w:t>
            </w:r>
            <w:r>
              <w:rPr>
                <w:rFonts w:hint="eastAsia" w:ascii="宋体" w:hAnsi="宋体" w:cs="宋体"/>
                <w:color w:val="auto"/>
                <w:sz w:val="24"/>
                <w:highlight w:val="none"/>
                <w:u w:val="single"/>
                <w:lang w:eastAsia="zh-CN"/>
              </w:rPr>
              <w:t>博爱县旅游资源普查</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lang w:eastAsia="zh-CN"/>
              </w:rPr>
              <w:t>项目</w:t>
            </w:r>
            <w:r>
              <w:rPr>
                <w:rFonts w:hint="eastAsia" w:ascii="宋体" w:hAnsi="宋体" w:cs="宋体"/>
                <w:color w:val="auto"/>
                <w:sz w:val="24"/>
                <w:highlight w:val="none"/>
              </w:rPr>
              <w:t>的潜在供应商,须在</w:t>
            </w:r>
            <w:r>
              <w:rPr>
                <w:rFonts w:hint="eastAsia" w:ascii="宋体" w:hAnsi="宋体" w:cs="宋体"/>
                <w:color w:val="auto"/>
                <w:sz w:val="24"/>
                <w:highlight w:val="none"/>
                <w:shd w:val="clear" w:color="auto" w:fill="FFFFFF"/>
              </w:rPr>
              <w:t>焦作市公共资源交易中心网站获取采购文件及相关补充文件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rPr>
              <w:t>202</w:t>
            </w:r>
            <w:r>
              <w:rPr>
                <w:rFonts w:ascii="宋体" w:hAnsi="宋体" w:cs="宋体"/>
                <w:b/>
                <w:bCs/>
                <w:color w:val="auto"/>
                <w:sz w:val="24"/>
                <w:highlight w:val="none"/>
                <w:u w:val="single"/>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08</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分（北京时间）</w:t>
            </w:r>
            <w:r>
              <w:rPr>
                <w:rFonts w:hint="eastAsia" w:ascii="宋体" w:hAnsi="宋体" w:cs="宋体"/>
                <w:color w:val="auto"/>
                <w:sz w:val="24"/>
                <w:highlight w:val="none"/>
              </w:rPr>
              <w:t>前</w:t>
            </w:r>
            <w:r>
              <w:rPr>
                <w:rFonts w:hint="eastAsia" w:ascii="宋体" w:hAnsi="宋体" w:cs="宋体"/>
                <w:color w:val="auto"/>
                <w:sz w:val="24"/>
                <w:highlight w:val="none"/>
                <w:shd w:val="clear" w:color="auto" w:fill="FFFFFF"/>
              </w:rPr>
              <w:t>提交响应文件</w:t>
            </w:r>
            <w:r>
              <w:rPr>
                <w:rFonts w:hint="eastAsia" w:ascii="宋体" w:hAnsi="宋体" w:cs="宋体"/>
                <w:color w:val="auto"/>
                <w:sz w:val="24"/>
                <w:highlight w:val="none"/>
              </w:rPr>
              <w:t>。</w:t>
            </w:r>
          </w:p>
        </w:tc>
      </w:tr>
    </w:tbl>
    <w:p w14:paraId="7A2A2BEE">
      <w:pPr>
        <w:pStyle w:val="81"/>
        <w:spacing w:line="360" w:lineRule="auto"/>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p>
    <w:p w14:paraId="3F8DDE13">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编号：</w:t>
      </w:r>
      <w:r>
        <w:rPr>
          <w:rFonts w:hint="eastAsia" w:ascii="宋体" w:hAnsi="宋体" w:cs="宋体"/>
          <w:color w:val="auto"/>
          <w:kern w:val="0"/>
          <w:sz w:val="24"/>
          <w:highlight w:val="none"/>
          <w:lang w:eastAsia="zh-CN"/>
        </w:rPr>
        <w:t>博政采购〔2024〕</w:t>
      </w:r>
      <w:r>
        <w:rPr>
          <w:rFonts w:hint="eastAsia" w:ascii="宋体" w:hAnsi="宋体" w:cs="宋体"/>
          <w:color w:val="auto"/>
          <w:kern w:val="0"/>
          <w:sz w:val="24"/>
          <w:highlight w:val="none"/>
          <w:lang w:val="en-US" w:eastAsia="zh-CN"/>
        </w:rPr>
        <w:t>103</w:t>
      </w:r>
      <w:r>
        <w:rPr>
          <w:rFonts w:hint="eastAsia" w:ascii="宋体" w:hAnsi="宋体" w:cs="宋体"/>
          <w:color w:val="auto"/>
          <w:kern w:val="0"/>
          <w:sz w:val="24"/>
          <w:highlight w:val="none"/>
          <w:lang w:eastAsia="zh-CN"/>
        </w:rPr>
        <w:t>号</w:t>
      </w:r>
    </w:p>
    <w:p w14:paraId="15AC8853">
      <w:pPr>
        <w:adjustRightInd w:val="0"/>
        <w:snapToGrid w:val="0"/>
        <w:spacing w:line="360" w:lineRule="auto"/>
        <w:ind w:firstLine="480" w:firstLineChars="200"/>
        <w:rPr>
          <w:rFonts w:hint="eastAsia" w:ascii="宋体" w:hAnsi="宋体" w:cs="宋体"/>
          <w:color w:val="auto"/>
          <w:kern w:val="0"/>
          <w:sz w:val="24"/>
          <w:highlight w:val="red"/>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博爱县旅游资源普查</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eastAsia="zh-CN"/>
        </w:rPr>
        <w:t>项目</w:t>
      </w:r>
    </w:p>
    <w:p w14:paraId="5615E53C">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3．采购方式：竞争性谈判  </w:t>
      </w:r>
    </w:p>
    <w:p w14:paraId="7EA50FA7">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4．预算金额：</w:t>
      </w:r>
      <w:r>
        <w:rPr>
          <w:rFonts w:hint="eastAsia" w:ascii="宋体" w:hAnsi="宋体" w:cs="宋体"/>
          <w:color w:val="auto"/>
          <w:kern w:val="0"/>
          <w:sz w:val="24"/>
          <w:highlight w:val="none"/>
          <w:lang w:val="en-US" w:eastAsia="zh-CN"/>
        </w:rPr>
        <w:t>500000</w:t>
      </w:r>
      <w:r>
        <w:rPr>
          <w:rFonts w:hint="eastAsia" w:ascii="宋体" w:hAnsi="宋体" w:cs="宋体"/>
          <w:color w:val="auto"/>
          <w:kern w:val="0"/>
          <w:sz w:val="24"/>
          <w:highlight w:val="none"/>
        </w:rPr>
        <w:t>元</w:t>
      </w:r>
    </w:p>
    <w:p w14:paraId="1581FCBA">
      <w:pPr>
        <w:adjustRightInd w:val="0"/>
        <w:snapToGrid w:val="0"/>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最高限价：500000</w:t>
      </w:r>
      <w:r>
        <w:rPr>
          <w:rFonts w:hint="eastAsia" w:ascii="宋体" w:hAnsi="宋体" w:cs="宋体"/>
          <w:color w:val="auto"/>
          <w:kern w:val="0"/>
          <w:sz w:val="24"/>
          <w:highlight w:val="none"/>
        </w:rPr>
        <w:t>元</w:t>
      </w:r>
    </w:p>
    <w:tbl>
      <w:tblPr>
        <w:tblStyle w:val="27"/>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55"/>
        <w:gridCol w:w="1923"/>
        <w:gridCol w:w="1036"/>
        <w:gridCol w:w="1269"/>
        <w:gridCol w:w="1508"/>
        <w:gridCol w:w="1269"/>
      </w:tblGrid>
      <w:tr w14:paraId="1732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39" w:type="dxa"/>
            <w:vAlign w:val="center"/>
          </w:tcPr>
          <w:p w14:paraId="7166A858">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序号</w:t>
            </w:r>
          </w:p>
        </w:tc>
        <w:tc>
          <w:tcPr>
            <w:tcW w:w="1655" w:type="dxa"/>
            <w:vAlign w:val="center"/>
          </w:tcPr>
          <w:p w14:paraId="475D2968">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包号</w:t>
            </w:r>
          </w:p>
        </w:tc>
        <w:tc>
          <w:tcPr>
            <w:tcW w:w="1923" w:type="dxa"/>
            <w:vAlign w:val="center"/>
          </w:tcPr>
          <w:p w14:paraId="740B3491">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包名称</w:t>
            </w:r>
          </w:p>
        </w:tc>
        <w:tc>
          <w:tcPr>
            <w:tcW w:w="1036" w:type="dxa"/>
            <w:vAlign w:val="center"/>
          </w:tcPr>
          <w:p w14:paraId="05B7DB5C">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包预算（元）</w:t>
            </w:r>
          </w:p>
        </w:tc>
        <w:tc>
          <w:tcPr>
            <w:tcW w:w="1269" w:type="dxa"/>
            <w:vAlign w:val="center"/>
          </w:tcPr>
          <w:p w14:paraId="43AC5F9F">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包最高限价（元）</w:t>
            </w:r>
          </w:p>
        </w:tc>
        <w:tc>
          <w:tcPr>
            <w:tcW w:w="1508" w:type="dxa"/>
            <w:vAlign w:val="center"/>
          </w:tcPr>
          <w:p w14:paraId="2F3E0C56">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是否专门面向中小企业</w:t>
            </w:r>
          </w:p>
        </w:tc>
        <w:tc>
          <w:tcPr>
            <w:tcW w:w="1269" w:type="dxa"/>
            <w:vAlign w:val="center"/>
          </w:tcPr>
          <w:p w14:paraId="77FA064D">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采购预留金额（元）</w:t>
            </w:r>
          </w:p>
        </w:tc>
      </w:tr>
      <w:tr w14:paraId="38E6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39" w:type="dxa"/>
            <w:vAlign w:val="center"/>
          </w:tcPr>
          <w:p w14:paraId="27E1AE57">
            <w:pPr>
              <w:adjustRightInd w:val="0"/>
              <w:snapToGrid w:val="0"/>
              <w:spacing w:line="360" w:lineRule="auto"/>
              <w:jc w:val="center"/>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1</w:t>
            </w:r>
          </w:p>
        </w:tc>
        <w:tc>
          <w:tcPr>
            <w:tcW w:w="1655" w:type="dxa"/>
            <w:vAlign w:val="center"/>
          </w:tcPr>
          <w:p w14:paraId="4105CCC7">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cs="宋体"/>
                <w:color w:val="auto"/>
                <w:kern w:val="0"/>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cs="宋体"/>
                <w:color w:val="auto"/>
                <w:kern w:val="0"/>
                <w:sz w:val="24"/>
                <w:highlight w:val="none"/>
                <w:lang w:eastAsia="zh-CN"/>
              </w:rPr>
              <w:t>博政采购〔2024〕</w:t>
            </w:r>
            <w:r>
              <w:rPr>
                <w:rFonts w:hint="eastAsia" w:ascii="宋体" w:hAnsi="宋体" w:cs="宋体"/>
                <w:color w:val="auto"/>
                <w:kern w:val="0"/>
                <w:sz w:val="24"/>
                <w:highlight w:val="none"/>
                <w:lang w:val="en-US" w:eastAsia="zh-CN"/>
              </w:rPr>
              <w:t xml:space="preserve"> 103</w:t>
            </w:r>
          </w:p>
          <w:p w14:paraId="57E0F3CF">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号</w:t>
            </w:r>
          </w:p>
        </w:tc>
        <w:tc>
          <w:tcPr>
            <w:tcW w:w="1923" w:type="dxa"/>
            <w:vAlign w:val="center"/>
          </w:tcPr>
          <w:p w14:paraId="2F26D495">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博爱县旅游资源普查项目</w:t>
            </w:r>
          </w:p>
        </w:tc>
        <w:tc>
          <w:tcPr>
            <w:tcW w:w="1036" w:type="dxa"/>
            <w:vAlign w:val="center"/>
          </w:tcPr>
          <w:p w14:paraId="353E7467">
            <w:pPr>
              <w:keepNext w:val="0"/>
              <w:keepLines w:val="0"/>
              <w:widowControl/>
              <w:suppressLineNumbers w:val="0"/>
              <w:spacing w:before="120" w:beforeAutospacing="0" w:after="120" w:afterAutospacing="0" w:line="480" w:lineRule="atLeast"/>
              <w:ind w:left="0" w:leftChars="0" w:firstLine="0" w:firstLineChars="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500000</w:t>
            </w:r>
          </w:p>
        </w:tc>
        <w:tc>
          <w:tcPr>
            <w:tcW w:w="1269" w:type="dxa"/>
            <w:vAlign w:val="center"/>
          </w:tcPr>
          <w:p w14:paraId="7411CEC6">
            <w:pPr>
              <w:keepNext w:val="0"/>
              <w:keepLines w:val="0"/>
              <w:widowControl/>
              <w:suppressLineNumbers w:val="0"/>
              <w:spacing w:before="120" w:beforeAutospacing="0" w:after="120" w:afterAutospacing="0" w:line="480" w:lineRule="atLeast"/>
              <w:ind w:left="0" w:leftChars="0" w:firstLine="0" w:firstLineChars="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500000</w:t>
            </w:r>
          </w:p>
        </w:tc>
        <w:tc>
          <w:tcPr>
            <w:tcW w:w="1508" w:type="dxa"/>
            <w:vAlign w:val="center"/>
          </w:tcPr>
          <w:p w14:paraId="09C015AF">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是</w:t>
            </w:r>
          </w:p>
        </w:tc>
        <w:tc>
          <w:tcPr>
            <w:tcW w:w="1269" w:type="dxa"/>
            <w:vAlign w:val="center"/>
          </w:tcPr>
          <w:p w14:paraId="005A6FF8">
            <w:pPr>
              <w:keepNext w:val="0"/>
              <w:keepLines w:val="0"/>
              <w:widowControl/>
              <w:suppressLineNumbers w:val="0"/>
              <w:spacing w:before="120" w:beforeAutospacing="0" w:after="120" w:afterAutospacing="0" w:line="480" w:lineRule="atLeast"/>
              <w:ind w:left="0" w:leftChars="0" w:firstLine="0" w:firstLineChars="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500000</w:t>
            </w:r>
          </w:p>
        </w:tc>
      </w:tr>
    </w:tbl>
    <w:p w14:paraId="276262A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采购需求（包括但不限于标的的名称、数量、简要技术需求或服务要求等）</w:t>
      </w:r>
    </w:p>
    <w:p w14:paraId="7A8D2D04">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lang w:val="en-US" w:eastAsia="zh-CN"/>
        </w:rPr>
        <w:t>5.1、根据豫文旅强省(2023)6号文件《关于印发河南省旅游资源普查工作方案》的通知要求，对博爱县地文景观、水域景观、生物景观、天象与气候景观、建筑与设施、</w:t>
      </w:r>
      <w:r>
        <w:rPr>
          <w:rFonts w:hint="eastAsia" w:ascii="宋体" w:hAnsi="宋体" w:cs="宋体"/>
          <w:kern w:val="0"/>
          <w:sz w:val="24"/>
          <w:lang w:val="en-US" w:eastAsia="zh-CN"/>
        </w:rPr>
        <w:t>历史遗迹、旅游购品、人文活动等八大类资源开展普查等。</w:t>
      </w:r>
    </w:p>
    <w:p w14:paraId="1A70B93A">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5.2、</w:t>
      </w:r>
      <w:r>
        <w:rPr>
          <w:rFonts w:hint="eastAsia" w:ascii="宋体" w:hAnsi="宋体" w:eastAsia="宋体" w:cs="宋体"/>
          <w:kern w:val="0"/>
          <w:sz w:val="24"/>
          <w:lang w:val="en-US" w:eastAsia="zh-CN"/>
        </w:rPr>
        <w:t>开展野外调查、核查及补充调查工作，挖掘旅游资源景点，提升</w:t>
      </w:r>
      <w:r>
        <w:rPr>
          <w:rFonts w:hint="eastAsia" w:ascii="宋体" w:hAnsi="宋体" w:cs="宋体"/>
          <w:kern w:val="0"/>
          <w:sz w:val="24"/>
          <w:lang w:val="en-US" w:eastAsia="zh-CN"/>
        </w:rPr>
        <w:t>县</w:t>
      </w:r>
      <w:r>
        <w:rPr>
          <w:rFonts w:hint="eastAsia" w:ascii="宋体" w:hAnsi="宋体" w:eastAsia="宋体" w:cs="宋体"/>
          <w:kern w:val="0"/>
          <w:sz w:val="24"/>
          <w:lang w:val="en-US" w:eastAsia="zh-CN"/>
        </w:rPr>
        <w:t>域内旅游资源点的价值属性。</w:t>
      </w:r>
    </w:p>
    <w:p w14:paraId="0104891E">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5.3、</w:t>
      </w:r>
      <w:r>
        <w:rPr>
          <w:rFonts w:hint="eastAsia" w:ascii="宋体" w:hAnsi="宋体" w:eastAsia="宋体" w:cs="宋体"/>
          <w:kern w:val="0"/>
          <w:sz w:val="24"/>
          <w:lang w:val="en-US" w:eastAsia="zh-CN"/>
        </w:rPr>
        <w:t>开展旅游资源评价工作，科学评定旅游资源单体、综合体等级，合理划分</w:t>
      </w:r>
      <w:r>
        <w:rPr>
          <w:rFonts w:hint="eastAsia" w:ascii="宋体" w:hAnsi="宋体" w:cs="宋体"/>
          <w:kern w:val="0"/>
          <w:sz w:val="24"/>
          <w:lang w:val="en-US" w:eastAsia="zh-CN"/>
        </w:rPr>
        <w:t>博爱县</w:t>
      </w:r>
      <w:r>
        <w:rPr>
          <w:rFonts w:hint="eastAsia" w:ascii="宋体" w:hAnsi="宋体" w:eastAsia="宋体" w:cs="宋体"/>
          <w:kern w:val="0"/>
          <w:sz w:val="24"/>
          <w:lang w:val="en-US" w:eastAsia="zh-CN"/>
        </w:rPr>
        <w:t>旅游资源分区。</w:t>
      </w:r>
    </w:p>
    <w:p w14:paraId="1A5BC769">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5.4、</w:t>
      </w:r>
      <w:r>
        <w:rPr>
          <w:rFonts w:hint="eastAsia" w:ascii="宋体" w:hAnsi="宋体" w:eastAsia="宋体" w:cs="宋体"/>
          <w:kern w:val="0"/>
          <w:sz w:val="24"/>
          <w:lang w:val="en-US" w:eastAsia="zh-CN"/>
        </w:rPr>
        <w:t>将采集的资源信息编制录入资源信息库平台。</w:t>
      </w:r>
    </w:p>
    <w:p w14:paraId="2F88FC99">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5.5、</w:t>
      </w:r>
      <w:r>
        <w:rPr>
          <w:rFonts w:hint="eastAsia" w:ascii="宋体" w:hAnsi="宋体" w:eastAsia="宋体" w:cs="宋体"/>
          <w:kern w:val="0"/>
          <w:sz w:val="24"/>
          <w:lang w:val="en-US" w:eastAsia="zh-CN"/>
        </w:rPr>
        <w:t>编制</w:t>
      </w:r>
      <w:r>
        <w:rPr>
          <w:rFonts w:hint="eastAsia" w:ascii="宋体" w:hAnsi="宋体" w:cs="宋体"/>
          <w:kern w:val="0"/>
          <w:sz w:val="24"/>
          <w:lang w:val="en-US" w:eastAsia="zh-CN"/>
        </w:rPr>
        <w:t>博爱县</w:t>
      </w:r>
      <w:r>
        <w:rPr>
          <w:rFonts w:hint="eastAsia" w:ascii="宋体" w:hAnsi="宋体" w:eastAsia="宋体" w:cs="宋体"/>
          <w:kern w:val="0"/>
          <w:sz w:val="24"/>
          <w:lang w:val="en-US" w:eastAsia="zh-CN"/>
        </w:rPr>
        <w:t>旅游资源调查评价报告等系列成果。</w:t>
      </w:r>
    </w:p>
    <w:p w14:paraId="1D5575DA">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r>
        <w:rPr>
          <w:rFonts w:hint="eastAsia" w:ascii="宋体" w:hAnsi="宋体" w:cs="宋体"/>
          <w:kern w:val="0"/>
          <w:sz w:val="24"/>
          <w:lang w:val="en-US" w:eastAsia="zh-CN"/>
        </w:rPr>
        <w:t>6</w:t>
      </w:r>
      <w:r>
        <w:rPr>
          <w:rFonts w:hint="eastAsia" w:ascii="宋体" w:hAnsi="宋体" w:eastAsia="宋体" w:cs="宋体"/>
          <w:kern w:val="0"/>
          <w:sz w:val="24"/>
          <w:lang w:val="en-US" w:eastAsia="zh-CN"/>
        </w:rPr>
        <w:t>、预期目标效果：开展</w:t>
      </w:r>
      <w:r>
        <w:rPr>
          <w:rFonts w:hint="eastAsia" w:ascii="宋体" w:hAnsi="宋体" w:cs="宋体"/>
          <w:kern w:val="0"/>
          <w:sz w:val="24"/>
          <w:lang w:val="en-US" w:eastAsia="zh-CN"/>
        </w:rPr>
        <w:t>全县</w:t>
      </w:r>
      <w:r>
        <w:rPr>
          <w:rFonts w:hint="eastAsia" w:ascii="宋体" w:hAnsi="宋体" w:eastAsia="宋体" w:cs="宋体"/>
          <w:kern w:val="0"/>
          <w:sz w:val="24"/>
          <w:lang w:val="en-US" w:eastAsia="zh-CN"/>
        </w:rPr>
        <w:t>旅游资源普查工作，编制《博爱县旅游资源普查技术方案报告》《博爱县旅游资源普查普查报告(包含附图和旅游资源名录)》《博爱县旅游资源汇总表》《博爱县旅游资源调查表》，并</w:t>
      </w:r>
      <w:r>
        <w:rPr>
          <w:rFonts w:hint="eastAsia" w:ascii="宋体" w:hAnsi="宋体" w:cs="宋体"/>
          <w:kern w:val="0"/>
          <w:sz w:val="24"/>
          <w:lang w:val="en-US" w:eastAsia="zh-CN"/>
        </w:rPr>
        <w:t>承诺</w:t>
      </w:r>
      <w:r>
        <w:rPr>
          <w:rFonts w:hint="eastAsia" w:ascii="宋体" w:hAnsi="宋体" w:eastAsia="宋体" w:cs="宋体"/>
          <w:kern w:val="0"/>
          <w:sz w:val="24"/>
          <w:lang w:val="en-US" w:eastAsia="zh-CN"/>
        </w:rPr>
        <w:t>对接焦作市普查办汇交成果，完成验收。</w:t>
      </w:r>
    </w:p>
    <w:p w14:paraId="158EEE92">
      <w:pPr>
        <w:pStyle w:val="84"/>
        <w:widowControl w:val="0"/>
        <w:pBdr>
          <w:bottom w:val="none" w:color="auto" w:sz="0" w:space="0"/>
        </w:pBdr>
        <w:spacing w:beforeAutospacing="0" w:afterAutospacing="0" w:line="360" w:lineRule="auto"/>
        <w:ind w:firstLine="482" w:firstLineChars="200"/>
        <w:jc w:val="both"/>
        <w:textAlignment w:val="auto"/>
        <w:rPr>
          <w:rFonts w:hint="eastAsia" w:ascii="宋体" w:hAnsi="宋体" w:eastAsia="宋体" w:cs="宋体"/>
          <w:color w:val="auto"/>
          <w:kern w:val="0"/>
          <w:sz w:val="24"/>
          <w:highlight w:val="none"/>
          <w:lang w:eastAsia="zh-CN"/>
        </w:rPr>
      </w:pPr>
      <w:r>
        <w:rPr>
          <w:rFonts w:hint="eastAsia" w:ascii="宋体" w:eastAsia="宋体" w:cs="宋体"/>
          <w:b/>
          <w:bCs w:val="0"/>
          <w:kern w:val="2"/>
          <w:sz w:val="24"/>
          <w:szCs w:val="24"/>
          <w:lang w:val="en-US" w:eastAsia="zh-CN"/>
        </w:rPr>
        <w:t>6.</w:t>
      </w:r>
      <w:r>
        <w:rPr>
          <w:rFonts w:hint="eastAsia" w:ascii="宋体" w:eastAsia="宋体" w:cs="宋体"/>
          <w:b/>
          <w:bCs w:val="0"/>
          <w:kern w:val="2"/>
          <w:sz w:val="24"/>
          <w:szCs w:val="24"/>
          <w:lang w:eastAsia="zh-CN"/>
        </w:rPr>
        <w:t>服务标准</w:t>
      </w:r>
      <w:r>
        <w:rPr>
          <w:rFonts w:hint="eastAsia" w:ascii="宋体" w:eastAsia="宋体" w:cs="宋体"/>
          <w:b/>
          <w:bCs w:val="0"/>
          <w:kern w:val="2"/>
          <w:sz w:val="24"/>
          <w:szCs w:val="24"/>
        </w:rPr>
        <w:t>：</w:t>
      </w:r>
      <w:r>
        <w:rPr>
          <w:rFonts w:hint="eastAsia" w:ascii="宋体" w:eastAsia="宋体" w:cs="宋体"/>
          <w:b w:val="0"/>
          <w:bCs/>
          <w:kern w:val="2"/>
          <w:sz w:val="24"/>
          <w:szCs w:val="24"/>
        </w:rPr>
        <w:t>乙方所编制的成果文件必须符合国家、省、市有关法律、法规及标准的要求，同时还必须满足国家对此类项目技术服务的有关标准和要求，满足采购人需求。</w:t>
      </w:r>
    </w:p>
    <w:p w14:paraId="64107016">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7.合同履行期限：50日历天</w:t>
      </w:r>
      <w:r>
        <w:rPr>
          <w:rFonts w:hint="eastAsia" w:ascii="宋体" w:hAnsi="宋体" w:cs="宋体"/>
          <w:color w:val="auto"/>
          <w:kern w:val="0"/>
          <w:sz w:val="24"/>
          <w:highlight w:val="none"/>
          <w:lang w:eastAsia="zh-CN"/>
        </w:rPr>
        <w:t>。</w:t>
      </w:r>
    </w:p>
    <w:p w14:paraId="7567341C">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8.本项目是否接受联合体投标：否。</w:t>
      </w:r>
    </w:p>
    <w:p w14:paraId="3A66AE54">
      <w:pPr>
        <w:adjustRightInd w:val="0"/>
        <w:snapToGrid w:val="0"/>
        <w:spacing w:line="360" w:lineRule="auto"/>
        <w:ind w:firstLine="480" w:firstLineChars="200"/>
        <w:rPr>
          <w:rFonts w:hint="default"/>
          <w:color w:val="auto"/>
          <w:highlight w:val="none"/>
          <w:lang w:val="en-US" w:eastAsia="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是否接受进口产品：否</w:t>
      </w:r>
      <w:r>
        <w:rPr>
          <w:rFonts w:hint="eastAsia" w:ascii="宋体" w:hAnsi="宋体" w:cs="宋体"/>
          <w:color w:val="auto"/>
          <w:kern w:val="0"/>
          <w:sz w:val="24"/>
          <w:highlight w:val="none"/>
          <w:lang w:eastAsia="zh-CN"/>
        </w:rPr>
        <w:t>。</w:t>
      </w:r>
    </w:p>
    <w:p w14:paraId="69D7273F">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.是否只面向中小企业：是</w:t>
      </w:r>
      <w:r>
        <w:rPr>
          <w:rFonts w:hint="eastAsia" w:ascii="宋体" w:hAnsi="宋体" w:cs="宋体"/>
          <w:color w:val="auto"/>
          <w:kern w:val="0"/>
          <w:sz w:val="24"/>
          <w:highlight w:val="none"/>
          <w:lang w:eastAsia="zh-CN"/>
        </w:rPr>
        <w:t>。</w:t>
      </w:r>
    </w:p>
    <w:p w14:paraId="43B92D18">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14:paraId="4ABA8C9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1、符合《中华人民共和国政府采购法》第二十二条之规定；</w:t>
      </w:r>
    </w:p>
    <w:p w14:paraId="0C40511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2、落实政府采购政策需满足的资格要求：促进政府强制采购节能产品及环境标志产品优先采购，该项目全额面向中小企业采购，需要提供中小企业声明函；</w:t>
      </w:r>
    </w:p>
    <w:p w14:paraId="6111D83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p>
    <w:p w14:paraId="6D7A2B0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3.1供应商须具有有效的营业执照，并具有实施完成本项目的经营实力和完善的售后服务体系；</w:t>
      </w:r>
    </w:p>
    <w:p w14:paraId="2D74706D">
      <w:pPr>
        <w:widowControl/>
        <w:spacing w:line="360" w:lineRule="auto"/>
        <w:ind w:firstLine="480" w:firstLineChars="200"/>
        <w:rPr>
          <w:rFonts w:hint="default" w:ascii="宋体" w:hAnsi="宋体" w:cs="宋体"/>
          <w:color w:val="FF0000"/>
          <w:kern w:val="0"/>
          <w:sz w:val="24"/>
          <w:highlight w:val="none"/>
          <w:lang w:val="en-US" w:eastAsia="zh-CN"/>
        </w:rPr>
      </w:pPr>
      <w:r>
        <w:rPr>
          <w:rFonts w:hint="eastAsia" w:ascii="宋体" w:hAnsi="宋体" w:eastAsia="宋体" w:cs="宋体"/>
          <w:color w:val="auto"/>
          <w:kern w:val="0"/>
          <w:sz w:val="24"/>
          <w:highlight w:val="none"/>
        </w:rPr>
        <w:t>3.2供应商须具备有效的测绘资质证书</w:t>
      </w:r>
      <w:r>
        <w:rPr>
          <w:rFonts w:hint="eastAsia" w:ascii="宋体" w:hAnsi="宋体" w:cs="宋体"/>
          <w:color w:val="auto"/>
          <w:kern w:val="0"/>
          <w:sz w:val="24"/>
          <w:highlight w:val="none"/>
          <w:lang w:val="en-US" w:eastAsia="zh-CN"/>
        </w:rPr>
        <w:t>乙</w:t>
      </w:r>
      <w:r>
        <w:rPr>
          <w:rFonts w:hint="eastAsia" w:ascii="宋体" w:hAnsi="宋体" w:eastAsia="宋体" w:cs="宋体"/>
          <w:color w:val="auto"/>
          <w:kern w:val="0"/>
          <w:sz w:val="24"/>
          <w:highlight w:val="none"/>
        </w:rPr>
        <w:t>级</w:t>
      </w:r>
      <w:r>
        <w:rPr>
          <w:rFonts w:hint="eastAsia" w:ascii="宋体" w:hAnsi="宋体" w:cs="宋体"/>
          <w:color w:val="auto"/>
          <w:kern w:val="0"/>
          <w:sz w:val="24"/>
          <w:highlight w:val="none"/>
          <w:lang w:val="en-US" w:eastAsia="zh-CN"/>
        </w:rPr>
        <w:t>及以上</w:t>
      </w:r>
      <w:r>
        <w:rPr>
          <w:rFonts w:hint="eastAsia" w:ascii="宋体" w:hAnsi="宋体" w:eastAsia="宋体" w:cs="宋体"/>
          <w:color w:val="auto"/>
          <w:kern w:val="0"/>
          <w:sz w:val="24"/>
          <w:highlight w:val="none"/>
        </w:rPr>
        <w:t>资质</w:t>
      </w:r>
      <w:r>
        <w:rPr>
          <w:rFonts w:hint="eastAsia" w:ascii="宋体" w:hAnsi="宋体" w:eastAsia="宋体" w:cs="宋体"/>
          <w:color w:val="auto"/>
          <w:kern w:val="0"/>
          <w:sz w:val="24"/>
          <w:highlight w:val="none"/>
          <w:lang w:val="en-US" w:eastAsia="zh-CN"/>
        </w:rPr>
        <w:t>；拟派项目负责人具有相关专业高级职称并提供近三个月</w:t>
      </w:r>
      <w:r>
        <w:rPr>
          <w:rFonts w:hint="eastAsia" w:ascii="宋体" w:hAnsi="宋体" w:cs="宋体"/>
          <w:color w:val="auto"/>
          <w:kern w:val="0"/>
          <w:sz w:val="24"/>
          <w:highlight w:val="none"/>
          <w:lang w:val="en-US" w:eastAsia="zh-CN"/>
        </w:rPr>
        <w:t>内任意一个月</w:t>
      </w:r>
      <w:r>
        <w:rPr>
          <w:rFonts w:hint="eastAsia" w:ascii="宋体" w:hAnsi="宋体" w:eastAsia="宋体" w:cs="宋体"/>
          <w:color w:val="auto"/>
          <w:kern w:val="0"/>
          <w:sz w:val="24"/>
          <w:highlight w:val="none"/>
          <w:lang w:val="en-US" w:eastAsia="zh-CN"/>
        </w:rPr>
        <w:t>在本单位缴纳的社保证明。</w:t>
      </w:r>
    </w:p>
    <w:p w14:paraId="438ECCE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bookmarkStart w:id="7" w:name="_Hlk159861697"/>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信誉要求：按照《财政部关于在政府采购活动中查询及使用信用记录有关问题的通知》（财库〔2016〕125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bookmarkEnd w:id="7"/>
      <w:r>
        <w:rPr>
          <w:rFonts w:hint="eastAsia" w:ascii="宋体" w:hAnsi="宋体" w:cs="宋体"/>
          <w:color w:val="auto"/>
          <w:kern w:val="0"/>
          <w:sz w:val="24"/>
          <w:highlight w:val="none"/>
        </w:rPr>
        <w:t>。</w:t>
      </w:r>
    </w:p>
    <w:p w14:paraId="1AC9E45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本项目不接受联合体投标；</w:t>
      </w:r>
    </w:p>
    <w:p w14:paraId="6F662BD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资格审查方式：资格后审。</w:t>
      </w:r>
    </w:p>
    <w:p w14:paraId="769CDB93">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三、获取采购文件</w:t>
      </w:r>
    </w:p>
    <w:p w14:paraId="5F83A061">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1.时间： 2024年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24</w:t>
      </w:r>
      <w:r>
        <w:rPr>
          <w:rFonts w:hint="eastAsia" w:ascii="宋体" w:hAnsi="宋体" w:eastAsia="宋体" w:cs="宋体"/>
          <w:b/>
          <w:bCs/>
          <w:sz w:val="24"/>
          <w:szCs w:val="24"/>
          <w:lang w:val="en-US" w:eastAsia="zh-CN"/>
        </w:rPr>
        <w:t xml:space="preserve">日至 2024 </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26</w:t>
      </w:r>
      <w:r>
        <w:rPr>
          <w:rFonts w:hint="eastAsia" w:ascii="宋体" w:hAnsi="宋体" w:eastAsia="宋体" w:cs="宋体"/>
          <w:b/>
          <w:bCs/>
          <w:sz w:val="24"/>
          <w:szCs w:val="24"/>
          <w:lang w:val="en-US" w:eastAsia="zh-CN"/>
        </w:rPr>
        <w:t>日，每天上午08:00至11:59，下午12:00至23:59（北京时间，法定节假日除外） ；</w:t>
      </w:r>
    </w:p>
    <w:p w14:paraId="4B81A5C2">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2.地点：焦作市公共资源交易中心网站；</w:t>
      </w:r>
    </w:p>
    <w:p w14:paraId="2207BD06">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lang w:val="en-US" w:eastAsia="zh-CN"/>
        </w:rPr>
        <w:t>谈判</w:t>
      </w:r>
      <w:r>
        <w:rPr>
          <w:rFonts w:hint="eastAsia" w:ascii="宋体" w:hAnsi="宋体" w:eastAsia="宋体" w:cs="宋体"/>
          <w:sz w:val="24"/>
          <w:szCs w:val="24"/>
          <w:lang w:val="en-US" w:eastAsia="zh-CN"/>
        </w:rPr>
        <w:t>文件。</w:t>
      </w:r>
    </w:p>
    <w:p w14:paraId="21B55652">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四、响应文件提交截止时间及地点</w:t>
      </w:r>
    </w:p>
    <w:p w14:paraId="7B01375E">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 截止时间：2024年</w:t>
      </w:r>
      <w:r>
        <w:rPr>
          <w:rFonts w:hint="eastAsia" w:ascii="宋体" w:hAnsi="宋体" w:cs="宋体"/>
          <w:b/>
          <w:bCs/>
          <w:sz w:val="24"/>
          <w:szCs w:val="24"/>
          <w:lang w:val="en-US" w:eastAsia="zh-CN"/>
        </w:rPr>
        <w:t xml:space="preserve"> 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27</w:t>
      </w:r>
      <w:r>
        <w:rPr>
          <w:rFonts w:hint="eastAsia" w:ascii="宋体" w:hAnsi="宋体" w:eastAsia="宋体" w:cs="宋体"/>
          <w:b/>
          <w:bCs/>
          <w:sz w:val="24"/>
          <w:szCs w:val="24"/>
          <w:lang w:val="en-US" w:eastAsia="zh-CN"/>
        </w:rPr>
        <w:t>日</w:t>
      </w:r>
      <w:r>
        <w:rPr>
          <w:rFonts w:hint="eastAsia" w:ascii="宋体" w:hAnsi="宋体" w:cs="宋体"/>
          <w:b/>
          <w:bCs/>
          <w:sz w:val="24"/>
          <w:szCs w:val="24"/>
          <w:lang w:val="en-US" w:eastAsia="zh-CN"/>
        </w:rPr>
        <w:t>08</w:t>
      </w:r>
      <w:r>
        <w:rPr>
          <w:rFonts w:hint="eastAsia" w:ascii="宋体" w:hAnsi="宋体" w:eastAsia="宋体" w:cs="宋体"/>
          <w:b/>
          <w:bCs/>
          <w:sz w:val="24"/>
          <w:szCs w:val="24"/>
          <w:lang w:val="en-US" w:eastAsia="zh-CN"/>
        </w:rPr>
        <w:t>时</w:t>
      </w:r>
      <w:r>
        <w:rPr>
          <w:rFonts w:hint="eastAsia" w:ascii="宋体" w:hAnsi="宋体" w:cs="宋体"/>
          <w:b/>
          <w:bCs/>
          <w:sz w:val="24"/>
          <w:szCs w:val="24"/>
          <w:lang w:val="en-US" w:eastAsia="zh-CN"/>
        </w:rPr>
        <w:t>30</w:t>
      </w:r>
      <w:r>
        <w:rPr>
          <w:rFonts w:hint="eastAsia" w:ascii="宋体" w:hAnsi="宋体" w:eastAsia="宋体" w:cs="宋体"/>
          <w:b/>
          <w:bCs/>
          <w:sz w:val="24"/>
          <w:szCs w:val="24"/>
          <w:lang w:val="en-US" w:eastAsia="zh-CN"/>
        </w:rPr>
        <w:t>分（北京时间）；</w:t>
      </w:r>
    </w:p>
    <w:p w14:paraId="6DF3155D">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 地点： 博爱县公共资源交易中心不见面开标</w:t>
      </w:r>
      <w:r>
        <w:rPr>
          <w:rFonts w:hint="eastAsia" w:ascii="宋体" w:hAnsi="宋体" w:cs="宋体"/>
          <w:sz w:val="24"/>
          <w:szCs w:val="24"/>
          <w:u w:val="single"/>
          <w:lang w:val="en-US" w:eastAsia="zh-CN"/>
        </w:rPr>
        <w:t xml:space="preserve"> 一</w:t>
      </w:r>
      <w:r>
        <w:rPr>
          <w:rFonts w:hint="eastAsia" w:ascii="宋体" w:hAnsi="宋体" w:eastAsia="宋体" w:cs="宋体"/>
          <w:sz w:val="24"/>
          <w:szCs w:val="24"/>
          <w:lang w:val="en-US" w:eastAsia="zh-CN"/>
        </w:rPr>
        <w:t>室；</w:t>
      </w:r>
    </w:p>
    <w:p w14:paraId="63FB5DA2">
      <w:pPr>
        <w:autoSpaceDE/>
        <w:autoSpaceDN/>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五、开标时间及地点</w:t>
      </w:r>
    </w:p>
    <w:p w14:paraId="65EBA2F9">
      <w:pPr>
        <w:autoSpaceDE/>
        <w:autoSpaceDN/>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 时间：2024年</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27</w:t>
      </w:r>
      <w:r>
        <w:rPr>
          <w:rFonts w:hint="eastAsia" w:ascii="宋体" w:hAnsi="宋体" w:eastAsia="宋体" w:cs="宋体"/>
          <w:b/>
          <w:bCs/>
          <w:sz w:val="24"/>
          <w:szCs w:val="24"/>
          <w:lang w:val="en-US" w:eastAsia="zh-CN"/>
        </w:rPr>
        <w:t>日</w:t>
      </w:r>
      <w:r>
        <w:rPr>
          <w:rFonts w:hint="eastAsia" w:ascii="宋体" w:hAnsi="宋体" w:cs="宋体"/>
          <w:b/>
          <w:bCs/>
          <w:sz w:val="24"/>
          <w:szCs w:val="24"/>
          <w:lang w:val="en-US" w:eastAsia="zh-CN"/>
        </w:rPr>
        <w:t>08</w:t>
      </w:r>
      <w:r>
        <w:rPr>
          <w:rFonts w:hint="eastAsia" w:ascii="宋体" w:hAnsi="宋体" w:eastAsia="宋体" w:cs="宋体"/>
          <w:b/>
          <w:bCs/>
          <w:sz w:val="24"/>
          <w:szCs w:val="24"/>
          <w:lang w:val="en-US" w:eastAsia="zh-CN"/>
        </w:rPr>
        <w:t>时</w:t>
      </w:r>
      <w:r>
        <w:rPr>
          <w:rFonts w:hint="eastAsia" w:ascii="宋体" w:hAnsi="宋体" w:cs="宋体"/>
          <w:b/>
          <w:bCs/>
          <w:sz w:val="24"/>
          <w:szCs w:val="24"/>
          <w:lang w:val="en-US" w:eastAsia="zh-CN"/>
        </w:rPr>
        <w:t>30</w:t>
      </w:r>
      <w:r>
        <w:rPr>
          <w:rFonts w:hint="eastAsia" w:ascii="宋体" w:hAnsi="宋体" w:eastAsia="宋体" w:cs="宋体"/>
          <w:b/>
          <w:bCs/>
          <w:sz w:val="24"/>
          <w:szCs w:val="24"/>
          <w:lang w:val="en-US" w:eastAsia="zh-CN"/>
        </w:rPr>
        <w:t>分（北京时间）；</w:t>
      </w:r>
    </w:p>
    <w:p w14:paraId="60919DC1">
      <w:pPr>
        <w:autoSpaceDE/>
        <w:autoSpaceDN/>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 地点：博爱县公共资源交易中心不见面开标</w:t>
      </w:r>
      <w:r>
        <w:rPr>
          <w:rFonts w:hint="eastAsia" w:ascii="宋体" w:hAnsi="宋体" w:cs="宋体"/>
          <w:sz w:val="24"/>
          <w:szCs w:val="24"/>
          <w:u w:val="single"/>
          <w:lang w:val="en-US" w:eastAsia="zh-CN"/>
        </w:rPr>
        <w:t xml:space="preserve"> 一 </w:t>
      </w:r>
      <w:r>
        <w:rPr>
          <w:rFonts w:hint="eastAsia" w:ascii="宋体" w:hAnsi="宋体" w:eastAsia="宋体" w:cs="宋体"/>
          <w:sz w:val="24"/>
          <w:szCs w:val="24"/>
          <w:lang w:val="en-US" w:eastAsia="zh-CN"/>
        </w:rPr>
        <w:t>室；</w:t>
      </w:r>
    </w:p>
    <w:p w14:paraId="0220A935">
      <w:pPr>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六、</w:t>
      </w:r>
      <w:r>
        <w:rPr>
          <w:rFonts w:hint="eastAsia" w:ascii="宋体" w:hAnsi="宋体" w:cs="宋体"/>
          <w:b/>
          <w:bCs/>
          <w:color w:val="auto"/>
          <w:sz w:val="24"/>
          <w:highlight w:val="none"/>
          <w:lang w:val="en-US" w:eastAsia="zh-CN"/>
        </w:rPr>
        <w:t>发布</w:t>
      </w:r>
      <w:r>
        <w:rPr>
          <w:rFonts w:hint="eastAsia" w:ascii="宋体" w:hAnsi="宋体" w:cs="宋体"/>
          <w:b/>
          <w:bCs/>
          <w:color w:val="auto"/>
          <w:sz w:val="24"/>
          <w:highlight w:val="none"/>
        </w:rPr>
        <w:t>公告</w:t>
      </w:r>
      <w:r>
        <w:rPr>
          <w:rFonts w:hint="eastAsia" w:ascii="宋体" w:hAnsi="宋体" w:cs="宋体"/>
          <w:b/>
          <w:bCs/>
          <w:color w:val="auto"/>
          <w:sz w:val="24"/>
          <w:highlight w:val="none"/>
          <w:lang w:val="en-US" w:eastAsia="zh-CN"/>
        </w:rPr>
        <w:t>的媒介及招标公告期限</w:t>
      </w:r>
    </w:p>
    <w:p w14:paraId="41BA4B04">
      <w:pPr>
        <w:adjustRightInd w:val="0"/>
        <w:snapToGrid w:val="0"/>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本次招标公告在《中国招标投标公共服务平台》</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《河南省政府采购网》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《焦作市政府采购网》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《焦作市公共资源交易中心网》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《博爱县人民政府网》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《博爱县公共资源交易中心网》上发布，招标公告期限为三个工作日。</w:t>
      </w:r>
    </w:p>
    <w:p w14:paraId="7B13AF1F">
      <w:pPr>
        <w:adjustRightInd w:val="0"/>
        <w:snapToGrid w:val="0"/>
        <w:spacing w:line="360" w:lineRule="auto"/>
        <w:ind w:firstLine="482" w:firstLineChars="200"/>
        <w:rPr>
          <w:rFonts w:hint="default" w:ascii="宋体" w:hAnsi="宋体" w:eastAsia="宋体" w:cs="宋体"/>
          <w:b w:val="0"/>
          <w:bCs/>
          <w:color w:val="auto"/>
          <w:kern w:val="0"/>
          <w:sz w:val="24"/>
          <w:highlight w:val="none"/>
          <w:lang w:val="en-US" w:eastAsia="zh-CN"/>
        </w:rPr>
      </w:pPr>
      <w:r>
        <w:rPr>
          <w:rFonts w:hint="eastAsia" w:ascii="宋体" w:hAnsi="宋体" w:cs="宋体"/>
          <w:b/>
          <w:bCs/>
          <w:color w:val="auto"/>
          <w:sz w:val="24"/>
          <w:highlight w:val="none"/>
        </w:rPr>
        <w:t>七、其他补充事宜</w:t>
      </w:r>
    </w:p>
    <w:p w14:paraId="0C685C1F">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rPr>
        <w:t>1</w:t>
      </w:r>
      <w:r>
        <w:rPr>
          <w:rFonts w:hint="eastAsia" w:ascii="宋体" w:hAnsi="宋体" w:cs="宋体"/>
          <w:b w:val="0"/>
          <w:bCs/>
          <w:color w:val="auto"/>
          <w:kern w:val="0"/>
          <w:sz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r>
        <w:rPr>
          <w:rFonts w:hint="eastAsia" w:ascii="宋体" w:hAnsi="宋体" w:cs="宋体"/>
          <w:b w:val="0"/>
          <w:bCs/>
          <w:color w:val="auto"/>
          <w:kern w:val="0"/>
          <w:sz w:val="24"/>
          <w:highlight w:val="none"/>
        </w:rPr>
        <w:br w:type="textWrapping"/>
      </w:r>
      <w:r>
        <w:rPr>
          <w:rFonts w:hint="eastAsia" w:ascii="宋体" w:hAnsi="宋体" w:cs="宋体"/>
          <w:b w:val="0"/>
          <w:bCs/>
          <w:color w:val="auto"/>
          <w:kern w:val="0"/>
          <w:sz w:val="24"/>
          <w:highlight w:val="none"/>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r>
        <w:rPr>
          <w:rFonts w:hint="eastAsia" w:ascii="宋体" w:hAnsi="宋体" w:cs="宋体"/>
          <w:b w:val="0"/>
          <w:bCs/>
          <w:color w:val="auto"/>
          <w:kern w:val="0"/>
          <w:sz w:val="24"/>
          <w:highlight w:val="none"/>
        </w:rPr>
        <w:br w:type="textWrapping"/>
      </w:r>
      <w:r>
        <w:rPr>
          <w:rFonts w:hint="eastAsia" w:ascii="宋体" w:hAnsi="宋体" w:cs="宋体"/>
          <w:b w:val="0"/>
          <w:bCs/>
          <w:color w:val="auto"/>
          <w:kern w:val="0"/>
          <w:sz w:val="24"/>
          <w:highlight w:val="none"/>
          <w:lang w:val="en-US" w:eastAsia="zh-CN"/>
        </w:rPr>
        <w:t xml:space="preserve">    2</w:t>
      </w:r>
      <w:r>
        <w:rPr>
          <w:rFonts w:hint="eastAsia" w:ascii="宋体" w:hAnsi="宋体" w:cs="宋体"/>
          <w:b w:val="0"/>
          <w:bCs/>
          <w:color w:val="auto"/>
          <w:kern w:val="0"/>
          <w:sz w:val="24"/>
          <w:highlight w:val="none"/>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E63BBFB">
      <w:pPr>
        <w:adjustRightInd w:val="0"/>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14:paraId="022DC8A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采购人信息</w:t>
      </w:r>
    </w:p>
    <w:p w14:paraId="62514877">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名称：博爱县文化广电和旅游局</w:t>
      </w:r>
    </w:p>
    <w:p w14:paraId="27FA5896">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地址：博爱县清化镇海华路南段62号</w:t>
      </w:r>
    </w:p>
    <w:p w14:paraId="1F5F19F9">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联系人：朱先生              </w:t>
      </w:r>
    </w:p>
    <w:p w14:paraId="4E97B100">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电  话：15036516190</w:t>
      </w:r>
    </w:p>
    <w:p w14:paraId="13659CD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采购代理机构信息</w:t>
      </w:r>
    </w:p>
    <w:p w14:paraId="3101878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称：河南腾豫工程管理有限公司</w:t>
      </w:r>
    </w:p>
    <w:p w14:paraId="721211B1">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焦作市博爱县葵城路与和谐路交叉口东300米路南</w:t>
      </w:r>
    </w:p>
    <w:p w14:paraId="03662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李女士</w:t>
      </w:r>
    </w:p>
    <w:p w14:paraId="17C2763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15138003200   0391-8082888</w:t>
      </w:r>
    </w:p>
    <w:p w14:paraId="3EC9E19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项目联系方式</w:t>
      </w:r>
    </w:p>
    <w:p w14:paraId="1ED46F6F">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联系人：朱先生           </w:t>
      </w:r>
    </w:p>
    <w:p w14:paraId="3606120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电  话：15036516190</w:t>
      </w:r>
    </w:p>
    <w:p w14:paraId="2027AB6D">
      <w:pPr>
        <w:widowControl/>
        <w:spacing w:line="360" w:lineRule="auto"/>
        <w:ind w:firstLine="4080" w:firstLineChars="1700"/>
        <w:jc w:val="right"/>
        <w:rPr>
          <w:rFonts w:hint="eastAsia" w:ascii="宋体" w:hAnsi="宋体" w:cs="宋体"/>
          <w:color w:val="auto"/>
          <w:sz w:val="24"/>
          <w:highlight w:val="none"/>
        </w:rPr>
      </w:pPr>
    </w:p>
    <w:p w14:paraId="4E0D9B62">
      <w:pPr>
        <w:widowControl/>
        <w:spacing w:line="360" w:lineRule="auto"/>
        <w:ind w:firstLine="4080" w:firstLineChars="1700"/>
        <w:jc w:val="right"/>
        <w:rPr>
          <w:rFonts w:hint="eastAsia" w:ascii="宋体" w:hAnsi="宋体" w:cs="宋体"/>
          <w:color w:val="auto"/>
          <w:sz w:val="24"/>
          <w:highlight w:val="none"/>
        </w:rPr>
      </w:pPr>
    </w:p>
    <w:p w14:paraId="4F2C6A1D">
      <w:pPr>
        <w:widowControl/>
        <w:spacing w:line="360" w:lineRule="auto"/>
        <w:ind w:firstLine="4080" w:firstLineChars="1700"/>
        <w:jc w:val="right"/>
        <w:rPr>
          <w:rFonts w:hint="eastAsia" w:ascii="宋体" w:hAnsi="宋体" w:cs="宋体"/>
          <w:color w:val="auto"/>
          <w:sz w:val="24"/>
          <w:highlight w:val="none"/>
        </w:rPr>
      </w:pPr>
    </w:p>
    <w:p w14:paraId="7D56F54C">
      <w:pPr>
        <w:adjustRightInd w:val="0"/>
        <w:snapToGrid w:val="0"/>
        <w:spacing w:line="360" w:lineRule="auto"/>
        <w:ind w:firstLine="480" w:firstLineChars="2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发 布 人：</w:t>
      </w:r>
      <w:r>
        <w:rPr>
          <w:rFonts w:hint="eastAsia" w:ascii="宋体" w:hAnsi="宋体" w:cs="宋体"/>
          <w:color w:val="auto"/>
          <w:kern w:val="0"/>
          <w:sz w:val="24"/>
          <w:highlight w:val="none"/>
          <w:lang w:val="en-US" w:eastAsia="zh-CN"/>
        </w:rPr>
        <w:t>博爱县文化广电和旅游局</w:t>
      </w:r>
    </w:p>
    <w:p w14:paraId="6CF45831">
      <w:pPr>
        <w:widowControl/>
        <w:spacing w:line="360" w:lineRule="auto"/>
        <w:ind w:left="3592" w:leftChars="1596" w:hanging="240" w:hangingChars="100"/>
        <w:jc w:val="right"/>
        <w:rPr>
          <w:rFonts w:ascii="宋体" w:hAnsi="宋体" w:cs="宋体"/>
          <w:color w:val="auto"/>
          <w:sz w:val="24"/>
          <w:highlight w:val="none"/>
        </w:rPr>
      </w:pPr>
      <w:r>
        <w:rPr>
          <w:rFonts w:hint="eastAsia" w:ascii="宋体" w:hAnsi="宋体" w:cs="宋体"/>
          <w:color w:val="auto"/>
          <w:sz w:val="24"/>
          <w:highlight w:val="none"/>
        </w:rPr>
        <w:t>代理机构：河南腾豫工程管理有限公司</w:t>
      </w:r>
    </w:p>
    <w:p w14:paraId="64694C19">
      <w:pPr>
        <w:widowControl/>
        <w:spacing w:line="360" w:lineRule="auto"/>
        <w:ind w:left="3592" w:leftChars="1596" w:hanging="240" w:hangingChars="100"/>
        <w:jc w:val="right"/>
        <w:rPr>
          <w:rFonts w:hint="eastAsia"/>
        </w:rPr>
      </w:pPr>
      <w:r>
        <w:rPr>
          <w:rFonts w:hint="eastAsia" w:ascii="宋体" w:hAnsi="宋体" w:cs="宋体"/>
          <w:color w:val="auto"/>
          <w:sz w:val="24"/>
          <w:highlight w:val="none"/>
        </w:rPr>
        <w:t>发布时间：202</w:t>
      </w:r>
      <w:r>
        <w:rPr>
          <w:rFonts w:ascii="宋体" w:hAnsi="宋体" w:cs="宋体"/>
          <w:color w:val="auto"/>
          <w:sz w:val="24"/>
          <w:highlight w:val="none"/>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p>
    <w:p w14:paraId="417475DD">
      <w:pPr>
        <w:rPr>
          <w:rFonts w:hint="eastAsia"/>
          <w:kern w:val="0"/>
        </w:rPr>
      </w:pPr>
      <w:r>
        <w:rPr>
          <w:rFonts w:hint="eastAsia"/>
          <w:kern w:val="0"/>
        </w:rPr>
        <w:br w:type="page"/>
      </w:r>
    </w:p>
    <w:p w14:paraId="01E8A373">
      <w:pPr>
        <w:pStyle w:val="3"/>
        <w:spacing w:before="0" w:after="0" w:line="360" w:lineRule="auto"/>
        <w:jc w:val="center"/>
      </w:pPr>
      <w:r>
        <w:rPr>
          <w:rFonts w:hint="eastAsia"/>
          <w:kern w:val="0"/>
        </w:rPr>
        <w:t>投标须知前附表</w:t>
      </w:r>
      <w:bookmarkEnd w:id="0"/>
      <w:bookmarkEnd w:id="1"/>
      <w:bookmarkEnd w:id="2"/>
      <w:bookmarkEnd w:id="5"/>
      <w:bookmarkEnd w:id="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97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6B01FB28">
            <w:pPr>
              <w:pStyle w:val="84"/>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序号</w:t>
            </w:r>
          </w:p>
        </w:tc>
        <w:tc>
          <w:tcPr>
            <w:tcW w:w="8168" w:type="dxa"/>
          </w:tcPr>
          <w:p w14:paraId="7B2624D4">
            <w:pPr>
              <w:pStyle w:val="84"/>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内容规定</w:t>
            </w:r>
          </w:p>
        </w:tc>
      </w:tr>
      <w:tr w14:paraId="57C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2" w:type="dxa"/>
            <w:vAlign w:val="center"/>
          </w:tcPr>
          <w:p w14:paraId="2C65FAE5">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w:t>
            </w:r>
          </w:p>
        </w:tc>
        <w:tc>
          <w:tcPr>
            <w:tcW w:w="8168" w:type="dxa"/>
            <w:vAlign w:val="center"/>
          </w:tcPr>
          <w:p w14:paraId="2EC01221">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eastAsia="zh-CN"/>
              </w:rPr>
            </w:pPr>
            <w:r>
              <w:rPr>
                <w:rFonts w:hint="eastAsia" w:ascii="宋体" w:eastAsia="宋体" w:cs="宋体"/>
                <w:b w:val="0"/>
                <w:bCs/>
                <w:kern w:val="2"/>
                <w:sz w:val="24"/>
                <w:szCs w:val="24"/>
              </w:rPr>
              <w:t xml:space="preserve">项目名称: </w:t>
            </w:r>
            <w:r>
              <w:rPr>
                <w:rFonts w:hint="eastAsia" w:ascii="宋体" w:eastAsia="宋体" w:cs="宋体"/>
                <w:b w:val="0"/>
                <w:bCs/>
                <w:kern w:val="2"/>
                <w:sz w:val="24"/>
                <w:szCs w:val="24"/>
                <w:lang w:eastAsia="zh-CN"/>
              </w:rPr>
              <w:t>博爱县旅游资源普查</w:t>
            </w:r>
            <w:r>
              <w:rPr>
                <w:rFonts w:hint="eastAsia" w:ascii="宋体" w:eastAsia="宋体" w:cs="宋体"/>
                <w:b w:val="0"/>
                <w:bCs/>
                <w:kern w:val="2"/>
                <w:sz w:val="24"/>
                <w:szCs w:val="24"/>
                <w:lang w:val="en-US" w:eastAsia="zh-CN"/>
              </w:rPr>
              <w:t>采购</w:t>
            </w:r>
            <w:r>
              <w:rPr>
                <w:rFonts w:hint="eastAsia" w:ascii="宋体" w:eastAsia="宋体" w:cs="宋体"/>
                <w:b w:val="0"/>
                <w:bCs/>
                <w:kern w:val="2"/>
                <w:sz w:val="24"/>
                <w:szCs w:val="24"/>
                <w:lang w:eastAsia="zh-CN"/>
              </w:rPr>
              <w:t>项目</w:t>
            </w:r>
          </w:p>
          <w:p w14:paraId="7EEFFAA4">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highlight w:val="red"/>
                <w:lang w:val="en-US" w:eastAsia="zh-CN"/>
              </w:rPr>
            </w:pPr>
            <w:r>
              <w:rPr>
                <w:rFonts w:hint="eastAsia" w:ascii="宋体" w:eastAsia="宋体" w:cs="宋体"/>
                <w:b w:val="0"/>
                <w:bCs/>
                <w:kern w:val="2"/>
                <w:sz w:val="24"/>
                <w:szCs w:val="24"/>
              </w:rPr>
              <w:t>服务内容:</w:t>
            </w:r>
            <w:r>
              <w:rPr>
                <w:rFonts w:hint="eastAsia" w:ascii="宋体" w:eastAsia="宋体" w:cs="宋体"/>
                <w:b w:val="0"/>
                <w:bCs/>
                <w:kern w:val="2"/>
                <w:sz w:val="24"/>
                <w:szCs w:val="24"/>
                <w:lang w:val="en-US" w:eastAsia="zh-CN"/>
              </w:rPr>
              <w:t>1、根据豫文旅强省(2023)6号文件《关于印发河南省旅游资源普查工作方案》的通知要求，对博爱县地文景观、水域景观、生物景观、天象与气候景观、建筑与设施、历史遗迹、旅游购品、人文活动等八大类资源开展普查等。</w:t>
            </w:r>
          </w:p>
          <w:p w14:paraId="082A1B52">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val="en-US" w:eastAsia="zh-CN"/>
              </w:rPr>
            </w:pPr>
            <w:r>
              <w:rPr>
                <w:rFonts w:hint="eastAsia" w:ascii="宋体" w:eastAsia="宋体" w:cs="宋体"/>
                <w:b w:val="0"/>
                <w:bCs/>
                <w:kern w:val="2"/>
                <w:sz w:val="24"/>
                <w:szCs w:val="24"/>
                <w:lang w:val="en-US" w:eastAsia="zh-CN"/>
              </w:rPr>
              <w:t>2、开展野外调查、核查及补充调查工作，挖掘旅游资源景点，提升县域内旅游资源点的价值属性。</w:t>
            </w:r>
          </w:p>
          <w:p w14:paraId="67E01C65">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val="en-US" w:eastAsia="zh-CN"/>
              </w:rPr>
            </w:pPr>
            <w:r>
              <w:rPr>
                <w:rFonts w:hint="eastAsia" w:ascii="宋体" w:eastAsia="宋体" w:cs="宋体"/>
                <w:b w:val="0"/>
                <w:bCs/>
                <w:kern w:val="2"/>
                <w:sz w:val="24"/>
                <w:szCs w:val="24"/>
                <w:lang w:val="en-US" w:eastAsia="zh-CN"/>
              </w:rPr>
              <w:t>3、开展旅游资源评价工作，科学评定旅游资源单体、综合体等级，合理划分博爱县旅游资源分区。</w:t>
            </w:r>
          </w:p>
          <w:p w14:paraId="60654C1F">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val="en-US" w:eastAsia="zh-CN"/>
              </w:rPr>
            </w:pPr>
            <w:r>
              <w:rPr>
                <w:rFonts w:hint="eastAsia" w:ascii="宋体" w:eastAsia="宋体" w:cs="宋体"/>
                <w:b w:val="0"/>
                <w:bCs/>
                <w:kern w:val="2"/>
                <w:sz w:val="24"/>
                <w:szCs w:val="24"/>
                <w:lang w:val="en-US" w:eastAsia="zh-CN"/>
              </w:rPr>
              <w:t>4、将采集的资源信息编制录入资源信息库平台。</w:t>
            </w:r>
          </w:p>
          <w:p w14:paraId="20DA1E6F">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kern w:val="2"/>
                <w:sz w:val="24"/>
                <w:szCs w:val="24"/>
                <w:lang w:val="en-US" w:eastAsia="zh-CN"/>
              </w:rPr>
            </w:pPr>
            <w:r>
              <w:rPr>
                <w:rFonts w:hint="eastAsia" w:ascii="宋体" w:eastAsia="宋体" w:cs="宋体"/>
                <w:b w:val="0"/>
                <w:bCs/>
                <w:kern w:val="2"/>
                <w:sz w:val="24"/>
                <w:szCs w:val="24"/>
                <w:lang w:val="en-US" w:eastAsia="zh-CN"/>
              </w:rPr>
              <w:t>5、编制博爱县旅游资源调查评价报告等系列成果。</w:t>
            </w:r>
          </w:p>
          <w:p w14:paraId="388C019C">
            <w:pPr>
              <w:pStyle w:val="84"/>
              <w:widowControl w:val="0"/>
              <w:pBdr>
                <w:bottom w:val="none" w:color="auto" w:sz="0" w:space="0"/>
              </w:pBdr>
              <w:spacing w:beforeAutospacing="0" w:afterAutospacing="0" w:line="360" w:lineRule="auto"/>
              <w:jc w:val="both"/>
              <w:textAlignment w:val="auto"/>
              <w:rPr>
                <w:rFonts w:hint="eastAsia" w:ascii="宋体" w:eastAsia="宋体" w:cs="宋体"/>
                <w:b w:val="0"/>
                <w:bCs/>
                <w:color w:val="FF0000"/>
                <w:kern w:val="2"/>
                <w:sz w:val="24"/>
                <w:szCs w:val="24"/>
                <w:lang w:val="en-US" w:eastAsia="zh-CN"/>
              </w:rPr>
            </w:pPr>
            <w:r>
              <w:rPr>
                <w:rFonts w:hint="eastAsia" w:ascii="宋体" w:eastAsia="宋体" w:cs="宋体"/>
                <w:b w:val="0"/>
                <w:bCs/>
                <w:kern w:val="2"/>
                <w:sz w:val="24"/>
                <w:szCs w:val="24"/>
                <w:lang w:val="en-US" w:eastAsia="zh-CN"/>
              </w:rPr>
              <w:t>6、预期目标效果：开展全县旅游资源普查工作，编制《博爱县旅游资源普查技术方案报告》《博爱县旅游资源普查普查报告(包含附图和旅游资源名录)》《博爱县旅游资源汇总表》《博爱县旅游资源调查表》，并承诺对接焦作市普查办汇交成果，完成验收。</w:t>
            </w:r>
          </w:p>
          <w:p w14:paraId="06F03DDA">
            <w:pPr>
              <w:pStyle w:val="84"/>
              <w:widowControl w:val="0"/>
              <w:pBdr>
                <w:bottom w:val="none" w:color="auto" w:sz="0" w:space="0"/>
              </w:pBdr>
              <w:spacing w:beforeAutospacing="0" w:afterAutospacing="0" w:line="360" w:lineRule="auto"/>
              <w:jc w:val="both"/>
              <w:textAlignment w:val="auto"/>
              <w:rPr>
                <w:rFonts w:hint="eastAsia" w:ascii="宋体" w:hAnsi="宋体" w:eastAsia="宋体" w:cs="宋体"/>
                <w:color w:val="auto"/>
                <w:kern w:val="0"/>
                <w:sz w:val="24"/>
                <w:highlight w:val="none"/>
                <w:lang w:eastAsia="zh-CN"/>
              </w:rPr>
            </w:pPr>
            <w:r>
              <w:rPr>
                <w:rFonts w:hint="eastAsia" w:ascii="宋体" w:eastAsia="宋体" w:cs="宋体"/>
                <w:b/>
                <w:bCs w:val="0"/>
                <w:kern w:val="2"/>
                <w:sz w:val="24"/>
                <w:szCs w:val="24"/>
                <w:lang w:eastAsia="zh-CN"/>
              </w:rPr>
              <w:t>服务标准</w:t>
            </w:r>
            <w:r>
              <w:rPr>
                <w:rFonts w:hint="eastAsia" w:ascii="宋体" w:eastAsia="宋体" w:cs="宋体"/>
                <w:b/>
                <w:bCs w:val="0"/>
                <w:kern w:val="2"/>
                <w:sz w:val="24"/>
                <w:szCs w:val="24"/>
              </w:rPr>
              <w:t>：</w:t>
            </w:r>
            <w:r>
              <w:rPr>
                <w:rFonts w:hint="eastAsia" w:ascii="宋体" w:eastAsia="宋体" w:cs="宋体"/>
                <w:b w:val="0"/>
                <w:bCs/>
                <w:kern w:val="2"/>
                <w:sz w:val="24"/>
                <w:szCs w:val="24"/>
              </w:rPr>
              <w:t>乙方所编制的成果文件必须符合国家、省、市有关法律、法规 及标准的要求，同时还必须满足国家对此类项目技术服务的有关标准和要求，满 足采购人需求。</w:t>
            </w:r>
          </w:p>
          <w:p w14:paraId="0B17C8A4">
            <w:pPr>
              <w:adjustRightInd w:val="0"/>
              <w:snapToGrid w:val="0"/>
              <w:spacing w:line="360" w:lineRule="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合同履行期限：</w:t>
            </w:r>
            <w:r>
              <w:rPr>
                <w:rFonts w:hint="eastAsia" w:ascii="宋体" w:hAnsi="宋体" w:cs="宋体"/>
                <w:b w:val="0"/>
                <w:bCs/>
                <w:color w:val="auto"/>
                <w:kern w:val="2"/>
                <w:sz w:val="24"/>
                <w:szCs w:val="24"/>
                <w:lang w:val="en-US" w:eastAsia="zh-CN" w:bidi="ar-SA"/>
              </w:rPr>
              <w:t>50</w:t>
            </w:r>
            <w:r>
              <w:rPr>
                <w:rFonts w:hint="eastAsia" w:ascii="宋体" w:hAnsi="宋体" w:eastAsia="宋体" w:cs="宋体"/>
                <w:b w:val="0"/>
                <w:bCs/>
                <w:color w:val="auto"/>
                <w:kern w:val="2"/>
                <w:sz w:val="24"/>
                <w:szCs w:val="24"/>
                <w:lang w:val="en-US" w:eastAsia="zh-CN" w:bidi="ar-SA"/>
              </w:rPr>
              <w:t>日历天</w:t>
            </w:r>
          </w:p>
          <w:p w14:paraId="608E24E7">
            <w:pPr>
              <w:pStyle w:val="84"/>
              <w:widowControl w:val="0"/>
              <w:pBdr>
                <w:bottom w:val="none" w:color="auto" w:sz="0" w:space="0"/>
              </w:pBdr>
              <w:spacing w:beforeAutospacing="0" w:afterAutospacing="0" w:line="360" w:lineRule="auto"/>
              <w:jc w:val="both"/>
              <w:textAlignment w:val="auto"/>
              <w:rPr>
                <w:rFonts w:ascii="宋体" w:eastAsia="宋体" w:cs="宋体"/>
                <w:b w:val="0"/>
                <w:bCs/>
                <w:kern w:val="2"/>
                <w:sz w:val="24"/>
                <w:szCs w:val="24"/>
              </w:rPr>
            </w:pPr>
            <w:r>
              <w:rPr>
                <w:rFonts w:hint="eastAsia" w:ascii="宋体" w:eastAsia="宋体" w:cs="宋体"/>
                <w:b w:val="0"/>
                <w:bCs/>
                <w:kern w:val="2"/>
                <w:sz w:val="24"/>
                <w:szCs w:val="24"/>
              </w:rPr>
              <w:t>采购方式：竞争性谈判</w:t>
            </w:r>
          </w:p>
          <w:p w14:paraId="077F1979">
            <w:pPr>
              <w:pStyle w:val="84"/>
              <w:widowControl w:val="0"/>
              <w:pBdr>
                <w:bottom w:val="none" w:color="auto" w:sz="0" w:space="0"/>
              </w:pBdr>
              <w:spacing w:beforeAutospacing="0" w:afterAutospacing="0" w:line="360" w:lineRule="auto"/>
              <w:jc w:val="both"/>
              <w:textAlignment w:val="auto"/>
              <w:rPr>
                <w:rFonts w:ascii="宋体" w:eastAsia="宋体" w:cs="宋体"/>
                <w:b w:val="0"/>
                <w:sz w:val="24"/>
                <w:szCs w:val="24"/>
              </w:rPr>
            </w:pPr>
            <w:r>
              <w:rPr>
                <w:rFonts w:hint="eastAsia" w:ascii="宋体" w:eastAsia="宋体" w:cs="宋体"/>
                <w:b w:val="0"/>
                <w:sz w:val="24"/>
                <w:szCs w:val="24"/>
              </w:rPr>
              <w:t>资格审查方式：资格后审</w:t>
            </w:r>
          </w:p>
          <w:p w14:paraId="2A47FBFE">
            <w:pPr>
              <w:pStyle w:val="84"/>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rPr>
            </w:pPr>
            <w:r>
              <w:rPr>
                <w:rFonts w:hint="eastAsia" w:ascii="宋体" w:hAnsi="宋体" w:eastAsia="宋体" w:cs="宋体"/>
                <w:b/>
                <w:bCs/>
                <w:color w:val="auto"/>
                <w:kern w:val="0"/>
                <w:sz w:val="24"/>
                <w:szCs w:val="24"/>
                <w:highlight w:val="none"/>
                <w:lang w:val="en-US" w:eastAsia="zh-CN" w:bidi="ar-SA"/>
              </w:rPr>
              <w:t>付款方式：</w:t>
            </w:r>
            <w:r>
              <w:rPr>
                <w:rFonts w:hint="eastAsia" w:ascii="宋体" w:eastAsia="宋体" w:cs="宋体"/>
                <w:b w:val="0"/>
                <w:bCs w:val="0"/>
                <w:color w:val="auto"/>
                <w:kern w:val="0"/>
                <w:sz w:val="24"/>
                <w:szCs w:val="24"/>
                <w:highlight w:val="none"/>
                <w:lang w:val="en-US" w:eastAsia="zh-CN" w:bidi="ar-SA"/>
              </w:rPr>
              <w:t>签订合同后，支付合同总费用的20%，成果文件编制完成并按程序报审后支付合同总费用的30%，成果文件上传数据平台，通过验收后支付合同总费用的50%。</w:t>
            </w:r>
          </w:p>
        </w:tc>
      </w:tr>
      <w:tr w14:paraId="1F23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2" w:type="dxa"/>
            <w:vAlign w:val="center"/>
          </w:tcPr>
          <w:p w14:paraId="0A0633FF">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2</w:t>
            </w:r>
          </w:p>
        </w:tc>
        <w:tc>
          <w:tcPr>
            <w:tcW w:w="8168" w:type="dxa"/>
            <w:vAlign w:val="center"/>
          </w:tcPr>
          <w:p w14:paraId="29EC9B18">
            <w:pPr>
              <w:pStyle w:val="84"/>
              <w:widowControl w:val="0"/>
              <w:pBdr>
                <w:bottom w:val="none" w:color="auto" w:sz="0" w:space="0"/>
              </w:pBdr>
              <w:spacing w:beforeAutospacing="0" w:afterAutospacing="0" w:line="360" w:lineRule="auto"/>
              <w:ind w:firstLine="480" w:firstLineChars="200"/>
              <w:jc w:val="both"/>
              <w:textAlignment w:val="auto"/>
              <w:rPr>
                <w:rFonts w:hint="eastAsia"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highlight w:val="none"/>
                <w:lang w:eastAsia="zh-CN"/>
              </w:rPr>
              <w:t>上级财政资金</w:t>
            </w:r>
          </w:p>
        </w:tc>
      </w:tr>
      <w:tr w14:paraId="7D13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6D8F8626">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3</w:t>
            </w:r>
          </w:p>
        </w:tc>
        <w:tc>
          <w:tcPr>
            <w:tcW w:w="8168" w:type="dxa"/>
            <w:vAlign w:val="center"/>
          </w:tcPr>
          <w:p w14:paraId="75D5F452">
            <w:pPr>
              <w:adjustRightInd w:val="0"/>
              <w:snapToGrid w:val="0"/>
              <w:spacing w:line="360" w:lineRule="auto"/>
              <w:ind w:firstLine="482" w:firstLineChars="200"/>
              <w:rPr>
                <w:rFonts w:ascii="宋体" w:hAnsi="宋体" w:cs="宋体"/>
                <w:sz w:val="24"/>
              </w:rPr>
            </w:pPr>
            <w:r>
              <w:rPr>
                <w:rFonts w:hint="eastAsia" w:ascii="宋体" w:hAnsi="宋体" w:cs="宋体"/>
                <w:b/>
                <w:bCs/>
                <w:sz w:val="24"/>
              </w:rPr>
              <w:t>获取采购文件时间：202</w:t>
            </w:r>
            <w:r>
              <w:rPr>
                <w:rFonts w:ascii="宋体" w:hAnsi="宋体" w:cs="宋体"/>
                <w:b/>
                <w:bCs/>
                <w:sz w:val="24"/>
              </w:rPr>
              <w:t>4</w:t>
            </w:r>
            <w:r>
              <w:rPr>
                <w:rFonts w:hint="eastAsia" w:ascii="宋体" w:hAnsi="宋体" w:cs="宋体"/>
                <w:b/>
                <w:bCs/>
                <w:sz w:val="24"/>
              </w:rPr>
              <w:t>年</w:t>
            </w:r>
            <w:r>
              <w:rPr>
                <w:rFonts w:hint="eastAsia" w:ascii="宋体" w:hAnsi="宋体" w:cs="宋体"/>
                <w:b/>
                <w:bCs/>
                <w:sz w:val="24"/>
                <w:highlight w:val="none"/>
                <w:lang w:val="en-US" w:eastAsia="zh-CN"/>
              </w:rPr>
              <w:t>9</w:t>
            </w:r>
            <w:r>
              <w:rPr>
                <w:rFonts w:hint="eastAsia" w:ascii="宋体" w:hAnsi="宋体" w:cs="宋体"/>
                <w:b/>
                <w:bCs/>
                <w:sz w:val="24"/>
                <w:highlight w:val="none"/>
              </w:rPr>
              <w:t>月</w:t>
            </w:r>
            <w:r>
              <w:rPr>
                <w:rFonts w:hint="eastAsia" w:ascii="宋体" w:hAnsi="宋体" w:cs="宋体"/>
                <w:b/>
                <w:bCs/>
                <w:sz w:val="24"/>
                <w:highlight w:val="none"/>
                <w:lang w:val="en-US" w:eastAsia="zh-CN"/>
              </w:rPr>
              <w:t xml:space="preserve">24 </w:t>
            </w:r>
            <w:r>
              <w:rPr>
                <w:rFonts w:hint="eastAsia" w:ascii="宋体" w:hAnsi="宋体" w:cs="宋体"/>
                <w:b/>
                <w:bCs/>
                <w:sz w:val="24"/>
                <w:highlight w:val="none"/>
              </w:rPr>
              <w:t>日至202</w:t>
            </w:r>
            <w:r>
              <w:rPr>
                <w:rFonts w:ascii="宋体" w:hAnsi="宋体" w:cs="宋体"/>
                <w:b/>
                <w:bCs/>
                <w:sz w:val="24"/>
                <w:highlight w:val="none"/>
              </w:rPr>
              <w:t>4</w:t>
            </w:r>
            <w:r>
              <w:rPr>
                <w:rFonts w:hint="eastAsia" w:ascii="宋体" w:hAnsi="宋体" w:cs="宋体"/>
                <w:b/>
                <w:bCs/>
                <w:sz w:val="24"/>
                <w:highlight w:val="none"/>
              </w:rPr>
              <w:t>年</w:t>
            </w:r>
            <w:r>
              <w:rPr>
                <w:rFonts w:hint="eastAsia" w:ascii="宋体" w:hAnsi="宋体" w:cs="宋体"/>
                <w:b/>
                <w:bCs/>
                <w:sz w:val="24"/>
                <w:highlight w:val="none"/>
                <w:lang w:val="en-US" w:eastAsia="zh-CN"/>
              </w:rPr>
              <w:t>9</w:t>
            </w:r>
            <w:r>
              <w:rPr>
                <w:rFonts w:hint="eastAsia" w:ascii="宋体" w:hAnsi="宋体" w:cs="宋体"/>
                <w:b/>
                <w:bCs/>
                <w:sz w:val="24"/>
                <w:highlight w:val="none"/>
              </w:rPr>
              <w:t>月</w:t>
            </w:r>
            <w:r>
              <w:rPr>
                <w:rFonts w:hint="eastAsia" w:ascii="宋体" w:hAnsi="宋体" w:cs="宋体"/>
                <w:b/>
                <w:bCs/>
                <w:sz w:val="24"/>
                <w:highlight w:val="none"/>
                <w:lang w:val="en-US" w:eastAsia="zh-CN"/>
              </w:rPr>
              <w:t>26</w:t>
            </w:r>
            <w:r>
              <w:rPr>
                <w:rFonts w:hint="eastAsia" w:ascii="宋体" w:hAnsi="宋体" w:cs="宋体"/>
                <w:b/>
                <w:bCs/>
                <w:sz w:val="24"/>
                <w:highlight w:val="none"/>
              </w:rPr>
              <w:t>日（</w:t>
            </w:r>
            <w:r>
              <w:rPr>
                <w:rFonts w:hint="eastAsia" w:ascii="宋体" w:hAnsi="宋体" w:cs="宋体"/>
                <w:b/>
                <w:bCs/>
                <w:sz w:val="24"/>
              </w:rPr>
              <w:t>北京时间）；</w:t>
            </w:r>
            <w:r>
              <w:rPr>
                <w:rFonts w:hint="eastAsia" w:ascii="宋体" w:hAnsi="宋体" w:cs="宋体"/>
                <w:sz w:val="24"/>
              </w:rPr>
              <w:t> </w:t>
            </w:r>
          </w:p>
          <w:p w14:paraId="4E1EC3CB">
            <w:pPr>
              <w:adjustRightInd w:val="0"/>
              <w:snapToGrid w:val="0"/>
              <w:spacing w:line="360" w:lineRule="auto"/>
              <w:ind w:firstLine="480" w:firstLineChars="200"/>
              <w:rPr>
                <w:rFonts w:ascii="宋体" w:hAnsi="宋体" w:cs="宋体"/>
                <w:sz w:val="24"/>
              </w:rPr>
            </w:pPr>
            <w:r>
              <w:rPr>
                <w:rFonts w:hint="eastAsia" w:ascii="宋体" w:hAnsi="宋体" w:cs="宋体"/>
                <w:sz w:val="24"/>
              </w:rPr>
              <w:t>地点：焦作市公共资源交易中心网站会员系统  </w:t>
            </w:r>
          </w:p>
          <w:p w14:paraId="40EDCF1B">
            <w:pPr>
              <w:adjustRightInd w:val="0"/>
              <w:snapToGrid w:val="0"/>
              <w:spacing w:line="360" w:lineRule="auto"/>
              <w:ind w:firstLine="480" w:firstLineChars="200"/>
              <w:rPr>
                <w:rFonts w:ascii="宋体" w:hAnsi="宋体" w:cs="宋体"/>
                <w:sz w:val="24"/>
              </w:rPr>
            </w:pPr>
            <w:r>
              <w:rPr>
                <w:rFonts w:hint="eastAsia" w:ascii="宋体" w:hAnsi="宋体" w:cs="宋体"/>
                <w:sz w:val="24"/>
              </w:rPr>
              <w:t>方式：凡有意参加投标者，请登录焦作市公共资源交易中心官网站进行网上下载谈判文件。</w:t>
            </w:r>
          </w:p>
          <w:p w14:paraId="1CD9B3AE">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采购文件售价：0元</w:t>
            </w:r>
          </w:p>
        </w:tc>
      </w:tr>
      <w:tr w14:paraId="7A8A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36D43122">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4</w:t>
            </w:r>
          </w:p>
        </w:tc>
        <w:tc>
          <w:tcPr>
            <w:tcW w:w="8168" w:type="dxa"/>
            <w:vAlign w:val="center"/>
          </w:tcPr>
          <w:p w14:paraId="3AF787B2">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u w:val="single"/>
              </w:rPr>
            </w:pPr>
            <w:r>
              <w:rPr>
                <w:rFonts w:hint="eastAsia" w:ascii="宋体" w:eastAsia="宋体" w:cs="宋体"/>
                <w:b w:val="0"/>
                <w:bCs/>
                <w:sz w:val="24"/>
                <w:szCs w:val="24"/>
              </w:rPr>
              <w:t>响应文件份数：加密的电子响应文件壹份（.jztf 格式在会员系统指定位置上传）。</w:t>
            </w:r>
          </w:p>
          <w:p w14:paraId="5ACB790D">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投标保证金：无</w:t>
            </w:r>
          </w:p>
          <w:p w14:paraId="412A62B8">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履约保证金：无</w:t>
            </w:r>
          </w:p>
          <w:p w14:paraId="7E7090B1">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质</w:t>
            </w:r>
            <w:r>
              <w:rPr>
                <w:rFonts w:hint="eastAsia" w:ascii="宋体" w:eastAsia="宋体" w:cs="宋体"/>
                <w:b w:val="0"/>
                <w:bCs/>
                <w:sz w:val="24"/>
                <w:szCs w:val="24"/>
                <w:lang w:val="en-US" w:eastAsia="zh-CN"/>
              </w:rPr>
              <w:t xml:space="preserve">  </w:t>
            </w:r>
            <w:r>
              <w:rPr>
                <w:rFonts w:hint="eastAsia" w:ascii="宋体" w:eastAsia="宋体" w:cs="宋体"/>
                <w:b w:val="0"/>
                <w:bCs/>
                <w:sz w:val="24"/>
                <w:szCs w:val="24"/>
              </w:rPr>
              <w:t>保</w:t>
            </w:r>
            <w:r>
              <w:rPr>
                <w:rFonts w:hint="eastAsia" w:ascii="宋体" w:eastAsia="宋体" w:cs="宋体"/>
                <w:b w:val="0"/>
                <w:bCs/>
                <w:sz w:val="24"/>
                <w:szCs w:val="24"/>
                <w:lang w:val="en-US" w:eastAsia="zh-CN"/>
              </w:rPr>
              <w:t xml:space="preserve">  </w:t>
            </w:r>
            <w:r>
              <w:rPr>
                <w:rFonts w:hint="eastAsia" w:ascii="宋体" w:eastAsia="宋体" w:cs="宋体"/>
                <w:b w:val="0"/>
                <w:bCs/>
                <w:sz w:val="24"/>
                <w:szCs w:val="24"/>
              </w:rPr>
              <w:t>金：无</w:t>
            </w:r>
          </w:p>
        </w:tc>
      </w:tr>
      <w:tr w14:paraId="1DB9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7166708">
            <w:pPr>
              <w:pStyle w:val="84"/>
              <w:widowControl w:val="0"/>
              <w:pBdr>
                <w:bottom w:val="none" w:color="auto" w:sz="0" w:space="0"/>
              </w:pBdr>
              <w:spacing w:beforeAutospacing="0" w:afterAutospacing="0" w:line="360" w:lineRule="auto"/>
              <w:textAlignment w:val="auto"/>
              <w:rPr>
                <w:rFonts w:ascii="宋体" w:eastAsia="宋体" w:cs="宋体"/>
                <w:b w:val="0"/>
                <w:bCs/>
                <w:sz w:val="24"/>
                <w:szCs w:val="24"/>
              </w:rPr>
            </w:pPr>
            <w:r>
              <w:rPr>
                <w:rFonts w:hint="eastAsia" w:ascii="宋体" w:eastAsia="宋体" w:cs="宋体"/>
                <w:b w:val="0"/>
                <w:bCs/>
                <w:sz w:val="24"/>
                <w:szCs w:val="24"/>
              </w:rPr>
              <w:t>5</w:t>
            </w:r>
          </w:p>
        </w:tc>
        <w:tc>
          <w:tcPr>
            <w:tcW w:w="8168" w:type="dxa"/>
            <w:vAlign w:val="center"/>
          </w:tcPr>
          <w:p w14:paraId="06A0CEFF">
            <w:pPr>
              <w:pStyle w:val="84"/>
              <w:widowControl w:val="0"/>
              <w:pBdr>
                <w:bottom w:val="none" w:color="auto" w:sz="0" w:space="0"/>
              </w:pBdr>
              <w:spacing w:beforeAutospacing="0" w:afterAutospacing="0" w:line="360" w:lineRule="auto"/>
              <w:ind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响应文件递交截止时间：2024年</w:t>
            </w:r>
            <w:r>
              <w:rPr>
                <w:rFonts w:hint="eastAsia" w:ascii="宋体" w:eastAsia="宋体" w:cs="宋体"/>
                <w:b w:val="0"/>
                <w:kern w:val="2"/>
                <w:sz w:val="24"/>
                <w:szCs w:val="24"/>
                <w:lang w:val="en-US" w:eastAsia="zh-CN" w:bidi="ar-SA"/>
              </w:rPr>
              <w:t xml:space="preserve"> 9</w:t>
            </w:r>
            <w:r>
              <w:rPr>
                <w:rFonts w:hint="eastAsia" w:ascii="宋体" w:hAnsi="宋体" w:eastAsia="宋体" w:cs="宋体"/>
                <w:b w:val="0"/>
                <w:kern w:val="2"/>
                <w:sz w:val="24"/>
                <w:szCs w:val="24"/>
                <w:lang w:val="en-US" w:eastAsia="zh-CN" w:bidi="ar-SA"/>
              </w:rPr>
              <w:t>月</w:t>
            </w:r>
            <w:r>
              <w:rPr>
                <w:rFonts w:hint="eastAsia" w:ascii="宋体" w:eastAsia="宋体" w:cs="宋体"/>
                <w:b w:val="0"/>
                <w:kern w:val="2"/>
                <w:sz w:val="24"/>
                <w:szCs w:val="24"/>
                <w:lang w:val="en-US" w:eastAsia="zh-CN" w:bidi="ar-SA"/>
              </w:rPr>
              <w:t>27</w:t>
            </w:r>
            <w:r>
              <w:rPr>
                <w:rFonts w:hint="eastAsia" w:ascii="宋体" w:hAnsi="宋体" w:eastAsia="宋体" w:cs="宋体"/>
                <w:b w:val="0"/>
                <w:kern w:val="2"/>
                <w:sz w:val="24"/>
                <w:szCs w:val="24"/>
                <w:lang w:val="en-US" w:eastAsia="zh-CN" w:bidi="ar-SA"/>
              </w:rPr>
              <w:t>日</w:t>
            </w:r>
            <w:r>
              <w:rPr>
                <w:rFonts w:hint="eastAsia" w:ascii="宋体" w:eastAsia="宋体" w:cs="宋体"/>
                <w:b w:val="0"/>
                <w:kern w:val="2"/>
                <w:sz w:val="24"/>
                <w:szCs w:val="24"/>
                <w:lang w:val="en-US" w:eastAsia="zh-CN" w:bidi="ar-SA"/>
              </w:rPr>
              <w:t>08</w:t>
            </w:r>
            <w:r>
              <w:rPr>
                <w:rFonts w:hint="eastAsia" w:ascii="宋体" w:hAnsi="宋体" w:eastAsia="宋体" w:cs="宋体"/>
                <w:b w:val="0"/>
                <w:kern w:val="2"/>
                <w:sz w:val="24"/>
                <w:szCs w:val="24"/>
                <w:lang w:val="en-US" w:eastAsia="zh-CN" w:bidi="ar-SA"/>
              </w:rPr>
              <w:t>时</w:t>
            </w:r>
            <w:r>
              <w:rPr>
                <w:rFonts w:hint="eastAsia" w:ascii="宋体" w:eastAsia="宋体" w:cs="宋体"/>
                <w:b w:val="0"/>
                <w:kern w:val="2"/>
                <w:sz w:val="24"/>
                <w:szCs w:val="24"/>
                <w:lang w:val="en-US" w:eastAsia="zh-CN" w:bidi="ar-SA"/>
              </w:rPr>
              <w:t>30</w:t>
            </w:r>
            <w:r>
              <w:rPr>
                <w:rFonts w:hint="eastAsia" w:ascii="宋体" w:hAnsi="宋体" w:eastAsia="宋体" w:cs="宋体"/>
                <w:b w:val="0"/>
                <w:kern w:val="2"/>
                <w:sz w:val="24"/>
                <w:szCs w:val="24"/>
                <w:lang w:val="en-US" w:eastAsia="zh-CN" w:bidi="ar-SA"/>
              </w:rPr>
              <w:t>分（北京时间）； </w:t>
            </w:r>
          </w:p>
          <w:p w14:paraId="7F895C9D">
            <w:pPr>
              <w:pStyle w:val="84"/>
              <w:widowControl w:val="0"/>
              <w:pBdr>
                <w:bottom w:val="none" w:color="auto" w:sz="0" w:space="0"/>
              </w:pBdr>
              <w:spacing w:beforeAutospacing="0" w:afterAutospacing="0" w:line="360" w:lineRule="auto"/>
              <w:ind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响应文件递交地点：博爱县公共资源交易中心不见面开标</w:t>
            </w:r>
            <w:r>
              <w:rPr>
                <w:rFonts w:hint="eastAsia" w:ascii="宋体" w:hAnsi="宋体" w:eastAsia="宋体" w:cs="宋体"/>
                <w:b w:val="0"/>
                <w:kern w:val="2"/>
                <w:sz w:val="24"/>
                <w:szCs w:val="24"/>
                <w:u w:val="single"/>
                <w:lang w:val="en-US" w:eastAsia="zh-CN" w:bidi="ar-SA"/>
              </w:rPr>
              <w:t xml:space="preserve"> </w:t>
            </w:r>
            <w:r>
              <w:rPr>
                <w:rFonts w:hint="eastAsia" w:ascii="宋体" w:eastAsia="宋体" w:cs="宋体"/>
                <w:b w:val="0"/>
                <w:kern w:val="2"/>
                <w:sz w:val="24"/>
                <w:szCs w:val="24"/>
                <w:u w:val="single"/>
                <w:lang w:val="en-US" w:eastAsia="zh-CN" w:bidi="ar-SA"/>
              </w:rPr>
              <w:t xml:space="preserve">一 </w:t>
            </w:r>
            <w:r>
              <w:rPr>
                <w:rFonts w:hint="eastAsia" w:ascii="宋体" w:hAnsi="宋体" w:eastAsia="宋体" w:cs="宋体"/>
                <w:b w:val="0"/>
                <w:kern w:val="2"/>
                <w:sz w:val="24"/>
                <w:szCs w:val="24"/>
                <w:lang w:val="en-US" w:eastAsia="zh-CN" w:bidi="ar-SA"/>
              </w:rPr>
              <w:t>室</w:t>
            </w:r>
          </w:p>
        </w:tc>
      </w:tr>
      <w:tr w14:paraId="0C30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2" w:type="dxa"/>
            <w:vAlign w:val="center"/>
          </w:tcPr>
          <w:p w14:paraId="2000B0EB">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6</w:t>
            </w:r>
          </w:p>
        </w:tc>
        <w:tc>
          <w:tcPr>
            <w:tcW w:w="8168" w:type="dxa"/>
            <w:vAlign w:val="center"/>
          </w:tcPr>
          <w:p w14:paraId="130BC20B">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采购事项答疑: 如有疑问，请与采购人或采购代理机构联系。</w:t>
            </w:r>
          </w:p>
        </w:tc>
      </w:tr>
      <w:tr w14:paraId="5CF9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44A9C44F">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7</w:t>
            </w:r>
          </w:p>
        </w:tc>
        <w:tc>
          <w:tcPr>
            <w:tcW w:w="8168" w:type="dxa"/>
            <w:vAlign w:val="center"/>
          </w:tcPr>
          <w:p w14:paraId="09A032D9">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开标时间：同响应文件递交截止时间。供应商应当登录远程开标大厅，凭制作响应性文件所用的企业 CA 密匙在线签到、解密文件等，解密时间为投标截止时后30分钟内。</w:t>
            </w:r>
          </w:p>
          <w:p w14:paraId="48F0C15B">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不见面开标地点：博爱县公共资源交易中心第</w:t>
            </w:r>
            <w:r>
              <w:rPr>
                <w:rFonts w:hint="eastAsia" w:ascii="宋体" w:hAnsi="宋体" w:cs="宋体"/>
                <w:b w:val="0"/>
                <w:kern w:val="2"/>
                <w:sz w:val="24"/>
                <w:szCs w:val="24"/>
                <w:u w:val="single"/>
                <w:lang w:val="en-US" w:eastAsia="zh-CN" w:bidi="ar-SA"/>
              </w:rPr>
              <w:t xml:space="preserve"> 一 </w:t>
            </w:r>
            <w:r>
              <w:rPr>
                <w:rFonts w:hint="eastAsia" w:ascii="宋体" w:hAnsi="宋体" w:eastAsia="宋体" w:cs="宋体"/>
                <w:b w:val="0"/>
                <w:kern w:val="2"/>
                <w:sz w:val="24"/>
                <w:szCs w:val="24"/>
                <w:lang w:val="en-US" w:eastAsia="zh-CN" w:bidi="ar-SA"/>
              </w:rPr>
              <w:t>开标室</w:t>
            </w:r>
          </w:p>
        </w:tc>
      </w:tr>
      <w:tr w14:paraId="7A00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5" w:hRule="atLeast"/>
        </w:trPr>
        <w:tc>
          <w:tcPr>
            <w:tcW w:w="732" w:type="dxa"/>
            <w:vAlign w:val="center"/>
          </w:tcPr>
          <w:p w14:paraId="3D63B0EF">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p>
        </w:tc>
        <w:tc>
          <w:tcPr>
            <w:tcW w:w="8168" w:type="dxa"/>
            <w:vAlign w:val="center"/>
          </w:tcPr>
          <w:p w14:paraId="62411AC2">
            <w:pPr>
              <w:adjustRightInd w:val="0"/>
              <w:snapToGrid w:val="0"/>
              <w:spacing w:line="360" w:lineRule="auto"/>
              <w:ind w:firstLine="480" w:firstLineChars="200"/>
              <w:rPr>
                <w:rFonts w:ascii="宋体" w:hAnsi="宋体" w:cs="宋体"/>
                <w:sz w:val="24"/>
              </w:rPr>
            </w:pPr>
            <w:r>
              <w:rPr>
                <w:rFonts w:hint="eastAsia" w:ascii="宋体" w:hAnsi="宋体" w:cs="宋体"/>
                <w:sz w:val="24"/>
              </w:rPr>
              <w:t>递交响应性文件方式：</w:t>
            </w:r>
          </w:p>
          <w:p w14:paraId="13FC5AC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本项目采用“远程不见面”开标方式，远程开标大厅网址为http://122.112.246.33/BidOpening/bidopeninghallaction/hall/login。供应商不需到开标现场参加开标会议，不需提交原件资料等。 </w:t>
            </w:r>
          </w:p>
          <w:p w14:paraId="1D0B286A">
            <w:pPr>
              <w:adjustRightInd w:val="0"/>
              <w:snapToGrid w:val="0"/>
              <w:spacing w:line="360" w:lineRule="auto"/>
              <w:ind w:firstLine="480" w:firstLineChars="200"/>
              <w:rPr>
                <w:rFonts w:ascii="宋体" w:hAnsi="宋体" w:cs="宋体"/>
                <w:sz w:val="24"/>
              </w:rPr>
            </w:pPr>
            <w:r>
              <w:rPr>
                <w:rFonts w:hint="eastAsia" w:ascii="宋体" w:hAnsi="宋体" w:cs="宋体"/>
                <w:sz w:val="24"/>
              </w:rPr>
              <w:t>电子响应性文件的递交</w:t>
            </w:r>
          </w:p>
          <w:p w14:paraId="35BDBABC">
            <w:pPr>
              <w:adjustRightInd w:val="0"/>
              <w:snapToGrid w:val="0"/>
              <w:spacing w:line="360" w:lineRule="auto"/>
              <w:ind w:firstLine="480" w:firstLineChars="200"/>
              <w:rPr>
                <w:rFonts w:ascii="宋体" w:hAnsi="宋体" w:cs="宋体"/>
                <w:sz w:val="24"/>
              </w:rPr>
            </w:pPr>
            <w:r>
              <w:rPr>
                <w:rFonts w:hint="eastAsia" w:ascii="宋体" w:hAnsi="宋体" w:cs="宋体"/>
                <w:sz w:val="24"/>
              </w:rPr>
              <w:t>1.1 各供应商应在投标截止时间前上传加密的电子响应性文件</w:t>
            </w:r>
          </w:p>
          <w:p w14:paraId="2665DC70">
            <w:pPr>
              <w:adjustRightInd w:val="0"/>
              <w:snapToGrid w:val="0"/>
              <w:spacing w:line="360" w:lineRule="auto"/>
              <w:ind w:firstLine="480" w:firstLineChars="200"/>
              <w:rPr>
                <w:rFonts w:ascii="宋体" w:hAnsi="宋体" w:cs="宋体"/>
                <w:sz w:val="24"/>
              </w:rPr>
            </w:pPr>
            <w:r>
              <w:rPr>
                <w:rFonts w:hint="eastAsia" w:ascii="宋体" w:hAnsi="宋体" w:cs="宋体"/>
                <w:sz w:val="24"/>
              </w:rPr>
              <w:t>（.jztf 格式）到会员系统的指定位置。上传时必须得到电脑“上传成功”的确认回复。请供应商在上传时认真检查上传响应性文件是否完整、正确。</w:t>
            </w:r>
          </w:p>
          <w:p w14:paraId="35763315">
            <w:pPr>
              <w:adjustRightInd w:val="0"/>
              <w:snapToGrid w:val="0"/>
              <w:spacing w:line="360" w:lineRule="auto"/>
              <w:ind w:firstLine="480" w:firstLineChars="200"/>
              <w:rPr>
                <w:rFonts w:ascii="宋体" w:hAnsi="宋体" w:cs="宋体"/>
                <w:sz w:val="24"/>
              </w:rPr>
            </w:pPr>
            <w:r>
              <w:rPr>
                <w:rFonts w:hint="eastAsia" w:ascii="宋体" w:hAnsi="宋体" w:cs="宋体"/>
                <w:sz w:val="24"/>
              </w:rPr>
              <w:t>1.2 如系统故障需上传非加密文件时，供应商应按照采购人指示将非加密文件递交给采购人。</w:t>
            </w:r>
          </w:p>
        </w:tc>
      </w:tr>
      <w:tr w14:paraId="22D1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732" w:type="dxa"/>
            <w:vAlign w:val="center"/>
          </w:tcPr>
          <w:p w14:paraId="367C6D13">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8</w:t>
            </w:r>
          </w:p>
        </w:tc>
        <w:tc>
          <w:tcPr>
            <w:tcW w:w="8168" w:type="dxa"/>
            <w:vAlign w:val="center"/>
          </w:tcPr>
          <w:p w14:paraId="34991AF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采购预算控制金额（大写）：</w:t>
            </w:r>
            <w:r>
              <w:rPr>
                <w:rFonts w:hint="eastAsia" w:ascii="宋体" w:hAnsi="宋体" w:cs="宋体"/>
                <w:sz w:val="24"/>
                <w:highlight w:val="none"/>
                <w:lang w:val="en-US" w:eastAsia="zh-CN"/>
              </w:rPr>
              <w:t>伍拾万元整</w:t>
            </w:r>
            <w:r>
              <w:rPr>
                <w:rFonts w:hint="eastAsia" w:ascii="宋体" w:hAnsi="宋体" w:cs="宋体"/>
                <w:sz w:val="24"/>
                <w:highlight w:val="none"/>
              </w:rPr>
              <w:t>（￥</w:t>
            </w:r>
            <w:r>
              <w:rPr>
                <w:rFonts w:hint="eastAsia" w:ascii="宋体" w:hAnsi="宋体" w:cs="宋体"/>
                <w:sz w:val="24"/>
                <w:highlight w:val="none"/>
                <w:lang w:val="en-US" w:eastAsia="zh-CN"/>
              </w:rPr>
              <w:t>500000</w:t>
            </w:r>
            <w:r>
              <w:rPr>
                <w:rFonts w:hint="eastAsia" w:ascii="宋体" w:hAnsi="宋体" w:cs="宋体"/>
                <w:sz w:val="24"/>
                <w:highlight w:val="none"/>
              </w:rPr>
              <w:t>.00元）</w:t>
            </w:r>
          </w:p>
          <w:p w14:paraId="3734E03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1、供应商的投标报价高于采购预算控制金额的视为无效报价，其投标予以拒绝；</w:t>
            </w:r>
          </w:p>
          <w:p w14:paraId="4EDD86C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2、当成交人的投标报价高于控制价的95%时，该成交人的成交价按控制价的95%执行。</w:t>
            </w:r>
          </w:p>
        </w:tc>
      </w:tr>
      <w:tr w14:paraId="1BFB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732" w:type="dxa"/>
            <w:vAlign w:val="center"/>
          </w:tcPr>
          <w:p w14:paraId="357F278F">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9</w:t>
            </w:r>
          </w:p>
        </w:tc>
        <w:tc>
          <w:tcPr>
            <w:tcW w:w="8168" w:type="dxa"/>
            <w:vAlign w:val="center"/>
          </w:tcPr>
          <w:p w14:paraId="361F40FF">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highlight w:val="none"/>
              </w:rPr>
            </w:pPr>
            <w:r>
              <w:rPr>
                <w:rFonts w:hint="eastAsia" w:ascii="宋体" w:eastAsia="宋体" w:cs="宋体"/>
                <w:b w:val="0"/>
                <w:kern w:val="2"/>
                <w:sz w:val="24"/>
                <w:szCs w:val="24"/>
                <w:highlight w:val="none"/>
                <w:lang w:val="en-US" w:eastAsia="zh-CN"/>
              </w:rPr>
              <w:t>谈判</w:t>
            </w:r>
            <w:r>
              <w:rPr>
                <w:rFonts w:hint="eastAsia" w:ascii="宋体" w:eastAsia="宋体" w:cs="宋体"/>
                <w:b w:val="0"/>
                <w:kern w:val="2"/>
                <w:sz w:val="24"/>
                <w:szCs w:val="24"/>
                <w:highlight w:val="none"/>
              </w:rPr>
              <w:t>有效期：60日历天</w:t>
            </w:r>
          </w:p>
        </w:tc>
      </w:tr>
      <w:tr w14:paraId="6029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29CD5CB8">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10</w:t>
            </w:r>
          </w:p>
        </w:tc>
        <w:tc>
          <w:tcPr>
            <w:tcW w:w="8168" w:type="dxa"/>
            <w:vAlign w:val="center"/>
          </w:tcPr>
          <w:p w14:paraId="7B243D4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采购人：博爱县文化广电和旅游局</w:t>
            </w:r>
          </w:p>
          <w:p w14:paraId="03BEAFD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地址：博爱县清化镇海华路南段62号</w:t>
            </w:r>
          </w:p>
          <w:p w14:paraId="5419005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联系人：朱先生                 </w:t>
            </w:r>
          </w:p>
          <w:p w14:paraId="11F77ED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电  话：15036516190 </w:t>
            </w:r>
          </w:p>
          <w:p w14:paraId="523DF90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采购代理机构：河南腾豫工程管理有限公司</w:t>
            </w:r>
          </w:p>
          <w:p w14:paraId="51A3950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地址：博爱县葵城路与和谐路交叉口东300米路南  </w:t>
            </w:r>
          </w:p>
          <w:p w14:paraId="614F297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联系人：李女士</w:t>
            </w:r>
          </w:p>
          <w:p w14:paraId="0C4D7559">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highlight w:val="none"/>
              </w:rPr>
              <w:t xml:space="preserve">电话：15138003200     </w:t>
            </w:r>
            <w:r>
              <w:rPr>
                <w:rFonts w:hint="eastAsia" w:ascii="宋体" w:hAnsi="宋体" w:cs="宋体"/>
                <w:sz w:val="24"/>
                <w:highlight w:val="none"/>
                <w:lang w:val="en-US" w:eastAsia="zh-CN"/>
              </w:rPr>
              <w:t>0391-8082888</w:t>
            </w:r>
          </w:p>
        </w:tc>
      </w:tr>
      <w:tr w14:paraId="7465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298FE359">
            <w:pPr>
              <w:pStyle w:val="84"/>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11</w:t>
            </w:r>
          </w:p>
        </w:tc>
        <w:tc>
          <w:tcPr>
            <w:tcW w:w="8168" w:type="dxa"/>
            <w:vAlign w:val="center"/>
          </w:tcPr>
          <w:p w14:paraId="1E8B4D5B">
            <w:pPr>
              <w:pStyle w:val="84"/>
              <w:widowControl w:val="0"/>
              <w:pBdr>
                <w:bottom w:val="none" w:color="auto" w:sz="0" w:space="0"/>
              </w:pBdr>
              <w:spacing w:beforeAutospacing="0" w:afterAutospacing="0" w:line="360" w:lineRule="auto"/>
              <w:ind w:firstLine="482" w:firstLineChars="200"/>
              <w:jc w:val="both"/>
              <w:textAlignment w:val="auto"/>
              <w:rPr>
                <w:rFonts w:ascii="宋体" w:eastAsia="宋体" w:cs="宋体"/>
                <w:b w:val="0"/>
                <w:kern w:val="2"/>
                <w:sz w:val="24"/>
                <w:szCs w:val="24"/>
              </w:rPr>
            </w:pPr>
            <w:r>
              <w:rPr>
                <w:rFonts w:hint="eastAsia" w:ascii="宋体" w:eastAsia="宋体" w:cs="宋体"/>
                <w:kern w:val="2"/>
                <w:sz w:val="24"/>
                <w:szCs w:val="24"/>
              </w:rPr>
              <w:t>代理服务费：招标代理服务费:参照豫招协[2023]002号《河南省招标代理服务收费指导意见》中的标准向中标人收取招标代理服务费,中标人在领取中标通知书前，向代理机构足额缴纳。</w:t>
            </w:r>
          </w:p>
        </w:tc>
      </w:tr>
      <w:tr w14:paraId="3AC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23EE93AB">
            <w:pPr>
              <w:pStyle w:val="84"/>
              <w:widowControl w:val="0"/>
              <w:pBdr>
                <w:bottom w:val="none" w:color="auto" w:sz="0" w:space="0"/>
              </w:pBdr>
              <w:spacing w:beforeAutospacing="0" w:afterAutospacing="0" w:line="360" w:lineRule="auto"/>
              <w:ind w:firstLine="240" w:firstLineChars="100"/>
              <w:jc w:val="both"/>
              <w:textAlignment w:val="auto"/>
              <w:rPr>
                <w:rFonts w:ascii="宋体" w:eastAsia="宋体" w:cs="宋体"/>
                <w:b w:val="0"/>
                <w:kern w:val="2"/>
                <w:sz w:val="24"/>
                <w:szCs w:val="24"/>
              </w:rPr>
            </w:pPr>
            <w:bookmarkStart w:id="8" w:name="_Toc20290"/>
            <w:bookmarkStart w:id="9" w:name="_Toc533668868"/>
            <w:r>
              <w:rPr>
                <w:rFonts w:hint="eastAsia" w:ascii="宋体" w:eastAsia="宋体" w:cs="宋体"/>
                <w:b w:val="0"/>
                <w:kern w:val="2"/>
                <w:sz w:val="24"/>
                <w:szCs w:val="24"/>
              </w:rPr>
              <w:t>12</w:t>
            </w:r>
          </w:p>
        </w:tc>
        <w:tc>
          <w:tcPr>
            <w:tcW w:w="8168" w:type="dxa"/>
            <w:vAlign w:val="center"/>
          </w:tcPr>
          <w:p w14:paraId="706B3EE6">
            <w:pPr>
              <w:pStyle w:val="84"/>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rPr>
            </w:pPr>
            <w:r>
              <w:rPr>
                <w:rFonts w:hint="eastAsia" w:ascii="宋体" w:eastAsia="宋体" w:cs="宋体"/>
                <w:b w:val="0"/>
                <w:kern w:val="2"/>
                <w:sz w:val="24"/>
                <w:szCs w:val="24"/>
              </w:rPr>
              <w:t>本竞争性谈判文件解释权归采购人</w:t>
            </w:r>
          </w:p>
        </w:tc>
      </w:tr>
      <w:tr w14:paraId="406C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3A41D237">
            <w:pPr>
              <w:pStyle w:val="84"/>
              <w:widowControl w:val="0"/>
              <w:pBdr>
                <w:bottom w:val="none" w:color="auto" w:sz="0" w:space="0"/>
              </w:pBdr>
              <w:spacing w:beforeAutospacing="0" w:afterAutospacing="0" w:line="400" w:lineRule="exact"/>
              <w:textAlignment w:val="auto"/>
              <w:rPr>
                <w:rFonts w:ascii="宋体" w:eastAsia="宋体" w:cs="宋体"/>
                <w:sz w:val="24"/>
                <w:szCs w:val="24"/>
              </w:rPr>
            </w:pPr>
            <w:bookmarkStart w:id="10" w:name="_Toc7945"/>
            <w:r>
              <w:rPr>
                <w:rFonts w:hint="eastAsia" w:ascii="宋体" w:eastAsia="宋体" w:cs="宋体"/>
                <w:sz w:val="24"/>
                <w:szCs w:val="24"/>
              </w:rPr>
              <w:t>特别提醒</w:t>
            </w:r>
          </w:p>
        </w:tc>
        <w:tc>
          <w:tcPr>
            <w:tcW w:w="8168" w:type="dxa"/>
            <w:vAlign w:val="center"/>
          </w:tcPr>
          <w:p w14:paraId="30EC788E">
            <w:pPr>
              <w:spacing w:line="480" w:lineRule="exact"/>
              <w:rPr>
                <w:rFonts w:ascii="宋体" w:hAnsi="宋体" w:cs="宋体"/>
                <w:b/>
                <w:bCs/>
                <w:sz w:val="24"/>
              </w:rPr>
            </w:pPr>
            <w:r>
              <w:rPr>
                <w:rFonts w:ascii="宋体" w:hAnsi="宋体" w:cs="宋体"/>
                <w:b/>
                <w:bCs/>
                <w:sz w:val="24"/>
              </w:rPr>
              <w:t>1、因电子化评标需要，谈判小组要求供应商进行二轮报价以及作出澄清、说明或补正均采用网上方式进行。</w:t>
            </w:r>
          </w:p>
          <w:p w14:paraId="7FE14D02">
            <w:pPr>
              <w:spacing w:line="480" w:lineRule="exact"/>
              <w:rPr>
                <w:rFonts w:ascii="宋体" w:hAnsi="宋体" w:cs="宋体"/>
                <w:sz w:val="24"/>
              </w:rPr>
            </w:pPr>
            <w:r>
              <w:rPr>
                <w:rFonts w:ascii="宋体" w:hAnsi="宋体" w:cs="宋体"/>
                <w:b/>
                <w:bCs/>
                <w:sz w:val="24"/>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r w14:paraId="2386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shd w:val="clear" w:color="auto" w:fill="auto"/>
            <w:vAlign w:val="center"/>
          </w:tcPr>
          <w:p w14:paraId="3C498F2B">
            <w:pPr>
              <w:pStyle w:val="84"/>
              <w:widowControl w:val="0"/>
              <w:pBdr>
                <w:bottom w:val="none" w:color="auto" w:sz="0" w:space="0"/>
              </w:pBdr>
              <w:spacing w:beforeAutospacing="0" w:afterAutospacing="0" w:line="400" w:lineRule="exact"/>
              <w:textAlignment w:val="auto"/>
              <w:rPr>
                <w:rFonts w:hint="default" w:ascii="宋体" w:eastAsia="宋体" w:cs="宋体"/>
                <w:b w:val="0"/>
                <w:bCs/>
                <w:color w:val="auto"/>
                <w:sz w:val="24"/>
                <w:szCs w:val="24"/>
                <w:lang w:val="en-US" w:eastAsia="zh-CN"/>
              </w:rPr>
            </w:pPr>
            <w:r>
              <w:rPr>
                <w:rFonts w:hint="eastAsia" w:ascii="宋体" w:eastAsia="宋体" w:cs="宋体"/>
                <w:b w:val="0"/>
                <w:bCs/>
                <w:color w:val="auto"/>
                <w:sz w:val="24"/>
                <w:szCs w:val="24"/>
                <w:lang w:val="en-US" w:eastAsia="zh-CN"/>
              </w:rPr>
              <w:t>13</w:t>
            </w:r>
          </w:p>
        </w:tc>
        <w:tc>
          <w:tcPr>
            <w:tcW w:w="8168" w:type="dxa"/>
            <w:shd w:val="clear" w:color="auto" w:fill="auto"/>
            <w:vAlign w:val="center"/>
          </w:tcPr>
          <w:p w14:paraId="6CA674F7">
            <w:pPr>
              <w:spacing w:line="480" w:lineRule="exact"/>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本项目标的物所属行业：其他未列明行业。</w:t>
            </w:r>
          </w:p>
        </w:tc>
      </w:tr>
    </w:tbl>
    <w:p w14:paraId="7C1D8C4C">
      <w:pPr>
        <w:sectPr>
          <w:endnotePr>
            <w:numFmt w:val="decimal"/>
          </w:endnotePr>
          <w:pgSz w:w="11905" w:h="16837"/>
          <w:pgMar w:top="1417" w:right="1417" w:bottom="1417" w:left="1417" w:header="851" w:footer="737" w:gutter="0"/>
          <w:cols w:space="720" w:num="1"/>
          <w:titlePg/>
          <w:docGrid w:linePitch="286" w:charSpace="0"/>
        </w:sectPr>
      </w:pPr>
    </w:p>
    <w:p w14:paraId="0CF4A16A">
      <w:pPr>
        <w:pStyle w:val="3"/>
        <w:spacing w:before="0" w:after="0" w:line="360" w:lineRule="auto"/>
        <w:jc w:val="center"/>
        <w:rPr>
          <w:rFonts w:ascii="宋体" w:hAnsi="宋体"/>
          <w:kern w:val="0"/>
          <w:sz w:val="24"/>
        </w:rPr>
      </w:pPr>
      <w:bookmarkStart w:id="11" w:name="_Toc137128176"/>
      <w:bookmarkStart w:id="12" w:name="_Toc160007347"/>
      <w:r>
        <w:rPr>
          <w:rFonts w:hint="eastAsia"/>
          <w:kern w:val="0"/>
        </w:rPr>
        <w:t>第一部分 采购项目相关内容及要求</w:t>
      </w:r>
      <w:bookmarkEnd w:id="8"/>
      <w:bookmarkEnd w:id="9"/>
      <w:bookmarkEnd w:id="10"/>
      <w:bookmarkEnd w:id="11"/>
      <w:bookmarkEnd w:id="12"/>
    </w:p>
    <w:p w14:paraId="10535844">
      <w:pPr>
        <w:widowControl/>
        <w:numPr>
          <w:ilvl w:val="0"/>
          <w:numId w:val="2"/>
        </w:numPr>
        <w:spacing w:line="360" w:lineRule="auto"/>
        <w:ind w:left="0" w:firstLine="480" w:firstLineChars="200"/>
        <w:rPr>
          <w:rFonts w:ascii="宋体" w:hAnsi="宋体"/>
          <w:kern w:val="0"/>
          <w:sz w:val="24"/>
        </w:rPr>
      </w:pPr>
      <w:r>
        <w:rPr>
          <w:rFonts w:hint="eastAsia" w:ascii="宋体" w:hAnsi="宋体"/>
          <w:kern w:val="0"/>
          <w:sz w:val="24"/>
        </w:rPr>
        <w:t>项目基本情况</w:t>
      </w:r>
    </w:p>
    <w:p w14:paraId="2F1C0217">
      <w:pPr>
        <w:widowControl/>
        <w:spacing w:line="360" w:lineRule="auto"/>
        <w:ind w:firstLine="480" w:firstLineChars="200"/>
        <w:rPr>
          <w:rFonts w:hint="eastAsia" w:ascii="宋体" w:hAnsi="宋体" w:cs="宋体"/>
          <w:color w:val="000000"/>
          <w:sz w:val="24"/>
          <w:lang w:eastAsia="zh-CN"/>
        </w:rPr>
      </w:pPr>
      <w:r>
        <w:rPr>
          <w:rFonts w:hint="eastAsia" w:ascii="宋体" w:hAnsi="宋体"/>
          <w:kern w:val="0"/>
          <w:sz w:val="24"/>
        </w:rPr>
        <w:t>采   购   人：</w:t>
      </w:r>
      <w:r>
        <w:rPr>
          <w:rFonts w:hint="eastAsia" w:ascii="宋体" w:hAnsi="宋体" w:cs="宋体"/>
          <w:color w:val="000000"/>
          <w:sz w:val="24"/>
          <w:lang w:eastAsia="zh-CN"/>
        </w:rPr>
        <w:t>博爱县文化广电和旅游局</w:t>
      </w:r>
    </w:p>
    <w:p w14:paraId="59A9FC1E">
      <w:pPr>
        <w:widowControl/>
        <w:spacing w:line="360" w:lineRule="auto"/>
        <w:ind w:firstLine="480" w:firstLineChars="200"/>
        <w:rPr>
          <w:rFonts w:ascii="宋体" w:hAnsi="宋体"/>
          <w:kern w:val="0"/>
          <w:sz w:val="24"/>
        </w:rPr>
      </w:pPr>
      <w:r>
        <w:rPr>
          <w:rFonts w:hint="eastAsia" w:ascii="宋体" w:hAnsi="宋体"/>
          <w:kern w:val="0"/>
          <w:sz w:val="24"/>
        </w:rPr>
        <w:t xml:space="preserve">采购代理机构：河南腾豫工程管理有限公司 </w:t>
      </w:r>
    </w:p>
    <w:p w14:paraId="14ECFBD9">
      <w:pPr>
        <w:widowControl/>
        <w:spacing w:line="360" w:lineRule="auto"/>
        <w:ind w:firstLine="480" w:firstLineChars="200"/>
        <w:rPr>
          <w:rFonts w:hint="eastAsia" w:ascii="宋体" w:hAnsi="宋体"/>
          <w:kern w:val="0"/>
          <w:sz w:val="24"/>
          <w:lang w:eastAsia="zh-CN"/>
        </w:rPr>
      </w:pPr>
      <w:r>
        <w:rPr>
          <w:rFonts w:hint="eastAsia" w:ascii="宋体" w:hAnsi="宋体"/>
          <w:kern w:val="0"/>
          <w:sz w:val="24"/>
        </w:rPr>
        <w:t xml:space="preserve">项 目 名 称: </w:t>
      </w:r>
      <w:r>
        <w:rPr>
          <w:rFonts w:hint="eastAsia" w:ascii="宋体" w:hAnsi="宋体"/>
          <w:kern w:val="0"/>
          <w:sz w:val="24"/>
          <w:lang w:eastAsia="zh-CN"/>
        </w:rPr>
        <w:t>博爱县旅游资源普查项目</w:t>
      </w:r>
    </w:p>
    <w:p w14:paraId="5AC5E467">
      <w:pPr>
        <w:widowControl/>
        <w:spacing w:line="360" w:lineRule="auto"/>
        <w:ind w:firstLine="480" w:firstLineChars="200"/>
        <w:rPr>
          <w:rFonts w:hint="eastAsia" w:ascii="宋体" w:hAnsi="宋体" w:eastAsia="宋体"/>
          <w:color w:val="auto"/>
          <w:kern w:val="0"/>
          <w:sz w:val="24"/>
          <w:lang w:eastAsia="zh-CN"/>
        </w:rPr>
      </w:pPr>
      <w:r>
        <w:rPr>
          <w:rFonts w:hint="eastAsia" w:ascii="宋体" w:hAnsi="宋体"/>
          <w:color w:val="auto"/>
          <w:kern w:val="0"/>
          <w:sz w:val="24"/>
        </w:rPr>
        <w:t>采 购 编 号：</w:t>
      </w:r>
      <w:r>
        <w:rPr>
          <w:rFonts w:hint="eastAsia" w:ascii="宋体" w:hAnsi="宋体" w:cs="宋体"/>
          <w:color w:val="auto"/>
          <w:kern w:val="0"/>
          <w:sz w:val="24"/>
          <w:lang w:eastAsia="zh-CN"/>
        </w:rPr>
        <w:t>博政采购〔2024〕</w:t>
      </w:r>
      <w:r>
        <w:rPr>
          <w:rFonts w:hint="eastAsia" w:ascii="宋体" w:hAnsi="宋体" w:cs="宋体"/>
          <w:color w:val="auto"/>
          <w:kern w:val="0"/>
          <w:sz w:val="24"/>
          <w:lang w:val="en-US" w:eastAsia="zh-CN"/>
        </w:rPr>
        <w:t>103</w:t>
      </w:r>
      <w:r>
        <w:rPr>
          <w:rFonts w:hint="eastAsia" w:ascii="宋体" w:hAnsi="宋体" w:cs="宋体"/>
          <w:color w:val="auto"/>
          <w:kern w:val="0"/>
          <w:sz w:val="24"/>
          <w:lang w:eastAsia="zh-CN"/>
        </w:rPr>
        <w:t>号</w:t>
      </w:r>
    </w:p>
    <w:p w14:paraId="314E2461">
      <w:pPr>
        <w:widowControl/>
        <w:spacing w:line="360" w:lineRule="auto"/>
        <w:ind w:firstLine="480" w:firstLineChars="200"/>
        <w:rPr>
          <w:rFonts w:hint="eastAsia" w:ascii="宋体" w:hAnsi="宋体" w:eastAsia="宋体"/>
          <w:kern w:val="0"/>
          <w:sz w:val="24"/>
          <w:lang w:eastAsia="zh-CN"/>
        </w:rPr>
      </w:pPr>
      <w:r>
        <w:rPr>
          <w:rFonts w:hint="eastAsia" w:ascii="宋体" w:hAnsi="宋体"/>
          <w:kern w:val="0"/>
          <w:sz w:val="24"/>
        </w:rPr>
        <w:t>资 金 来 源：</w:t>
      </w:r>
      <w:r>
        <w:rPr>
          <w:rFonts w:hint="eastAsia" w:ascii="宋体" w:hAnsi="宋体"/>
          <w:kern w:val="0"/>
          <w:sz w:val="24"/>
          <w:highlight w:val="none"/>
          <w:lang w:eastAsia="zh-CN"/>
        </w:rPr>
        <w:t>上级财政资金</w:t>
      </w:r>
    </w:p>
    <w:p w14:paraId="46FC8BD5">
      <w:pPr>
        <w:widowControl/>
        <w:numPr>
          <w:ilvl w:val="0"/>
          <w:numId w:val="2"/>
        </w:numPr>
        <w:spacing w:line="360" w:lineRule="auto"/>
        <w:ind w:left="0" w:firstLine="480" w:firstLineChars="200"/>
        <w:rPr>
          <w:rFonts w:ascii="宋体" w:hAnsi="宋体"/>
          <w:kern w:val="0"/>
          <w:sz w:val="24"/>
        </w:rPr>
      </w:pPr>
      <w:r>
        <w:rPr>
          <w:rFonts w:hint="eastAsia" w:ascii="宋体" w:hAnsi="宋体"/>
          <w:kern w:val="0"/>
          <w:sz w:val="24"/>
        </w:rPr>
        <w:t>供应商资格要求</w:t>
      </w:r>
    </w:p>
    <w:p w14:paraId="431136D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1、符合《中华人民共和国政府采购法》第二十二条之规定；</w:t>
      </w:r>
    </w:p>
    <w:p w14:paraId="7B2F554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2、落实政府采购政策需满足的资格要求：促进政府强制采购节能产品及环境标志产品优先采购，该项目全额面向中小企业采购，需要提供中小企业声明函；</w:t>
      </w:r>
    </w:p>
    <w:p w14:paraId="2184187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p>
    <w:p w14:paraId="7D7032F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1、符合《中华人民共和国政府采购法》第二十二条之规定；</w:t>
      </w:r>
    </w:p>
    <w:p w14:paraId="163A405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2、落实政府采购政策需满足的资格要求：促进政府强制采购节能产品及环境标志产品优先采购，该项目全额面向中小企业采购，需要提供中小企业声明函；</w:t>
      </w:r>
    </w:p>
    <w:p w14:paraId="0765BA1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p>
    <w:p w14:paraId="216BFA1D">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eastAsia="宋体" w:cs="宋体"/>
          <w:color w:val="auto"/>
          <w:kern w:val="0"/>
          <w:sz w:val="24"/>
          <w:highlight w:val="none"/>
        </w:rPr>
        <w:t>1供应商须具有有效的营业执照，并具有实施完成本项目的经营实力和完善的售后服务体系；</w:t>
      </w:r>
    </w:p>
    <w:p w14:paraId="2ABF78A3">
      <w:pPr>
        <w:widowControl/>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3.2供应商须具备有效的测绘资质证书乙级及以上资质</w:t>
      </w:r>
      <w:r>
        <w:rPr>
          <w:rFonts w:hint="eastAsia" w:ascii="宋体" w:hAnsi="宋体" w:eastAsia="宋体" w:cs="宋体"/>
          <w:color w:val="auto"/>
          <w:kern w:val="0"/>
          <w:sz w:val="24"/>
          <w:highlight w:val="none"/>
          <w:lang w:val="en-US" w:eastAsia="zh-CN"/>
        </w:rPr>
        <w:t>；拟派项目负责人具有相关专业高级职称并提供近三个月</w:t>
      </w:r>
      <w:r>
        <w:rPr>
          <w:rFonts w:hint="eastAsia" w:ascii="宋体" w:hAnsi="宋体" w:cs="宋体"/>
          <w:color w:val="auto"/>
          <w:kern w:val="0"/>
          <w:sz w:val="24"/>
          <w:highlight w:val="none"/>
          <w:lang w:val="en-US" w:eastAsia="zh-CN"/>
        </w:rPr>
        <w:t>内任意一个月</w:t>
      </w:r>
      <w:r>
        <w:rPr>
          <w:rFonts w:hint="eastAsia" w:ascii="宋体" w:hAnsi="宋体" w:eastAsia="宋体" w:cs="宋体"/>
          <w:color w:val="auto"/>
          <w:kern w:val="0"/>
          <w:sz w:val="24"/>
          <w:highlight w:val="none"/>
          <w:lang w:val="en-US" w:eastAsia="zh-CN"/>
        </w:rPr>
        <w:t>在本单位缴纳的社保证明。</w:t>
      </w:r>
    </w:p>
    <w:p w14:paraId="0F6C7BE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信誉要求：按照《财政部关于在政府采购活动中查询及使用信用记录有关问题的通知》（财库〔2016〕125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p>
    <w:p w14:paraId="0CBACE5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本项目不接受联合体投标；</w:t>
      </w:r>
    </w:p>
    <w:p w14:paraId="4AA869E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资格审查方式：资格后审。</w:t>
      </w:r>
    </w:p>
    <w:p w14:paraId="4349817E">
      <w:pPr>
        <w:widowControl/>
        <w:spacing w:line="360" w:lineRule="auto"/>
        <w:ind w:firstLine="480" w:firstLineChars="200"/>
        <w:rPr>
          <w:rFonts w:ascii="宋体" w:hAnsi="宋体"/>
          <w:kern w:val="0"/>
          <w:sz w:val="24"/>
        </w:rPr>
      </w:pPr>
      <w:r>
        <w:rPr>
          <w:rFonts w:hint="eastAsia" w:ascii="宋体" w:hAnsi="宋体"/>
          <w:kern w:val="0"/>
          <w:sz w:val="24"/>
        </w:rPr>
        <w:t>4.响应文件报价应是竞争性谈判文件和其他相关资料确定的全部工作内容的价格体现。</w:t>
      </w:r>
    </w:p>
    <w:p w14:paraId="708981F3">
      <w:pPr>
        <w:widowControl/>
        <w:spacing w:line="360" w:lineRule="auto"/>
        <w:ind w:firstLine="480" w:firstLineChars="200"/>
        <w:rPr>
          <w:rFonts w:ascii="宋体" w:hAnsi="宋体"/>
          <w:kern w:val="0"/>
          <w:sz w:val="24"/>
        </w:rPr>
      </w:pPr>
      <w:r>
        <w:rPr>
          <w:rFonts w:hint="eastAsia" w:ascii="宋体" w:hAnsi="宋体"/>
          <w:kern w:val="0"/>
          <w:sz w:val="24"/>
        </w:rPr>
        <w:t>5.供应商的响应文件应实质性响应竞争性谈判文件要求。</w:t>
      </w:r>
    </w:p>
    <w:p w14:paraId="295EF51A">
      <w:pPr>
        <w:widowControl/>
        <w:spacing w:line="360" w:lineRule="auto"/>
        <w:ind w:firstLine="480" w:firstLineChars="200"/>
        <w:rPr>
          <w:rFonts w:ascii="宋体" w:hAnsi="宋体"/>
          <w:kern w:val="0"/>
          <w:sz w:val="24"/>
        </w:rPr>
      </w:pPr>
      <w:r>
        <w:rPr>
          <w:rFonts w:hint="eastAsia" w:ascii="宋体" w:hAnsi="宋体"/>
          <w:kern w:val="0"/>
          <w:sz w:val="24"/>
        </w:rPr>
        <w:t>6.响应文件递交截止时间之后，任何人不得更改响应文件。</w:t>
      </w:r>
    </w:p>
    <w:p w14:paraId="188B5A79">
      <w:pPr>
        <w:widowControl/>
        <w:spacing w:line="360" w:lineRule="auto"/>
        <w:ind w:firstLine="480" w:firstLineChars="200"/>
        <w:rPr>
          <w:rFonts w:ascii="宋体" w:hAnsi="宋体"/>
          <w:kern w:val="0"/>
          <w:sz w:val="24"/>
        </w:rPr>
      </w:pPr>
      <w:r>
        <w:rPr>
          <w:rFonts w:hint="eastAsia" w:ascii="宋体" w:hAnsi="宋体"/>
          <w:kern w:val="0"/>
          <w:sz w:val="24"/>
        </w:rPr>
        <w:t>7.如有疑问，请与采购人或采购代理机构联系。</w:t>
      </w:r>
    </w:p>
    <w:p w14:paraId="64669817">
      <w:pPr>
        <w:widowControl/>
        <w:spacing w:line="360" w:lineRule="auto"/>
        <w:ind w:firstLine="480" w:firstLineChars="200"/>
        <w:rPr>
          <w:rFonts w:ascii="宋体" w:hAnsi="宋体"/>
          <w:kern w:val="0"/>
          <w:sz w:val="24"/>
        </w:rPr>
      </w:pPr>
      <w:r>
        <w:rPr>
          <w:rFonts w:hint="eastAsia" w:ascii="宋体" w:hAnsi="宋体"/>
          <w:kern w:val="0"/>
          <w:sz w:val="24"/>
        </w:rPr>
        <w:t>8.合同由成交人与</w:t>
      </w:r>
      <w:r>
        <w:rPr>
          <w:rFonts w:hint="eastAsia" w:ascii="宋体" w:hAnsi="宋体"/>
          <w:kern w:val="0"/>
          <w:sz w:val="24"/>
          <w:lang w:eastAsia="zh-CN"/>
        </w:rPr>
        <w:t>博爱县文化广电和旅游局</w:t>
      </w:r>
      <w:r>
        <w:rPr>
          <w:rFonts w:hint="eastAsia" w:ascii="宋体" w:hAnsi="宋体"/>
          <w:kern w:val="0"/>
          <w:sz w:val="24"/>
        </w:rPr>
        <w:t>签订。</w:t>
      </w:r>
    </w:p>
    <w:p w14:paraId="57B1055C">
      <w:pPr>
        <w:widowControl/>
        <w:spacing w:line="360" w:lineRule="auto"/>
        <w:ind w:firstLine="480" w:firstLineChars="200"/>
        <w:rPr>
          <w:rFonts w:ascii="宋体" w:hAnsi="宋体"/>
          <w:kern w:val="0"/>
          <w:sz w:val="24"/>
        </w:rPr>
      </w:pPr>
      <w:r>
        <w:rPr>
          <w:rFonts w:hint="eastAsia" w:ascii="宋体" w:hAnsi="宋体"/>
          <w:kern w:val="0"/>
          <w:sz w:val="24"/>
        </w:rPr>
        <w:t>9.成交人不得转包项目，否则一经发现，采购人有权另行选择其它单位。</w:t>
      </w:r>
    </w:p>
    <w:p w14:paraId="6948269D">
      <w:pPr>
        <w:widowControl/>
        <w:spacing w:line="360" w:lineRule="auto"/>
        <w:ind w:firstLine="480" w:firstLineChars="200"/>
        <w:rPr>
          <w:rFonts w:hint="eastAsia" w:ascii="宋体" w:hAnsi="宋体" w:cs="宋体"/>
          <w:b w:val="0"/>
          <w:color w:val="FF0000"/>
          <w:kern w:val="0"/>
          <w:sz w:val="24"/>
          <w:szCs w:val="24"/>
          <w:highlight w:val="none"/>
          <w:lang w:val="en-US" w:eastAsia="zh-CN" w:bidi="ar-SA"/>
        </w:rPr>
      </w:pPr>
      <w:r>
        <w:rPr>
          <w:rFonts w:hint="eastAsia" w:ascii="宋体" w:hAnsi="宋体"/>
          <w:color w:val="auto"/>
          <w:kern w:val="0"/>
          <w:sz w:val="24"/>
        </w:rPr>
        <w:t>10.</w:t>
      </w:r>
      <w:r>
        <w:rPr>
          <w:rFonts w:hint="eastAsia" w:ascii="宋体" w:hAnsi="宋体"/>
          <w:b/>
          <w:bCs/>
          <w:color w:val="auto"/>
          <w:kern w:val="0"/>
          <w:sz w:val="24"/>
        </w:rPr>
        <w:t>付款方式：</w:t>
      </w:r>
      <w:r>
        <w:rPr>
          <w:rFonts w:hint="eastAsia" w:ascii="宋体" w:eastAsia="宋体" w:cs="宋体"/>
          <w:b w:val="0"/>
          <w:bCs w:val="0"/>
          <w:color w:val="auto"/>
          <w:kern w:val="0"/>
          <w:sz w:val="24"/>
          <w:szCs w:val="24"/>
          <w:highlight w:val="none"/>
          <w:lang w:val="en-US" w:eastAsia="zh-CN" w:bidi="ar-SA"/>
        </w:rPr>
        <w:t>签订合同后，支付合同总费用的20%，成果文件编制完成并按程序报审后支付合同总费用的30%，成果文件上传数据平台，通过验收后支付合同总费用的50%。</w:t>
      </w:r>
      <w:r>
        <w:rPr>
          <w:rFonts w:hint="eastAsia" w:ascii="宋体" w:hAnsi="宋体"/>
          <w:color w:val="FF0000"/>
          <w:kern w:val="0"/>
          <w:sz w:val="24"/>
          <w:lang w:val="en-US" w:eastAsia="zh-CN"/>
        </w:rPr>
        <w:t xml:space="preserve"> </w:t>
      </w:r>
    </w:p>
    <w:p w14:paraId="5283D307">
      <w:pPr>
        <w:widowControl/>
        <w:spacing w:line="360" w:lineRule="auto"/>
        <w:ind w:firstLine="480" w:firstLineChars="200"/>
        <w:rPr>
          <w:rFonts w:ascii="宋体" w:hAnsi="宋体"/>
          <w:kern w:val="0"/>
          <w:sz w:val="24"/>
        </w:rPr>
      </w:pPr>
      <w:r>
        <w:rPr>
          <w:rFonts w:hint="eastAsia" w:ascii="宋体" w:hAnsi="宋体"/>
          <w:kern w:val="0"/>
          <w:sz w:val="24"/>
        </w:rPr>
        <w:t>11.</w:t>
      </w:r>
      <w:r>
        <w:rPr>
          <w:rFonts w:hint="eastAsia" w:ascii="宋体" w:hAnsi="宋体"/>
          <w:b/>
          <w:bCs/>
          <w:kern w:val="0"/>
          <w:sz w:val="24"/>
          <w:lang w:eastAsia="zh-CN"/>
        </w:rPr>
        <w:t>服务标准</w:t>
      </w:r>
      <w:r>
        <w:rPr>
          <w:rFonts w:hint="eastAsia" w:ascii="宋体" w:hAnsi="宋体"/>
          <w:b/>
          <w:bCs/>
          <w:kern w:val="0"/>
          <w:sz w:val="24"/>
        </w:rPr>
        <w:t>：</w:t>
      </w:r>
      <w:r>
        <w:rPr>
          <w:rFonts w:hint="eastAsia" w:ascii="宋体" w:hAnsi="宋体"/>
          <w:kern w:val="0"/>
          <w:sz w:val="24"/>
        </w:rPr>
        <w:t>乙方所编制的成果文件必须符合国家、省、市有关法律、法规及标准的要求，同时还必须满足国家对此类项目技术服务的有关标准和要求，满足采购人需求。</w:t>
      </w:r>
    </w:p>
    <w:p w14:paraId="14A06AD5">
      <w:pPr>
        <w:adjustRightInd w:val="0"/>
        <w:snapToGrid w:val="0"/>
        <w:spacing w:line="360" w:lineRule="auto"/>
        <w:ind w:firstLine="480" w:firstLineChars="200"/>
        <w:rPr>
          <w:rFonts w:hint="eastAsia"/>
          <w:color w:val="auto"/>
          <w:kern w:val="0"/>
        </w:rPr>
      </w:pPr>
      <w:r>
        <w:rPr>
          <w:rFonts w:hint="eastAsia" w:ascii="宋体" w:hAnsi="宋体"/>
          <w:color w:val="auto"/>
          <w:kern w:val="0"/>
          <w:sz w:val="24"/>
        </w:rPr>
        <w:t>12.</w:t>
      </w:r>
      <w:r>
        <w:rPr>
          <w:rFonts w:hint="eastAsia" w:ascii="宋体" w:hAnsi="宋体" w:cs="宋体"/>
          <w:b/>
          <w:bCs/>
          <w:color w:val="auto"/>
          <w:kern w:val="0"/>
          <w:sz w:val="24"/>
          <w:highlight w:val="none"/>
          <w:lang w:val="en-US" w:eastAsia="zh-CN"/>
        </w:rPr>
        <w:t>合同履行期限：</w:t>
      </w:r>
      <w:r>
        <w:rPr>
          <w:rFonts w:hint="eastAsia" w:ascii="宋体" w:hAnsi="宋体" w:cs="宋体"/>
          <w:color w:val="auto"/>
          <w:kern w:val="0"/>
          <w:sz w:val="24"/>
          <w:highlight w:val="none"/>
          <w:lang w:val="en-US" w:eastAsia="zh-CN"/>
        </w:rPr>
        <w:t>50日历天</w:t>
      </w:r>
      <w:r>
        <w:rPr>
          <w:rFonts w:hint="eastAsia" w:ascii="宋体" w:hAnsi="宋体"/>
          <w:color w:val="auto"/>
          <w:kern w:val="0"/>
          <w:sz w:val="24"/>
        </w:rPr>
        <w:t>。</w:t>
      </w:r>
      <w:bookmarkStart w:id="13" w:name="_Toc160007348"/>
      <w:bookmarkStart w:id="14" w:name="_Toc533668869"/>
      <w:bookmarkStart w:id="15" w:name="_Toc31607"/>
      <w:bookmarkStart w:id="16" w:name="_Toc27926"/>
      <w:bookmarkStart w:id="17" w:name="_Toc137128177"/>
    </w:p>
    <w:p w14:paraId="5B5A70A2">
      <w:pPr>
        <w:pStyle w:val="3"/>
        <w:spacing w:before="0" w:after="0" w:line="360" w:lineRule="auto"/>
        <w:jc w:val="center"/>
        <w:rPr>
          <w:kern w:val="0"/>
        </w:rPr>
      </w:pPr>
      <w:r>
        <w:rPr>
          <w:rFonts w:hint="eastAsia"/>
          <w:kern w:val="0"/>
        </w:rPr>
        <w:t xml:space="preserve">第二部分 </w:t>
      </w:r>
      <w:r>
        <w:rPr>
          <w:rFonts w:hint="eastAsia"/>
          <w:kern w:val="0"/>
          <w:lang w:eastAsia="zh-CN"/>
        </w:rPr>
        <w:t>谈判</w:t>
      </w:r>
      <w:r>
        <w:rPr>
          <w:rFonts w:hint="eastAsia"/>
          <w:kern w:val="0"/>
        </w:rPr>
        <w:t>须知</w:t>
      </w:r>
      <w:bookmarkEnd w:id="13"/>
      <w:bookmarkEnd w:id="14"/>
      <w:bookmarkEnd w:id="15"/>
      <w:bookmarkEnd w:id="16"/>
      <w:bookmarkEnd w:id="17"/>
    </w:p>
    <w:p w14:paraId="4EA505BE">
      <w:pPr>
        <w:widowControl/>
        <w:spacing w:line="360" w:lineRule="auto"/>
        <w:ind w:firstLine="482" w:firstLineChars="200"/>
        <w:rPr>
          <w:rFonts w:ascii="宋体"/>
          <w:b/>
          <w:bCs/>
          <w:kern w:val="0"/>
          <w:sz w:val="24"/>
        </w:rPr>
      </w:pPr>
      <w:r>
        <w:rPr>
          <w:rFonts w:hint="eastAsia" w:ascii="宋体" w:hAnsi="宋体"/>
          <w:b/>
          <w:bCs/>
          <w:kern w:val="0"/>
          <w:sz w:val="24"/>
        </w:rPr>
        <w:t>一、总则</w:t>
      </w:r>
    </w:p>
    <w:p w14:paraId="220D5B1B">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根据《中华人民共和国政府采购法》以及相关的法律、法规、规章等，按照本文件中预定的评标方式择优选定成交人。</w:t>
      </w:r>
    </w:p>
    <w:p w14:paraId="2AB2DC97">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本次竞争性谈判已按照有关规定向博爱县财政局采购办备案。</w:t>
      </w:r>
    </w:p>
    <w:p w14:paraId="4CBC78A5">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维护双方当事人的合法权益，反对不正当竞争。</w:t>
      </w:r>
    </w:p>
    <w:p w14:paraId="043CA060">
      <w:pPr>
        <w:widowControl/>
        <w:spacing w:line="360" w:lineRule="auto"/>
        <w:ind w:firstLine="480" w:firstLineChars="200"/>
        <w:rPr>
          <w:rFonts w:ascii="宋体"/>
          <w:kern w:val="0"/>
          <w:sz w:val="24"/>
        </w:rPr>
      </w:pPr>
      <w:r>
        <w:rPr>
          <w:rFonts w:ascii="宋体" w:hAnsi="宋体"/>
          <w:kern w:val="0"/>
          <w:sz w:val="24"/>
        </w:rPr>
        <w:t>4</w:t>
      </w:r>
      <w:r>
        <w:rPr>
          <w:rFonts w:hint="eastAsia" w:ascii="宋体" w:hAnsi="宋体"/>
          <w:kern w:val="0"/>
          <w:sz w:val="24"/>
        </w:rPr>
        <w:t>. 供应商应仔细阅读竞争性谈判文件，一旦参与竞争性谈判，均认为响应该竞争性谈判文件中采购人的有关要求。</w:t>
      </w:r>
    </w:p>
    <w:p w14:paraId="6C584A14">
      <w:pPr>
        <w:widowControl/>
        <w:spacing w:line="360" w:lineRule="auto"/>
        <w:ind w:firstLine="480" w:firstLineChars="200"/>
        <w:rPr>
          <w:rFonts w:ascii="宋体"/>
          <w:kern w:val="0"/>
          <w:sz w:val="24"/>
        </w:rPr>
      </w:pPr>
      <w:r>
        <w:rPr>
          <w:rFonts w:ascii="宋体" w:hAnsi="宋体"/>
          <w:kern w:val="0"/>
          <w:sz w:val="24"/>
        </w:rPr>
        <w:t>5</w:t>
      </w:r>
      <w:r>
        <w:rPr>
          <w:rFonts w:hint="eastAsia" w:ascii="宋体" w:hAnsi="宋体"/>
          <w:kern w:val="0"/>
          <w:sz w:val="24"/>
        </w:rPr>
        <w:t>. 投标费用：供应商在投标过程中所发生的一切费用，不论成交与否，均由供应商自负，采购单位不承担任何责任。</w:t>
      </w:r>
    </w:p>
    <w:p w14:paraId="4CCD9975">
      <w:pPr>
        <w:widowControl/>
        <w:spacing w:line="360" w:lineRule="auto"/>
        <w:ind w:firstLine="482" w:firstLineChars="200"/>
        <w:rPr>
          <w:rFonts w:ascii="宋体"/>
          <w:b/>
          <w:bCs/>
          <w:kern w:val="0"/>
          <w:sz w:val="24"/>
        </w:rPr>
      </w:pPr>
      <w:r>
        <w:rPr>
          <w:rFonts w:hint="eastAsia" w:ascii="宋体" w:hAnsi="宋体"/>
          <w:b/>
          <w:bCs/>
          <w:kern w:val="0"/>
          <w:sz w:val="24"/>
        </w:rPr>
        <w:t>二、服务内容及要求</w:t>
      </w:r>
    </w:p>
    <w:p w14:paraId="0EE0F1C8">
      <w:pPr>
        <w:adjustRightInd w:val="0"/>
        <w:snapToGrid w:val="0"/>
        <w:spacing w:line="360" w:lineRule="auto"/>
        <w:ind w:firstLine="480" w:firstLineChars="200"/>
        <w:rPr>
          <w:rFonts w:hint="eastAsia" w:ascii="宋体" w:hAnsi="宋体"/>
          <w:kern w:val="0"/>
          <w:sz w:val="24"/>
          <w:lang w:eastAsia="zh-CN"/>
        </w:rPr>
      </w:pPr>
      <w:r>
        <w:rPr>
          <w:rFonts w:hint="eastAsia" w:ascii="宋体" w:hAnsi="宋体"/>
          <w:kern w:val="0"/>
          <w:sz w:val="24"/>
        </w:rPr>
        <w:t>1. 项目名称：</w:t>
      </w:r>
      <w:r>
        <w:rPr>
          <w:rFonts w:hint="eastAsia" w:ascii="宋体" w:hAnsi="宋体"/>
          <w:kern w:val="0"/>
          <w:sz w:val="24"/>
          <w:lang w:eastAsia="zh-CN"/>
        </w:rPr>
        <w:t>博爱县旅游资源普查项目</w:t>
      </w:r>
    </w:p>
    <w:p w14:paraId="64AF76D8">
      <w:pPr>
        <w:adjustRightInd w:val="0"/>
        <w:snapToGrid w:val="0"/>
        <w:spacing w:line="360" w:lineRule="auto"/>
        <w:ind w:firstLine="480" w:firstLineChars="200"/>
        <w:rPr>
          <w:rFonts w:hint="eastAsia" w:ascii="宋体" w:hAnsi="宋体" w:cs="宋体"/>
          <w:color w:val="auto"/>
          <w:kern w:val="0"/>
          <w:sz w:val="24"/>
          <w:highlight w:val="none"/>
          <w:lang w:val="en-US" w:eastAsia="zh-CN"/>
        </w:rPr>
      </w:pPr>
      <w:bookmarkStart w:id="62" w:name="_GoBack"/>
      <w:bookmarkEnd w:id="62"/>
      <w:r>
        <w:rPr>
          <w:rFonts w:hint="eastAsia" w:ascii="宋体" w:eastAsia="宋体" w:cs="宋体"/>
          <w:b w:val="0"/>
          <w:kern w:val="2"/>
          <w:sz w:val="24"/>
          <w:szCs w:val="24"/>
        </w:rPr>
        <w:t>2. 服</w:t>
      </w:r>
      <w:r>
        <w:rPr>
          <w:rFonts w:hint="eastAsia" w:ascii="宋体" w:hAnsi="宋体" w:eastAsia="宋体" w:cs="Times New Roman"/>
          <w:b w:val="0"/>
          <w:kern w:val="0"/>
          <w:sz w:val="24"/>
          <w:szCs w:val="24"/>
          <w:lang w:val="en-US" w:eastAsia="zh-CN" w:bidi="ar-SA"/>
        </w:rPr>
        <w:t>务内容</w:t>
      </w:r>
      <w:r>
        <w:rPr>
          <w:rFonts w:hint="eastAsia" w:ascii="宋体" w:eastAsia="宋体" w:cs="Times New Roman"/>
          <w:b w:val="0"/>
          <w:kern w:val="0"/>
          <w:sz w:val="24"/>
          <w:szCs w:val="24"/>
          <w:lang w:val="en-US" w:eastAsia="zh-CN" w:bidi="ar-SA"/>
        </w:rPr>
        <w:t>：</w:t>
      </w:r>
      <w:r>
        <w:rPr>
          <w:rFonts w:hint="eastAsia" w:ascii="宋体" w:hAnsi="宋体" w:cs="宋体"/>
          <w:color w:val="auto"/>
          <w:kern w:val="0"/>
          <w:sz w:val="24"/>
          <w:highlight w:val="none"/>
          <w:lang w:val="en-US" w:eastAsia="zh-CN"/>
        </w:rPr>
        <w:t>1、根据豫文旅强省(2023)6号文件《关于印发河南省旅游资源普查工作方案》的通知要求，对博爱县地文景观、水域景观、生物景观、天象与气候景观、建筑与设施、历史遗迹、旅游购品、人文活动等八大类资源开展普查等。</w:t>
      </w:r>
    </w:p>
    <w:p w14:paraId="09738E80">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2、开展野外调查、核查及补充调查工作，挖掘旅游资源景点，提升县域内旅游资源点的价值属性。</w:t>
      </w:r>
    </w:p>
    <w:p w14:paraId="73FEC086">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3、开展旅游资源评价工作，科学评定旅游资源单体、综合体等级，合理划分博爱县旅游资源分区。</w:t>
      </w:r>
    </w:p>
    <w:p w14:paraId="4987460B">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4、将采集的资源信息编制录入资源信息库平台。</w:t>
      </w:r>
    </w:p>
    <w:p w14:paraId="22A75238">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5、编制博爱县旅游资源调查评价报告等系列成果。</w:t>
      </w:r>
    </w:p>
    <w:p w14:paraId="77CB7D7B">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预期目标效果：开展全县旅游资源普查工作，编制《博爱县旅游资源普查技术方案报告》《博爱县旅游资源普查普查报告(包含附图和旅游资源名录)》《博爱县旅游资源汇总表》《博爱县旅游资源调查表》，并承诺对接焦作市普查办汇交成果，完成验收。</w:t>
      </w:r>
    </w:p>
    <w:p w14:paraId="4F7E5BA5">
      <w:pPr>
        <w:widowControl/>
        <w:spacing w:line="360" w:lineRule="auto"/>
        <w:ind w:firstLine="482" w:firstLineChars="200"/>
        <w:rPr>
          <w:rFonts w:ascii="宋体"/>
          <w:b/>
          <w:bCs/>
          <w:kern w:val="0"/>
          <w:sz w:val="24"/>
        </w:rPr>
      </w:pPr>
      <w:r>
        <w:rPr>
          <w:rFonts w:hint="eastAsia" w:ascii="宋体" w:hAnsi="宋体"/>
          <w:b/>
          <w:bCs/>
          <w:kern w:val="0"/>
          <w:sz w:val="24"/>
        </w:rPr>
        <w:t>三、谈判文件</w:t>
      </w:r>
    </w:p>
    <w:p w14:paraId="6C6640D0">
      <w:pPr>
        <w:widowControl/>
        <w:spacing w:line="360" w:lineRule="auto"/>
        <w:ind w:firstLine="480" w:firstLineChars="200"/>
        <w:rPr>
          <w:rFonts w:ascii="宋体"/>
          <w:kern w:val="0"/>
          <w:sz w:val="24"/>
        </w:rPr>
      </w:pPr>
      <w:r>
        <w:rPr>
          <w:rFonts w:hint="eastAsia" w:ascii="宋体" w:hAnsi="宋体"/>
          <w:kern w:val="0"/>
          <w:sz w:val="24"/>
        </w:rPr>
        <w:t>1. 竞争性谈判文件包括本文件和所有按本文件规定发出的补充通知等。</w:t>
      </w:r>
    </w:p>
    <w:p w14:paraId="27533F07">
      <w:pPr>
        <w:widowControl/>
        <w:spacing w:line="360" w:lineRule="auto"/>
        <w:ind w:firstLine="480" w:firstLineChars="200"/>
        <w:rPr>
          <w:rFonts w:ascii="宋体" w:hAnsi="宋体"/>
          <w:kern w:val="0"/>
          <w:sz w:val="24"/>
        </w:rPr>
      </w:pPr>
      <w:r>
        <w:rPr>
          <w:rFonts w:hint="eastAsia" w:ascii="宋体" w:hAnsi="宋体"/>
          <w:kern w:val="0"/>
          <w:sz w:val="24"/>
        </w:rPr>
        <w:t>2. 供应商的响应文件应实质上响应竞争性谈判文件的要求，否则，响应文件将被拒绝。</w:t>
      </w:r>
    </w:p>
    <w:p w14:paraId="7568180D">
      <w:pPr>
        <w:widowControl/>
        <w:spacing w:line="360" w:lineRule="auto"/>
        <w:ind w:firstLine="480" w:firstLineChars="200"/>
        <w:rPr>
          <w:rFonts w:ascii="宋体"/>
          <w:kern w:val="0"/>
          <w:sz w:val="24"/>
        </w:rPr>
      </w:pPr>
      <w:r>
        <w:rPr>
          <w:rFonts w:hint="eastAsia" w:ascii="宋体" w:hAnsi="宋体"/>
          <w:kern w:val="0"/>
          <w:sz w:val="24"/>
        </w:rPr>
        <w:t>3. 竞争性谈判文件的解释。</w:t>
      </w:r>
    </w:p>
    <w:p w14:paraId="5D7DAFB5">
      <w:pPr>
        <w:widowControl/>
        <w:spacing w:line="360" w:lineRule="auto"/>
        <w:ind w:firstLine="480" w:firstLineChars="200"/>
        <w:rPr>
          <w:rFonts w:ascii="宋体" w:hAnsi="宋体"/>
          <w:kern w:val="0"/>
          <w:sz w:val="24"/>
        </w:rPr>
      </w:pPr>
      <w:r>
        <w:rPr>
          <w:rFonts w:hint="eastAsia" w:ascii="宋体" w:hAnsi="宋体"/>
          <w:kern w:val="0"/>
          <w:sz w:val="24"/>
        </w:rPr>
        <w:t>供应商对收到的本项目竞争性谈判文件若有疑问，</w:t>
      </w:r>
      <w:r>
        <w:rPr>
          <w:rFonts w:hint="eastAsia" w:ascii="宋体" w:hAnsi="宋体" w:cs="宋体"/>
          <w:bCs/>
          <w:sz w:val="24"/>
        </w:rPr>
        <w:t>应以书面形式向</w:t>
      </w:r>
      <w:r>
        <w:rPr>
          <w:rFonts w:hint="eastAsia" w:ascii="宋体" w:hAnsi="宋体"/>
          <w:kern w:val="0"/>
          <w:sz w:val="24"/>
        </w:rPr>
        <w:t>采购人、采购代理机构提出，采购人和采购代理机构将在提起之日起七个工作日内以书面形式给予答复。</w:t>
      </w:r>
    </w:p>
    <w:p w14:paraId="0870D20A">
      <w:pPr>
        <w:widowControl/>
        <w:spacing w:line="360" w:lineRule="auto"/>
        <w:ind w:firstLine="480" w:firstLineChars="200"/>
        <w:rPr>
          <w:rFonts w:ascii="宋体"/>
          <w:kern w:val="0"/>
          <w:sz w:val="24"/>
        </w:rPr>
      </w:pPr>
      <w:r>
        <w:rPr>
          <w:rFonts w:hint="eastAsia" w:ascii="宋体" w:hAnsi="宋体"/>
          <w:kern w:val="0"/>
          <w:sz w:val="24"/>
        </w:rPr>
        <w:t>本竞争性谈判文件的解释权属于</w:t>
      </w:r>
      <w:r>
        <w:rPr>
          <w:rFonts w:hint="eastAsia" w:ascii="宋体" w:cs="宋体"/>
          <w:sz w:val="24"/>
        </w:rPr>
        <w:t>采购人</w:t>
      </w:r>
      <w:r>
        <w:rPr>
          <w:rFonts w:hint="eastAsia" w:ascii="宋体" w:hAnsi="宋体"/>
          <w:kern w:val="0"/>
          <w:sz w:val="24"/>
        </w:rPr>
        <w:t>。</w:t>
      </w:r>
    </w:p>
    <w:p w14:paraId="33F67B71">
      <w:pPr>
        <w:widowControl/>
        <w:spacing w:line="360" w:lineRule="auto"/>
        <w:ind w:left="420"/>
        <w:rPr>
          <w:rFonts w:ascii="宋体"/>
          <w:kern w:val="0"/>
          <w:sz w:val="24"/>
        </w:rPr>
      </w:pPr>
      <w:r>
        <w:rPr>
          <w:rFonts w:hint="eastAsia" w:ascii="宋体" w:hAnsi="宋体"/>
          <w:kern w:val="0"/>
          <w:sz w:val="24"/>
        </w:rPr>
        <w:t>4.竞争性谈判文件的修改。</w:t>
      </w:r>
    </w:p>
    <w:p w14:paraId="67B99DAE">
      <w:pPr>
        <w:widowControl/>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w:t>
      </w:r>
      <w:r>
        <w:rPr>
          <w:rFonts w:ascii="宋体" w:hAnsi="宋体"/>
          <w:kern w:val="0"/>
          <w:sz w:val="24"/>
        </w:rPr>
        <w:t>1</w:t>
      </w:r>
      <w:r>
        <w:rPr>
          <w:rFonts w:hint="eastAsia" w:ascii="宋体" w:hAnsi="宋体"/>
          <w:kern w:val="0"/>
          <w:sz w:val="24"/>
        </w:rPr>
        <w:t xml:space="preserve"> 在竞争性谈判文件发出后，如需对文件进行修改，应在竞争性谈判开始前以补充通知的形式在相关网站发布。</w:t>
      </w:r>
    </w:p>
    <w:p w14:paraId="43911299">
      <w:pPr>
        <w:widowControl/>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 竞争性谈判文件、补充通知内容相互矛盾时，以最后发出的通知为准。</w:t>
      </w:r>
    </w:p>
    <w:p w14:paraId="0EE78A64">
      <w:pPr>
        <w:widowControl/>
        <w:spacing w:line="360" w:lineRule="auto"/>
        <w:ind w:firstLine="482" w:firstLineChars="200"/>
        <w:rPr>
          <w:rFonts w:ascii="宋体"/>
          <w:b/>
          <w:bCs/>
          <w:kern w:val="0"/>
          <w:sz w:val="24"/>
        </w:rPr>
      </w:pPr>
      <w:r>
        <w:rPr>
          <w:rFonts w:hint="eastAsia" w:ascii="宋体" w:hAnsi="宋体"/>
          <w:b/>
          <w:bCs/>
          <w:kern w:val="0"/>
          <w:sz w:val="24"/>
        </w:rPr>
        <w:t>四、服务要求</w:t>
      </w:r>
    </w:p>
    <w:p w14:paraId="7A3F5EDD">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确定成交人后，成交人要按照响应文件中承诺的内容履行合同。</w:t>
      </w:r>
    </w:p>
    <w:p w14:paraId="773E5CE8">
      <w:pPr>
        <w:widowControl/>
        <w:spacing w:line="360" w:lineRule="auto"/>
        <w:ind w:firstLine="480" w:firstLineChars="200"/>
        <w:rPr>
          <w:rFonts w:ascii="宋体" w:hAnsi="宋体"/>
          <w:kern w:val="0"/>
          <w:sz w:val="24"/>
        </w:rPr>
      </w:pPr>
      <w:r>
        <w:rPr>
          <w:rFonts w:hint="eastAsia" w:ascii="宋体" w:hAnsi="宋体"/>
          <w:kern w:val="0"/>
          <w:sz w:val="24"/>
        </w:rPr>
        <w:t>2. 参加竞争性谈判的供应商应按竞争性谈判文件中提供的格式填写响应文件，否则将认为是对该竞争性谈判文件的不响应。</w:t>
      </w:r>
    </w:p>
    <w:p w14:paraId="38D16BC1">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对竞争性谈判文件未作出实质性响应的供应商将被拒绝参与谈判。</w:t>
      </w:r>
    </w:p>
    <w:p w14:paraId="53E49959">
      <w:pPr>
        <w:widowControl/>
        <w:spacing w:line="360" w:lineRule="auto"/>
        <w:ind w:firstLine="482" w:firstLineChars="200"/>
        <w:rPr>
          <w:rFonts w:ascii="宋体"/>
          <w:b/>
          <w:bCs/>
          <w:kern w:val="0"/>
          <w:sz w:val="24"/>
        </w:rPr>
      </w:pPr>
      <w:r>
        <w:rPr>
          <w:rFonts w:hint="eastAsia" w:ascii="宋体" w:hAnsi="宋体"/>
          <w:b/>
          <w:bCs/>
          <w:kern w:val="0"/>
          <w:sz w:val="24"/>
        </w:rPr>
        <w:t>五、响应文件的编制、递交和修改</w:t>
      </w:r>
    </w:p>
    <w:p w14:paraId="3157BFE6">
      <w:pPr>
        <w:widowControl/>
        <w:spacing w:line="360" w:lineRule="auto"/>
        <w:ind w:firstLine="482" w:firstLineChars="200"/>
        <w:rPr>
          <w:rFonts w:ascii="宋体" w:hAnsi="宋体"/>
          <w:b/>
          <w:bCs/>
          <w:kern w:val="0"/>
          <w:sz w:val="24"/>
        </w:rPr>
      </w:pPr>
      <w:r>
        <w:rPr>
          <w:rFonts w:hint="eastAsia" w:ascii="宋体" w:hAnsi="宋体"/>
          <w:b/>
          <w:bCs/>
          <w:kern w:val="0"/>
          <w:sz w:val="24"/>
        </w:rPr>
        <w:t>1. 响应文件的语言及格式</w:t>
      </w:r>
    </w:p>
    <w:p w14:paraId="1C35AA6F">
      <w:pPr>
        <w:widowControl/>
        <w:spacing w:line="360" w:lineRule="auto"/>
        <w:ind w:firstLine="480" w:firstLineChars="200"/>
      </w:pPr>
      <w:r>
        <w:rPr>
          <w:rFonts w:hint="eastAsia" w:ascii="宋体" w:hAnsi="宋体"/>
          <w:kern w:val="0"/>
          <w:sz w:val="24"/>
        </w:rPr>
        <w:t>1.1 供应商应按照竞争性谈判文件提供的格式编写响应性文件，但不得缺少或私自更改任何谈判文件要求填写的表格或提交的资料。谈判文件提供格式的可按格式填列，未提供格式的可自行拟定。</w:t>
      </w:r>
    </w:p>
    <w:p w14:paraId="42F6DC77">
      <w:pPr>
        <w:widowControl/>
        <w:spacing w:line="360" w:lineRule="auto"/>
        <w:ind w:firstLine="480" w:firstLineChars="200"/>
        <w:rPr>
          <w:rFonts w:ascii="宋体" w:hAnsi="宋体"/>
          <w:kern w:val="0"/>
          <w:sz w:val="24"/>
        </w:rPr>
      </w:pPr>
      <w:r>
        <w:rPr>
          <w:rFonts w:hint="eastAsia" w:ascii="宋体" w:hAnsi="宋体"/>
          <w:kern w:val="0"/>
          <w:sz w:val="24"/>
        </w:rPr>
        <w:t>1.2 与报价有关的所有文件必须使用中文（本竞争性谈判文件中有特殊要求的情形除外），供应商必须使用竞争性谈判文件中规定的文件格式。</w:t>
      </w:r>
    </w:p>
    <w:p w14:paraId="7724985C">
      <w:pPr>
        <w:widowControl/>
        <w:numPr>
          <w:ilvl w:val="0"/>
          <w:numId w:val="3"/>
        </w:numPr>
        <w:spacing w:line="360" w:lineRule="auto"/>
        <w:ind w:firstLine="482" w:firstLineChars="200"/>
        <w:rPr>
          <w:rFonts w:ascii="宋体" w:hAnsi="宋体"/>
          <w:b/>
          <w:bCs/>
          <w:kern w:val="0"/>
          <w:sz w:val="24"/>
        </w:rPr>
      </w:pPr>
      <w:r>
        <w:rPr>
          <w:rFonts w:hint="eastAsia" w:ascii="宋体" w:hAnsi="宋体"/>
          <w:b/>
          <w:bCs/>
          <w:kern w:val="0"/>
          <w:sz w:val="24"/>
        </w:rPr>
        <w:t>响应文件的组成</w:t>
      </w:r>
    </w:p>
    <w:p w14:paraId="43DA0754">
      <w:pPr>
        <w:widowControl/>
        <w:spacing w:line="360" w:lineRule="auto"/>
        <w:ind w:firstLine="480" w:firstLineChars="200"/>
        <w:rPr>
          <w:rFonts w:ascii="宋体" w:hAnsi="宋体" w:cs="宋体"/>
          <w:kern w:val="0"/>
          <w:sz w:val="24"/>
        </w:rPr>
      </w:pPr>
      <w:r>
        <w:rPr>
          <w:rFonts w:hint="eastAsia" w:ascii="宋体" w:hAnsi="宋体" w:cs="宋体"/>
          <w:kern w:val="0"/>
          <w:sz w:val="24"/>
        </w:rPr>
        <w:t>2. 响应文件应主要包括下列部分：</w:t>
      </w:r>
    </w:p>
    <w:p w14:paraId="6A13217E">
      <w:pPr>
        <w:widowControl/>
        <w:spacing w:line="360" w:lineRule="auto"/>
        <w:ind w:firstLine="480" w:firstLineChars="200"/>
        <w:rPr>
          <w:rFonts w:ascii="宋体" w:hAnsi="宋体" w:cs="宋体"/>
          <w:kern w:val="0"/>
          <w:sz w:val="24"/>
        </w:rPr>
      </w:pPr>
      <w:r>
        <w:rPr>
          <w:rFonts w:hint="eastAsia" w:ascii="宋体" w:hAnsi="宋体" w:cs="宋体"/>
          <w:kern w:val="0"/>
          <w:sz w:val="24"/>
        </w:rPr>
        <w:t>2.1 投标函；</w:t>
      </w:r>
    </w:p>
    <w:p w14:paraId="1813906F">
      <w:pPr>
        <w:widowControl/>
        <w:spacing w:line="360" w:lineRule="auto"/>
        <w:ind w:firstLine="480" w:firstLineChars="200"/>
        <w:rPr>
          <w:rFonts w:ascii="宋体" w:hAnsi="宋体" w:cs="宋体"/>
          <w:kern w:val="0"/>
          <w:sz w:val="24"/>
        </w:rPr>
      </w:pPr>
      <w:r>
        <w:rPr>
          <w:rFonts w:hint="eastAsia" w:ascii="宋体" w:hAnsi="宋体" w:cs="宋体"/>
          <w:kern w:val="0"/>
          <w:sz w:val="24"/>
        </w:rPr>
        <w:t>2.2 法定代表人身份证明；</w:t>
      </w:r>
    </w:p>
    <w:p w14:paraId="73577CB5">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2.3 </w:t>
      </w:r>
      <w:r>
        <w:rPr>
          <w:rFonts w:hint="eastAsia" w:ascii="宋体" w:hAnsi="宋体"/>
          <w:kern w:val="0"/>
          <w:sz w:val="24"/>
        </w:rPr>
        <w:t>授权人委托书</w:t>
      </w:r>
      <w:r>
        <w:rPr>
          <w:rFonts w:hint="eastAsia" w:ascii="宋体" w:hAnsi="宋体" w:cs="宋体"/>
          <w:kern w:val="0"/>
          <w:sz w:val="24"/>
        </w:rPr>
        <w:t>；</w:t>
      </w:r>
    </w:p>
    <w:p w14:paraId="0036526C">
      <w:pPr>
        <w:widowControl/>
        <w:spacing w:line="360" w:lineRule="auto"/>
        <w:ind w:firstLine="480" w:firstLineChars="200"/>
        <w:rPr>
          <w:rFonts w:ascii="宋体" w:hAnsi="宋体"/>
          <w:kern w:val="0"/>
          <w:sz w:val="24"/>
        </w:rPr>
      </w:pPr>
      <w:r>
        <w:rPr>
          <w:rFonts w:hint="eastAsia" w:ascii="宋体" w:hAnsi="宋体"/>
          <w:kern w:val="0"/>
          <w:sz w:val="24"/>
        </w:rPr>
        <w:t>2.4 供应商的资格证明承诺函；</w:t>
      </w:r>
    </w:p>
    <w:p w14:paraId="3E2A885E">
      <w:pPr>
        <w:widowControl/>
        <w:spacing w:line="360" w:lineRule="auto"/>
        <w:ind w:firstLine="480" w:firstLineChars="200"/>
        <w:rPr>
          <w:rFonts w:ascii="宋体" w:hAnsi="宋体"/>
          <w:kern w:val="0"/>
          <w:sz w:val="24"/>
        </w:rPr>
      </w:pPr>
      <w:r>
        <w:rPr>
          <w:rFonts w:hint="eastAsia" w:ascii="宋体" w:hAnsi="宋体"/>
          <w:kern w:val="0"/>
          <w:sz w:val="24"/>
        </w:rPr>
        <w:t>2.5 供应商所投产品属于当期政府采购清单规定的节能环保产品的证明材料(如有)；</w:t>
      </w:r>
    </w:p>
    <w:p w14:paraId="1EEBB669">
      <w:pPr>
        <w:widowControl/>
        <w:spacing w:line="360" w:lineRule="auto"/>
        <w:ind w:firstLine="480" w:firstLineChars="200"/>
      </w:pPr>
      <w:r>
        <w:rPr>
          <w:rFonts w:hint="eastAsia" w:ascii="宋体" w:hAnsi="宋体"/>
          <w:kern w:val="0"/>
          <w:sz w:val="24"/>
        </w:rPr>
        <w:t>2.6项目服务方案；</w:t>
      </w:r>
    </w:p>
    <w:p w14:paraId="000367C6">
      <w:pPr>
        <w:widowControl/>
        <w:spacing w:line="360" w:lineRule="auto"/>
        <w:ind w:firstLine="480" w:firstLineChars="200"/>
        <w:rPr>
          <w:rFonts w:ascii="宋体" w:hAnsi="宋体"/>
          <w:kern w:val="0"/>
          <w:sz w:val="24"/>
        </w:rPr>
      </w:pPr>
      <w:r>
        <w:rPr>
          <w:rFonts w:hint="eastAsia" w:ascii="宋体" w:hAnsi="宋体"/>
          <w:kern w:val="0"/>
          <w:sz w:val="24"/>
        </w:rPr>
        <w:t>2.7 投标承诺函；</w:t>
      </w:r>
    </w:p>
    <w:p w14:paraId="7A425AF6">
      <w:pPr>
        <w:widowControl/>
        <w:spacing w:line="360" w:lineRule="auto"/>
        <w:ind w:firstLine="480" w:firstLineChars="200"/>
        <w:rPr>
          <w:rFonts w:ascii="宋体" w:hAnsi="宋体"/>
          <w:kern w:val="0"/>
          <w:sz w:val="24"/>
        </w:rPr>
      </w:pPr>
      <w:r>
        <w:rPr>
          <w:rFonts w:hint="eastAsia" w:ascii="宋体" w:hAnsi="宋体"/>
          <w:kern w:val="0"/>
          <w:sz w:val="24"/>
        </w:rPr>
        <w:t>2.8中小企业声明函；</w:t>
      </w:r>
    </w:p>
    <w:p w14:paraId="5D37FE50">
      <w:pPr>
        <w:widowControl/>
        <w:spacing w:line="360" w:lineRule="auto"/>
        <w:ind w:firstLine="480" w:firstLineChars="200"/>
        <w:rPr>
          <w:rFonts w:ascii="宋体" w:hAnsi="宋体"/>
          <w:kern w:val="0"/>
          <w:sz w:val="24"/>
        </w:rPr>
      </w:pPr>
      <w:r>
        <w:rPr>
          <w:rFonts w:hint="eastAsia" w:ascii="宋体" w:hAnsi="宋体"/>
          <w:kern w:val="0"/>
          <w:sz w:val="24"/>
        </w:rPr>
        <w:t>2.9 残疾人福利性单位声明函（如有）；</w:t>
      </w:r>
    </w:p>
    <w:p w14:paraId="41A3A605">
      <w:pPr>
        <w:widowControl/>
        <w:spacing w:line="360" w:lineRule="auto"/>
        <w:ind w:firstLine="480" w:firstLineChars="200"/>
        <w:rPr>
          <w:rFonts w:ascii="宋体" w:hAnsi="宋体" w:cs="宋体"/>
          <w:kern w:val="0"/>
          <w:sz w:val="24"/>
        </w:rPr>
      </w:pPr>
      <w:r>
        <w:rPr>
          <w:rFonts w:hint="eastAsia" w:ascii="宋体" w:hAnsi="宋体"/>
          <w:kern w:val="0"/>
          <w:sz w:val="24"/>
        </w:rPr>
        <w:t>2.10竞争性谈判文件要求的或特定资格证明资料或供应商认为需要加以说明的其他内容。</w:t>
      </w:r>
    </w:p>
    <w:p w14:paraId="5D3C120F">
      <w:pPr>
        <w:widowControl/>
        <w:spacing w:line="360" w:lineRule="auto"/>
        <w:ind w:firstLine="480" w:firstLineChars="200"/>
        <w:jc w:val="left"/>
        <w:rPr>
          <w:rFonts w:ascii="宋体" w:hAnsi="宋体" w:cs="宋体"/>
          <w:sz w:val="24"/>
        </w:rPr>
      </w:pPr>
      <w:r>
        <w:rPr>
          <w:rFonts w:hint="eastAsia" w:ascii="宋体" w:hAnsi="宋体" w:cs="宋体"/>
          <w:sz w:val="24"/>
        </w:rPr>
        <w:t>全套响应文件应无涂改和行间插字，如有修改应在修改处加盖供应商的企业印章（即公章）或企业法定代表人或其委托代理人印章（或签字）。</w:t>
      </w:r>
    </w:p>
    <w:p w14:paraId="0B2D2999">
      <w:pPr>
        <w:widowControl/>
        <w:spacing w:line="360" w:lineRule="auto"/>
        <w:ind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1、符合《政府采购法</w:t>
      </w:r>
      <w:r>
        <w:rPr>
          <w:rFonts w:hint="eastAsia" w:ascii="宋体" w:hAnsi="宋体" w:cs="宋体"/>
          <w:sz w:val="24"/>
          <w:highlight w:val="none"/>
        </w:rPr>
        <w:t>》第二十二条规定的资格条件，按照采购文件约定提供资格承诺，不再提供资质资料，主要包括供应商</w:t>
      </w:r>
      <w:r>
        <w:rPr>
          <w:rFonts w:hint="eastAsia" w:ascii="宋体" w:hAnsi="宋体" w:cs="宋体"/>
          <w:sz w:val="24"/>
          <w:highlight w:val="none"/>
          <w:lang w:val="en-US" w:eastAsia="zh-CN"/>
        </w:rPr>
        <w:t>在</w:t>
      </w:r>
      <w:r>
        <w:rPr>
          <w:rFonts w:hint="eastAsia" w:ascii="宋体" w:hAnsi="宋体" w:cs="宋体"/>
          <w:sz w:val="24"/>
          <w:highlight w:val="none"/>
        </w:rPr>
        <w:t>响应文件中无需再提供</w:t>
      </w:r>
      <w:r>
        <w:rPr>
          <w:rFonts w:hint="eastAsia" w:ascii="宋体" w:hAnsi="宋体" w:cs="宋体"/>
          <w:sz w:val="24"/>
          <w:highlight w:val="none"/>
          <w:lang w:val="en-US" w:eastAsia="zh-CN"/>
        </w:rPr>
        <w:t>营</w:t>
      </w:r>
      <w:r>
        <w:rPr>
          <w:rFonts w:hint="eastAsia" w:ascii="宋体" w:hAnsi="宋体" w:cs="宋体"/>
          <w:sz w:val="24"/>
          <w:highlight w:val="none"/>
        </w:rPr>
        <w:t>业执照、财务状况报告、依法缴纳税收和社会保障资金、具有履行合同所必须的设备和专业技术能力、</w:t>
      </w:r>
      <w:r>
        <w:rPr>
          <w:rFonts w:hint="eastAsia" w:ascii="宋体" w:hAnsi="宋体" w:cs="宋体"/>
          <w:sz w:val="24"/>
        </w:rPr>
        <w:t>参加政府采购活动前三年</w:t>
      </w:r>
      <w:r>
        <w:rPr>
          <w:rFonts w:hint="eastAsia" w:ascii="宋体" w:hAnsi="宋体" w:cs="宋体"/>
          <w:sz w:val="24"/>
          <w:highlight w:val="none"/>
        </w:rPr>
        <w:t>内</w:t>
      </w:r>
      <w:r>
        <w:rPr>
          <w:rFonts w:hint="eastAsia" w:ascii="宋体" w:hAnsi="宋体" w:cs="宋体"/>
          <w:sz w:val="24"/>
          <w:highlight w:val="none"/>
          <w:lang w:val="en-US" w:eastAsia="zh-CN"/>
        </w:rPr>
        <w:t>在</w:t>
      </w:r>
      <w:r>
        <w:rPr>
          <w:rFonts w:hint="eastAsia" w:ascii="宋体" w:hAnsi="宋体" w:cs="宋体"/>
          <w:sz w:val="24"/>
        </w:rPr>
        <w:t>经营活动中没有重大违</w:t>
      </w:r>
      <w:r>
        <w:rPr>
          <w:rFonts w:hint="eastAsia" w:ascii="宋体" w:hAnsi="宋体" w:cs="宋体"/>
          <w:color w:val="auto"/>
          <w:sz w:val="24"/>
        </w:rPr>
        <w:t>法</w:t>
      </w:r>
      <w:r>
        <w:rPr>
          <w:rFonts w:hint="eastAsia" w:ascii="宋体" w:hAnsi="宋体" w:cs="宋体"/>
          <w:color w:val="auto"/>
          <w:sz w:val="24"/>
          <w:lang w:val="en-US" w:eastAsia="zh-CN"/>
        </w:rPr>
        <w:t>记录</w:t>
      </w:r>
      <w:r>
        <w:rPr>
          <w:rFonts w:hint="eastAsia" w:ascii="宋体" w:hAnsi="宋体" w:cs="宋体"/>
          <w:color w:val="auto"/>
          <w:sz w:val="24"/>
        </w:rPr>
        <w:t>相</w:t>
      </w:r>
      <w:r>
        <w:rPr>
          <w:rFonts w:hint="eastAsia" w:ascii="宋体" w:hAnsi="宋体" w:cs="宋体"/>
          <w:sz w:val="24"/>
        </w:rPr>
        <w:t>关证明材料。</w:t>
      </w:r>
    </w:p>
    <w:p w14:paraId="263F8F29">
      <w:pPr>
        <w:widowControl/>
        <w:spacing w:line="360" w:lineRule="auto"/>
        <w:ind w:firstLine="480" w:firstLineChars="200"/>
        <w:jc w:val="left"/>
        <w:rPr>
          <w:rFonts w:ascii="宋体"/>
          <w:kern w:val="0"/>
          <w:sz w:val="24"/>
        </w:rPr>
      </w:pPr>
      <w:r>
        <w:rPr>
          <w:rFonts w:hint="eastAsia" w:ascii="宋体" w:hAnsi="宋体" w:cs="宋体"/>
          <w:sz w:val="24"/>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393ED76B">
      <w:pPr>
        <w:spacing w:line="360" w:lineRule="auto"/>
        <w:ind w:firstLine="482" w:firstLineChars="200"/>
        <w:rPr>
          <w:rFonts w:ascii="宋体" w:hAnsi="宋体" w:cs="宋体"/>
          <w:b/>
          <w:bCs/>
          <w:sz w:val="24"/>
        </w:rPr>
      </w:pPr>
      <w:bookmarkStart w:id="18" w:name="_Toc274249597"/>
      <w:bookmarkStart w:id="19" w:name="_Toc279599793"/>
      <w:bookmarkStart w:id="20" w:name="_Toc426369503"/>
      <w:bookmarkStart w:id="21" w:name="_Toc403122514"/>
      <w:r>
        <w:rPr>
          <w:rFonts w:hint="eastAsia" w:ascii="宋体" w:hAnsi="宋体" w:cs="宋体"/>
          <w:b/>
          <w:bCs/>
          <w:sz w:val="24"/>
        </w:rPr>
        <w:t xml:space="preserve">3. </w:t>
      </w:r>
      <w:r>
        <w:rPr>
          <w:rFonts w:hint="eastAsia" w:ascii="宋体" w:hAnsi="宋体" w:cs="宋体"/>
          <w:b/>
          <w:bCs/>
          <w:kern w:val="0"/>
          <w:sz w:val="24"/>
        </w:rPr>
        <w:t>响应</w:t>
      </w:r>
      <w:r>
        <w:rPr>
          <w:rFonts w:hint="eastAsia" w:ascii="宋体" w:hAnsi="宋体" w:cs="宋体"/>
          <w:b/>
          <w:bCs/>
          <w:sz w:val="24"/>
        </w:rPr>
        <w:t>文件的编制</w:t>
      </w:r>
      <w:bookmarkEnd w:id="18"/>
      <w:bookmarkEnd w:id="19"/>
      <w:bookmarkEnd w:id="20"/>
      <w:bookmarkEnd w:id="21"/>
    </w:p>
    <w:p w14:paraId="5C12B78E">
      <w:pPr>
        <w:widowControl/>
        <w:spacing w:line="360" w:lineRule="auto"/>
        <w:ind w:firstLine="480" w:firstLineChars="200"/>
        <w:jc w:val="left"/>
        <w:rPr>
          <w:rFonts w:ascii="宋体" w:hAnsi="宋体" w:cs="宋体"/>
          <w:sz w:val="24"/>
        </w:rPr>
      </w:pPr>
      <w:r>
        <w:rPr>
          <w:rFonts w:hint="eastAsia" w:ascii="宋体" w:hAnsi="宋体" w:cs="宋体"/>
          <w:sz w:val="24"/>
        </w:rPr>
        <w:t>3.1 响应文件应按竞争性谈判文件中要求使用焦作市公共资源交易系统</w:t>
      </w:r>
      <w:r>
        <w:rPr>
          <w:rFonts w:hint="eastAsia" w:ascii="宋体" w:hAnsi="宋体"/>
          <w:bCs/>
          <w:kern w:val="0"/>
          <w:sz w:val="24"/>
        </w:rPr>
        <w:t>响应性</w:t>
      </w:r>
      <w:r>
        <w:rPr>
          <w:rFonts w:hint="eastAsia" w:ascii="宋体" w:hAnsi="宋体" w:cs="宋体"/>
          <w:sz w:val="24"/>
        </w:rPr>
        <w:t xml:space="preserve">文件制作专用工具软件编制。 </w:t>
      </w:r>
    </w:p>
    <w:p w14:paraId="1D9F81E8">
      <w:pPr>
        <w:adjustRightInd w:val="0"/>
        <w:snapToGrid w:val="0"/>
        <w:spacing w:line="360" w:lineRule="auto"/>
        <w:ind w:firstLine="480" w:firstLineChars="200"/>
        <w:rPr>
          <w:rFonts w:ascii="宋体" w:hAnsi="宋体" w:cs="宋体"/>
          <w:sz w:val="24"/>
        </w:rPr>
      </w:pPr>
      <w:r>
        <w:rPr>
          <w:rFonts w:hint="eastAsia" w:ascii="宋体" w:hAnsi="宋体" w:cs="宋体"/>
          <w:sz w:val="24"/>
        </w:rPr>
        <w:t>3.2 响应文件应当对竞争性谈判文件有关</w:t>
      </w:r>
      <w:r>
        <w:rPr>
          <w:rFonts w:hint="eastAsia" w:ascii="宋体" w:hAnsi="宋体" w:cs="宋体"/>
          <w:color w:val="auto"/>
          <w:kern w:val="0"/>
          <w:sz w:val="24"/>
          <w:highlight w:val="none"/>
          <w:lang w:val="en-US" w:eastAsia="zh-CN"/>
        </w:rPr>
        <w:t>合同履行期限</w:t>
      </w:r>
      <w:r>
        <w:rPr>
          <w:rFonts w:hint="eastAsia" w:ascii="宋体" w:hAnsi="宋体" w:cs="宋体"/>
          <w:sz w:val="24"/>
        </w:rPr>
        <w:t>、投标报价、投标有效期、质量要求及服务内容等实质性内容作出响应。</w:t>
      </w:r>
    </w:p>
    <w:p w14:paraId="36509246">
      <w:pPr>
        <w:widowControl/>
        <w:spacing w:line="360" w:lineRule="auto"/>
        <w:ind w:firstLine="480" w:firstLineChars="200"/>
        <w:jc w:val="left"/>
        <w:rPr>
          <w:rFonts w:ascii="宋体" w:hAnsi="宋体" w:cs="宋体"/>
          <w:sz w:val="24"/>
        </w:rPr>
      </w:pPr>
      <w:r>
        <w:rPr>
          <w:rFonts w:hint="eastAsia" w:ascii="宋体" w:hAnsi="宋体" w:cs="宋体"/>
          <w:sz w:val="24"/>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bCs/>
          <w:kern w:val="0"/>
          <w:sz w:val="24"/>
        </w:rPr>
        <w:t>响应性</w:t>
      </w:r>
      <w:r>
        <w:rPr>
          <w:rFonts w:hint="eastAsia" w:ascii="宋体" w:hAnsi="宋体" w:cs="宋体"/>
          <w:sz w:val="24"/>
        </w:rPr>
        <w:t>文件制作和上传等。为避免网络拥堵等不可控因素影响投标文件的上传，请提前上传</w:t>
      </w:r>
      <w:r>
        <w:rPr>
          <w:rFonts w:hint="eastAsia" w:ascii="宋体" w:hAnsi="宋体"/>
          <w:bCs/>
          <w:kern w:val="0"/>
          <w:sz w:val="24"/>
        </w:rPr>
        <w:t>响应性</w:t>
      </w:r>
      <w:r>
        <w:rPr>
          <w:rFonts w:hint="eastAsia" w:ascii="宋体" w:hAnsi="宋体" w:cs="宋体"/>
          <w:sz w:val="24"/>
        </w:rPr>
        <w:t>文件，按要求解密</w:t>
      </w:r>
      <w:r>
        <w:rPr>
          <w:rFonts w:hint="eastAsia" w:ascii="宋体" w:hAnsi="宋体"/>
          <w:bCs/>
          <w:kern w:val="0"/>
          <w:sz w:val="24"/>
        </w:rPr>
        <w:t>响应性</w:t>
      </w:r>
      <w:r>
        <w:rPr>
          <w:rFonts w:hint="eastAsia" w:ascii="宋体" w:hAnsi="宋体" w:cs="宋体"/>
          <w:sz w:val="24"/>
        </w:rPr>
        <w:t>文件。因文件未及时上传导致投标失败的责任由供应商自行承担。</w:t>
      </w:r>
    </w:p>
    <w:p w14:paraId="02ADC58C">
      <w:pPr>
        <w:widowControl/>
        <w:spacing w:line="360" w:lineRule="auto"/>
        <w:ind w:firstLine="480" w:firstLineChars="200"/>
        <w:jc w:val="left"/>
        <w:rPr>
          <w:rFonts w:ascii="宋体" w:hAnsi="宋体" w:cs="宋体"/>
          <w:sz w:val="24"/>
        </w:rPr>
      </w:pPr>
      <w:r>
        <w:rPr>
          <w:rFonts w:hint="eastAsia" w:ascii="宋体" w:hAnsi="宋体" w:cs="宋体"/>
          <w:sz w:val="24"/>
        </w:rPr>
        <w:t>3.4 签字盖章要求：</w:t>
      </w:r>
    </w:p>
    <w:p w14:paraId="6AE0A4CE">
      <w:pPr>
        <w:widowControl/>
        <w:spacing w:line="360" w:lineRule="auto"/>
        <w:ind w:firstLine="480" w:firstLineChars="200"/>
        <w:jc w:val="left"/>
        <w:rPr>
          <w:rFonts w:ascii="宋体" w:hAnsi="宋体" w:cs="宋体"/>
          <w:sz w:val="24"/>
        </w:rPr>
      </w:pPr>
      <w:r>
        <w:rPr>
          <w:rFonts w:hint="eastAsia" w:ascii="宋体" w:hAnsi="宋体" w:cs="宋体"/>
          <w:sz w:val="24"/>
        </w:rPr>
        <w:t>3.4.1 所有要求供应商加盖公章的地方都须加盖供应商单位的CA印章。</w:t>
      </w:r>
    </w:p>
    <w:p w14:paraId="1103A4A5">
      <w:pPr>
        <w:widowControl/>
        <w:spacing w:line="360" w:lineRule="auto"/>
        <w:ind w:firstLine="480" w:firstLineChars="200"/>
        <w:jc w:val="left"/>
        <w:rPr>
          <w:rFonts w:ascii="宋体" w:hAnsi="宋体" w:cs="宋体"/>
          <w:sz w:val="24"/>
        </w:rPr>
      </w:pPr>
      <w:r>
        <w:rPr>
          <w:rFonts w:hint="eastAsia" w:ascii="宋体" w:hAnsi="宋体" w:cs="宋体"/>
          <w:sz w:val="24"/>
        </w:rPr>
        <w:t>3.4.2</w:t>
      </w:r>
      <w:r>
        <w:rPr>
          <w:rFonts w:ascii="宋体" w:hAnsi="宋体" w:cs="宋体"/>
          <w:sz w:val="24"/>
        </w:rPr>
        <w:t>要求法定代表人签字或盖章的，法定代表人在签字或盖章的地方上传手写签名的扫描件或加盖法定代表人CA印章。</w:t>
      </w:r>
    </w:p>
    <w:p w14:paraId="6AFEE927">
      <w:pPr>
        <w:widowControl/>
        <w:spacing w:line="360" w:lineRule="auto"/>
        <w:ind w:firstLine="480" w:firstLineChars="200"/>
        <w:jc w:val="left"/>
        <w:rPr>
          <w:rFonts w:ascii="宋体" w:hAnsi="宋体" w:cs="宋体"/>
          <w:sz w:val="24"/>
        </w:rPr>
      </w:pPr>
      <w:r>
        <w:rPr>
          <w:rFonts w:hint="eastAsia" w:ascii="宋体" w:hAnsi="宋体" w:cs="宋体"/>
          <w:sz w:val="24"/>
        </w:rPr>
        <w:t>3.4.3</w:t>
      </w:r>
      <w:r>
        <w:rPr>
          <w:rFonts w:ascii="宋体" w:hAnsi="宋体" w:cs="宋体"/>
          <w:sz w:val="24"/>
        </w:rPr>
        <w:t>要求委托代理人签字或盖章的，委托代理人在签字或盖章的地方上传手写签名的扫描件或加盖委托代理人CA印章。</w:t>
      </w:r>
    </w:p>
    <w:p w14:paraId="050EB997">
      <w:pPr>
        <w:widowControl/>
        <w:spacing w:line="360" w:lineRule="auto"/>
        <w:ind w:left="420" w:leftChars="200"/>
        <w:jc w:val="left"/>
        <w:rPr>
          <w:rFonts w:ascii="仿宋_GB2312" w:hAnsi="Batang" w:eastAsia="仿宋_GB2312"/>
          <w:b/>
          <w:bCs/>
          <w:sz w:val="28"/>
          <w:szCs w:val="28"/>
        </w:rPr>
      </w:pPr>
      <w:r>
        <w:rPr>
          <w:rFonts w:hint="eastAsia" w:ascii="仿宋_GB2312" w:hAnsi="Batang" w:eastAsia="仿宋_GB2312"/>
          <w:b/>
          <w:bCs/>
          <w:sz w:val="28"/>
          <w:szCs w:val="28"/>
        </w:rPr>
        <w:t xml:space="preserve">4. </w:t>
      </w:r>
      <w:r>
        <w:rPr>
          <w:rFonts w:hint="eastAsia" w:ascii="宋体" w:hAnsi="宋体"/>
          <w:b/>
          <w:bCs/>
          <w:kern w:val="0"/>
          <w:sz w:val="24"/>
        </w:rPr>
        <w:t>响应性文件的语言和计量单位</w:t>
      </w:r>
    </w:p>
    <w:p w14:paraId="164BC9EC">
      <w:pPr>
        <w:widowControl/>
        <w:spacing w:line="360" w:lineRule="auto"/>
        <w:ind w:firstLine="480" w:firstLineChars="200"/>
        <w:jc w:val="left"/>
        <w:rPr>
          <w:rFonts w:ascii="宋体" w:hAnsi="宋体" w:cs="宋体"/>
          <w:sz w:val="24"/>
        </w:rPr>
      </w:pPr>
      <w:r>
        <w:rPr>
          <w:rFonts w:hint="eastAsia" w:ascii="宋体" w:hAnsi="宋体" w:cs="宋体"/>
          <w:sz w:val="24"/>
        </w:rPr>
        <w:t>4.1 谈判文件以及供应商与采购人、采购代理机构就有关投标事宜的所有来往函电均应使用简体中文书写。</w:t>
      </w:r>
    </w:p>
    <w:p w14:paraId="05B2327D">
      <w:pPr>
        <w:widowControl/>
        <w:spacing w:line="360" w:lineRule="auto"/>
        <w:ind w:firstLine="480" w:firstLineChars="200"/>
        <w:jc w:val="left"/>
        <w:rPr>
          <w:rFonts w:ascii="宋体" w:hAnsi="宋体" w:cs="宋体"/>
          <w:sz w:val="24"/>
        </w:rPr>
      </w:pPr>
      <w:r>
        <w:rPr>
          <w:rFonts w:hint="eastAsia" w:ascii="宋体" w:hAnsi="宋体" w:cs="宋体"/>
          <w:sz w:val="24"/>
        </w:rPr>
        <w:t xml:space="preserve">4.2 关于投标计量单位，谈判文件已有明确规定的，使用响应性文件规定的计量单位；谈判文件没有规定的，应采用中华人民共和国法定计量单位。 </w:t>
      </w:r>
    </w:p>
    <w:p w14:paraId="769007B0">
      <w:pPr>
        <w:widowControl/>
        <w:spacing w:line="360" w:lineRule="auto"/>
        <w:ind w:firstLine="480" w:firstLineChars="200"/>
        <w:jc w:val="left"/>
        <w:rPr>
          <w:rFonts w:ascii="宋体" w:hAnsi="宋体" w:cs="宋体"/>
          <w:sz w:val="24"/>
        </w:rPr>
      </w:pPr>
      <w:r>
        <w:rPr>
          <w:rFonts w:hint="eastAsia" w:ascii="宋体" w:hAnsi="宋体" w:cs="宋体"/>
          <w:sz w:val="24"/>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5898AD4D">
      <w:pPr>
        <w:widowControl/>
        <w:spacing w:line="360" w:lineRule="auto"/>
        <w:ind w:firstLine="480" w:firstLineChars="200"/>
        <w:jc w:val="left"/>
        <w:rPr>
          <w:rFonts w:ascii="宋体" w:hAnsi="宋体" w:cs="宋体"/>
          <w:sz w:val="24"/>
        </w:rPr>
      </w:pPr>
      <w:r>
        <w:rPr>
          <w:rFonts w:hint="eastAsia" w:ascii="宋体" w:hAnsi="宋体" w:cs="宋体"/>
          <w:sz w:val="24"/>
        </w:rPr>
        <w:t>4.4 本响应性文件所表述的时间均为北京时间。</w:t>
      </w:r>
    </w:p>
    <w:p w14:paraId="38456A48">
      <w:pPr>
        <w:pStyle w:val="6"/>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5. 响应文件的补充与撤回</w:t>
      </w:r>
    </w:p>
    <w:p w14:paraId="6CAF28E2">
      <w:pPr>
        <w:spacing w:line="360" w:lineRule="auto"/>
        <w:ind w:firstLine="480" w:firstLineChars="200"/>
        <w:rPr>
          <w:rFonts w:ascii="宋体" w:hAnsi="宋体"/>
          <w:kern w:val="0"/>
          <w:sz w:val="24"/>
        </w:rPr>
      </w:pPr>
      <w:r>
        <w:rPr>
          <w:rFonts w:hint="eastAsia" w:ascii="宋体" w:hAnsi="宋体"/>
          <w:kern w:val="0"/>
          <w:sz w:val="24"/>
        </w:rPr>
        <w:t>5.1 供应商在投标截止时间前可对其响应性文件进行修改并重新上传或在焦作市电子招投标交易平台上进行撤回投标的操作。</w:t>
      </w:r>
    </w:p>
    <w:p w14:paraId="58050D60">
      <w:pPr>
        <w:spacing w:line="360" w:lineRule="auto"/>
        <w:ind w:firstLine="480" w:firstLineChars="200"/>
        <w:rPr>
          <w:rFonts w:ascii="宋体" w:hAnsi="宋体"/>
          <w:kern w:val="0"/>
          <w:sz w:val="24"/>
        </w:rPr>
      </w:pPr>
      <w:r>
        <w:rPr>
          <w:rFonts w:hint="eastAsia" w:ascii="宋体" w:hAnsi="宋体"/>
          <w:kern w:val="0"/>
          <w:sz w:val="24"/>
        </w:rPr>
        <w:t>5.2 供应商在响应文件递交截止时间后不能修改、补充替代或撤回其响应文件。</w:t>
      </w:r>
    </w:p>
    <w:p w14:paraId="1A1D5669">
      <w:pPr>
        <w:widowControl/>
        <w:spacing w:line="360" w:lineRule="auto"/>
        <w:ind w:firstLine="482" w:firstLineChars="200"/>
        <w:rPr>
          <w:rFonts w:ascii="宋体" w:hAnsi="宋体"/>
          <w:b/>
          <w:bCs/>
          <w:kern w:val="0"/>
          <w:sz w:val="24"/>
        </w:rPr>
      </w:pPr>
      <w:r>
        <w:rPr>
          <w:rFonts w:hint="eastAsia" w:ascii="宋体" w:hAnsi="宋体"/>
          <w:b/>
          <w:bCs/>
          <w:kern w:val="0"/>
          <w:sz w:val="24"/>
        </w:rPr>
        <w:t>六、投标报价</w:t>
      </w:r>
    </w:p>
    <w:p w14:paraId="4492B06E">
      <w:pPr>
        <w:widowControl/>
        <w:spacing w:line="360" w:lineRule="auto"/>
        <w:ind w:firstLine="480" w:firstLineChars="200"/>
        <w:rPr>
          <w:rFonts w:ascii="宋体" w:hAnsi="宋体"/>
          <w:kern w:val="0"/>
          <w:sz w:val="24"/>
        </w:rPr>
      </w:pPr>
      <w:r>
        <w:rPr>
          <w:rFonts w:hint="eastAsia" w:ascii="宋体" w:hAnsi="宋体"/>
          <w:kern w:val="0"/>
          <w:sz w:val="24"/>
        </w:rPr>
        <w:t>1. 控制价</w:t>
      </w:r>
    </w:p>
    <w:p w14:paraId="71C667F0">
      <w:pPr>
        <w:widowControl/>
        <w:spacing w:line="360" w:lineRule="auto"/>
        <w:ind w:firstLine="480" w:firstLineChars="200"/>
        <w:rPr>
          <w:rFonts w:ascii="宋体" w:hAnsi="宋体"/>
          <w:kern w:val="0"/>
          <w:sz w:val="24"/>
        </w:rPr>
      </w:pPr>
      <w:r>
        <w:rPr>
          <w:rFonts w:hint="eastAsia" w:ascii="宋体" w:hAnsi="宋体"/>
          <w:kern w:val="0"/>
          <w:sz w:val="24"/>
        </w:rPr>
        <w:t>本项目预算控制金额</w:t>
      </w:r>
      <w:r>
        <w:rPr>
          <w:rFonts w:hint="eastAsia" w:ascii="宋体" w:hAnsi="宋体"/>
          <w:kern w:val="0"/>
          <w:sz w:val="24"/>
          <w:lang w:val="en-US" w:eastAsia="zh-CN"/>
        </w:rPr>
        <w:t>500000.00</w:t>
      </w:r>
      <w:r>
        <w:rPr>
          <w:rFonts w:hint="eastAsia" w:ascii="宋体" w:hAnsi="宋体"/>
          <w:kern w:val="0"/>
          <w:sz w:val="24"/>
        </w:rPr>
        <w:t>元（大写：</w:t>
      </w:r>
      <w:r>
        <w:rPr>
          <w:rFonts w:hint="eastAsia" w:ascii="宋体" w:hAnsi="宋体"/>
          <w:kern w:val="0"/>
          <w:sz w:val="24"/>
          <w:lang w:val="en-US" w:eastAsia="zh-CN"/>
        </w:rPr>
        <w:t>伍拾万元整</w:t>
      </w:r>
      <w:r>
        <w:rPr>
          <w:rFonts w:hint="eastAsia" w:ascii="宋体" w:hAnsi="宋体"/>
          <w:kern w:val="0"/>
          <w:sz w:val="24"/>
        </w:rPr>
        <w:t>）。</w:t>
      </w:r>
    </w:p>
    <w:p w14:paraId="27357F53">
      <w:pPr>
        <w:widowControl/>
        <w:spacing w:line="360" w:lineRule="auto"/>
        <w:ind w:firstLine="480" w:firstLineChars="200"/>
        <w:rPr>
          <w:rFonts w:ascii="宋体" w:hAnsi="宋体"/>
          <w:kern w:val="0"/>
          <w:sz w:val="24"/>
        </w:rPr>
      </w:pPr>
      <w:r>
        <w:rPr>
          <w:rFonts w:hint="eastAsia" w:ascii="宋体" w:hAnsi="宋体"/>
          <w:kern w:val="0"/>
          <w:sz w:val="24"/>
        </w:rPr>
        <w:t>供应商的投标报价高于招标控制价的视为无效报价，其投标予以拒绝。</w:t>
      </w:r>
    </w:p>
    <w:p w14:paraId="787B3CEB">
      <w:pPr>
        <w:widowControl/>
        <w:spacing w:line="360" w:lineRule="auto"/>
        <w:ind w:firstLine="480" w:firstLineChars="200"/>
        <w:rPr>
          <w:rFonts w:ascii="宋体" w:hAnsi="宋体"/>
          <w:kern w:val="0"/>
          <w:sz w:val="24"/>
        </w:rPr>
      </w:pPr>
      <w:r>
        <w:rPr>
          <w:rFonts w:hint="eastAsia" w:ascii="宋体" w:hAnsi="宋体"/>
          <w:kern w:val="0"/>
          <w:sz w:val="24"/>
        </w:rPr>
        <w:t>当成交人的投标报价高于控制价的95%时，该成交人的成交价按控制价的95%执行。</w:t>
      </w:r>
    </w:p>
    <w:p w14:paraId="082F1EC6">
      <w:pPr>
        <w:widowControl/>
        <w:spacing w:line="360" w:lineRule="auto"/>
        <w:ind w:firstLine="480" w:firstLineChars="200"/>
        <w:rPr>
          <w:rFonts w:ascii="宋体" w:hAnsi="宋体"/>
          <w:kern w:val="0"/>
          <w:sz w:val="24"/>
        </w:rPr>
      </w:pPr>
      <w:r>
        <w:rPr>
          <w:rFonts w:hint="eastAsia" w:ascii="宋体" w:hAnsi="宋体"/>
          <w:kern w:val="0"/>
          <w:sz w:val="24"/>
        </w:rPr>
        <w:t>2. 投标报价</w:t>
      </w:r>
    </w:p>
    <w:p w14:paraId="4F4FCB3E">
      <w:pPr>
        <w:spacing w:line="360" w:lineRule="auto"/>
        <w:ind w:firstLine="480" w:firstLineChars="200"/>
        <w:rPr>
          <w:rFonts w:ascii="宋体" w:hAnsi="宋体"/>
          <w:kern w:val="0"/>
          <w:sz w:val="24"/>
        </w:rPr>
      </w:pPr>
      <w:r>
        <w:rPr>
          <w:rFonts w:hint="eastAsia" w:ascii="宋体" w:hAnsi="宋体"/>
          <w:kern w:val="0"/>
          <w:sz w:val="24"/>
        </w:rPr>
        <w:t>2.1 投标报价应包括竞争性谈判文件确定采购范围的全部工作内容，以及其响应文件编制与递交所涉及的一切费用。供应商以人民币为计量币种报价，并以人民币币种签约、结算。</w:t>
      </w:r>
    </w:p>
    <w:p w14:paraId="1E89DCDB">
      <w:pPr>
        <w:spacing w:line="360" w:lineRule="auto"/>
        <w:ind w:firstLine="480" w:firstLineChars="200"/>
        <w:rPr>
          <w:rFonts w:ascii="宋体" w:hAnsi="宋体"/>
          <w:kern w:val="0"/>
          <w:sz w:val="24"/>
        </w:rPr>
      </w:pPr>
      <w:r>
        <w:rPr>
          <w:rFonts w:hint="eastAsia" w:ascii="宋体" w:hAnsi="宋体"/>
          <w:kern w:val="0"/>
          <w:sz w:val="24"/>
        </w:rPr>
        <w:t>2.2 供应商报价含本项目的所有费用，应包括：</w:t>
      </w:r>
    </w:p>
    <w:p w14:paraId="7054EC49">
      <w:pPr>
        <w:spacing w:line="360" w:lineRule="auto"/>
        <w:ind w:firstLine="480" w:firstLineChars="200"/>
        <w:rPr>
          <w:rFonts w:ascii="宋体" w:hAnsi="宋体"/>
          <w:kern w:val="0"/>
          <w:sz w:val="24"/>
        </w:rPr>
      </w:pPr>
      <w:r>
        <w:rPr>
          <w:rFonts w:hint="eastAsia" w:ascii="宋体" w:hAnsi="宋体"/>
          <w:kern w:val="0"/>
          <w:sz w:val="24"/>
        </w:rPr>
        <w:t xml:space="preserve">（1）设备、劳务、材料、管理、利润、税金、政策性规费； </w:t>
      </w:r>
    </w:p>
    <w:p w14:paraId="4D0F0E5B">
      <w:pPr>
        <w:spacing w:line="360" w:lineRule="auto"/>
        <w:ind w:firstLine="480" w:firstLineChars="200"/>
        <w:rPr>
          <w:rFonts w:ascii="宋体" w:hAnsi="宋体"/>
          <w:kern w:val="0"/>
          <w:sz w:val="24"/>
        </w:rPr>
      </w:pPr>
      <w:r>
        <w:rPr>
          <w:rFonts w:hint="eastAsia" w:ascii="宋体" w:hAnsi="宋体"/>
          <w:kern w:val="0"/>
          <w:sz w:val="24"/>
        </w:rPr>
        <w:t>（2）合同包含的所有风险、责任等各项损耗和应有费用；</w:t>
      </w:r>
    </w:p>
    <w:p w14:paraId="5050F50D">
      <w:pPr>
        <w:spacing w:line="360" w:lineRule="auto"/>
        <w:ind w:firstLine="480" w:firstLineChars="200"/>
        <w:rPr>
          <w:rFonts w:ascii="宋体" w:hAnsi="宋体"/>
          <w:kern w:val="0"/>
          <w:sz w:val="24"/>
        </w:rPr>
      </w:pPr>
      <w:r>
        <w:rPr>
          <w:rFonts w:hint="eastAsia" w:ascii="宋体" w:hAnsi="宋体"/>
          <w:kern w:val="0"/>
          <w:sz w:val="24"/>
        </w:rPr>
        <w:t>（3）涉及本项目的其他不可预见费用。</w:t>
      </w:r>
    </w:p>
    <w:p w14:paraId="25F19218">
      <w:pPr>
        <w:spacing w:line="360" w:lineRule="auto"/>
        <w:ind w:firstLine="480" w:firstLineChars="200"/>
        <w:rPr>
          <w:rFonts w:ascii="宋体" w:hAnsi="宋体"/>
          <w:kern w:val="0"/>
          <w:sz w:val="24"/>
        </w:rPr>
      </w:pPr>
      <w:r>
        <w:rPr>
          <w:rFonts w:hint="eastAsia" w:ascii="宋体" w:hAnsi="宋体"/>
          <w:kern w:val="0"/>
          <w:sz w:val="24"/>
        </w:rPr>
        <w:t>2.3、投标报价在成交后不得修改。</w:t>
      </w:r>
    </w:p>
    <w:p w14:paraId="5A2416F6">
      <w:pPr>
        <w:spacing w:line="360" w:lineRule="auto"/>
        <w:ind w:firstLine="480" w:firstLineChars="200"/>
        <w:rPr>
          <w:rFonts w:ascii="宋体" w:hAnsi="宋体"/>
          <w:kern w:val="0"/>
          <w:sz w:val="24"/>
        </w:rPr>
      </w:pPr>
      <w:r>
        <w:rPr>
          <w:rFonts w:hint="eastAsia" w:ascii="宋体" w:hAnsi="宋体"/>
          <w:kern w:val="0"/>
          <w:sz w:val="24"/>
        </w:rPr>
        <w:t>2.4、供应商只能提出一个不变价格，采购人不接受任何选择价。</w:t>
      </w:r>
    </w:p>
    <w:p w14:paraId="3B6E0567">
      <w:pPr>
        <w:spacing w:line="360" w:lineRule="auto"/>
        <w:ind w:firstLine="480" w:firstLineChars="200"/>
        <w:rPr>
          <w:rFonts w:ascii="宋体" w:hAnsi="宋体"/>
          <w:kern w:val="0"/>
          <w:sz w:val="24"/>
        </w:rPr>
      </w:pPr>
      <w:r>
        <w:rPr>
          <w:rFonts w:hint="eastAsia" w:ascii="宋体" w:hAnsi="宋体"/>
          <w:kern w:val="0"/>
          <w:sz w:val="24"/>
        </w:rPr>
        <w:t>2.5、全部报价均应以人民币为计量币种，并以人民币进行结算。</w:t>
      </w:r>
    </w:p>
    <w:p w14:paraId="579264A2">
      <w:pPr>
        <w:spacing w:line="360" w:lineRule="auto"/>
        <w:ind w:firstLine="480" w:firstLineChars="200"/>
        <w:rPr>
          <w:rFonts w:ascii="宋体" w:hAnsi="宋体"/>
          <w:kern w:val="0"/>
          <w:sz w:val="24"/>
        </w:rPr>
      </w:pPr>
      <w:r>
        <w:rPr>
          <w:rFonts w:hint="eastAsia" w:ascii="宋体" w:hAnsi="宋体"/>
          <w:kern w:val="0"/>
          <w:sz w:val="24"/>
        </w:rPr>
        <w:t>2.6、若响应文件中的大写金额和小写金额不一致的，以大写金额为准；总价金额与单价金额不一致的，以单价金额为准，但单价金额小数点有明显错误的除外；对不同文字文本响应文件的解释发生异议的，以中文文本为准。</w:t>
      </w:r>
    </w:p>
    <w:p w14:paraId="1C00CCA7">
      <w:pPr>
        <w:widowControl/>
        <w:spacing w:line="360" w:lineRule="auto"/>
        <w:ind w:firstLine="482" w:firstLineChars="200"/>
        <w:rPr>
          <w:rFonts w:ascii="宋体" w:hAnsi="宋体"/>
          <w:b/>
          <w:bCs/>
          <w:kern w:val="0"/>
          <w:sz w:val="24"/>
        </w:rPr>
      </w:pPr>
      <w:r>
        <w:rPr>
          <w:rFonts w:hint="eastAsia" w:ascii="宋体" w:hAnsi="宋体"/>
          <w:b/>
          <w:bCs/>
          <w:kern w:val="0"/>
          <w:sz w:val="24"/>
        </w:rPr>
        <w:t>七、谈判程序</w:t>
      </w:r>
    </w:p>
    <w:p w14:paraId="46DC3B5A">
      <w:pPr>
        <w:widowControl/>
        <w:spacing w:line="360" w:lineRule="auto"/>
        <w:ind w:firstLine="480" w:firstLineChars="200"/>
        <w:rPr>
          <w:rFonts w:ascii="宋体"/>
          <w:kern w:val="0"/>
          <w:sz w:val="24"/>
        </w:rPr>
      </w:pPr>
      <w:r>
        <w:rPr>
          <w:rFonts w:hint="eastAsia" w:ascii="宋体" w:hAnsi="宋体"/>
          <w:kern w:val="0"/>
          <w:sz w:val="24"/>
        </w:rPr>
        <w:t>（一） 采购程序</w:t>
      </w:r>
    </w:p>
    <w:p w14:paraId="2F130B2A">
      <w:pPr>
        <w:widowControl/>
        <w:spacing w:line="360" w:lineRule="auto"/>
        <w:ind w:firstLine="480" w:firstLineChars="200"/>
        <w:rPr>
          <w:rFonts w:ascii="宋体" w:hAnsi="宋体"/>
          <w:b/>
          <w:bCs/>
          <w:kern w:val="0"/>
          <w:sz w:val="24"/>
        </w:rPr>
      </w:pPr>
      <w:r>
        <w:rPr>
          <w:rFonts w:hint="eastAsia" w:ascii="宋体" w:hAnsi="宋体"/>
          <w:kern w:val="0"/>
          <w:sz w:val="24"/>
        </w:rPr>
        <w:t>1. 采购人在规定的投标截止时间（开标时间）和投标须知前附表规定的地点公开开标。本项目采用“远程不见面”的开标方式,载明远程开标大厅网址（http://122.112.246.33/BidOpening/bidopeninghallaction/hall/login ）。供应商无需到现场参加开标会议，无需到达现场提交原件资料。登录远程不见面开标大厅，在线准时参加开标活动。在规定时间内响应性文件未解密的供应商，视为放弃投标。</w:t>
      </w:r>
    </w:p>
    <w:p w14:paraId="71C50B4C">
      <w:pPr>
        <w:widowControl/>
        <w:spacing w:line="360" w:lineRule="auto"/>
        <w:ind w:firstLine="480" w:firstLineChars="200"/>
        <w:rPr>
          <w:rFonts w:ascii="宋体" w:hAnsi="宋体"/>
          <w:kern w:val="0"/>
          <w:sz w:val="24"/>
        </w:rPr>
      </w:pPr>
      <w:r>
        <w:rPr>
          <w:rFonts w:hint="eastAsia" w:ascii="宋体" w:hAnsi="宋体"/>
          <w:kern w:val="0"/>
          <w:sz w:val="24"/>
        </w:rPr>
        <w:t>2. 所有</w:t>
      </w:r>
      <w:r>
        <w:rPr>
          <w:rFonts w:hint="eastAsia" w:ascii="宋体" w:hAnsi="宋体"/>
          <w:bCs/>
          <w:kern w:val="0"/>
          <w:sz w:val="24"/>
        </w:rPr>
        <w:t>响应性</w:t>
      </w:r>
      <w:r>
        <w:rPr>
          <w:rFonts w:hint="eastAsia" w:ascii="宋体" w:hAnsi="宋体"/>
          <w:kern w:val="0"/>
          <w:sz w:val="24"/>
        </w:rPr>
        <w:t>文件必须在本竞争性谈判文件中规定的</w:t>
      </w:r>
      <w:r>
        <w:rPr>
          <w:rFonts w:hint="eastAsia" w:ascii="宋体" w:hAnsi="宋体" w:cs="宋体"/>
          <w:sz w:val="24"/>
        </w:rPr>
        <w:t>时间进行</w:t>
      </w:r>
      <w:r>
        <w:rPr>
          <w:rFonts w:hint="eastAsia" w:cs="宋体"/>
          <w:sz w:val="24"/>
        </w:rPr>
        <w:t>签到、</w:t>
      </w:r>
      <w:r>
        <w:rPr>
          <w:rFonts w:hint="eastAsia" w:ascii="宋体" w:hAnsi="宋体" w:cs="宋体"/>
          <w:sz w:val="24"/>
        </w:rPr>
        <w:t>文件解密、答疑澄清等</w:t>
      </w:r>
      <w:r>
        <w:rPr>
          <w:rFonts w:hint="eastAsia" w:ascii="宋体" w:hAnsi="宋体"/>
          <w:kern w:val="0"/>
          <w:sz w:val="24"/>
        </w:rPr>
        <w:t>，不能按时上传、解密者视为自动放弃投标。</w:t>
      </w:r>
    </w:p>
    <w:p w14:paraId="0EB1EEC5">
      <w:pPr>
        <w:widowControl/>
        <w:spacing w:line="360" w:lineRule="auto"/>
        <w:ind w:firstLine="480" w:firstLineChars="200"/>
        <w:rPr>
          <w:rFonts w:ascii="宋体" w:hAnsi="宋体"/>
          <w:kern w:val="0"/>
          <w:sz w:val="24"/>
        </w:rPr>
      </w:pPr>
      <w:r>
        <w:rPr>
          <w:rFonts w:hint="eastAsia" w:ascii="宋体" w:hAnsi="宋体"/>
          <w:kern w:val="0"/>
          <w:sz w:val="24"/>
        </w:rPr>
        <w:t xml:space="preserve">3. 供应商不足3家的，不得开标。  </w:t>
      </w:r>
    </w:p>
    <w:p w14:paraId="40110A04">
      <w:pPr>
        <w:spacing w:line="360" w:lineRule="auto"/>
        <w:ind w:firstLine="480" w:firstLineChars="200"/>
        <w:rPr>
          <w:rFonts w:ascii="宋体" w:hAnsi="宋体"/>
          <w:kern w:val="0"/>
          <w:sz w:val="24"/>
        </w:rPr>
      </w:pPr>
      <w:r>
        <w:rPr>
          <w:rFonts w:hint="eastAsia" w:ascii="宋体" w:hAnsi="宋体"/>
          <w:kern w:val="0"/>
          <w:sz w:val="24"/>
        </w:rPr>
        <w:t>4.开标当日采购人、采购代理机构通过中国执行信息公开网（zxgk.court.gov.cn）、“信用中国”（www.creditchina.gov.cn）、中国政府采购网（www.ccgp.gov.cn），对参与投标供应商信用记录进行查询，</w:t>
      </w:r>
      <w:r>
        <w:rPr>
          <w:rFonts w:hint="eastAsia" w:ascii="宋体" w:hAnsi="宋体" w:cs="宋体"/>
          <w:kern w:val="0"/>
          <w:sz w:val="24"/>
        </w:rPr>
        <w:t>对列入失信被执行人、重大税收违法失信主体、政府采购严重违法失信行为记录名单的供应商，拒绝参与政府采购活动，同时对信用信息查询记录和证据进行打印存档；</w:t>
      </w:r>
    </w:p>
    <w:p w14:paraId="525BD999">
      <w:pPr>
        <w:tabs>
          <w:tab w:val="left" w:pos="9127"/>
        </w:tabs>
        <w:spacing w:line="360" w:lineRule="auto"/>
        <w:ind w:right="-53" w:rightChars="-25" w:firstLine="480" w:firstLineChars="200"/>
        <w:rPr>
          <w:rFonts w:ascii="宋体" w:hAnsi="宋体"/>
          <w:kern w:val="0"/>
          <w:sz w:val="24"/>
        </w:rPr>
      </w:pPr>
      <w:r>
        <w:rPr>
          <w:rFonts w:hint="eastAsia" w:ascii="宋体" w:hAnsi="宋体"/>
          <w:kern w:val="0"/>
          <w:sz w:val="24"/>
        </w:rPr>
        <w:t>5. 供应商应准时参加开标会议，不能按时上传、解密者视为自动放弃投标。</w:t>
      </w:r>
    </w:p>
    <w:p w14:paraId="0503B288">
      <w:pPr>
        <w:spacing w:line="360" w:lineRule="auto"/>
        <w:ind w:firstLine="480" w:firstLineChars="200"/>
        <w:rPr>
          <w:rFonts w:ascii="宋体" w:hAnsi="宋体"/>
          <w:kern w:val="0"/>
          <w:sz w:val="24"/>
        </w:rPr>
      </w:pPr>
      <w:r>
        <w:rPr>
          <w:rFonts w:hint="eastAsia" w:ascii="宋体" w:hAnsi="宋体"/>
          <w:kern w:val="0"/>
          <w:sz w:val="24"/>
        </w:rPr>
        <w:t>6. 会议由河南腾豫工程管理有限公司主持：</w:t>
      </w:r>
    </w:p>
    <w:p w14:paraId="3DC571B0">
      <w:pPr>
        <w:spacing w:line="360" w:lineRule="auto"/>
        <w:ind w:firstLine="480" w:firstLineChars="200"/>
        <w:rPr>
          <w:rFonts w:ascii="宋体" w:hAnsi="宋体"/>
          <w:kern w:val="0"/>
          <w:sz w:val="24"/>
        </w:rPr>
      </w:pPr>
      <w:r>
        <w:rPr>
          <w:rFonts w:hint="eastAsia" w:ascii="宋体" w:hAnsi="宋体"/>
          <w:kern w:val="0"/>
          <w:sz w:val="24"/>
        </w:rPr>
        <w:t>6.1 公布在投标截止时间前递交响应性文件的供应商名称；</w:t>
      </w:r>
    </w:p>
    <w:p w14:paraId="3000F4D4">
      <w:pPr>
        <w:spacing w:line="360" w:lineRule="auto"/>
        <w:ind w:firstLine="480" w:firstLineChars="200"/>
        <w:rPr>
          <w:rFonts w:ascii="宋体" w:hAnsi="宋体"/>
          <w:kern w:val="0"/>
          <w:sz w:val="24"/>
        </w:rPr>
      </w:pPr>
      <w:r>
        <w:rPr>
          <w:rFonts w:hint="eastAsia" w:ascii="宋体" w:hAnsi="宋体"/>
          <w:kern w:val="0"/>
          <w:sz w:val="24"/>
        </w:rPr>
        <w:t>6.2 供应商通过电子招标投标交易平台对已递交的电子响应性文件在规定时间内进行解密；</w:t>
      </w:r>
    </w:p>
    <w:p w14:paraId="589C63DA">
      <w:pPr>
        <w:spacing w:line="360" w:lineRule="auto"/>
        <w:ind w:firstLine="480" w:firstLineChars="200"/>
        <w:rPr>
          <w:rFonts w:ascii="宋体" w:hAnsi="宋体"/>
          <w:kern w:val="0"/>
          <w:sz w:val="24"/>
        </w:rPr>
      </w:pPr>
      <w:r>
        <w:rPr>
          <w:rFonts w:hint="eastAsia" w:ascii="宋体" w:hAnsi="宋体"/>
          <w:kern w:val="0"/>
          <w:sz w:val="24"/>
        </w:rPr>
        <w:t>6.3 批量导入文件；</w:t>
      </w:r>
    </w:p>
    <w:p w14:paraId="25263B25">
      <w:pPr>
        <w:spacing w:line="360" w:lineRule="auto"/>
        <w:ind w:firstLine="480" w:firstLineChars="200"/>
        <w:rPr>
          <w:rFonts w:ascii="宋体" w:hAnsi="宋体"/>
          <w:kern w:val="0"/>
          <w:sz w:val="24"/>
        </w:rPr>
      </w:pPr>
      <w:r>
        <w:rPr>
          <w:rFonts w:hint="eastAsia" w:ascii="宋体" w:hAnsi="宋体"/>
          <w:kern w:val="0"/>
          <w:sz w:val="24"/>
        </w:rPr>
        <w:t>6.4 代理机构将通过焦作市电子招投标交易平台进行唱标，并公布采购项目名称、供应商名称、</w:t>
      </w:r>
      <w:r>
        <w:rPr>
          <w:rFonts w:hint="eastAsia" w:ascii="宋体" w:hAnsi="宋体" w:cs="宋体"/>
          <w:color w:val="auto"/>
          <w:kern w:val="0"/>
          <w:sz w:val="24"/>
          <w:highlight w:val="none"/>
          <w:lang w:val="en-US" w:eastAsia="zh-CN"/>
        </w:rPr>
        <w:t>合同履行期限</w:t>
      </w:r>
      <w:r>
        <w:rPr>
          <w:rFonts w:hint="eastAsia" w:ascii="宋体" w:hAnsi="宋体"/>
          <w:kern w:val="0"/>
          <w:sz w:val="24"/>
        </w:rPr>
        <w:t>等其他内容，并记录在案；</w:t>
      </w:r>
    </w:p>
    <w:p w14:paraId="291F3882">
      <w:pPr>
        <w:spacing w:line="360" w:lineRule="auto"/>
        <w:ind w:firstLine="480" w:firstLineChars="200"/>
        <w:rPr>
          <w:rFonts w:ascii="宋体" w:hAnsi="宋体"/>
          <w:kern w:val="0"/>
          <w:sz w:val="24"/>
        </w:rPr>
      </w:pPr>
      <w:r>
        <w:rPr>
          <w:rFonts w:hint="eastAsia" w:ascii="宋体" w:hAnsi="宋体"/>
          <w:kern w:val="0"/>
          <w:sz w:val="24"/>
        </w:rPr>
        <w:t>6.5 采购人代表、监督人等有关人员按具体现场系统情况在开标记录上签字确认；</w:t>
      </w:r>
    </w:p>
    <w:p w14:paraId="04A280EB">
      <w:pPr>
        <w:spacing w:line="360" w:lineRule="auto"/>
        <w:ind w:firstLine="480" w:firstLineChars="200"/>
        <w:rPr>
          <w:rFonts w:ascii="宋体" w:hAnsi="宋体"/>
          <w:kern w:val="0"/>
          <w:sz w:val="24"/>
        </w:rPr>
      </w:pPr>
      <w:r>
        <w:rPr>
          <w:rFonts w:hint="eastAsia" w:ascii="宋体" w:hAnsi="宋体"/>
          <w:kern w:val="0"/>
          <w:sz w:val="24"/>
        </w:rPr>
        <w:t>6.6 开标结束。</w:t>
      </w:r>
    </w:p>
    <w:p w14:paraId="3A6E5EB9">
      <w:pPr>
        <w:spacing w:line="360" w:lineRule="auto"/>
        <w:ind w:firstLine="480" w:firstLineChars="200"/>
        <w:rPr>
          <w:rFonts w:ascii="宋体" w:hAnsi="宋体"/>
          <w:kern w:val="0"/>
          <w:sz w:val="24"/>
        </w:rPr>
      </w:pPr>
      <w:r>
        <w:rPr>
          <w:rFonts w:hint="eastAsia" w:ascii="宋体" w:hAnsi="宋体"/>
          <w:kern w:val="0"/>
          <w:sz w:val="24"/>
        </w:rPr>
        <w:t>6.7开标异议</w:t>
      </w:r>
    </w:p>
    <w:p w14:paraId="030BDA50">
      <w:pPr>
        <w:spacing w:line="360" w:lineRule="auto"/>
        <w:ind w:firstLine="480" w:firstLineChars="200"/>
        <w:rPr>
          <w:rFonts w:ascii="宋体" w:hAnsi="宋体"/>
          <w:kern w:val="0"/>
          <w:sz w:val="24"/>
        </w:rPr>
      </w:pPr>
      <w:r>
        <w:rPr>
          <w:rFonts w:hint="eastAsia" w:ascii="宋体" w:hAnsi="宋体"/>
          <w:kern w:val="0"/>
          <w:sz w:val="24"/>
        </w:rPr>
        <w:t>供应商对开标有异议的，应当在开标现场提出（</w:t>
      </w:r>
      <w:bookmarkStart w:id="22" w:name="_Toc12998"/>
      <w:r>
        <w:rPr>
          <w:rFonts w:hint="eastAsia" w:ascii="宋体" w:hAnsi="宋体"/>
          <w:kern w:val="0"/>
          <w:sz w:val="24"/>
        </w:rPr>
        <w:t>语音异议</w:t>
      </w:r>
      <w:bookmarkEnd w:id="22"/>
      <w:r>
        <w:rPr>
          <w:rFonts w:hint="eastAsia" w:ascii="宋体" w:hAnsi="宋体"/>
          <w:kern w:val="0"/>
          <w:sz w:val="24"/>
        </w:rPr>
        <w:t>、</w:t>
      </w:r>
      <w:bookmarkStart w:id="23" w:name="_Toc20745"/>
      <w:r>
        <w:rPr>
          <w:rFonts w:hint="eastAsia" w:ascii="宋体" w:hAnsi="宋体"/>
          <w:kern w:val="0"/>
          <w:sz w:val="24"/>
        </w:rPr>
        <w:t>文字异议</w:t>
      </w:r>
      <w:bookmarkEnd w:id="23"/>
      <w:r>
        <w:rPr>
          <w:rFonts w:hint="eastAsia" w:ascii="宋体" w:hAnsi="宋体"/>
          <w:kern w:val="0"/>
          <w:sz w:val="24"/>
        </w:rPr>
        <w:t>），采购人当场作出答复，并制作记录。</w:t>
      </w:r>
    </w:p>
    <w:p w14:paraId="5A42E949">
      <w:pPr>
        <w:spacing w:line="360" w:lineRule="auto"/>
        <w:ind w:firstLine="480" w:firstLineChars="200"/>
        <w:rPr>
          <w:rFonts w:ascii="宋体" w:hAnsi="宋体"/>
          <w:kern w:val="0"/>
          <w:sz w:val="24"/>
        </w:rPr>
      </w:pPr>
      <w:r>
        <w:rPr>
          <w:rFonts w:hint="eastAsia" w:ascii="宋体" w:hAnsi="宋体"/>
          <w:kern w:val="0"/>
          <w:sz w:val="24"/>
        </w:rPr>
        <w:t>6.8开标异常处理</w:t>
      </w:r>
    </w:p>
    <w:p w14:paraId="13326074">
      <w:pPr>
        <w:spacing w:line="360" w:lineRule="auto"/>
        <w:ind w:firstLine="480" w:firstLineChars="200"/>
        <w:rPr>
          <w:rFonts w:ascii="宋体" w:hAnsi="宋体"/>
          <w:kern w:val="0"/>
          <w:sz w:val="24"/>
        </w:rPr>
      </w:pPr>
      <w:r>
        <w:rPr>
          <w:rFonts w:hint="eastAsia" w:ascii="宋体" w:hAnsi="宋体"/>
          <w:kern w:val="0"/>
          <w:sz w:val="24"/>
        </w:rPr>
        <w:t>当出现以下情况时，应对未开标的项目中止电子开标，对原有资料及信息作出妥善保密处理，并在恢复正常后及时安排时间开标：</w:t>
      </w:r>
    </w:p>
    <w:p w14:paraId="662317B7">
      <w:pPr>
        <w:spacing w:line="360" w:lineRule="auto"/>
        <w:ind w:firstLine="480" w:firstLineChars="200"/>
        <w:rPr>
          <w:rFonts w:ascii="宋体" w:hAnsi="宋体"/>
          <w:kern w:val="0"/>
          <w:sz w:val="24"/>
        </w:rPr>
      </w:pPr>
      <w:r>
        <w:rPr>
          <w:rFonts w:hint="eastAsia" w:ascii="宋体" w:hAnsi="宋体"/>
          <w:kern w:val="0"/>
          <w:sz w:val="24"/>
        </w:rPr>
        <w:t>6.8.1 系统服务器发生故障，无法访问或无法使用系统；</w:t>
      </w:r>
    </w:p>
    <w:p w14:paraId="6E9FD906">
      <w:pPr>
        <w:spacing w:line="360" w:lineRule="auto"/>
        <w:ind w:firstLine="480" w:firstLineChars="200"/>
        <w:rPr>
          <w:rFonts w:ascii="宋体" w:hAnsi="宋体"/>
          <w:kern w:val="0"/>
          <w:sz w:val="24"/>
        </w:rPr>
      </w:pPr>
      <w:r>
        <w:rPr>
          <w:rFonts w:hint="eastAsia" w:ascii="宋体" w:hAnsi="宋体"/>
          <w:kern w:val="0"/>
          <w:sz w:val="24"/>
        </w:rPr>
        <w:t>6.8.2 系统的软件或数据库出现错误，不能进行正常操作；</w:t>
      </w:r>
    </w:p>
    <w:p w14:paraId="60B91AC1">
      <w:pPr>
        <w:spacing w:line="360" w:lineRule="auto"/>
        <w:ind w:firstLine="480" w:firstLineChars="200"/>
        <w:rPr>
          <w:rFonts w:ascii="宋体" w:hAnsi="宋体"/>
          <w:kern w:val="0"/>
          <w:sz w:val="24"/>
        </w:rPr>
      </w:pPr>
      <w:r>
        <w:rPr>
          <w:rFonts w:hint="eastAsia" w:ascii="宋体" w:hAnsi="宋体"/>
          <w:kern w:val="0"/>
          <w:sz w:val="24"/>
        </w:rPr>
        <w:t>6.8.3 系统发现有安全漏洞，有潜在的泄密危险；</w:t>
      </w:r>
    </w:p>
    <w:p w14:paraId="13B6269B">
      <w:pPr>
        <w:spacing w:line="360" w:lineRule="auto"/>
        <w:ind w:firstLine="480" w:firstLineChars="200"/>
        <w:rPr>
          <w:rFonts w:ascii="宋体" w:hAnsi="宋体"/>
          <w:kern w:val="0"/>
          <w:sz w:val="24"/>
        </w:rPr>
      </w:pPr>
      <w:r>
        <w:rPr>
          <w:rFonts w:hint="eastAsia" w:ascii="宋体" w:hAnsi="宋体"/>
          <w:kern w:val="0"/>
          <w:sz w:val="24"/>
        </w:rPr>
        <w:t>6.8.4 出现断电事故且短时间内无法恢复供电；</w:t>
      </w:r>
    </w:p>
    <w:p w14:paraId="4198C004">
      <w:pPr>
        <w:spacing w:line="360" w:lineRule="auto"/>
        <w:ind w:firstLine="480" w:firstLineChars="200"/>
        <w:rPr>
          <w:rFonts w:ascii="宋体" w:hAnsi="宋体"/>
          <w:kern w:val="0"/>
          <w:sz w:val="24"/>
        </w:rPr>
      </w:pPr>
      <w:r>
        <w:rPr>
          <w:rFonts w:hint="eastAsia" w:ascii="宋体" w:hAnsi="宋体"/>
          <w:kern w:val="0"/>
          <w:sz w:val="24"/>
        </w:rPr>
        <w:t>6.8.5 其他无法保证招投标过程正常进行的情形；</w:t>
      </w:r>
    </w:p>
    <w:p w14:paraId="45522859">
      <w:pPr>
        <w:spacing w:line="360" w:lineRule="auto"/>
        <w:ind w:firstLine="480" w:firstLineChars="200"/>
        <w:rPr>
          <w:rFonts w:ascii="宋体" w:hAnsi="宋体"/>
          <w:kern w:val="0"/>
          <w:sz w:val="24"/>
        </w:rPr>
      </w:pPr>
      <w:r>
        <w:rPr>
          <w:rFonts w:hint="eastAsia" w:ascii="宋体" w:hAnsi="宋体"/>
          <w:kern w:val="0"/>
          <w:sz w:val="24"/>
        </w:rPr>
        <w:t>6.9合格供应商不足3家的，将不再评标</w:t>
      </w:r>
    </w:p>
    <w:p w14:paraId="0C58AD08">
      <w:pPr>
        <w:numPr>
          <w:ilvl w:val="0"/>
          <w:numId w:val="4"/>
        </w:numPr>
        <w:spacing w:line="360" w:lineRule="auto"/>
        <w:ind w:firstLine="480" w:firstLineChars="200"/>
        <w:rPr>
          <w:rFonts w:ascii="宋体" w:hAnsi="宋体"/>
          <w:kern w:val="0"/>
          <w:sz w:val="24"/>
        </w:rPr>
      </w:pPr>
      <w:r>
        <w:rPr>
          <w:rFonts w:hint="eastAsia" w:ascii="宋体" w:hAnsi="宋体"/>
          <w:kern w:val="0"/>
          <w:sz w:val="24"/>
        </w:rPr>
        <w:t>组建谈判小组</w:t>
      </w:r>
    </w:p>
    <w:p w14:paraId="4D723B7B">
      <w:pPr>
        <w:spacing w:line="360" w:lineRule="auto"/>
        <w:ind w:firstLine="480" w:firstLineChars="200"/>
        <w:rPr>
          <w:rFonts w:ascii="宋体" w:hAnsi="宋体"/>
          <w:kern w:val="0"/>
          <w:sz w:val="24"/>
        </w:rPr>
      </w:pPr>
      <w:r>
        <w:rPr>
          <w:rFonts w:hint="eastAsia" w:ascii="宋体" w:hAnsi="宋体"/>
          <w:kern w:val="0"/>
          <w:sz w:val="24"/>
        </w:rPr>
        <w:t>7.1 采购人根据采购项目的特点依法组建竞争性谈判小组。</w:t>
      </w:r>
    </w:p>
    <w:p w14:paraId="24F4C7BB">
      <w:pPr>
        <w:spacing w:line="360" w:lineRule="auto"/>
        <w:ind w:firstLine="480" w:firstLineChars="200"/>
        <w:rPr>
          <w:rFonts w:ascii="宋体" w:hAnsi="宋体"/>
          <w:kern w:val="0"/>
          <w:sz w:val="24"/>
        </w:rPr>
      </w:pPr>
      <w:r>
        <w:rPr>
          <w:rFonts w:hint="eastAsia" w:ascii="宋体" w:hAnsi="宋体"/>
          <w:kern w:val="0"/>
          <w:sz w:val="24"/>
        </w:rPr>
        <w:t>本项目采用远程异地评标，竞争性谈判小组由采购人代表和政府采购专家库中随机抽取的评审专家共3人组成。</w:t>
      </w:r>
    </w:p>
    <w:p w14:paraId="3E957186">
      <w:pPr>
        <w:spacing w:line="360" w:lineRule="auto"/>
        <w:ind w:firstLine="480" w:firstLineChars="200"/>
        <w:rPr>
          <w:rFonts w:ascii="宋体" w:hAnsi="宋体"/>
          <w:kern w:val="0"/>
          <w:sz w:val="24"/>
        </w:rPr>
      </w:pPr>
      <w:r>
        <w:rPr>
          <w:rFonts w:hint="eastAsia" w:ascii="宋体" w:hAnsi="宋体"/>
          <w:kern w:val="0"/>
          <w:sz w:val="24"/>
        </w:rPr>
        <w:t>7.2 谈判小组负责具体的评标事务，并独立履行以下职责：</w:t>
      </w:r>
    </w:p>
    <w:p w14:paraId="08038783">
      <w:pPr>
        <w:spacing w:line="360" w:lineRule="auto"/>
        <w:ind w:firstLine="480" w:firstLineChars="200"/>
        <w:rPr>
          <w:rFonts w:ascii="宋体" w:hAnsi="宋体"/>
          <w:kern w:val="0"/>
          <w:sz w:val="24"/>
        </w:rPr>
      </w:pPr>
      <w:r>
        <w:rPr>
          <w:rFonts w:hint="eastAsia" w:ascii="宋体" w:hAnsi="宋体"/>
          <w:kern w:val="0"/>
          <w:sz w:val="24"/>
        </w:rPr>
        <w:t>7.2.1 审查、评价响应性文件是否符合谈判文件的实质性要求；</w:t>
      </w:r>
    </w:p>
    <w:p w14:paraId="0837B03C">
      <w:pPr>
        <w:spacing w:line="360" w:lineRule="auto"/>
        <w:ind w:firstLine="480" w:firstLineChars="200"/>
        <w:rPr>
          <w:rFonts w:ascii="宋体" w:hAnsi="宋体"/>
          <w:kern w:val="0"/>
          <w:sz w:val="24"/>
        </w:rPr>
      </w:pPr>
      <w:r>
        <w:rPr>
          <w:rFonts w:hint="eastAsia" w:ascii="宋体" w:hAnsi="宋体"/>
          <w:kern w:val="0"/>
          <w:sz w:val="24"/>
        </w:rPr>
        <w:t>7.2.2 要求供应商对响应性文件有关事项作出澄清或者说明；</w:t>
      </w:r>
    </w:p>
    <w:p w14:paraId="64D2F9ED">
      <w:pPr>
        <w:spacing w:line="360" w:lineRule="auto"/>
        <w:ind w:firstLine="480" w:firstLineChars="200"/>
        <w:rPr>
          <w:rFonts w:ascii="宋体" w:hAnsi="宋体"/>
          <w:kern w:val="0"/>
          <w:sz w:val="24"/>
        </w:rPr>
      </w:pPr>
      <w:r>
        <w:rPr>
          <w:rFonts w:hint="eastAsia" w:ascii="宋体" w:hAnsi="宋体"/>
          <w:kern w:val="0"/>
          <w:sz w:val="24"/>
        </w:rPr>
        <w:t>7.2.3 对响应性文件进行比较和评价；</w:t>
      </w:r>
    </w:p>
    <w:p w14:paraId="648D3881">
      <w:pPr>
        <w:spacing w:line="360" w:lineRule="auto"/>
        <w:ind w:firstLine="480" w:firstLineChars="200"/>
        <w:rPr>
          <w:rFonts w:ascii="宋体" w:hAnsi="宋体"/>
          <w:kern w:val="0"/>
          <w:sz w:val="24"/>
        </w:rPr>
      </w:pPr>
      <w:r>
        <w:rPr>
          <w:rFonts w:hint="eastAsia" w:ascii="宋体" w:hAnsi="宋体"/>
          <w:kern w:val="0"/>
          <w:sz w:val="24"/>
        </w:rPr>
        <w:t>7.2.4推荐成交供应商名单；</w:t>
      </w:r>
    </w:p>
    <w:p w14:paraId="786C1765">
      <w:pPr>
        <w:spacing w:line="360" w:lineRule="auto"/>
        <w:ind w:firstLine="480" w:firstLineChars="200"/>
        <w:rPr>
          <w:rFonts w:ascii="宋体" w:hAnsi="宋体"/>
          <w:kern w:val="0"/>
          <w:sz w:val="24"/>
        </w:rPr>
      </w:pPr>
      <w:r>
        <w:rPr>
          <w:rFonts w:hint="eastAsia" w:ascii="宋体" w:hAnsi="宋体"/>
          <w:kern w:val="0"/>
          <w:sz w:val="24"/>
        </w:rPr>
        <w:t>7.2.5 向采购人、采购代理机构或者有关部门报告评标中发现的违法行为。</w:t>
      </w:r>
    </w:p>
    <w:p w14:paraId="6EDCCABF">
      <w:pPr>
        <w:spacing w:line="360" w:lineRule="auto"/>
        <w:ind w:firstLine="480" w:firstLineChars="200"/>
        <w:rPr>
          <w:rFonts w:ascii="宋体" w:hAnsi="宋体"/>
          <w:kern w:val="0"/>
          <w:sz w:val="24"/>
        </w:rPr>
      </w:pPr>
      <w:r>
        <w:rPr>
          <w:rFonts w:hint="eastAsia" w:ascii="宋体" w:hAnsi="宋体"/>
          <w:kern w:val="0"/>
          <w:sz w:val="24"/>
        </w:rPr>
        <w:t>7.3 评标中因谈判小组的缺席、回避或者健康等特殊原因导致谈判小组组成不符合本办法规定的，采购人或者采购代理机构应当依法补足后继续评标。被更换的谈判小组成员所作出的评标意见无效。</w:t>
      </w:r>
    </w:p>
    <w:p w14:paraId="074B5F4E">
      <w:pPr>
        <w:spacing w:line="360" w:lineRule="auto"/>
        <w:ind w:firstLine="480" w:firstLineChars="200"/>
        <w:rPr>
          <w:rFonts w:ascii="宋体" w:hAnsi="宋体"/>
          <w:kern w:val="0"/>
          <w:sz w:val="24"/>
        </w:rPr>
      </w:pPr>
      <w:r>
        <w:rPr>
          <w:rFonts w:hint="eastAsia" w:ascii="宋体" w:hAnsi="宋体"/>
          <w:kern w:val="0"/>
          <w:sz w:val="24"/>
        </w:rPr>
        <w:t>7.4 无法及时补足谈判小组成员的，采购人或者采购代理机构应当停止评标活动，封存所有响应性文件和开标、评标资料，依法重新组建谈判小组进行评标。原谈判小组所作出的评标意见无效。</w:t>
      </w:r>
    </w:p>
    <w:p w14:paraId="122C0E5A">
      <w:pPr>
        <w:spacing w:line="360" w:lineRule="auto"/>
        <w:ind w:firstLine="480" w:firstLineChars="200"/>
        <w:rPr>
          <w:rFonts w:ascii="宋体" w:hAnsi="宋体"/>
          <w:kern w:val="0"/>
          <w:sz w:val="24"/>
        </w:rPr>
      </w:pPr>
      <w:r>
        <w:rPr>
          <w:rFonts w:hint="eastAsia" w:ascii="宋体" w:hAnsi="宋体"/>
          <w:kern w:val="0"/>
          <w:sz w:val="24"/>
        </w:rPr>
        <w:t>7.5 采购人或者采购代理机构应当将变更、重新组建谈判小组的情况予以记录，并随采购文件一并存档。</w:t>
      </w:r>
    </w:p>
    <w:p w14:paraId="08F881B8">
      <w:pPr>
        <w:spacing w:line="360" w:lineRule="auto"/>
        <w:ind w:firstLine="480" w:firstLineChars="200"/>
        <w:rPr>
          <w:rFonts w:ascii="宋体" w:hAnsi="宋体"/>
          <w:kern w:val="0"/>
          <w:sz w:val="24"/>
        </w:rPr>
      </w:pPr>
      <w:r>
        <w:rPr>
          <w:rFonts w:hint="eastAsia" w:ascii="宋体" w:hAnsi="宋体"/>
          <w:kern w:val="0"/>
          <w:sz w:val="24"/>
        </w:rPr>
        <w:t>7.6 谈判小组应当对符合资格的供应商的响应性文件进行资格性审查，以确定其是否满足竞争性谈判文件的实质性要求。</w:t>
      </w:r>
    </w:p>
    <w:p w14:paraId="7F41D4B9">
      <w:pPr>
        <w:spacing w:line="360" w:lineRule="auto"/>
        <w:ind w:firstLine="480" w:firstLineChars="200"/>
        <w:rPr>
          <w:rFonts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21256CAA">
      <w:pPr>
        <w:spacing w:line="360" w:lineRule="auto"/>
        <w:ind w:firstLine="480" w:firstLineChars="200"/>
        <w:rPr>
          <w:rFonts w:ascii="宋体" w:hAnsi="宋体"/>
          <w:kern w:val="0"/>
          <w:sz w:val="24"/>
        </w:rPr>
      </w:pPr>
      <w:r>
        <w:rPr>
          <w:rFonts w:hint="eastAsia" w:ascii="宋体" w:hAnsi="宋体"/>
          <w:kern w:val="0"/>
          <w:sz w:val="24"/>
        </w:rPr>
        <w:t xml:space="preserve">8. 符合性审查 </w:t>
      </w:r>
    </w:p>
    <w:p w14:paraId="52EEB452">
      <w:pPr>
        <w:spacing w:line="360" w:lineRule="auto"/>
        <w:ind w:firstLine="480" w:firstLineChars="200"/>
        <w:rPr>
          <w:rFonts w:ascii="宋体" w:hAnsi="宋体"/>
          <w:kern w:val="0"/>
          <w:sz w:val="24"/>
        </w:rPr>
      </w:pPr>
      <w:r>
        <w:rPr>
          <w:rFonts w:hint="eastAsia" w:ascii="宋体" w:hAnsi="宋体"/>
          <w:kern w:val="0"/>
          <w:sz w:val="24"/>
        </w:rPr>
        <w:t>8.1对资格性检查合格的供应商递交的响应性文件，依据竞争性谈判文件的规定，从响应性文件的有效性、完整性和对谈判文件的响应程度，审查响应性文件是否对谈判文件的实质性要求作出了响应。</w:t>
      </w:r>
    </w:p>
    <w:p w14:paraId="21BCFC30">
      <w:pPr>
        <w:spacing w:line="360" w:lineRule="auto"/>
        <w:ind w:firstLine="480" w:firstLineChars="200"/>
        <w:rPr>
          <w:rFonts w:ascii="宋体" w:hAnsi="宋体"/>
          <w:kern w:val="0"/>
          <w:sz w:val="24"/>
        </w:rPr>
      </w:pPr>
      <w:r>
        <w:rPr>
          <w:rFonts w:hint="eastAsia" w:ascii="宋体" w:hAnsi="宋体"/>
          <w:kern w:val="0"/>
          <w:sz w:val="24"/>
        </w:rPr>
        <w:t>8.2本次招标采用电子化评标，如“焦作市电子招投标交易平台”系统出现故障，导致无法继续评审工作的，可暂停评标，对原有资料及信息作出妥善保密处理，待电子评标系统恢复正常之后组织评审。</w:t>
      </w:r>
    </w:p>
    <w:p w14:paraId="55D76742">
      <w:pPr>
        <w:spacing w:line="360" w:lineRule="auto"/>
        <w:ind w:firstLine="480" w:firstLineChars="200"/>
        <w:rPr>
          <w:rFonts w:ascii="宋体" w:hAnsi="宋体"/>
          <w:kern w:val="0"/>
          <w:sz w:val="24"/>
        </w:rPr>
      </w:pPr>
      <w:r>
        <w:rPr>
          <w:rFonts w:hint="eastAsia" w:ascii="宋体" w:hAnsi="宋体"/>
          <w:kern w:val="0"/>
          <w:sz w:val="24"/>
        </w:rPr>
        <w:t>8.3实质性响应的投标是指与谈判文件的全部条款、条件和规格相符，没有重大偏离。</w:t>
      </w:r>
    </w:p>
    <w:p w14:paraId="78BE81D2">
      <w:pPr>
        <w:spacing w:line="360" w:lineRule="auto"/>
        <w:ind w:firstLine="480" w:firstLineChars="200"/>
        <w:rPr>
          <w:rFonts w:ascii="宋体" w:hAnsi="宋体"/>
          <w:kern w:val="0"/>
          <w:sz w:val="24"/>
        </w:rPr>
      </w:pPr>
      <w:r>
        <w:rPr>
          <w:rFonts w:hint="eastAsia" w:ascii="宋体" w:hAnsi="宋体"/>
          <w:kern w:val="0"/>
          <w:sz w:val="24"/>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5DEC9958">
      <w:pPr>
        <w:spacing w:line="360" w:lineRule="auto"/>
        <w:ind w:firstLine="480" w:firstLineChars="200"/>
        <w:rPr>
          <w:rFonts w:ascii="宋体" w:hAnsi="宋体"/>
          <w:kern w:val="0"/>
          <w:sz w:val="24"/>
        </w:rPr>
      </w:pPr>
      <w:r>
        <w:rPr>
          <w:rFonts w:hint="eastAsia" w:ascii="宋体" w:hAnsi="宋体"/>
          <w:kern w:val="0"/>
          <w:sz w:val="24"/>
        </w:rPr>
        <w:t>8.5 如果响应性文件实质上没有响应谈判文件的要求，将作为无效投标处理，供应商不得再对响应性文件进行任何修正从而使其投标成为实质上响应的投标。</w:t>
      </w:r>
    </w:p>
    <w:p w14:paraId="7AB66C5B">
      <w:pPr>
        <w:spacing w:line="360" w:lineRule="auto"/>
        <w:ind w:firstLine="480" w:firstLineChars="200"/>
        <w:rPr>
          <w:rFonts w:ascii="宋体" w:hAnsi="宋体"/>
          <w:kern w:val="0"/>
          <w:sz w:val="24"/>
        </w:rPr>
      </w:pPr>
      <w:r>
        <w:rPr>
          <w:rFonts w:hint="eastAsia" w:ascii="宋体" w:hAnsi="宋体"/>
          <w:kern w:val="0"/>
          <w:sz w:val="24"/>
        </w:rPr>
        <w:t>8.6竞争性谈判小组审定响应文件的响应性只根据响应文件本身的内容而不寻求外部证据。</w:t>
      </w:r>
    </w:p>
    <w:p w14:paraId="6F01898A">
      <w:pPr>
        <w:widowControl/>
        <w:spacing w:line="360" w:lineRule="auto"/>
        <w:ind w:firstLine="480" w:firstLineChars="200"/>
        <w:rPr>
          <w:rFonts w:ascii="宋体" w:hAnsi="宋体"/>
          <w:kern w:val="0"/>
          <w:sz w:val="24"/>
        </w:rPr>
      </w:pPr>
      <w:r>
        <w:rPr>
          <w:rFonts w:hint="eastAsia" w:ascii="宋体" w:hAnsi="宋体"/>
          <w:kern w:val="0"/>
          <w:sz w:val="24"/>
        </w:rPr>
        <w:t>8.7 竞争性谈判小组对竞争性谈判响应文件进行审查、质疑、评估和比较。</w:t>
      </w:r>
    </w:p>
    <w:p w14:paraId="5727B384">
      <w:pPr>
        <w:widowControl/>
        <w:spacing w:line="360" w:lineRule="auto"/>
        <w:ind w:firstLine="480" w:firstLineChars="200"/>
        <w:rPr>
          <w:rFonts w:ascii="宋体" w:hAnsi="宋体"/>
          <w:kern w:val="0"/>
          <w:sz w:val="24"/>
        </w:rPr>
      </w:pPr>
      <w:r>
        <w:rPr>
          <w:rFonts w:hint="eastAsia" w:ascii="宋体" w:hAnsi="宋体"/>
          <w:kern w:val="0"/>
          <w:sz w:val="24"/>
        </w:rPr>
        <w:t>8.8 竞争性谈判小组在竞争性谈判文件规定的时间和地点对供应商的响应性文件进行审查，竞争性谈判小组发起二轮报价，通过初步审查的供应商在规定时间内通过不见面开标系统进行二轮报价。</w:t>
      </w:r>
    </w:p>
    <w:p w14:paraId="39344E83">
      <w:pPr>
        <w:widowControl/>
        <w:spacing w:line="5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投标供应商在系统进行第二轮报价时，需以附件方式上传第二轮报价表电子版(PDF格式)，未提供第二轮报价表电子版（PDF）的视为无效标处理。</w:t>
      </w:r>
    </w:p>
    <w:p w14:paraId="21D2FFEE">
      <w:pPr>
        <w:widowControl/>
        <w:spacing w:line="5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投标供应商的第二轮报价如高于第一轮报价，则该投标供应商的投标价以第一轮报价为准。</w:t>
      </w:r>
    </w:p>
    <w:p w14:paraId="053A3AA9">
      <w:pPr>
        <w:widowControl/>
        <w:spacing w:line="360" w:lineRule="auto"/>
        <w:ind w:firstLine="480" w:firstLineChars="200"/>
        <w:rPr>
          <w:rFonts w:ascii="宋体"/>
          <w:kern w:val="0"/>
          <w:sz w:val="24"/>
        </w:rPr>
      </w:pPr>
      <w:r>
        <w:rPr>
          <w:rFonts w:hint="eastAsia" w:ascii="宋体" w:hAnsi="宋体"/>
          <w:kern w:val="0"/>
          <w:sz w:val="24"/>
        </w:rPr>
        <w:t>9. 根据符合采购需求报价最低，将投标报价按由低到高的顺序进行排序，推荐3名成交候选供应商。</w:t>
      </w:r>
    </w:p>
    <w:p w14:paraId="22C48627">
      <w:pPr>
        <w:widowControl/>
        <w:spacing w:line="360" w:lineRule="auto"/>
        <w:ind w:firstLine="480" w:firstLineChars="200"/>
        <w:rPr>
          <w:rFonts w:ascii="宋体"/>
          <w:kern w:val="0"/>
          <w:sz w:val="24"/>
        </w:rPr>
      </w:pPr>
      <w:r>
        <w:rPr>
          <w:rFonts w:hint="eastAsia" w:ascii="宋体" w:hAnsi="宋体" w:cs="宋体"/>
          <w:sz w:val="24"/>
        </w:rPr>
        <w:t>10. 采购代理机构应当自评审结束之日起2个工作日内将评审报告送交采购人。采购人应当自收到评审报告之日起5个工作日内，在评审报告推荐的成交候选人中按顺序确定成交供应商。</w:t>
      </w:r>
    </w:p>
    <w:p w14:paraId="4ECB4B81">
      <w:pPr>
        <w:widowControl/>
        <w:spacing w:line="360" w:lineRule="auto"/>
        <w:ind w:firstLine="480" w:firstLineChars="200"/>
        <w:rPr>
          <w:rFonts w:ascii="宋体"/>
          <w:kern w:val="0"/>
          <w:sz w:val="24"/>
        </w:rPr>
      </w:pPr>
      <w:r>
        <w:rPr>
          <w:rFonts w:hint="eastAsia" w:ascii="宋体" w:hAnsi="宋体"/>
          <w:kern w:val="0"/>
          <w:sz w:val="24"/>
        </w:rPr>
        <w:t>11. 签订合同：</w:t>
      </w:r>
      <w:r>
        <w:rPr>
          <w:rFonts w:hint="eastAsia" w:ascii="宋体" w:hAnsi="宋体" w:cs="宋体"/>
          <w:sz w:val="24"/>
        </w:rPr>
        <w:t>成交通知书发出之日起</w:t>
      </w:r>
      <w:r>
        <w:rPr>
          <w:rFonts w:hint="eastAsia" w:ascii="宋体" w:hAnsi="宋体" w:cs="宋体"/>
          <w:sz w:val="24"/>
          <w:lang w:val="en-US" w:eastAsia="zh-CN"/>
        </w:rPr>
        <w:t>7</w:t>
      </w:r>
      <w:r>
        <w:rPr>
          <w:rFonts w:hint="eastAsia" w:ascii="宋体" w:hAnsi="宋体" w:cs="宋体"/>
          <w:sz w:val="24"/>
        </w:rPr>
        <w:t>日内， 按照竞争性谈判文件确定的事项签订政府采购合同。采购人与成交人签订政府采购合同。合同中的主要条款要与竞争性谈判文件中的合同条款一致。</w:t>
      </w:r>
    </w:p>
    <w:p w14:paraId="7D053BBF">
      <w:pPr>
        <w:widowControl/>
        <w:spacing w:line="360" w:lineRule="auto"/>
        <w:ind w:firstLine="480" w:firstLineChars="200"/>
        <w:rPr>
          <w:rFonts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14:paraId="50FB46D4">
      <w:pPr>
        <w:widowControl/>
        <w:spacing w:line="360" w:lineRule="auto"/>
        <w:ind w:firstLine="480" w:firstLineChars="200"/>
        <w:rPr>
          <w:rFonts w:ascii="宋体"/>
          <w:kern w:val="0"/>
          <w:sz w:val="24"/>
        </w:rPr>
      </w:pPr>
      <w:r>
        <w:rPr>
          <w:rFonts w:hint="eastAsia" w:ascii="宋体" w:hAnsi="宋体"/>
          <w:kern w:val="0"/>
          <w:sz w:val="24"/>
        </w:rPr>
        <w:t>13. 在谈判期间，供应商不得向竞争性谈判小组成员询问其它供应商谈判情况，不得进行影响成交结果的活动。</w:t>
      </w:r>
    </w:p>
    <w:p w14:paraId="2B9E6CBC">
      <w:pPr>
        <w:widowControl/>
        <w:spacing w:line="360" w:lineRule="auto"/>
        <w:ind w:firstLine="480" w:firstLineChars="200"/>
        <w:rPr>
          <w:rFonts w:ascii="宋体"/>
          <w:kern w:val="0"/>
          <w:sz w:val="24"/>
        </w:rPr>
      </w:pPr>
      <w:r>
        <w:rPr>
          <w:rFonts w:hint="eastAsia" w:ascii="宋体" w:hAnsi="宋体"/>
          <w:kern w:val="0"/>
          <w:sz w:val="24"/>
        </w:rPr>
        <w:t>（二） 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5E6F6FD1">
      <w:pPr>
        <w:widowControl/>
        <w:spacing w:line="360" w:lineRule="auto"/>
        <w:ind w:firstLine="480" w:firstLineChars="200"/>
        <w:rPr>
          <w:rFonts w:ascii="宋体"/>
          <w:kern w:val="0"/>
          <w:sz w:val="24"/>
        </w:rPr>
      </w:pPr>
      <w:r>
        <w:rPr>
          <w:rFonts w:hint="eastAsia" w:ascii="宋体" w:hAnsi="宋体"/>
          <w:kern w:val="0"/>
          <w:sz w:val="24"/>
        </w:rPr>
        <w:t>采购小组不向未成交方解释原因，不退还响应文件。</w:t>
      </w:r>
    </w:p>
    <w:p w14:paraId="2C4BE79E">
      <w:pPr>
        <w:widowControl/>
        <w:numPr>
          <w:ilvl w:val="0"/>
          <w:numId w:val="5"/>
        </w:numPr>
        <w:spacing w:line="360" w:lineRule="auto"/>
        <w:ind w:firstLine="480" w:firstLineChars="200"/>
        <w:rPr>
          <w:rFonts w:ascii="宋体"/>
          <w:kern w:val="0"/>
          <w:sz w:val="24"/>
        </w:rPr>
      </w:pPr>
      <w:r>
        <w:rPr>
          <w:rFonts w:hint="eastAsia" w:ascii="宋体" w:hAnsi="宋体"/>
          <w:kern w:val="0"/>
          <w:sz w:val="24"/>
        </w:rPr>
        <w:t>采购成交原则</w:t>
      </w:r>
    </w:p>
    <w:p w14:paraId="002B094B">
      <w:pPr>
        <w:widowControl/>
        <w:numPr>
          <w:ilvl w:val="0"/>
          <w:numId w:val="6"/>
        </w:numPr>
        <w:spacing w:line="360" w:lineRule="auto"/>
        <w:ind w:firstLine="480" w:firstLineChars="200"/>
        <w:rPr>
          <w:rFonts w:ascii="宋体"/>
          <w:kern w:val="0"/>
          <w:sz w:val="24"/>
        </w:rPr>
      </w:pPr>
      <w:r>
        <w:rPr>
          <w:rFonts w:hint="eastAsia" w:ascii="宋体" w:hAnsi="宋体"/>
          <w:kern w:val="0"/>
          <w:sz w:val="24"/>
        </w:rPr>
        <w:t>成交原则和方法</w:t>
      </w:r>
    </w:p>
    <w:p w14:paraId="13B8FA20">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.1 公开、公平、公正</w:t>
      </w:r>
    </w:p>
    <w:p w14:paraId="73917610">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.2 技术可行，措施得当</w:t>
      </w:r>
    </w:p>
    <w:p w14:paraId="6A7D8FB8">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.3 符合采购需求，价格低者优先成交。在价格同等情况下，依次按质量及服务、提供的优惠条件等进行排序，推荐3名成交候选供应商。</w:t>
      </w:r>
    </w:p>
    <w:p w14:paraId="0453F9BB">
      <w:pPr>
        <w:widowControl/>
        <w:spacing w:line="360" w:lineRule="auto"/>
        <w:ind w:firstLine="480" w:firstLineChars="200"/>
        <w:rPr>
          <w:rFonts w:ascii="宋体" w:hAnsi="宋体"/>
          <w:kern w:val="0"/>
          <w:sz w:val="24"/>
        </w:rPr>
      </w:pPr>
      <w:r>
        <w:rPr>
          <w:rFonts w:hint="eastAsia" w:ascii="宋体" w:hAnsi="宋体"/>
          <w:kern w:val="0"/>
          <w:sz w:val="24"/>
        </w:rPr>
        <w:t>2. 竞争性谈判小组对每个参加采购单位的响应文件的实质内容进行比较。</w:t>
      </w:r>
    </w:p>
    <w:p w14:paraId="328CC0BB">
      <w:pPr>
        <w:widowControl/>
        <w:spacing w:line="360" w:lineRule="auto"/>
        <w:ind w:firstLine="480" w:firstLineChars="200"/>
        <w:rPr>
          <w:rFonts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14:paraId="57791C37">
      <w:pPr>
        <w:widowControl/>
        <w:spacing w:line="360" w:lineRule="auto"/>
        <w:ind w:firstLine="480" w:firstLineChars="200"/>
        <w:rPr>
          <w:rFonts w:ascii="宋体" w:hAnsi="宋体"/>
          <w:kern w:val="0"/>
          <w:sz w:val="24"/>
        </w:rPr>
      </w:pPr>
      <w:r>
        <w:rPr>
          <w:rFonts w:hint="eastAsia" w:ascii="宋体" w:hAnsi="宋体"/>
          <w:kern w:val="0"/>
          <w:sz w:val="24"/>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34933F1">
      <w:pPr>
        <w:widowControl/>
        <w:spacing w:line="360" w:lineRule="auto"/>
        <w:ind w:firstLine="480" w:firstLineChars="200"/>
        <w:rPr>
          <w:rFonts w:ascii="宋体" w:hAnsi="宋体"/>
          <w:kern w:val="0"/>
          <w:sz w:val="24"/>
        </w:rPr>
      </w:pPr>
      <w:r>
        <w:rPr>
          <w:rFonts w:hint="eastAsia" w:ascii="宋体" w:hAnsi="宋体"/>
          <w:kern w:val="0"/>
          <w:sz w:val="24"/>
        </w:rPr>
        <w:t>5. 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175C6AD1">
      <w:pPr>
        <w:widowControl/>
        <w:spacing w:line="360" w:lineRule="auto"/>
        <w:ind w:firstLine="480" w:firstLineChars="200"/>
        <w:rPr>
          <w:rFonts w:ascii="宋体" w:hAnsi="宋体"/>
          <w:color w:val="000000"/>
          <w:kern w:val="0"/>
          <w:sz w:val="24"/>
        </w:rPr>
      </w:pPr>
      <w:r>
        <w:rPr>
          <w:rFonts w:hint="eastAsia" w:ascii="宋体" w:hAnsi="宋体"/>
          <w:color w:val="000000"/>
          <w:kern w:val="0"/>
          <w:sz w:val="24"/>
        </w:rPr>
        <w:t>6.1对中小型或微型企业投标的扶持：</w:t>
      </w:r>
    </w:p>
    <w:p w14:paraId="140CCE2C">
      <w:pPr>
        <w:widowControl/>
        <w:spacing w:line="360" w:lineRule="auto"/>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6.1.1</w:t>
      </w:r>
      <w:r>
        <w:rPr>
          <w:rFonts w:ascii="宋体" w:hAnsi="宋体" w:eastAsia="宋体" w:cs="宋体"/>
          <w:sz w:val="24"/>
          <w:szCs w:val="24"/>
          <w:highlight w:val="none"/>
        </w:rPr>
        <w:t>小微企业应当提供《中小企业声明函》（见格式）</w:t>
      </w:r>
      <w:r>
        <w:rPr>
          <w:rFonts w:hint="eastAsia" w:ascii="宋体" w:hAnsi="宋体" w:eastAsia="宋体" w:cs="宋体"/>
          <w:sz w:val="24"/>
          <w:szCs w:val="24"/>
          <w:highlight w:val="none"/>
          <w:lang w:eastAsia="zh-CN"/>
        </w:rPr>
        <w:t>。</w:t>
      </w:r>
    </w:p>
    <w:p w14:paraId="3123D398">
      <w:pPr>
        <w:widowControl/>
        <w:spacing w:line="360" w:lineRule="auto"/>
        <w:ind w:firstLine="480" w:firstLineChars="200"/>
        <w:rPr>
          <w:rFonts w:ascii="宋体" w:hAnsi="宋体"/>
          <w:kern w:val="0"/>
          <w:sz w:val="24"/>
        </w:rPr>
      </w:pPr>
      <w:r>
        <w:rPr>
          <w:rFonts w:hint="eastAsia" w:ascii="宋体" w:hAnsi="宋体"/>
          <w:kern w:val="0"/>
          <w:sz w:val="24"/>
        </w:rPr>
        <w:t>6.2 按照《政府采购促进中小企业发展管理办法》有关规定，中小企业的标准为：</w:t>
      </w:r>
    </w:p>
    <w:p w14:paraId="5DE05464">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42B1BD02">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143DE677">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7B00FF38">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7DD124D6">
      <w:pPr>
        <w:widowControl/>
        <w:spacing w:line="360" w:lineRule="auto"/>
        <w:ind w:firstLine="480" w:firstLineChars="200"/>
        <w:rPr>
          <w:rFonts w:ascii="宋体" w:hAnsi="宋体" w:cs="宋体"/>
          <w:kern w:val="0"/>
          <w:sz w:val="24"/>
        </w:rPr>
      </w:pPr>
      <w:r>
        <w:rPr>
          <w:rFonts w:hint="eastAsia" w:ascii="宋体" w:hAnsi="宋体"/>
          <w:kern w:val="0"/>
          <w:sz w:val="24"/>
        </w:rPr>
        <w:t xml:space="preserve"> 本项目全额面向中小企业采购，供应商需提供中小企业声明函。</w:t>
      </w:r>
    </w:p>
    <w:p w14:paraId="070E9D64">
      <w:pPr>
        <w:widowControl/>
        <w:spacing w:line="360" w:lineRule="auto"/>
        <w:ind w:firstLine="480" w:firstLineChars="200"/>
        <w:rPr>
          <w:rFonts w:ascii="宋体" w:hAnsi="宋体"/>
          <w:kern w:val="0"/>
          <w:sz w:val="24"/>
        </w:rPr>
      </w:pPr>
      <w:r>
        <w:rPr>
          <w:rFonts w:hint="eastAsia" w:ascii="宋体" w:hAnsi="宋体"/>
          <w:kern w:val="0"/>
          <w:sz w:val="24"/>
        </w:rPr>
        <w:t>（四）参加竞争性谈判单位的响应文件有下列情况之一的，视为无效响应文件。</w:t>
      </w:r>
    </w:p>
    <w:p w14:paraId="6E9DCB50">
      <w:pPr>
        <w:widowControl/>
        <w:spacing w:line="360" w:lineRule="auto"/>
        <w:ind w:firstLine="480" w:firstLineChars="200"/>
        <w:rPr>
          <w:rFonts w:ascii="宋体" w:hAnsi="宋体"/>
          <w:kern w:val="0"/>
          <w:sz w:val="24"/>
        </w:rPr>
      </w:pPr>
      <w:r>
        <w:rPr>
          <w:rFonts w:hint="eastAsia" w:ascii="宋体" w:hAnsi="宋体"/>
          <w:kern w:val="0"/>
          <w:sz w:val="24"/>
        </w:rPr>
        <w:t>1. 未按竞争性谈判文件明示的规定签字或盖章的；</w:t>
      </w:r>
    </w:p>
    <w:p w14:paraId="09627E83">
      <w:pPr>
        <w:adjustRightInd w:val="0"/>
        <w:snapToGrid w:val="0"/>
        <w:spacing w:line="360" w:lineRule="auto"/>
        <w:ind w:firstLine="480" w:firstLineChars="200"/>
        <w:rPr>
          <w:rFonts w:ascii="宋体" w:hAnsi="宋体"/>
          <w:kern w:val="0"/>
          <w:sz w:val="24"/>
        </w:rPr>
      </w:pPr>
      <w:r>
        <w:rPr>
          <w:rFonts w:hint="eastAsia" w:ascii="宋体" w:hAnsi="宋体"/>
          <w:kern w:val="0"/>
          <w:sz w:val="24"/>
        </w:rPr>
        <w:t>2. 响应文件的关键内容（投标报价、</w:t>
      </w:r>
      <w:r>
        <w:rPr>
          <w:rFonts w:hint="eastAsia" w:ascii="宋体" w:hAnsi="宋体" w:cs="宋体"/>
          <w:color w:val="auto"/>
          <w:kern w:val="0"/>
          <w:sz w:val="24"/>
          <w:highlight w:val="none"/>
          <w:lang w:val="en-US" w:eastAsia="zh-CN"/>
        </w:rPr>
        <w:t>合同履行期限</w:t>
      </w:r>
      <w:r>
        <w:rPr>
          <w:rFonts w:hint="eastAsia" w:ascii="宋体" w:hAnsi="宋体"/>
          <w:kern w:val="0"/>
          <w:sz w:val="24"/>
        </w:rPr>
        <w:t>、质量要求等）未填写或填写字迹模糊无法辨认的；</w:t>
      </w:r>
    </w:p>
    <w:p w14:paraId="6014CF31">
      <w:pPr>
        <w:widowControl/>
        <w:spacing w:line="360" w:lineRule="auto"/>
        <w:ind w:firstLine="480" w:firstLineChars="200"/>
        <w:rPr>
          <w:rFonts w:ascii="宋体" w:hAnsi="宋体"/>
          <w:kern w:val="0"/>
          <w:sz w:val="24"/>
        </w:rPr>
      </w:pPr>
      <w:r>
        <w:rPr>
          <w:rFonts w:hint="eastAsia" w:ascii="宋体" w:hAnsi="宋体"/>
          <w:kern w:val="0"/>
          <w:sz w:val="24"/>
        </w:rPr>
        <w:t>3. 采购报价超出控制价的；</w:t>
      </w:r>
    </w:p>
    <w:p w14:paraId="6251FC97">
      <w:pPr>
        <w:widowControl/>
        <w:spacing w:line="360" w:lineRule="auto"/>
        <w:ind w:firstLine="480" w:firstLineChars="200"/>
        <w:rPr>
          <w:rFonts w:ascii="宋体" w:hAnsi="宋体"/>
          <w:kern w:val="0"/>
          <w:sz w:val="24"/>
        </w:rPr>
      </w:pPr>
      <w:r>
        <w:rPr>
          <w:rFonts w:hint="eastAsia" w:ascii="宋体" w:hAnsi="宋体"/>
          <w:kern w:val="0"/>
          <w:sz w:val="24"/>
        </w:rPr>
        <w:t>4. 响应文件中对同一项目有两个或多个报价，且未声明哪一个有效的；</w:t>
      </w:r>
    </w:p>
    <w:p w14:paraId="782933E3">
      <w:pPr>
        <w:widowControl/>
        <w:spacing w:line="360" w:lineRule="auto"/>
        <w:ind w:firstLine="480" w:firstLineChars="200"/>
        <w:rPr>
          <w:rFonts w:ascii="宋体" w:hAnsi="宋体"/>
          <w:kern w:val="0"/>
          <w:sz w:val="24"/>
        </w:rPr>
      </w:pPr>
      <w:r>
        <w:rPr>
          <w:rFonts w:hint="eastAsia" w:ascii="宋体" w:hAnsi="宋体"/>
          <w:kern w:val="0"/>
          <w:sz w:val="24"/>
        </w:rPr>
        <w:t>5. 相关资格证明文件不合格的；</w:t>
      </w:r>
    </w:p>
    <w:p w14:paraId="603B87ED">
      <w:pPr>
        <w:widowControl/>
        <w:spacing w:line="360" w:lineRule="auto"/>
        <w:ind w:firstLine="480" w:firstLineChars="200"/>
        <w:rPr>
          <w:rFonts w:ascii="宋体" w:hAnsi="宋体"/>
          <w:kern w:val="0"/>
          <w:sz w:val="24"/>
        </w:rPr>
      </w:pPr>
      <w:r>
        <w:rPr>
          <w:rFonts w:hint="eastAsia" w:ascii="宋体" w:hAnsi="宋体"/>
          <w:kern w:val="0"/>
          <w:sz w:val="24"/>
        </w:rPr>
        <w:t>6. 响应文件中附有采购人不能接受的条件的；</w:t>
      </w:r>
    </w:p>
    <w:p w14:paraId="18ECABED">
      <w:pPr>
        <w:widowControl/>
        <w:spacing w:line="360" w:lineRule="auto"/>
        <w:ind w:firstLine="480" w:firstLineChars="200"/>
        <w:rPr>
          <w:rFonts w:ascii="宋体" w:hAnsi="宋体"/>
          <w:kern w:val="0"/>
          <w:sz w:val="24"/>
        </w:rPr>
      </w:pPr>
      <w:r>
        <w:rPr>
          <w:rFonts w:hint="eastAsia" w:ascii="宋体" w:hAnsi="宋体"/>
          <w:kern w:val="0"/>
          <w:sz w:val="24"/>
        </w:rPr>
        <w:t>7. 响应文件有明显不符合竞争性谈判文件其它要求和有关法律法规的；</w:t>
      </w:r>
    </w:p>
    <w:p w14:paraId="6926C663">
      <w:pPr>
        <w:widowControl/>
        <w:spacing w:line="360" w:lineRule="auto"/>
        <w:ind w:firstLine="480" w:firstLineChars="200"/>
      </w:pPr>
      <w:r>
        <w:rPr>
          <w:rFonts w:hint="eastAsia" w:ascii="宋体" w:hAnsi="宋体"/>
          <w:kern w:val="0"/>
          <w:sz w:val="24"/>
        </w:rPr>
        <w:t>8. 评标过程中，如因两个或两个以上供应商在同一台计算或同一个IP上传响应文件，而被不见面开标系统提示为“投标文件制作机器码一致”的，则视其投标无效；</w:t>
      </w:r>
    </w:p>
    <w:p w14:paraId="404A4421">
      <w:pPr>
        <w:widowControl/>
        <w:spacing w:line="360" w:lineRule="auto"/>
        <w:ind w:firstLine="480" w:firstLineChars="200"/>
        <w:rPr>
          <w:rFonts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4B947EC">
      <w:pPr>
        <w:widowControl/>
        <w:spacing w:line="360" w:lineRule="auto"/>
        <w:ind w:firstLine="480" w:firstLineChars="200"/>
        <w:rPr>
          <w:rFonts w:ascii="宋体" w:hAnsi="宋体"/>
          <w:kern w:val="0"/>
          <w:sz w:val="24"/>
        </w:rPr>
      </w:pPr>
      <w:r>
        <w:rPr>
          <w:rFonts w:hint="eastAsia" w:ascii="宋体" w:hAnsi="宋体"/>
          <w:kern w:val="0"/>
          <w:sz w:val="24"/>
        </w:rPr>
        <w:t>10. 在评审过程中，谈判小组发现投标供应商有下列情形之一的，视为相互串通投标，按照无效投标处理并依据法律、法规追究其相关责任。具体表现形式如下：</w:t>
      </w:r>
    </w:p>
    <w:p w14:paraId="071D3F78">
      <w:pPr>
        <w:widowControl/>
        <w:spacing w:line="360" w:lineRule="auto"/>
        <w:ind w:firstLine="480" w:firstLineChars="200"/>
        <w:rPr>
          <w:rFonts w:ascii="宋体" w:hAnsi="宋体"/>
          <w:kern w:val="0"/>
          <w:sz w:val="24"/>
        </w:rPr>
      </w:pPr>
      <w:r>
        <w:rPr>
          <w:rFonts w:hint="eastAsia" w:ascii="宋体" w:hAnsi="宋体"/>
          <w:kern w:val="0"/>
          <w:sz w:val="24"/>
        </w:rPr>
        <w:t>10.1 不同供应商的响应性文件由同一单位或者个人编制；</w:t>
      </w:r>
    </w:p>
    <w:p w14:paraId="2F09DC1D">
      <w:pPr>
        <w:widowControl/>
        <w:spacing w:line="360" w:lineRule="auto"/>
        <w:ind w:firstLine="480" w:firstLineChars="200"/>
        <w:rPr>
          <w:rFonts w:ascii="宋体" w:hAnsi="宋体"/>
          <w:kern w:val="0"/>
          <w:sz w:val="24"/>
        </w:rPr>
      </w:pPr>
      <w:r>
        <w:rPr>
          <w:rFonts w:hint="eastAsia" w:ascii="宋体" w:hAnsi="宋体"/>
          <w:kern w:val="0"/>
          <w:sz w:val="24"/>
        </w:rPr>
        <w:t>10.2 不同供应商委托同一单位或者个人办理投标事宜；</w:t>
      </w:r>
    </w:p>
    <w:p w14:paraId="51FA6B8B">
      <w:pPr>
        <w:widowControl/>
        <w:spacing w:line="360" w:lineRule="auto"/>
        <w:ind w:firstLine="480" w:firstLineChars="200"/>
        <w:rPr>
          <w:rFonts w:ascii="宋体" w:hAnsi="宋体"/>
          <w:kern w:val="0"/>
          <w:sz w:val="24"/>
        </w:rPr>
      </w:pPr>
      <w:r>
        <w:rPr>
          <w:rFonts w:hint="eastAsia" w:ascii="宋体" w:hAnsi="宋体"/>
          <w:kern w:val="0"/>
          <w:sz w:val="24"/>
        </w:rPr>
        <w:t>10.3 不同供应商的响应性文件载明的项目管理成员或者联系人员为同一人；</w:t>
      </w:r>
    </w:p>
    <w:p w14:paraId="3FA5B0A3">
      <w:pPr>
        <w:widowControl/>
        <w:spacing w:line="360" w:lineRule="auto"/>
        <w:ind w:firstLine="480" w:firstLineChars="200"/>
        <w:rPr>
          <w:rFonts w:ascii="宋体" w:hAnsi="宋体"/>
          <w:kern w:val="0"/>
          <w:sz w:val="24"/>
        </w:rPr>
      </w:pPr>
      <w:r>
        <w:rPr>
          <w:rFonts w:hint="eastAsia" w:ascii="宋体" w:hAnsi="宋体"/>
          <w:kern w:val="0"/>
          <w:sz w:val="24"/>
        </w:rPr>
        <w:t>10.4 不同供应商的响应性文件异常一致或者投标报价呈规律性差异；</w:t>
      </w:r>
    </w:p>
    <w:p w14:paraId="3C9D7280">
      <w:pPr>
        <w:widowControl/>
        <w:spacing w:line="360" w:lineRule="auto"/>
        <w:ind w:firstLine="480" w:firstLineChars="200"/>
        <w:rPr>
          <w:rFonts w:ascii="宋体" w:hAnsi="宋体"/>
          <w:kern w:val="0"/>
          <w:sz w:val="24"/>
        </w:rPr>
      </w:pPr>
      <w:r>
        <w:rPr>
          <w:rFonts w:hint="eastAsia" w:ascii="宋体" w:hAnsi="宋体"/>
          <w:kern w:val="0"/>
          <w:sz w:val="24"/>
        </w:rPr>
        <w:t>10.5 不同供应商的响应性文件相互混装；</w:t>
      </w:r>
    </w:p>
    <w:p w14:paraId="10B4E17D">
      <w:pPr>
        <w:widowControl/>
        <w:spacing w:line="360" w:lineRule="auto"/>
        <w:ind w:firstLine="480" w:firstLineChars="200"/>
        <w:rPr>
          <w:rFonts w:ascii="宋体" w:hAnsi="宋体"/>
          <w:kern w:val="0"/>
          <w:sz w:val="24"/>
        </w:rPr>
      </w:pPr>
      <w:r>
        <w:rPr>
          <w:rFonts w:hint="eastAsia" w:ascii="宋体" w:hAnsi="宋体"/>
          <w:kern w:val="0"/>
          <w:sz w:val="24"/>
        </w:rPr>
        <w:t>10.6 有证据证明供应商与采购人、采购代理机构或者其他供应商串通的其他情形；</w:t>
      </w:r>
    </w:p>
    <w:p w14:paraId="599AD07A">
      <w:pPr>
        <w:widowControl/>
        <w:spacing w:line="360" w:lineRule="auto"/>
        <w:ind w:firstLine="480" w:firstLineChars="200"/>
        <w:rPr>
          <w:rFonts w:ascii="宋体"/>
          <w:kern w:val="0"/>
          <w:sz w:val="24"/>
        </w:rPr>
      </w:pPr>
      <w:r>
        <w:rPr>
          <w:rFonts w:hint="eastAsia" w:ascii="宋体" w:hAnsi="宋体"/>
          <w:kern w:val="0"/>
          <w:sz w:val="24"/>
        </w:rPr>
        <w:t>（五）授予合同</w:t>
      </w:r>
    </w:p>
    <w:p w14:paraId="5FBB27F7">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14:paraId="5AF5CDD2">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成交人应当自成交通知书发出之日起15日内，按照竞争性谈判文件和成交人的响应文件与采购单位签订合同。</w:t>
      </w:r>
    </w:p>
    <w:p w14:paraId="31D9E830">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竞争性谈判文件、成交人的竞争性谈判文件及其澄清文件等均为签订合同的依据。</w:t>
      </w:r>
    </w:p>
    <w:p w14:paraId="058D3E1D">
      <w:pPr>
        <w:widowControl/>
        <w:spacing w:line="360" w:lineRule="auto"/>
        <w:ind w:firstLine="480" w:firstLineChars="200"/>
        <w:rPr>
          <w:rFonts w:ascii="宋体" w:hAnsi="宋体"/>
          <w:kern w:val="0"/>
          <w:sz w:val="24"/>
        </w:rPr>
        <w:sectPr>
          <w:footerReference r:id="rId10" w:type="default"/>
          <w:endnotePr>
            <w:numFmt w:val="decimal"/>
          </w:endnotePr>
          <w:pgSz w:w="11905" w:h="16837"/>
          <w:pgMar w:top="1417" w:right="1417" w:bottom="1417" w:left="1417" w:header="851" w:footer="737" w:gutter="0"/>
          <w:cols w:space="720" w:num="1"/>
          <w:titlePg/>
          <w:docGrid w:linePitch="286" w:charSpace="0"/>
        </w:sectPr>
      </w:pPr>
      <w:r>
        <w:rPr>
          <w:rFonts w:ascii="宋体" w:hAnsi="宋体"/>
          <w:kern w:val="0"/>
          <w:sz w:val="24"/>
        </w:rPr>
        <w:t>4</w:t>
      </w:r>
      <w:r>
        <w:rPr>
          <w:rFonts w:hint="eastAsia" w:ascii="宋体" w:hAnsi="宋体"/>
          <w:kern w:val="0"/>
          <w:sz w:val="24"/>
        </w:rPr>
        <w:t>. 合同签订后，成交人应将合同在2个工作日内将合同在焦作市政府采购网公示并备案。</w:t>
      </w:r>
    </w:p>
    <w:p w14:paraId="44DB3DD8">
      <w:pPr>
        <w:pStyle w:val="3"/>
        <w:spacing w:before="0" w:after="0" w:line="360" w:lineRule="auto"/>
        <w:jc w:val="center"/>
        <w:rPr>
          <w:kern w:val="0"/>
        </w:rPr>
      </w:pPr>
      <w:bookmarkStart w:id="24" w:name="_Toc2540"/>
      <w:bookmarkStart w:id="25" w:name="_Toc137128178"/>
      <w:bookmarkStart w:id="26" w:name="_Toc533668870"/>
      <w:bookmarkStart w:id="27" w:name="_Toc9332"/>
      <w:bookmarkStart w:id="28" w:name="_Toc160007349"/>
      <w:r>
        <w:rPr>
          <w:rFonts w:hint="eastAsia"/>
          <w:kern w:val="0"/>
        </w:rPr>
        <w:t>第三部分 其他要求</w:t>
      </w:r>
      <w:bookmarkEnd w:id="24"/>
      <w:bookmarkEnd w:id="25"/>
      <w:bookmarkEnd w:id="26"/>
      <w:bookmarkEnd w:id="27"/>
      <w:bookmarkEnd w:id="28"/>
    </w:p>
    <w:p w14:paraId="1539DF75">
      <w:pPr>
        <w:widowControl/>
        <w:spacing w:line="360" w:lineRule="auto"/>
        <w:ind w:firstLine="480" w:firstLineChars="200"/>
        <w:rPr>
          <w:rFonts w:hint="eastAsia"/>
          <w:kern w:val="0"/>
        </w:rPr>
      </w:pPr>
      <w:r>
        <w:rPr>
          <w:rFonts w:hint="eastAsia" w:ascii="宋体" w:hAnsi="宋体"/>
          <w:kern w:val="0"/>
          <w:sz w:val="24"/>
        </w:rPr>
        <w:t>供应商如有不清楚的地方可与采购人和代理机构联系。采购报价应包含所有费用。成交人在成交后不得以任何理由增加任何费用。</w:t>
      </w:r>
      <w:bookmarkStart w:id="29" w:name="_Toc160007350"/>
      <w:bookmarkStart w:id="30" w:name="_Toc137128179"/>
    </w:p>
    <w:p w14:paraId="02A04BE0">
      <w:pPr>
        <w:pStyle w:val="3"/>
        <w:spacing w:before="0" w:after="0" w:line="360" w:lineRule="auto"/>
        <w:jc w:val="center"/>
        <w:rPr>
          <w:kern w:val="0"/>
        </w:rPr>
      </w:pPr>
      <w:r>
        <w:rPr>
          <w:rFonts w:hint="eastAsia"/>
          <w:kern w:val="0"/>
        </w:rPr>
        <w:t>第四部分 质疑与投诉</w:t>
      </w:r>
      <w:bookmarkEnd w:id="29"/>
      <w:bookmarkEnd w:id="30"/>
    </w:p>
    <w:p w14:paraId="2CD604E8">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14:paraId="3EE76A35">
      <w:pPr>
        <w:pStyle w:val="24"/>
        <w:spacing w:after="0" w:line="360" w:lineRule="auto"/>
        <w:ind w:firstLine="480" w:firstLineChars="200"/>
        <w:rPr>
          <w:rFonts w:ascii="宋体" w:hAnsi="宋体" w:cs="宋体"/>
          <w:sz w:val="24"/>
        </w:rPr>
      </w:pPr>
      <w:r>
        <w:rPr>
          <w:rFonts w:hint="eastAsia" w:ascii="宋体" w:hAnsi="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C0AB850">
      <w:pPr>
        <w:pStyle w:val="25"/>
        <w:spacing w:after="0" w:line="360" w:lineRule="auto"/>
        <w:ind w:left="0" w:leftChars="0"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14:paraId="7EF49501">
      <w:pPr>
        <w:pStyle w:val="25"/>
        <w:spacing w:after="0" w:line="360" w:lineRule="auto"/>
        <w:ind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6"/>
          <w:rFonts w:hint="eastAsia" w:ascii="宋体" w:hAnsi="宋体" w:cs="宋体"/>
          <w:sz w:val="24"/>
        </w:rPr>
        <w:t>http://download.ccgp.gov.cn/2018/zhiyihanfanben.zip；</w:t>
      </w:r>
      <w:r>
        <w:rPr>
          <w:rStyle w:val="36"/>
          <w:rFonts w:hint="eastAsia" w:ascii="宋体" w:hAnsi="宋体" w:cs="宋体"/>
          <w:sz w:val="24"/>
        </w:rPr>
        <w:fldChar w:fldCharType="end"/>
      </w:r>
    </w:p>
    <w:p w14:paraId="3FB84645">
      <w:pPr>
        <w:numPr>
          <w:ilvl w:val="0"/>
          <w:numId w:val="6"/>
        </w:numPr>
        <w:spacing w:line="360" w:lineRule="auto"/>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2B5410D3">
      <w:pPr>
        <w:numPr>
          <w:ilvl w:val="0"/>
          <w:numId w:val="6"/>
        </w:numPr>
        <w:spacing w:line="360" w:lineRule="auto"/>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14:paraId="0A6DAE43">
      <w:pPr>
        <w:numPr>
          <w:ilvl w:val="1"/>
          <w:numId w:val="6"/>
        </w:numPr>
        <w:spacing w:line="360" w:lineRule="auto"/>
        <w:ind w:left="420" w:leftChars="200"/>
        <w:rPr>
          <w:rFonts w:ascii="宋体" w:hAnsi="宋体" w:cs="宋体"/>
          <w:sz w:val="24"/>
        </w:rPr>
      </w:pPr>
      <w:r>
        <w:rPr>
          <w:rFonts w:hint="eastAsia" w:ascii="宋体" w:hAnsi="宋体" w:cs="宋体"/>
          <w:sz w:val="24"/>
        </w:rPr>
        <w:t>供应商的姓名或者名称、地址、邮编、联系人及联系电话；</w:t>
      </w:r>
    </w:p>
    <w:p w14:paraId="23A6FE46">
      <w:pPr>
        <w:numPr>
          <w:ilvl w:val="1"/>
          <w:numId w:val="6"/>
        </w:numPr>
        <w:spacing w:line="360" w:lineRule="auto"/>
        <w:ind w:left="420" w:leftChars="200"/>
        <w:rPr>
          <w:rFonts w:ascii="宋体" w:hAnsi="宋体" w:cs="宋体"/>
          <w:sz w:val="24"/>
        </w:rPr>
      </w:pPr>
      <w:r>
        <w:rPr>
          <w:rFonts w:hint="eastAsia" w:ascii="宋体" w:hAnsi="宋体" w:cs="宋体"/>
          <w:sz w:val="24"/>
        </w:rPr>
        <w:t>质疑项目的名称、编号；</w:t>
      </w:r>
    </w:p>
    <w:p w14:paraId="742FC1DF">
      <w:pPr>
        <w:numPr>
          <w:ilvl w:val="1"/>
          <w:numId w:val="6"/>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14:paraId="25AE5148">
      <w:pPr>
        <w:numPr>
          <w:ilvl w:val="1"/>
          <w:numId w:val="6"/>
        </w:numPr>
        <w:spacing w:line="360" w:lineRule="auto"/>
        <w:ind w:left="420" w:leftChars="200"/>
        <w:rPr>
          <w:rFonts w:ascii="宋体" w:hAnsi="宋体" w:cs="宋体"/>
          <w:sz w:val="24"/>
        </w:rPr>
      </w:pPr>
      <w:r>
        <w:rPr>
          <w:rFonts w:hint="eastAsia" w:ascii="宋体" w:hAnsi="宋体" w:cs="宋体"/>
          <w:sz w:val="24"/>
        </w:rPr>
        <w:t>事实依据；</w:t>
      </w:r>
    </w:p>
    <w:p w14:paraId="126254A1">
      <w:pPr>
        <w:numPr>
          <w:ilvl w:val="1"/>
          <w:numId w:val="6"/>
        </w:numPr>
        <w:spacing w:line="360" w:lineRule="auto"/>
        <w:ind w:left="420" w:leftChars="200"/>
        <w:rPr>
          <w:rFonts w:ascii="宋体" w:hAnsi="宋体" w:cs="宋体"/>
          <w:sz w:val="24"/>
        </w:rPr>
      </w:pPr>
      <w:r>
        <w:rPr>
          <w:rFonts w:hint="eastAsia" w:ascii="宋体" w:hAnsi="宋体" w:cs="宋体"/>
          <w:sz w:val="24"/>
        </w:rPr>
        <w:t>必要的法律依据；</w:t>
      </w:r>
    </w:p>
    <w:p w14:paraId="45769457">
      <w:pPr>
        <w:numPr>
          <w:ilvl w:val="1"/>
          <w:numId w:val="6"/>
        </w:numPr>
        <w:spacing w:line="360" w:lineRule="auto"/>
        <w:ind w:left="420" w:leftChars="200"/>
        <w:rPr>
          <w:rFonts w:ascii="宋体" w:hAnsi="宋体" w:cs="宋体"/>
          <w:sz w:val="24"/>
        </w:rPr>
      </w:pPr>
      <w:r>
        <w:rPr>
          <w:rFonts w:hint="eastAsia" w:ascii="宋体" w:hAnsi="宋体" w:cs="宋体"/>
          <w:sz w:val="24"/>
        </w:rPr>
        <w:t>提出质疑的日期；</w:t>
      </w:r>
    </w:p>
    <w:p w14:paraId="775EC7B6">
      <w:pPr>
        <w:numPr>
          <w:ilvl w:val="1"/>
          <w:numId w:val="6"/>
        </w:numPr>
        <w:spacing w:line="360" w:lineRule="auto"/>
        <w:ind w:left="420" w:leftChars="200"/>
        <w:rPr>
          <w:rFonts w:ascii="宋体" w:hAnsi="宋体" w:cs="宋体"/>
          <w:sz w:val="24"/>
        </w:rPr>
      </w:pPr>
      <w:r>
        <w:rPr>
          <w:rFonts w:hint="eastAsia" w:ascii="宋体" w:hAnsi="宋体" w:cs="宋体"/>
          <w:sz w:val="24"/>
        </w:rPr>
        <w:t>获取招标文件的凭证；</w:t>
      </w:r>
    </w:p>
    <w:p w14:paraId="7A967EAF">
      <w:pPr>
        <w:numPr>
          <w:ilvl w:val="1"/>
          <w:numId w:val="6"/>
        </w:numPr>
        <w:spacing w:line="360" w:lineRule="auto"/>
        <w:ind w:left="420" w:leftChars="200"/>
        <w:rPr>
          <w:rFonts w:ascii="宋体" w:hAnsi="宋体" w:cs="宋体"/>
          <w:sz w:val="24"/>
        </w:rPr>
      </w:pPr>
      <w:r>
        <w:rPr>
          <w:rFonts w:hint="eastAsia" w:ascii="宋体" w:hAnsi="宋体" w:cs="宋体"/>
          <w:sz w:val="24"/>
        </w:rPr>
        <w:t>以上资料一式二份（招标人、采购代理机构各执一份）。</w:t>
      </w:r>
    </w:p>
    <w:p w14:paraId="16C1B2BA">
      <w:pPr>
        <w:numPr>
          <w:ilvl w:val="0"/>
          <w:numId w:val="6"/>
        </w:numPr>
        <w:spacing w:line="360" w:lineRule="auto"/>
        <w:ind w:firstLine="480" w:firstLineChars="200"/>
        <w:rPr>
          <w:rFonts w:ascii="宋体" w:hAnsi="宋体" w:cs="宋体"/>
          <w:sz w:val="24"/>
        </w:rPr>
      </w:pPr>
      <w:r>
        <w:rPr>
          <w:rFonts w:hint="eastAsia" w:ascii="宋体" w:hAnsi="宋体" w:cs="宋体"/>
          <w:sz w:val="24"/>
        </w:rPr>
        <w:t>供应商不得虚假质疑和恶意质疑，并对质疑内容的真实性承担责任。</w:t>
      </w:r>
    </w:p>
    <w:p w14:paraId="1F0E2FE9">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14:paraId="4E9C6565">
      <w:pPr>
        <w:pStyle w:val="24"/>
        <w:spacing w:after="0" w:line="360" w:lineRule="auto"/>
        <w:ind w:firstLine="480" w:firstLineChars="200"/>
        <w:rPr>
          <w:rFonts w:ascii="宋体" w:hAnsi="宋体" w:cs="宋体"/>
          <w:sz w:val="24"/>
        </w:rPr>
      </w:pPr>
      <w:r>
        <w:rPr>
          <w:rFonts w:hint="eastAsia" w:ascii="宋体" w:hAnsi="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0BF2D5BC">
      <w:pPr>
        <w:spacing w:line="360" w:lineRule="auto"/>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4F66270F">
      <w:pPr>
        <w:pStyle w:val="24"/>
        <w:spacing w:after="0" w:line="360" w:lineRule="auto"/>
        <w:ind w:firstLine="480" w:firstLineChars="200"/>
        <w:rPr>
          <w:rFonts w:ascii="宋体" w:hAnsi="宋体" w:cs="宋体"/>
          <w:sz w:val="24"/>
        </w:rPr>
      </w:pPr>
      <w:r>
        <w:rPr>
          <w:rFonts w:hint="eastAsia" w:ascii="宋体" w:hAnsi="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656FB65F">
      <w:pPr>
        <w:pStyle w:val="24"/>
        <w:spacing w:after="0" w:line="360" w:lineRule="auto"/>
        <w:ind w:firstLineChars="200"/>
        <w:rPr>
          <w:rFonts w:ascii="宋体" w:hAnsi="宋体" w:cs="宋体"/>
          <w:color w:val="auto"/>
          <w:sz w:val="24"/>
        </w:rPr>
      </w:pPr>
      <w:r>
        <w:rPr>
          <w:color w:val="auto"/>
        </w:rPr>
        <w:fldChar w:fldCharType="begin"/>
      </w:r>
      <w:r>
        <w:rPr>
          <w:color w:val="auto"/>
        </w:rPr>
        <w:instrText xml:space="preserve"> HYPERLINK "http://download.ccgp.gov.cn/2018/tousushufanben.zip" </w:instrText>
      </w:r>
      <w:r>
        <w:rPr>
          <w:color w:val="auto"/>
        </w:rPr>
        <w:fldChar w:fldCharType="separate"/>
      </w:r>
      <w:r>
        <w:rPr>
          <w:rStyle w:val="36"/>
          <w:rFonts w:hint="eastAsia" w:ascii="宋体" w:hAnsi="宋体" w:cs="宋体"/>
          <w:color w:val="auto"/>
          <w:sz w:val="24"/>
        </w:rPr>
        <w:t>http://download.ccgp.gov.cn/2018/tousushufanben.zip</w:t>
      </w:r>
      <w:r>
        <w:rPr>
          <w:rStyle w:val="36"/>
          <w:rFonts w:hint="eastAsia" w:ascii="宋体" w:hAnsi="宋体" w:cs="宋体"/>
          <w:color w:val="auto"/>
          <w:sz w:val="24"/>
        </w:rPr>
        <w:fldChar w:fldCharType="end"/>
      </w:r>
    </w:p>
    <w:p w14:paraId="4E3300FE">
      <w:pPr>
        <w:numPr>
          <w:ilvl w:val="0"/>
          <w:numId w:val="1"/>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14:paraId="5E7C4B09">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14:paraId="4CD7703F">
      <w:pPr>
        <w:spacing w:line="360" w:lineRule="auto"/>
        <w:ind w:firstLine="480" w:firstLineChars="200"/>
        <w:rPr>
          <w:rFonts w:ascii="宋体" w:hAnsi="宋体" w:cs="宋体"/>
          <w:sz w:val="24"/>
        </w:rPr>
      </w:pPr>
      <w:r>
        <w:rPr>
          <w:rFonts w:hint="eastAsia" w:ascii="宋体" w:hAnsi="宋体" w:cs="宋体"/>
          <w:sz w:val="24"/>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31" w:name="_Toc4037"/>
      <w:bookmarkStart w:id="32" w:name="_Toc533668873"/>
      <w:bookmarkStart w:id="33" w:name="_Toc28662"/>
    </w:p>
    <w:p w14:paraId="4970D2A2">
      <w:pPr>
        <w:pStyle w:val="3"/>
        <w:spacing w:before="0" w:after="0" w:line="360" w:lineRule="auto"/>
        <w:jc w:val="center"/>
        <w:rPr>
          <w:rFonts w:hint="eastAsia"/>
          <w:kern w:val="0"/>
        </w:rPr>
      </w:pPr>
      <w:bookmarkStart w:id="34" w:name="_Toc137128180"/>
      <w:bookmarkStart w:id="35" w:name="_Toc160007351"/>
    </w:p>
    <w:p w14:paraId="191A4736">
      <w:pPr>
        <w:pStyle w:val="3"/>
        <w:spacing w:before="0" w:after="0" w:line="360" w:lineRule="auto"/>
        <w:jc w:val="center"/>
        <w:rPr>
          <w:kern w:val="0"/>
        </w:rPr>
      </w:pPr>
      <w:r>
        <w:rPr>
          <w:rFonts w:hint="eastAsia"/>
          <w:kern w:val="0"/>
        </w:rPr>
        <w:t>第五部分 监督单位</w:t>
      </w:r>
      <w:bookmarkEnd w:id="34"/>
      <w:bookmarkEnd w:id="35"/>
    </w:p>
    <w:p w14:paraId="3324C192">
      <w:pPr>
        <w:spacing w:line="360" w:lineRule="auto"/>
        <w:ind w:firstLine="2400" w:firstLineChars="1000"/>
        <w:sectPr>
          <w:endnotePr>
            <w:numFmt w:val="decimal"/>
          </w:endnotePr>
          <w:pgSz w:w="11905" w:h="16837"/>
          <w:pgMar w:top="1417" w:right="1417" w:bottom="1417" w:left="1417" w:header="851" w:footer="737" w:gutter="0"/>
          <w:cols w:space="720" w:num="1"/>
          <w:titlePg/>
          <w:docGrid w:linePitch="286" w:charSpace="0"/>
        </w:sectPr>
      </w:pPr>
      <w:r>
        <w:rPr>
          <w:rFonts w:hint="eastAsia" w:ascii="宋体" w:hAnsi="宋体" w:cs="宋体"/>
          <w:sz w:val="24"/>
        </w:rPr>
        <w:t xml:space="preserve">博爱县财政局 </w:t>
      </w:r>
      <w:bookmarkStart w:id="36" w:name="_Toc18254"/>
      <w:bookmarkStart w:id="37" w:name="_Toc533668872"/>
      <w:bookmarkStart w:id="38" w:name="_Toc1029"/>
      <w:bookmarkStart w:id="39" w:name="_Toc15807"/>
      <w:r>
        <w:rPr>
          <w:rFonts w:hint="eastAsia" w:ascii="宋体" w:hAnsi="宋体" w:cs="宋体"/>
          <w:sz w:val="24"/>
        </w:rPr>
        <w:t>0391--8683273</w:t>
      </w:r>
    </w:p>
    <w:bookmarkEnd w:id="36"/>
    <w:bookmarkEnd w:id="37"/>
    <w:bookmarkEnd w:id="38"/>
    <w:bookmarkEnd w:id="39"/>
    <w:p w14:paraId="339277C5">
      <w:pPr>
        <w:pStyle w:val="3"/>
        <w:numPr>
          <w:ilvl w:val="0"/>
          <w:numId w:val="7"/>
        </w:numPr>
        <w:spacing w:before="0" w:after="0" w:line="360" w:lineRule="auto"/>
        <w:jc w:val="center"/>
      </w:pPr>
      <w:bookmarkStart w:id="40" w:name="_Toc137128181"/>
      <w:bookmarkStart w:id="41" w:name="_Toc160007352"/>
      <w:r>
        <w:rPr>
          <w:rFonts w:hint="eastAsia"/>
          <w:kern w:val="0"/>
        </w:rPr>
        <w:t>服务内容及要求</w:t>
      </w:r>
      <w:bookmarkEnd w:id="31"/>
      <w:bookmarkEnd w:id="32"/>
      <w:bookmarkEnd w:id="33"/>
      <w:bookmarkEnd w:id="40"/>
      <w:bookmarkEnd w:id="41"/>
    </w:p>
    <w:p w14:paraId="1AB02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bookmarkStart w:id="42" w:name="_Toc137128182"/>
      <w:bookmarkStart w:id="43" w:name="_Toc160007353"/>
      <w:r>
        <w:rPr>
          <w:rFonts w:hint="eastAsia" w:ascii="宋体" w:hAnsi="宋体" w:eastAsia="宋体" w:cs="宋体"/>
          <w:sz w:val="24"/>
          <w:szCs w:val="32"/>
        </w:rPr>
        <w:t>为全面实施省委、省政府文旅文创融合战略，落实全省文旅文创发展大会精神，加快文化旅游强省建设，根据文化和旅游部的统一要求，为做好我省旅游资源普查工作，特制定本方案</w:t>
      </w:r>
    </w:p>
    <w:p w14:paraId="4D975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一、普查依据</w:t>
      </w:r>
    </w:p>
    <w:p w14:paraId="7CF03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(一)《河南省“十四五”文化旅游融合发展规划》(豫政[2021〕39号);</w:t>
      </w:r>
    </w:p>
    <w:p w14:paraId="29351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(二)2023河南省文旅文创发展大会精神;</w:t>
      </w:r>
    </w:p>
    <w:p w14:paraId="14436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(三)《文化和旅游部办公厅关于开展旅游资源普查工作的通知》(办资源发〔2022]94号);</w:t>
      </w:r>
    </w:p>
    <w:p w14:paraId="2E8CEA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(四)《旅游资源分类、调查与评价》(GB/T18972-2017)国家标准。</w:t>
      </w:r>
    </w:p>
    <w:p w14:paraId="20817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二、普查对象</w:t>
      </w:r>
    </w:p>
    <w:p w14:paraId="6DBA6A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旅游资源普查对象为全省范围内对旅游者产生吸引力，可以为旅游业开发利用，并可产生经济效益、社会效益和环境效益的各种事物和现象。在国家标准《旅游资源分类、调查与评价》(GB/T18972-2017)基础上，结合我省实际，调整资源分类、调查与评价的部分内容，完善具有河南特色的旅游资源类型，构建与制定《河南省旅游资源分类、调查与评价(试行)》。依据《河南省旅游资源分类、调查与评价(试行)》，主要对地文景观、水域景观、生物景观、天象与气候景观、建筑与设施、历史遗迹</w:t>
      </w:r>
      <w:r>
        <w:rPr>
          <w:rFonts w:hint="eastAsia" w:ascii="宋体" w:hAnsi="宋体" w:eastAsia="宋体" w:cs="宋体"/>
          <w:sz w:val="24"/>
          <w:szCs w:val="32"/>
          <w:lang w:eastAsia="zh-CN"/>
        </w:rPr>
        <w:t>、旅游购品、人文活动等八大类资源开展普查。</w:t>
      </w:r>
    </w:p>
    <w:p w14:paraId="0C77B4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三、普查范围</w:t>
      </w:r>
    </w:p>
    <w:p w14:paraId="5F89B3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普查范围为河南省全境，包含所有省辖市行政区及县(市区)所辖范围和济源示范区、航空港区。</w:t>
      </w:r>
    </w:p>
    <w:p w14:paraId="035DE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四、普查原则</w:t>
      </w:r>
    </w:p>
    <w:p w14:paraId="71A4F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一)普查方法坚持普查与调查相结合。普查是对旅游资源全新开展查验，调查是对原有资源成果进行梳理、补充和完善(二)组织实施坚持省级统筹市县协同。按照属地原则，以县(市、区)为主体，省级统筹指导，省辖市协同推进，有关部门依职能协同联动，广泛发动社会公众积极参与。</w:t>
      </w:r>
    </w:p>
    <w:p w14:paraId="14068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三)资金安排坚持省级统筹市县自筹。省级财政要统筹做好省本级工作任务资金拨付。市、县(市、区)两级要将本级普查经费纳入年度财政预算，按时足额拨付，确保普查工作顺利推进(四)资源定级遵循“三审两定”原则。实行省、市、县专家委员会对旅游资源等级评定三级评审机制，市级对三级及以下旅游资源审定，省级对四、五级旅游资源审定，</w:t>
      </w:r>
    </w:p>
    <w:p w14:paraId="52C2D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五、质量控制</w:t>
      </w:r>
    </w:p>
    <w:p w14:paraId="4B07D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资源数据审核工作实行“三级联动”，即县(市、区)填报预目录，开展资源普查;省辖市(区)审核县级成果，抽查四、五级旅游资源;省文化和旅游厅实行全过程监督，全面核查普查成果。经三级审定的旅游资源普查数据，向社会公示，确保成果的科学准确。各县(市、区)作为普查工作实施主体，要切实保证普查资料、数据信息及普查成果的真实、完整和科学。质量控制要贯穿资源普查全过程，包括培训、现场普查记录、普查资料和信息录入、抽查、审核和验收等各环节。</w:t>
      </w:r>
    </w:p>
    <w:p w14:paraId="2DE34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(一)统一标准。普查工作实施标准化管理，按照制定的普查标准、信息采集表和调查表格式要求、报告体例执行</w:t>
      </w:r>
    </w:p>
    <w:p w14:paraId="0C56C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(二)专家指导。专家指导贯穿普查工作全程，专家组参与普查工作制定工作方案、问题答疑、现场指导、数据审核、成果验收等各环节。</w:t>
      </w:r>
    </w:p>
    <w:p w14:paraId="0FC05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(三)标准宣贯。技术支持单位及现场技术指导组统筹组织开展规范标准宣贯工作，提升普查人员工作能力。</w:t>
      </w:r>
    </w:p>
    <w:p w14:paraId="7F5C9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(四)省级督导。根据普查工作情况，适时组织开展现场指导和进度督办。</w:t>
      </w:r>
    </w:p>
    <w:p w14:paraId="063DF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(五)节点控制。根据总体工作安排，设置抽检、数据审核验收等重要节点，倒排时间与任务，确保普查工作质量与效果。</w:t>
      </w:r>
    </w:p>
    <w:p w14:paraId="0C7EF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六、普查时间及工作安排</w:t>
      </w:r>
    </w:p>
    <w:p w14:paraId="5C8D7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全省旅游资源普查工作自2023年10月全面启动，2024年12月结束，为期15个月。旅游资源普查工作分为三个阶段，各阶段任务及时间安排如下:</w:t>
      </w:r>
    </w:p>
    <w:p w14:paraId="133BF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一)筹备启动阶段(2023年10月-2023年11月):成立省、市、县(市、区)三级旅游资源普查工作专班、专家委员会:制定全省旅游资源普查工作方案，编制河南省旅游资源普查标准体系与技术规程、工作手册等;确定技术支持单位，组建工作队伍;召开动员会议，开展人员培训;搭建省旅游资源普查平台及数据库。市、县(市、区)须于2023年11中旬前编制普查工作方案，明确普查任务、工作要求和时间节点。</w:t>
      </w:r>
    </w:p>
    <w:p w14:paraId="0E302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(二)全面普查阶段(2023年11月-2024年8月):以县(市、区)为单元，全面开展资源调查工作，按要求逐级审核报送相关旅游资源信息，并进行评价。</w:t>
      </w:r>
    </w:p>
    <w:p w14:paraId="14B1E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三)成果编制阶段(2024年8月-2024年12月):在旅游资源普查和评价的基础上，市、县分别编制相应的普查成果并按程序报审。统筹编制省级成果，建成全省旅游资源数据平台1、县级成果:完成旅游资源各类普查表填报工作，编制《xx县(市、区)旅游资源普查报告(含附图和资源名录)》等。县级成果编制于 2024 年9月底之前完成。</w:t>
      </w:r>
    </w:p>
    <w:p w14:paraId="049B4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2、市级成果:编制《xx市(区)旅游资源普查报告(含附图和资源名录)》等.</w:t>
      </w:r>
    </w:p>
    <w:p w14:paraId="277DB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3、省级成果:编制一套标准，包括《河南省旅游资源分类调查与评价(试行)》《河南省旅游资源普查技术规程》《河南省旅游资源普查样表示例》;搭建一个系统，包括河南省旅游资源普查平台和数据库;完成一套报告，包括《河南省旅游资源普查报告(附图和资源名录)》《河南省特品级旅游资源名录》和3-5个专项报告;形成一个指南，即《河南省旅游资源保护与利用指南》。</w:t>
      </w:r>
    </w:p>
    <w:p w14:paraId="2AA23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七、保障措施</w:t>
      </w:r>
    </w:p>
    <w:p w14:paraId="27175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加强组织协调。成立河南省旅游资源普查工作专班并协调省自然资源厅、省水利厅等省直有关部门按要求提供本系统本单位所掌握的相关资源资料(涉密资料除外)。各省辖市要建立普查工作推进机制，统筹推进辖区内普查工作。各县(市、区)要加强组织领导，落实普查队伍，抓好工作落实，确保按时完成工作任务。</w:t>
      </w:r>
    </w:p>
    <w:p w14:paraId="0765B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强化技术保障。文化和旅游厅负责选择技术支持单位统筹协调技术支撑和质量管理工作，强化地市技术对接，组建工作专班，沉底作业，指导县(市、区)开展旅游资源普查工作(三)坚持依法普查。严格按照《中华人民共和国统计法》《中华人民共和国保密法》等法律法规的相关规定，以及旅游资源普查的标准要求，如实填报资源信息。任何单位和个人不得虚报、瞒报、伪造数据，并依法履行保密义务。</w:t>
      </w:r>
    </w:p>
    <w:p w14:paraId="75DB27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注重宣传引导。各地要广泛宣传发动，鼓励社会各届积极参与“旅游资源普查新发现”活动，挖掘、推荐新的文化旅游资源。充分利用各类媒体和载体，大力宣传普查工作的重要意义、工作动态和典型事迹，营造良好的工作氛围，争取社会各界的积极支持参与。</w:t>
      </w:r>
    </w:p>
    <w:p w14:paraId="0EAA1316">
      <w:pPr>
        <w:rPr>
          <w:rFonts w:hint="eastAsia"/>
          <w:kern w:val="0"/>
        </w:rPr>
      </w:pPr>
      <w:r>
        <w:rPr>
          <w:rFonts w:hint="eastAsia"/>
          <w:kern w:val="0"/>
        </w:rPr>
        <w:br w:type="page"/>
      </w:r>
    </w:p>
    <w:p w14:paraId="5DE4FFBC">
      <w:pPr>
        <w:pStyle w:val="3"/>
        <w:spacing w:before="0" w:after="0" w:line="360" w:lineRule="auto"/>
        <w:jc w:val="center"/>
        <w:rPr>
          <w:rFonts w:ascii="宋体" w:hAnsi="宋体" w:cs="宋体"/>
          <w:sz w:val="24"/>
        </w:rPr>
      </w:pPr>
      <w:r>
        <w:rPr>
          <w:rFonts w:hint="eastAsia"/>
          <w:kern w:val="0"/>
        </w:rPr>
        <w:t>第七部分 合同格式及主要条款</w:t>
      </w:r>
      <w:bookmarkEnd w:id="42"/>
      <w:r>
        <w:rPr>
          <w:kern w:val="0"/>
        </w:rPr>
        <w:br w:type="textWrapping"/>
      </w:r>
      <w:bookmarkEnd w:id="43"/>
    </w:p>
    <w:p w14:paraId="2295E42F">
      <w:pPr>
        <w:pStyle w:val="10"/>
        <w:spacing w:after="0" w:line="360" w:lineRule="auto"/>
        <w:ind w:firstLine="420"/>
        <w:rPr>
          <w:rFonts w:ascii="宋体" w:hAnsi="宋体"/>
        </w:rPr>
      </w:pPr>
      <w:r>
        <w:rPr>
          <w:rFonts w:hint="eastAsia" w:ascii="宋体" w:hAnsi="宋体"/>
        </w:rPr>
        <w:t>委托方（甲方）：</w:t>
      </w:r>
    </w:p>
    <w:p w14:paraId="7D8925E9">
      <w:pPr>
        <w:pStyle w:val="10"/>
        <w:spacing w:after="0" w:line="360" w:lineRule="auto"/>
        <w:ind w:firstLine="420"/>
        <w:rPr>
          <w:rFonts w:ascii="宋体" w:hAnsi="宋体"/>
        </w:rPr>
      </w:pPr>
      <w:r>
        <w:rPr>
          <w:rFonts w:hint="eastAsia" w:ascii="宋体" w:hAnsi="宋体"/>
        </w:rPr>
        <w:t>受托方（乙方）：</w:t>
      </w:r>
    </w:p>
    <w:p w14:paraId="26F3EAFF">
      <w:pPr>
        <w:pStyle w:val="10"/>
        <w:spacing w:after="0" w:line="360" w:lineRule="auto"/>
        <w:ind w:firstLine="420"/>
        <w:rPr>
          <w:rFonts w:ascii="宋体" w:hAnsi="宋体"/>
        </w:rPr>
      </w:pPr>
      <w:r>
        <w:rPr>
          <w:rFonts w:hint="eastAsia" w:ascii="宋体" w:hAnsi="宋体"/>
        </w:rPr>
        <w:t>为顺利完成项目规划编制工作，根据《中华人民共和国民法典》、《中华人民共和国政府采购法》等有关规定，甲方委托乙方完成项目工作，经双方协商一致，签订本合同。</w:t>
      </w:r>
    </w:p>
    <w:p w14:paraId="035AC5FD">
      <w:pPr>
        <w:pStyle w:val="10"/>
        <w:spacing w:after="0" w:line="360" w:lineRule="auto"/>
        <w:ind w:firstLine="420"/>
        <w:rPr>
          <w:rFonts w:ascii="宋体" w:hAnsi="宋体"/>
        </w:rPr>
      </w:pPr>
      <w:r>
        <w:rPr>
          <w:rFonts w:hint="eastAsia" w:ascii="宋体" w:hAnsi="宋体"/>
        </w:rPr>
        <w:t>第一条　项目名称:</w:t>
      </w:r>
    </w:p>
    <w:p w14:paraId="7B8EB66C">
      <w:pPr>
        <w:pStyle w:val="10"/>
        <w:spacing w:after="0" w:line="360" w:lineRule="auto"/>
        <w:ind w:firstLine="420"/>
        <w:rPr>
          <w:rFonts w:ascii="宋体" w:hAnsi="宋体"/>
        </w:rPr>
      </w:pPr>
      <w:r>
        <w:rPr>
          <w:rFonts w:hint="eastAsia" w:ascii="宋体" w:hAnsi="宋体"/>
        </w:rPr>
        <w:t>第二条服务内容及要求</w:t>
      </w:r>
    </w:p>
    <w:p w14:paraId="78110CFE">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服务内容：1、根据豫文旅强省(2023)6号文件《关于印发河南省旅游资源普查工作方案》的通知要求，对博爱县地文景观、水域景观、生物景观、天象与气候景观、建筑与设施、历史遗迹、</w:t>
      </w:r>
      <w:r>
        <w:rPr>
          <w:rFonts w:hint="eastAsia" w:ascii="宋体" w:hAnsi="宋体" w:cs="Times New Roman"/>
          <w:kern w:val="2"/>
          <w:sz w:val="21"/>
          <w:szCs w:val="24"/>
          <w:lang w:val="en-US" w:eastAsia="zh-CN" w:bidi="ar-SA"/>
        </w:rPr>
        <w:t>旅游购品</w:t>
      </w:r>
      <w:r>
        <w:rPr>
          <w:rFonts w:hint="eastAsia" w:ascii="宋体" w:hAnsi="宋体" w:eastAsia="宋体" w:cs="Times New Roman"/>
          <w:kern w:val="2"/>
          <w:sz w:val="21"/>
          <w:szCs w:val="24"/>
          <w:lang w:val="en-US" w:eastAsia="zh-CN" w:bidi="ar-SA"/>
        </w:rPr>
        <w:t>、人文活动等八大类资源开展普查</w:t>
      </w:r>
      <w:r>
        <w:rPr>
          <w:rFonts w:hint="eastAsia" w:ascii="宋体" w:hAnsi="宋体" w:cs="Times New Roman"/>
          <w:kern w:val="2"/>
          <w:sz w:val="21"/>
          <w:szCs w:val="24"/>
          <w:lang w:val="en-US" w:eastAsia="zh-CN" w:bidi="ar-SA"/>
        </w:rPr>
        <w:t>等</w:t>
      </w:r>
      <w:r>
        <w:rPr>
          <w:rFonts w:hint="eastAsia" w:ascii="宋体" w:hAnsi="宋体" w:eastAsia="宋体" w:cs="Times New Roman"/>
          <w:kern w:val="2"/>
          <w:sz w:val="21"/>
          <w:szCs w:val="24"/>
          <w:lang w:val="en-US" w:eastAsia="zh-CN" w:bidi="ar-SA"/>
        </w:rPr>
        <w:t>。</w:t>
      </w:r>
    </w:p>
    <w:p w14:paraId="1B04DF87">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2、开展野外调查、核查及补充调查工作，挖掘旅游资源景点，提升县域内旅游资源点的价值属性。</w:t>
      </w:r>
    </w:p>
    <w:p w14:paraId="130B7028">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3、开展旅游资源评价工作，科学评定旅游资源单体、综合体等级，合理划分博爱县旅游资源分区。</w:t>
      </w:r>
    </w:p>
    <w:p w14:paraId="008B8E71">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4、将采集的资源信息编制录入资源信息库平台。</w:t>
      </w:r>
    </w:p>
    <w:p w14:paraId="70A700B5">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5、编制博爱县旅游资源调查评价报告等系列成果。</w:t>
      </w:r>
    </w:p>
    <w:p w14:paraId="36B7BEE7">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6、预期目标效果：开展</w:t>
      </w:r>
      <w:r>
        <w:rPr>
          <w:rFonts w:hint="eastAsia" w:ascii="宋体" w:hAnsi="宋体" w:cs="Times New Roman"/>
          <w:kern w:val="2"/>
          <w:sz w:val="21"/>
          <w:szCs w:val="24"/>
          <w:lang w:val="en-US" w:eastAsia="zh-CN" w:bidi="ar-SA"/>
        </w:rPr>
        <w:t>全县</w:t>
      </w:r>
      <w:r>
        <w:rPr>
          <w:rFonts w:hint="eastAsia" w:ascii="宋体" w:hAnsi="宋体" w:eastAsia="宋体" w:cs="Times New Roman"/>
          <w:kern w:val="2"/>
          <w:sz w:val="21"/>
          <w:szCs w:val="24"/>
          <w:lang w:val="en-US" w:eastAsia="zh-CN" w:bidi="ar-SA"/>
        </w:rPr>
        <w:t>旅游资源普查工作，编制《博爱县旅游资源普查技术方案报告》《博爱县旅游资源普查普查报告(包含附图和旅游资源名录)》《博爱县旅游资源汇总表》《博爱县旅游资源调查表》，并同时对接焦作市普查办汇交成果，完成验收。</w:t>
      </w:r>
    </w:p>
    <w:p w14:paraId="707D9236">
      <w:pPr>
        <w:pStyle w:val="10"/>
        <w:spacing w:after="0" w:line="360" w:lineRule="auto"/>
        <w:ind w:firstLine="420"/>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合同履行期限：</w:t>
      </w:r>
      <w:r>
        <w:rPr>
          <w:rFonts w:hint="eastAsia" w:ascii="宋体" w:hAnsi="宋体" w:cs="Times New Roman"/>
          <w:color w:val="auto"/>
          <w:kern w:val="2"/>
          <w:sz w:val="21"/>
          <w:szCs w:val="24"/>
          <w:lang w:val="en-US" w:eastAsia="zh-CN" w:bidi="ar-SA"/>
        </w:rPr>
        <w:t>50</w:t>
      </w:r>
      <w:r>
        <w:rPr>
          <w:rFonts w:hint="eastAsia" w:ascii="宋体" w:hAnsi="宋体" w:eastAsia="宋体" w:cs="Times New Roman"/>
          <w:color w:val="auto"/>
          <w:kern w:val="2"/>
          <w:sz w:val="21"/>
          <w:szCs w:val="24"/>
          <w:lang w:val="en-US" w:eastAsia="zh-CN" w:bidi="ar-SA"/>
        </w:rPr>
        <w:t>日历天</w:t>
      </w:r>
    </w:p>
    <w:p w14:paraId="65EB3904">
      <w:pPr>
        <w:pStyle w:val="10"/>
        <w:spacing w:after="0" w:line="360" w:lineRule="auto"/>
        <w:ind w:firstLine="420"/>
        <w:rPr>
          <w:rFonts w:ascii="宋体" w:hAnsi="宋体"/>
        </w:rPr>
      </w:pPr>
      <w:r>
        <w:rPr>
          <w:rFonts w:hint="eastAsia" w:ascii="宋体" w:hAnsi="宋体" w:eastAsia="宋体" w:cs="Times New Roman"/>
          <w:kern w:val="2"/>
          <w:sz w:val="21"/>
          <w:szCs w:val="24"/>
          <w:lang w:val="en-US" w:eastAsia="zh-CN" w:bidi="ar-SA"/>
        </w:rPr>
        <w:t>【质量要求】乙方按照本合同约定期限，提供本条所列服</w:t>
      </w:r>
      <w:r>
        <w:rPr>
          <w:rFonts w:hint="eastAsia" w:ascii="宋体" w:hAnsi="宋体"/>
        </w:rPr>
        <w:t>务内容，应当满足如下质量要求：</w:t>
      </w:r>
    </w:p>
    <w:p w14:paraId="1C08EE6E">
      <w:pPr>
        <w:pStyle w:val="10"/>
        <w:spacing w:after="0" w:line="360" w:lineRule="auto"/>
        <w:ind w:firstLine="420"/>
        <w:rPr>
          <w:rFonts w:ascii="宋体" w:hAnsi="宋体"/>
        </w:rPr>
      </w:pPr>
      <w:r>
        <w:rPr>
          <w:rFonts w:hint="eastAsia" w:ascii="宋体" w:hAnsi="宋体"/>
        </w:rPr>
        <w:t>第三条技术依据</w:t>
      </w:r>
    </w:p>
    <w:p w14:paraId="5B587ED7">
      <w:pPr>
        <w:pStyle w:val="10"/>
        <w:spacing w:after="0" w:line="360" w:lineRule="auto"/>
        <w:ind w:firstLine="420"/>
        <w:rPr>
          <w:rFonts w:ascii="宋体" w:hAnsi="宋体"/>
        </w:rPr>
      </w:pPr>
      <w:r>
        <w:rPr>
          <w:rFonts w:hint="eastAsia" w:ascii="宋体" w:hAnsi="宋体"/>
        </w:rPr>
        <w:t>1、</w:t>
      </w:r>
    </w:p>
    <w:p w14:paraId="37429963">
      <w:pPr>
        <w:pStyle w:val="10"/>
        <w:spacing w:after="0" w:line="360" w:lineRule="auto"/>
        <w:ind w:firstLine="420"/>
        <w:rPr>
          <w:rFonts w:ascii="宋体" w:hAnsi="宋体"/>
        </w:rPr>
      </w:pPr>
      <w:r>
        <w:rPr>
          <w:rFonts w:hint="eastAsia" w:ascii="宋体" w:hAnsi="宋体"/>
        </w:rPr>
        <w:t>2、</w:t>
      </w:r>
    </w:p>
    <w:p w14:paraId="60AF129F">
      <w:pPr>
        <w:pStyle w:val="10"/>
        <w:spacing w:after="0" w:line="360" w:lineRule="auto"/>
        <w:ind w:firstLine="420"/>
        <w:rPr>
          <w:rFonts w:ascii="宋体" w:hAnsi="宋体"/>
        </w:rPr>
      </w:pPr>
      <w:r>
        <w:rPr>
          <w:rFonts w:hint="eastAsia" w:ascii="宋体" w:hAnsi="宋体"/>
        </w:rPr>
        <w:t>3、</w:t>
      </w:r>
    </w:p>
    <w:p w14:paraId="7E2C8713">
      <w:pPr>
        <w:pStyle w:val="10"/>
        <w:spacing w:after="0" w:line="360" w:lineRule="auto"/>
        <w:ind w:firstLine="420"/>
        <w:rPr>
          <w:rFonts w:ascii="宋体" w:hAnsi="宋体"/>
        </w:rPr>
      </w:pPr>
      <w:r>
        <w:rPr>
          <w:rFonts w:hint="eastAsia" w:ascii="宋体" w:hAnsi="宋体"/>
        </w:rPr>
        <w:t>……</w:t>
      </w:r>
    </w:p>
    <w:p w14:paraId="3370035E">
      <w:pPr>
        <w:pStyle w:val="10"/>
        <w:spacing w:after="0" w:line="360" w:lineRule="auto"/>
        <w:ind w:firstLine="420"/>
        <w:rPr>
          <w:rFonts w:ascii="宋体" w:hAnsi="宋体"/>
        </w:rPr>
      </w:pPr>
      <w:r>
        <w:rPr>
          <w:rFonts w:hint="eastAsia" w:ascii="宋体" w:hAnsi="宋体"/>
        </w:rPr>
        <w:t>第四条服务的验收及评价</w:t>
      </w:r>
    </w:p>
    <w:p w14:paraId="6B666918">
      <w:pPr>
        <w:pStyle w:val="10"/>
        <w:spacing w:after="0" w:line="360" w:lineRule="auto"/>
        <w:ind w:firstLine="420"/>
        <w:rPr>
          <w:rFonts w:ascii="宋体" w:hAnsi="宋体"/>
        </w:rPr>
      </w:pPr>
      <w:r>
        <w:rPr>
          <w:rFonts w:hint="eastAsia" w:ascii="宋体" w:hAnsi="宋体"/>
        </w:rPr>
        <w:t>……</w:t>
      </w:r>
    </w:p>
    <w:p w14:paraId="4591E35A">
      <w:pPr>
        <w:pStyle w:val="10"/>
        <w:spacing w:after="0" w:line="360" w:lineRule="auto"/>
        <w:ind w:firstLine="420"/>
        <w:rPr>
          <w:rFonts w:ascii="宋体" w:hAnsi="宋体"/>
        </w:rPr>
      </w:pPr>
      <w:r>
        <w:rPr>
          <w:rFonts w:hint="eastAsia" w:ascii="宋体" w:hAnsi="宋体"/>
        </w:rPr>
        <w:t>第五条合同价款</w:t>
      </w:r>
    </w:p>
    <w:p w14:paraId="6615A81F">
      <w:pPr>
        <w:pStyle w:val="10"/>
        <w:spacing w:after="0" w:line="360" w:lineRule="auto"/>
        <w:ind w:firstLine="420"/>
        <w:rPr>
          <w:rFonts w:ascii="宋体" w:hAnsi="宋体"/>
        </w:rPr>
      </w:pPr>
      <w:r>
        <w:rPr>
          <w:rFonts w:hint="eastAsia" w:ascii="宋体" w:hAnsi="宋体"/>
        </w:rPr>
        <w:t>根据中标结果，本项目技术服务费人民币（大写）：</w:t>
      </w:r>
      <w:r>
        <w:rPr>
          <w:rFonts w:hint="eastAsia" w:ascii="宋体" w:hAnsi="宋体"/>
        </w:rPr>
        <w:tab/>
      </w:r>
      <w:r>
        <w:rPr>
          <w:rFonts w:hint="eastAsia" w:ascii="宋体" w:hAnsi="宋体"/>
        </w:rPr>
        <w:t>￥：，合同价款包括完成合同内容的所有工作及其成果而产生的全部费用和税金。</w:t>
      </w:r>
    </w:p>
    <w:p w14:paraId="2FF8664C">
      <w:pPr>
        <w:pStyle w:val="10"/>
        <w:spacing w:after="0" w:line="360" w:lineRule="auto"/>
        <w:ind w:firstLine="420"/>
        <w:rPr>
          <w:rFonts w:ascii="宋体" w:hAnsi="宋体"/>
        </w:rPr>
      </w:pPr>
      <w:r>
        <w:rPr>
          <w:rFonts w:hint="eastAsia" w:ascii="宋体" w:hAnsi="宋体"/>
        </w:rPr>
        <w:t>第六条付款方式</w:t>
      </w:r>
    </w:p>
    <w:p w14:paraId="4E17B1EE">
      <w:pPr>
        <w:pStyle w:val="10"/>
        <w:spacing w:after="0" w:line="360" w:lineRule="auto"/>
        <w:ind w:firstLine="420"/>
        <w:rPr>
          <w:rFonts w:ascii="宋体" w:hAnsi="宋体"/>
        </w:rPr>
      </w:pPr>
      <w:r>
        <w:rPr>
          <w:rFonts w:hint="eastAsia" w:ascii="宋体" w:hAnsi="宋体"/>
        </w:rPr>
        <w:t>1、本合同项下所有款项均以人民币支付。</w:t>
      </w:r>
    </w:p>
    <w:p w14:paraId="65ADCBC2">
      <w:pPr>
        <w:pStyle w:val="10"/>
        <w:spacing w:after="0" w:line="360" w:lineRule="auto"/>
        <w:ind w:firstLine="420"/>
        <w:rPr>
          <w:rFonts w:ascii="宋体" w:hAnsi="宋体"/>
        </w:rPr>
      </w:pPr>
      <w:r>
        <w:rPr>
          <w:rFonts w:hint="eastAsia" w:ascii="宋体" w:hAnsi="宋体"/>
        </w:rPr>
        <w:t>2、乙方向甲方提交下列文件材料，经甲方审核无误后支付采购价款：</w:t>
      </w:r>
    </w:p>
    <w:p w14:paraId="7E170C73">
      <w:pPr>
        <w:pStyle w:val="10"/>
        <w:spacing w:after="0" w:line="360" w:lineRule="auto"/>
        <w:ind w:firstLine="420"/>
        <w:rPr>
          <w:rFonts w:ascii="宋体" w:hAnsi="宋体"/>
        </w:rPr>
      </w:pPr>
      <w:r>
        <w:rPr>
          <w:rFonts w:hint="eastAsia" w:ascii="宋体" w:hAnsi="宋体"/>
        </w:rPr>
        <w:t>（1）经甲方确认的发票；</w:t>
      </w:r>
    </w:p>
    <w:p w14:paraId="57EDAB89">
      <w:pPr>
        <w:pStyle w:val="10"/>
        <w:spacing w:after="0" w:line="360" w:lineRule="auto"/>
        <w:ind w:firstLine="420"/>
        <w:rPr>
          <w:rFonts w:ascii="宋体" w:hAnsi="宋体"/>
        </w:rPr>
      </w:pPr>
      <w:r>
        <w:rPr>
          <w:rFonts w:hint="eastAsia" w:ascii="宋体" w:hAnsi="宋体"/>
        </w:rPr>
        <w:t>（2）甲方要求的其他相关材料。</w:t>
      </w:r>
    </w:p>
    <w:p w14:paraId="1F76A876">
      <w:pPr>
        <w:pStyle w:val="10"/>
        <w:spacing w:after="0" w:line="360" w:lineRule="auto"/>
        <w:ind w:firstLine="420"/>
        <w:rPr>
          <w:rFonts w:ascii="宋体" w:hAnsi="宋体"/>
        </w:rPr>
      </w:pPr>
      <w:r>
        <w:rPr>
          <w:rFonts w:hint="eastAsia" w:ascii="宋体" w:hAnsi="宋体"/>
        </w:rPr>
        <w:t>3、【收款账户】乙方开户名称为：；开户银行为：</w:t>
      </w:r>
      <w:r>
        <w:rPr>
          <w:rFonts w:hint="eastAsia" w:ascii="宋体" w:hAnsi="宋体"/>
        </w:rPr>
        <w:tab/>
      </w:r>
      <w:r>
        <w:rPr>
          <w:rFonts w:hint="eastAsia" w:ascii="宋体" w:hAnsi="宋体"/>
        </w:rPr>
        <w:t>；银行账号为：</w:t>
      </w:r>
      <w:r>
        <w:rPr>
          <w:rFonts w:hint="eastAsia" w:ascii="宋体" w:hAnsi="宋体"/>
        </w:rPr>
        <w:tab/>
      </w:r>
      <w:r>
        <w:rPr>
          <w:rFonts w:hint="eastAsia" w:ascii="宋体" w:hAnsi="宋体"/>
        </w:rPr>
        <w:t>。</w:t>
      </w:r>
    </w:p>
    <w:p w14:paraId="18037B81">
      <w:pPr>
        <w:pStyle w:val="10"/>
        <w:spacing w:after="0" w:line="360" w:lineRule="auto"/>
        <w:ind w:firstLine="420"/>
        <w:rPr>
          <w:rFonts w:ascii="宋体" w:hAnsi="宋体"/>
        </w:rPr>
      </w:pPr>
      <w:r>
        <w:rPr>
          <w:rFonts w:hint="eastAsia" w:ascii="宋体" w:hAnsi="宋体"/>
        </w:rPr>
        <w:t>4、款项的支付进度以招标采购文件的有关规定为准。</w:t>
      </w:r>
    </w:p>
    <w:p w14:paraId="5032E189">
      <w:pPr>
        <w:pStyle w:val="10"/>
        <w:spacing w:after="0" w:line="360" w:lineRule="auto"/>
        <w:ind w:firstLine="420"/>
        <w:rPr>
          <w:rFonts w:ascii="宋体" w:hAnsi="宋体"/>
        </w:rPr>
      </w:pPr>
      <w:r>
        <w:rPr>
          <w:rFonts w:hint="eastAsia" w:ascii="宋体" w:hAnsi="宋体"/>
        </w:rPr>
        <w:t>第七条　双方责任与义务</w:t>
      </w:r>
    </w:p>
    <w:p w14:paraId="1088717A">
      <w:pPr>
        <w:pStyle w:val="10"/>
        <w:spacing w:after="0" w:line="360" w:lineRule="auto"/>
        <w:ind w:firstLine="420"/>
        <w:rPr>
          <w:rFonts w:ascii="宋体" w:hAnsi="宋体"/>
        </w:rPr>
      </w:pPr>
      <w:r>
        <w:rPr>
          <w:rFonts w:hint="eastAsia" w:ascii="宋体" w:hAnsi="宋体"/>
        </w:rPr>
        <w:t>（一）甲方责任与义务</w:t>
      </w:r>
    </w:p>
    <w:p w14:paraId="5B4EEC4B">
      <w:pPr>
        <w:pStyle w:val="10"/>
        <w:spacing w:after="0" w:line="360" w:lineRule="auto"/>
        <w:ind w:firstLine="420"/>
        <w:rPr>
          <w:rFonts w:ascii="宋体" w:hAnsi="宋体"/>
        </w:rPr>
      </w:pPr>
      <w:r>
        <w:rPr>
          <w:rFonts w:hint="eastAsia" w:ascii="宋体" w:hAnsi="宋体"/>
        </w:rPr>
        <w:t>1、自合同签订之日起向乙方提供有关资料和提出技术要求。</w:t>
      </w:r>
    </w:p>
    <w:p w14:paraId="514569C1">
      <w:pPr>
        <w:pStyle w:val="10"/>
        <w:spacing w:after="0" w:line="360" w:lineRule="auto"/>
        <w:ind w:firstLine="420"/>
        <w:rPr>
          <w:rFonts w:ascii="宋体" w:hAnsi="宋体"/>
        </w:rPr>
      </w:pPr>
      <w:r>
        <w:rPr>
          <w:rFonts w:hint="eastAsia" w:ascii="宋体" w:hAnsi="宋体"/>
        </w:rPr>
        <w:t>2、为编制人提供方便条件和进行必要的配合，协助进行资料收集等工作。</w:t>
      </w:r>
    </w:p>
    <w:p w14:paraId="6105A8C7">
      <w:pPr>
        <w:pStyle w:val="10"/>
        <w:spacing w:after="0" w:line="360" w:lineRule="auto"/>
        <w:ind w:firstLine="420"/>
        <w:rPr>
          <w:rFonts w:ascii="宋体" w:hAnsi="宋体"/>
        </w:rPr>
      </w:pPr>
      <w:r>
        <w:rPr>
          <w:rFonts w:hint="eastAsia" w:ascii="宋体" w:hAnsi="宋体"/>
        </w:rPr>
        <w:t>3、因甲方原因，不按规定的范围内容和标准而造成质量不合格时，责任由甲方承担，并支付乙方全部编制费用。</w:t>
      </w:r>
    </w:p>
    <w:p w14:paraId="57ADDDC7">
      <w:pPr>
        <w:pStyle w:val="10"/>
        <w:spacing w:after="0" w:line="360" w:lineRule="auto"/>
        <w:ind w:firstLine="420"/>
        <w:rPr>
          <w:rFonts w:ascii="宋体" w:hAnsi="宋体"/>
        </w:rPr>
      </w:pPr>
      <w:r>
        <w:rPr>
          <w:rFonts w:hint="eastAsia" w:ascii="宋体" w:hAnsi="宋体"/>
        </w:rPr>
        <w:t>4、合同签订后，如甲方擅自终止合同，甲方应按已完成工作量支付项目款，并赔偿总编制费用    %的违约金。</w:t>
      </w:r>
    </w:p>
    <w:p w14:paraId="382E6649">
      <w:pPr>
        <w:pStyle w:val="10"/>
        <w:spacing w:after="0" w:line="360" w:lineRule="auto"/>
        <w:ind w:firstLine="420"/>
        <w:rPr>
          <w:rFonts w:ascii="宋体" w:hAnsi="宋体"/>
        </w:rPr>
      </w:pPr>
      <w:r>
        <w:rPr>
          <w:rFonts w:hint="eastAsia" w:ascii="宋体" w:hAnsi="宋体"/>
        </w:rPr>
        <w:t>5、甲方负责协调政府相关职能部门沟通、评审等工作，确保规划编制工作顺利开展。</w:t>
      </w:r>
    </w:p>
    <w:p w14:paraId="61A7FDA4">
      <w:pPr>
        <w:pStyle w:val="10"/>
        <w:spacing w:after="0" w:line="360" w:lineRule="auto"/>
        <w:ind w:firstLine="420"/>
        <w:rPr>
          <w:rFonts w:ascii="宋体" w:hAnsi="宋体"/>
        </w:rPr>
      </w:pPr>
      <w:r>
        <w:rPr>
          <w:rFonts w:hint="eastAsia" w:ascii="宋体" w:hAnsi="宋体"/>
        </w:rPr>
        <w:t>6、甲方按照合同约定方式和要求支付工作费用。</w:t>
      </w:r>
    </w:p>
    <w:p w14:paraId="7D248D20">
      <w:pPr>
        <w:pStyle w:val="10"/>
        <w:spacing w:after="0" w:line="360" w:lineRule="auto"/>
        <w:ind w:firstLine="420"/>
        <w:rPr>
          <w:rFonts w:ascii="宋体" w:hAnsi="宋体"/>
        </w:rPr>
      </w:pPr>
      <w:r>
        <w:rPr>
          <w:rFonts w:hint="eastAsia" w:ascii="宋体" w:hAnsi="宋体"/>
        </w:rPr>
        <w:t>（二）乙方责任与义务</w:t>
      </w:r>
    </w:p>
    <w:p w14:paraId="65D6969C">
      <w:pPr>
        <w:pStyle w:val="10"/>
        <w:spacing w:after="0" w:line="360" w:lineRule="auto"/>
        <w:ind w:firstLine="420"/>
        <w:rPr>
          <w:rFonts w:ascii="宋体" w:hAnsi="宋体"/>
        </w:rPr>
      </w:pPr>
      <w:r>
        <w:rPr>
          <w:rFonts w:hint="eastAsia" w:ascii="宋体" w:hAnsi="宋体"/>
        </w:rPr>
        <w:t>1、本合同范围内的服务，由乙方直接提供，不得转包或分包。</w:t>
      </w:r>
    </w:p>
    <w:p w14:paraId="64B7F425">
      <w:pPr>
        <w:pStyle w:val="10"/>
        <w:spacing w:after="0" w:line="360" w:lineRule="auto"/>
        <w:ind w:firstLine="420"/>
        <w:rPr>
          <w:rFonts w:ascii="宋体" w:hAnsi="宋体"/>
        </w:rPr>
      </w:pPr>
      <w:r>
        <w:rPr>
          <w:rFonts w:hint="eastAsia" w:ascii="宋体" w:hAnsi="宋体"/>
        </w:rPr>
        <w:t>2、乙方要组建项目编制团队，委派一名项目负责人负责本项目的管理，不得随意调换，以保证本规划编制工作的质量、进度、安全。</w:t>
      </w:r>
    </w:p>
    <w:p w14:paraId="041426BA">
      <w:pPr>
        <w:pStyle w:val="10"/>
        <w:spacing w:after="0" w:line="360" w:lineRule="auto"/>
        <w:ind w:firstLine="420"/>
        <w:rPr>
          <w:rFonts w:ascii="宋体" w:hAnsi="宋体"/>
        </w:rPr>
      </w:pPr>
      <w:r>
        <w:rPr>
          <w:rFonts w:hint="eastAsia" w:ascii="宋体" w:hAnsi="宋体"/>
        </w:rPr>
        <w:t>3、乙方有权拒绝合同以外的工作，但在规划编制过程中可以向甲方提出合理化建议。</w:t>
      </w:r>
    </w:p>
    <w:p w14:paraId="492326AF">
      <w:pPr>
        <w:pStyle w:val="10"/>
        <w:spacing w:after="0" w:line="360" w:lineRule="auto"/>
        <w:ind w:firstLine="420"/>
        <w:rPr>
          <w:rFonts w:ascii="宋体" w:hAnsi="宋体"/>
        </w:rPr>
      </w:pPr>
      <w:r>
        <w:rPr>
          <w:rFonts w:hint="eastAsia" w:ascii="宋体" w:hAnsi="宋体"/>
        </w:rPr>
        <w:t>4、乙方应根据国家、地方相关政策、规划及行业标准或指南，科学开展规划编制工作，要对服务成果的真实性、准确性、完整性、合法性、合理性负责，按时向甲方提交合格的成果资料。</w:t>
      </w:r>
    </w:p>
    <w:p w14:paraId="61761707">
      <w:pPr>
        <w:pStyle w:val="10"/>
        <w:spacing w:after="0" w:line="360" w:lineRule="auto"/>
        <w:ind w:firstLine="420"/>
        <w:rPr>
          <w:rFonts w:ascii="宋体" w:hAnsi="宋体"/>
        </w:rPr>
      </w:pPr>
      <w:r>
        <w:rPr>
          <w:rFonts w:hint="eastAsia" w:ascii="宋体" w:hAnsi="宋体"/>
        </w:rPr>
        <w:t>5、乙方应配合甲方接受上级有关部门审查、专家评审、验收等工作，及时响应要求、随时汇报、反复修改论证以及短期内提交成果等特殊要求。</w:t>
      </w:r>
    </w:p>
    <w:p w14:paraId="13839222">
      <w:pPr>
        <w:pStyle w:val="10"/>
        <w:spacing w:after="0" w:line="360" w:lineRule="auto"/>
        <w:ind w:firstLine="420"/>
        <w:rPr>
          <w:rFonts w:ascii="宋体" w:hAnsi="宋体"/>
        </w:rPr>
      </w:pPr>
      <w:r>
        <w:rPr>
          <w:rFonts w:hint="eastAsia" w:ascii="宋体" w:hAnsi="宋体"/>
        </w:rPr>
        <w:t>6、未经甲方同意，乙方不得将甲方的资料、文件、成果擅自修改、复制或向第三方转让或用于本合同项目以外的事项。否则，造成的一切后果由乙方承担。</w:t>
      </w:r>
    </w:p>
    <w:p w14:paraId="7000E694">
      <w:pPr>
        <w:pStyle w:val="10"/>
        <w:spacing w:after="0" w:line="360" w:lineRule="auto"/>
        <w:ind w:firstLine="420"/>
        <w:rPr>
          <w:rFonts w:ascii="宋体" w:hAnsi="宋体"/>
        </w:rPr>
      </w:pPr>
      <w:r>
        <w:rPr>
          <w:rFonts w:hint="eastAsia" w:ascii="宋体" w:hAnsi="宋体"/>
        </w:rPr>
        <w:t>第八条违约责任</w:t>
      </w:r>
    </w:p>
    <w:p w14:paraId="05E63F20">
      <w:pPr>
        <w:pStyle w:val="10"/>
        <w:spacing w:after="0" w:line="360" w:lineRule="auto"/>
        <w:ind w:firstLine="420"/>
        <w:rPr>
          <w:rFonts w:ascii="宋体" w:hAnsi="宋体"/>
        </w:rPr>
      </w:pPr>
      <w:r>
        <w:rPr>
          <w:rFonts w:hint="eastAsia" w:ascii="宋体" w:hAnsi="宋体"/>
        </w:rPr>
        <w:t>1、甲方无正当理由拒绝接受服务的，甲方向乙方偿付合同款项的作为违约金。</w:t>
      </w:r>
    </w:p>
    <w:p w14:paraId="1404F92C">
      <w:pPr>
        <w:pStyle w:val="10"/>
        <w:spacing w:after="0" w:line="360" w:lineRule="auto"/>
        <w:ind w:firstLine="420"/>
        <w:rPr>
          <w:rFonts w:ascii="宋体" w:hAnsi="宋体"/>
        </w:rPr>
      </w:pPr>
      <w:r>
        <w:rPr>
          <w:rFonts w:hint="eastAsia" w:ascii="宋体" w:hAnsi="宋体"/>
        </w:rPr>
        <w:t>2、甲方无故逾期验收和办理款项支付手续的，应按逾期付款金额每日向乙方支付违约金。</w:t>
      </w:r>
    </w:p>
    <w:p w14:paraId="6340A390">
      <w:pPr>
        <w:pStyle w:val="10"/>
        <w:spacing w:after="0" w:line="360" w:lineRule="auto"/>
        <w:ind w:firstLine="420"/>
        <w:rPr>
          <w:rFonts w:ascii="宋体" w:hAnsi="宋体"/>
        </w:rPr>
      </w:pPr>
      <w:r>
        <w:rPr>
          <w:rFonts w:hint="eastAsia" w:ascii="宋体" w:hAnsi="宋体"/>
        </w:rPr>
        <w:t>3、乙方未能如期提供服务的，每日向甲方支付合同款项的的违约金，乙方超过约定日期个工作日人不能提供服务的，甲方有权解除合同，乙方还应向甲方支付合同款项的违约金。</w:t>
      </w:r>
    </w:p>
    <w:p w14:paraId="571BB8CA">
      <w:pPr>
        <w:pStyle w:val="10"/>
        <w:spacing w:after="0" w:line="360" w:lineRule="auto"/>
        <w:ind w:firstLine="420"/>
        <w:rPr>
          <w:rFonts w:ascii="宋体" w:hAnsi="宋体"/>
        </w:rPr>
      </w:pPr>
      <w:r>
        <w:rPr>
          <w:rFonts w:hint="eastAsia" w:ascii="宋体" w:hAnsi="宋体"/>
        </w:rPr>
        <w:t>4、乙方提供的成果经专家不能满足采购文件要求和技术标准，或因乙方过错造成合同无法继续履行的，乙方应向甲方支付不少于合同总价的违约金。</w:t>
      </w:r>
    </w:p>
    <w:p w14:paraId="1CA4197B">
      <w:pPr>
        <w:pStyle w:val="10"/>
        <w:spacing w:after="0" w:line="360" w:lineRule="auto"/>
        <w:ind w:firstLine="420"/>
        <w:rPr>
          <w:rFonts w:ascii="宋体" w:hAnsi="宋体"/>
        </w:rPr>
      </w:pPr>
      <w:r>
        <w:rPr>
          <w:rFonts w:hint="eastAsia" w:ascii="宋体" w:hAnsi="宋体"/>
        </w:rPr>
        <w:t>第九条成果提交</w:t>
      </w:r>
    </w:p>
    <w:p w14:paraId="23697C7A">
      <w:pPr>
        <w:pStyle w:val="10"/>
        <w:spacing w:after="0" w:line="360" w:lineRule="auto"/>
        <w:ind w:firstLine="420"/>
        <w:rPr>
          <w:rFonts w:ascii="宋体" w:hAnsi="宋体"/>
        </w:rPr>
      </w:pPr>
      <w:r>
        <w:rPr>
          <w:rFonts w:hint="eastAsia" w:ascii="宋体" w:hAnsi="宋体"/>
        </w:rPr>
        <w:t>按照有关文件要求，提交……等成果。</w:t>
      </w:r>
    </w:p>
    <w:p w14:paraId="3B96F3DB">
      <w:pPr>
        <w:pStyle w:val="10"/>
        <w:spacing w:after="0" w:line="360" w:lineRule="auto"/>
        <w:ind w:firstLine="420"/>
        <w:rPr>
          <w:rFonts w:ascii="宋体" w:hAnsi="宋体"/>
        </w:rPr>
      </w:pPr>
      <w:r>
        <w:rPr>
          <w:rFonts w:hint="eastAsia" w:ascii="宋体" w:hAnsi="宋体"/>
        </w:rPr>
        <w:t>第十条争议解决</w:t>
      </w:r>
    </w:p>
    <w:p w14:paraId="27CE34D4">
      <w:pPr>
        <w:pStyle w:val="10"/>
        <w:spacing w:after="0" w:line="360" w:lineRule="auto"/>
        <w:ind w:firstLine="420"/>
        <w:rPr>
          <w:rFonts w:ascii="宋体" w:hAnsi="宋体"/>
        </w:rPr>
      </w:pPr>
      <w:r>
        <w:rPr>
          <w:rFonts w:hint="eastAsia" w:ascii="宋体" w:hAnsi="宋体"/>
        </w:rPr>
        <w:t>合同履行过程中发生争议时，甲乙双方应及时协商解决。双方未达成一致的，可以向甲方属地人民法院起诉。</w:t>
      </w:r>
    </w:p>
    <w:p w14:paraId="28B0F6FC">
      <w:pPr>
        <w:pStyle w:val="10"/>
        <w:spacing w:after="0" w:line="360" w:lineRule="auto"/>
        <w:ind w:firstLine="420"/>
        <w:rPr>
          <w:rFonts w:ascii="宋体" w:hAnsi="宋体"/>
        </w:rPr>
      </w:pPr>
      <w:r>
        <w:rPr>
          <w:rFonts w:hint="eastAsia" w:ascii="宋体" w:hAnsi="宋体"/>
        </w:rPr>
        <w:t>第十一条　其他</w:t>
      </w:r>
    </w:p>
    <w:p w14:paraId="04D2FF96">
      <w:pPr>
        <w:pStyle w:val="10"/>
        <w:spacing w:after="0" w:line="360" w:lineRule="auto"/>
        <w:ind w:firstLine="420"/>
        <w:rPr>
          <w:rFonts w:ascii="宋体" w:hAnsi="宋体"/>
        </w:rPr>
      </w:pPr>
      <w:r>
        <w:rPr>
          <w:rFonts w:hint="eastAsia" w:ascii="宋体" w:hAnsi="宋体"/>
        </w:rPr>
        <w:t>1、政府采购文件，乙方投标文件，中标通知书，乙方在评标过程中作出的澄清、说明、承诺等，政府采购委托协议书，均视为合同不可分割部分。</w:t>
      </w:r>
    </w:p>
    <w:p w14:paraId="16C58A9C">
      <w:pPr>
        <w:pStyle w:val="10"/>
        <w:spacing w:after="0" w:line="360" w:lineRule="auto"/>
        <w:ind w:firstLine="420"/>
        <w:rPr>
          <w:rFonts w:ascii="宋体" w:hAnsi="宋体"/>
        </w:rPr>
      </w:pPr>
      <w:r>
        <w:rPr>
          <w:rFonts w:hint="eastAsia" w:ascii="宋体" w:hAnsi="宋体"/>
        </w:rPr>
        <w:t>2、本合同未尽事宜，由甲乙双方签订补充协议，与本合同具有同等法律效力。</w:t>
      </w:r>
    </w:p>
    <w:p w14:paraId="5A8BA512">
      <w:pPr>
        <w:pStyle w:val="10"/>
        <w:spacing w:after="0" w:line="360" w:lineRule="auto"/>
        <w:ind w:firstLine="420"/>
        <w:rPr>
          <w:rFonts w:ascii="宋体" w:hAnsi="宋体"/>
        </w:rPr>
      </w:pPr>
      <w:r>
        <w:rPr>
          <w:rFonts w:hint="eastAsia" w:ascii="宋体" w:hAnsi="宋体"/>
        </w:rPr>
        <w:t>3、由于不可抗拒因素致使合同无法履行或延期履行，双方应及时协商解决。</w:t>
      </w:r>
    </w:p>
    <w:p w14:paraId="689DAAA4">
      <w:pPr>
        <w:pStyle w:val="10"/>
        <w:spacing w:after="0" w:line="360" w:lineRule="auto"/>
        <w:ind w:firstLine="420"/>
        <w:rPr>
          <w:rFonts w:ascii="宋体" w:hAnsi="宋体"/>
        </w:rPr>
      </w:pPr>
      <w:r>
        <w:rPr>
          <w:rFonts w:hint="eastAsia" w:ascii="宋体" w:hAnsi="宋体"/>
        </w:rPr>
        <w:t>4、双方认可的传真、会议纪要等有关材料，视为合同组成部分，与本合同具有同等法律效力。</w:t>
      </w:r>
    </w:p>
    <w:p w14:paraId="26644D29">
      <w:pPr>
        <w:pStyle w:val="10"/>
        <w:spacing w:after="0" w:line="360" w:lineRule="auto"/>
        <w:ind w:firstLine="420"/>
        <w:rPr>
          <w:rFonts w:ascii="宋体" w:hAnsi="宋体"/>
        </w:rPr>
      </w:pPr>
      <w:r>
        <w:rPr>
          <w:rFonts w:hint="eastAsia" w:ascii="宋体" w:hAnsi="宋体"/>
        </w:rPr>
        <w:t>5、本合同双方签字盖章后生效，一式陆份，甲乙双方各执叁份，合同履行完自动失效。</w:t>
      </w:r>
    </w:p>
    <w:p w14:paraId="129E5AC5">
      <w:pPr>
        <w:pStyle w:val="10"/>
        <w:ind w:firstLine="420"/>
      </w:pPr>
    </w:p>
    <w:p w14:paraId="30125AB6">
      <w:pPr>
        <w:pStyle w:val="10"/>
        <w:ind w:firstLine="420"/>
      </w:pPr>
      <w:r>
        <w:rPr>
          <w:rFonts w:hint="eastAsia"/>
        </w:rPr>
        <w:t>甲方：　　　　　　　　　乙方：　</w:t>
      </w:r>
    </w:p>
    <w:p w14:paraId="7286D96E">
      <w:pPr>
        <w:pStyle w:val="10"/>
        <w:ind w:firstLine="420"/>
      </w:pPr>
      <w:r>
        <w:rPr>
          <w:rFonts w:hint="eastAsia"/>
        </w:rPr>
        <w:t>（盖章）　　　　　　　　　　（盖章）</w:t>
      </w:r>
    </w:p>
    <w:p w14:paraId="397343D9">
      <w:pPr>
        <w:pStyle w:val="10"/>
        <w:ind w:firstLine="420"/>
      </w:pPr>
      <w:r>
        <w:rPr>
          <w:rFonts w:hint="eastAsia"/>
        </w:rPr>
        <w:t>法定代表人：（签字）　　　　法定代表人：（签字）</w:t>
      </w:r>
    </w:p>
    <w:p w14:paraId="5D730EFA">
      <w:pPr>
        <w:pStyle w:val="10"/>
        <w:ind w:firstLine="420"/>
      </w:pPr>
      <w:r>
        <w:rPr>
          <w:rFonts w:hint="eastAsia"/>
        </w:rPr>
        <w:t>电　　话：　　　　　　　　　电　　　话：</w:t>
      </w:r>
    </w:p>
    <w:p w14:paraId="541D30B2">
      <w:pPr>
        <w:pStyle w:val="10"/>
        <w:ind w:firstLine="420"/>
      </w:pPr>
      <w:r>
        <w:rPr>
          <w:rFonts w:hint="eastAsia"/>
        </w:rPr>
        <w:t>开户银行：　　　　　　　　　开户银行：</w:t>
      </w:r>
    </w:p>
    <w:p w14:paraId="04BA89D4">
      <w:pPr>
        <w:pStyle w:val="10"/>
        <w:ind w:firstLine="420"/>
      </w:pPr>
      <w:r>
        <w:rPr>
          <w:rFonts w:hint="eastAsia"/>
        </w:rPr>
        <w:t>银行帐号：　　　　　　　　　银行帐号：</w:t>
      </w:r>
    </w:p>
    <w:p w14:paraId="6C65EC36">
      <w:pPr>
        <w:pStyle w:val="10"/>
        <w:ind w:firstLine="420"/>
        <w:sectPr>
          <w:headerReference r:id="rId11" w:type="default"/>
          <w:pgSz w:w="11906" w:h="16838"/>
          <w:pgMar w:top="1417" w:right="1417" w:bottom="1417" w:left="1417" w:header="851" w:footer="992" w:gutter="0"/>
          <w:cols w:space="720" w:num="1"/>
          <w:docGrid w:type="linesAndChars" w:linePitch="312" w:charSpace="0"/>
        </w:sectPr>
      </w:pPr>
    </w:p>
    <w:p w14:paraId="79540A9B">
      <w:pPr>
        <w:pStyle w:val="3"/>
        <w:spacing w:before="0" w:after="0" w:line="360" w:lineRule="auto"/>
        <w:jc w:val="center"/>
        <w:rPr>
          <w:rFonts w:hint="eastAsia"/>
          <w:kern w:val="0"/>
        </w:rPr>
      </w:pPr>
      <w:bookmarkStart w:id="44" w:name="_Toc137128184"/>
      <w:bookmarkStart w:id="45" w:name="_Toc160007355"/>
    </w:p>
    <w:p w14:paraId="28DCFD05">
      <w:pPr>
        <w:pStyle w:val="3"/>
        <w:spacing w:before="0" w:after="0" w:line="360" w:lineRule="auto"/>
        <w:jc w:val="center"/>
        <w:rPr>
          <w:kern w:val="0"/>
        </w:rPr>
      </w:pPr>
      <w:r>
        <w:rPr>
          <w:rFonts w:hint="eastAsia"/>
          <w:kern w:val="0"/>
        </w:rPr>
        <w:t>第</w:t>
      </w:r>
      <w:r>
        <w:rPr>
          <w:rFonts w:hint="eastAsia"/>
          <w:kern w:val="0"/>
          <w:lang w:val="en-US" w:eastAsia="zh-CN"/>
        </w:rPr>
        <w:t>八</w:t>
      </w:r>
      <w:r>
        <w:rPr>
          <w:rFonts w:hint="eastAsia"/>
          <w:kern w:val="0"/>
        </w:rPr>
        <w:t>部分 附件—供应商响应文件格式</w:t>
      </w:r>
      <w:bookmarkEnd w:id="44"/>
      <w:bookmarkEnd w:id="45"/>
    </w:p>
    <w:p w14:paraId="7B290DDA">
      <w:pPr>
        <w:widowControl/>
        <w:wordWrap w:val="0"/>
        <w:snapToGrid w:val="0"/>
        <w:spacing w:line="360" w:lineRule="auto"/>
        <w:jc w:val="right"/>
        <w:rPr>
          <w:rFonts w:ascii="华文中宋" w:hAnsi="华文中宋"/>
          <w:b/>
          <w:bCs/>
          <w:kern w:val="0"/>
          <w:sz w:val="32"/>
          <w:szCs w:val="32"/>
        </w:rPr>
      </w:pPr>
    </w:p>
    <w:p w14:paraId="358FAB7E">
      <w:pPr>
        <w:pStyle w:val="25"/>
      </w:pPr>
    </w:p>
    <w:p w14:paraId="441931B1">
      <w:pPr>
        <w:adjustRightInd w:val="0"/>
        <w:snapToGrid w:val="0"/>
        <w:spacing w:line="360" w:lineRule="auto"/>
        <w:jc w:val="center"/>
        <w:rPr>
          <w:rFonts w:ascii="宋体" w:hAnsi="宋体"/>
          <w:sz w:val="32"/>
          <w:szCs w:val="32"/>
          <w:u w:val="single"/>
        </w:rPr>
      </w:pPr>
    </w:p>
    <w:p w14:paraId="62AE9D10">
      <w:pPr>
        <w:adjustRightInd w:val="0"/>
        <w:snapToGrid w:val="0"/>
        <w:spacing w:line="360" w:lineRule="auto"/>
        <w:jc w:val="center"/>
        <w:rPr>
          <w:rFonts w:ascii="宋体" w:hAnsi="宋体"/>
          <w:b/>
          <w:bCs/>
          <w:sz w:val="32"/>
          <w:szCs w:val="32"/>
        </w:rPr>
      </w:pPr>
      <w:r>
        <w:rPr>
          <w:rFonts w:hint="eastAsia" w:ascii="宋体" w:hAnsi="宋体"/>
          <w:sz w:val="32"/>
          <w:szCs w:val="32"/>
        </w:rPr>
        <w:t>（项目名称）</w:t>
      </w:r>
    </w:p>
    <w:p w14:paraId="5F6B76D6">
      <w:pPr>
        <w:spacing w:line="360" w:lineRule="auto"/>
        <w:jc w:val="center"/>
        <w:rPr>
          <w:rFonts w:ascii="宋体" w:hAnsi="宋体"/>
          <w:b/>
          <w:sz w:val="96"/>
          <w:szCs w:val="90"/>
        </w:rPr>
      </w:pPr>
    </w:p>
    <w:p w14:paraId="4CD2FA9C">
      <w:pPr>
        <w:spacing w:line="360" w:lineRule="auto"/>
        <w:jc w:val="center"/>
        <w:rPr>
          <w:rFonts w:ascii="宋体" w:hAnsi="宋体"/>
          <w:b/>
          <w:sz w:val="96"/>
          <w:szCs w:val="90"/>
        </w:rPr>
      </w:pPr>
      <w:r>
        <w:rPr>
          <w:rFonts w:hint="eastAsia" w:ascii="宋体" w:hAnsi="宋体"/>
          <w:b/>
          <w:sz w:val="96"/>
          <w:szCs w:val="90"/>
        </w:rPr>
        <w:t>响应文件</w:t>
      </w:r>
    </w:p>
    <w:p w14:paraId="10D4582E">
      <w:pPr>
        <w:spacing w:line="360" w:lineRule="auto"/>
        <w:jc w:val="center"/>
        <w:rPr>
          <w:rFonts w:ascii="宋体" w:hAnsi="宋体"/>
        </w:rPr>
      </w:pPr>
      <w:r>
        <w:rPr>
          <w:rFonts w:hint="eastAsia" w:ascii="宋体" w:hAnsi="宋体"/>
        </w:rPr>
        <w:t>（封面格式）</w:t>
      </w:r>
    </w:p>
    <w:p w14:paraId="132E3ADD">
      <w:pPr>
        <w:spacing w:line="360" w:lineRule="auto"/>
        <w:rPr>
          <w:rFonts w:ascii="宋体" w:hAnsi="宋体"/>
          <w:sz w:val="30"/>
          <w:szCs w:val="30"/>
        </w:rPr>
      </w:pPr>
    </w:p>
    <w:p w14:paraId="5D47D840">
      <w:pPr>
        <w:spacing w:line="360" w:lineRule="auto"/>
        <w:rPr>
          <w:rFonts w:ascii="宋体" w:hAnsi="宋体"/>
          <w:sz w:val="30"/>
          <w:szCs w:val="30"/>
        </w:rPr>
      </w:pPr>
    </w:p>
    <w:p w14:paraId="699C3874">
      <w:pPr>
        <w:spacing w:line="360" w:lineRule="auto"/>
        <w:rPr>
          <w:rFonts w:ascii="宋体" w:hAnsi="宋体"/>
          <w:sz w:val="30"/>
          <w:szCs w:val="30"/>
        </w:rPr>
      </w:pPr>
    </w:p>
    <w:p w14:paraId="570E1C4C">
      <w:pPr>
        <w:spacing w:line="360" w:lineRule="auto"/>
        <w:rPr>
          <w:rFonts w:ascii="宋体" w:hAnsi="宋体"/>
          <w:sz w:val="30"/>
          <w:szCs w:val="30"/>
        </w:rPr>
      </w:pPr>
    </w:p>
    <w:p w14:paraId="6EE64084">
      <w:pPr>
        <w:spacing w:line="360" w:lineRule="auto"/>
        <w:rPr>
          <w:rFonts w:ascii="宋体" w:hAnsi="宋体"/>
          <w:sz w:val="30"/>
          <w:szCs w:val="30"/>
        </w:rPr>
      </w:pPr>
    </w:p>
    <w:p w14:paraId="17EDA81E">
      <w:pPr>
        <w:spacing w:line="360" w:lineRule="auto"/>
        <w:rPr>
          <w:rFonts w:ascii="宋体" w:hAnsi="宋体"/>
          <w:sz w:val="30"/>
          <w:szCs w:val="30"/>
        </w:rPr>
      </w:pPr>
    </w:p>
    <w:p w14:paraId="37575368">
      <w:pPr>
        <w:spacing w:line="360" w:lineRule="auto"/>
        <w:ind w:firstLine="1059" w:firstLineChars="353"/>
        <w:rPr>
          <w:rFonts w:ascii="宋体" w:hAnsi="宋体"/>
          <w:sz w:val="30"/>
          <w:szCs w:val="30"/>
          <w:u w:val="single"/>
        </w:rPr>
      </w:pPr>
      <w:r>
        <w:rPr>
          <w:rFonts w:hint="eastAsia" w:ascii="宋体" w:hAnsi="宋体"/>
          <w:sz w:val="30"/>
          <w:szCs w:val="30"/>
        </w:rPr>
        <w:t>供 应 商：</w:t>
      </w:r>
    </w:p>
    <w:p w14:paraId="233F0FA3">
      <w:pPr>
        <w:spacing w:line="360" w:lineRule="auto"/>
        <w:ind w:firstLine="1059" w:firstLineChars="353"/>
        <w:rPr>
          <w:rFonts w:ascii="宋体" w:hAnsi="宋体"/>
          <w:sz w:val="30"/>
          <w:szCs w:val="30"/>
        </w:rPr>
      </w:pPr>
      <w:r>
        <w:rPr>
          <w:rFonts w:hint="eastAsia" w:ascii="宋体" w:hAnsi="宋体"/>
          <w:sz w:val="30"/>
          <w:szCs w:val="30"/>
        </w:rPr>
        <w:t>法定代表人或授权委托人：</w:t>
      </w:r>
      <w:r>
        <w:rPr>
          <w:rFonts w:hint="eastAsia" w:ascii="宋体" w:hAnsi="宋体"/>
          <w:sz w:val="30"/>
          <w:szCs w:val="30"/>
          <w:u w:val="single"/>
        </w:rPr>
        <w:t xml:space="preserve">    （签字或盖章）</w:t>
      </w:r>
    </w:p>
    <w:p w14:paraId="3875091A">
      <w:pPr>
        <w:spacing w:line="360" w:lineRule="auto"/>
        <w:ind w:firstLine="1059" w:firstLineChars="353"/>
        <w:rPr>
          <w:rFonts w:ascii="宋体" w:hAnsi="宋体"/>
        </w:rPr>
      </w:pPr>
      <w:r>
        <w:rPr>
          <w:rFonts w:hint="eastAsia" w:ascii="宋体" w:hAnsi="宋体"/>
          <w:sz w:val="30"/>
          <w:szCs w:val="30"/>
        </w:rPr>
        <w:t>日      期：      年   月   日</w:t>
      </w:r>
    </w:p>
    <w:p w14:paraId="4C0F862D">
      <w:pPr>
        <w:widowControl/>
        <w:spacing w:line="360" w:lineRule="auto"/>
        <w:jc w:val="center"/>
        <w:rPr>
          <w:rFonts w:ascii="宋体" w:hAnsi="宋体"/>
          <w:kern w:val="0"/>
          <w:sz w:val="44"/>
          <w:szCs w:val="44"/>
        </w:rPr>
      </w:pPr>
      <w:r>
        <w:rPr>
          <w:rFonts w:ascii="宋体" w:hAnsi="宋体"/>
          <w:b/>
          <w:bCs/>
          <w:kern w:val="0"/>
          <w:sz w:val="36"/>
          <w:szCs w:val="36"/>
        </w:rPr>
        <w:br w:type="page"/>
      </w:r>
      <w:r>
        <w:rPr>
          <w:rFonts w:hint="eastAsia" w:ascii="宋体" w:hAnsi="宋体"/>
          <w:b/>
          <w:bCs/>
          <w:kern w:val="0"/>
          <w:sz w:val="44"/>
          <w:szCs w:val="44"/>
        </w:rPr>
        <w:t>目     录</w:t>
      </w:r>
    </w:p>
    <w:p w14:paraId="6769A008">
      <w:pPr>
        <w:widowControl/>
        <w:spacing w:line="360" w:lineRule="auto"/>
        <w:jc w:val="center"/>
        <w:rPr>
          <w:rFonts w:ascii="宋体" w:hAnsi="宋体" w:cs="宋体"/>
          <w:b/>
          <w:bCs/>
          <w:kern w:val="0"/>
          <w:sz w:val="44"/>
          <w:szCs w:val="44"/>
        </w:rPr>
      </w:pPr>
      <w:r>
        <w:rPr>
          <w:rFonts w:hint="eastAsia" w:ascii="宋体" w:hAnsi="宋体" w:cs="宋体"/>
          <w:b/>
          <w:bCs/>
          <w:kern w:val="0"/>
          <w:sz w:val="44"/>
          <w:szCs w:val="44"/>
        </w:rPr>
        <w:t>（格式自拟）</w:t>
      </w:r>
    </w:p>
    <w:p w14:paraId="2EC8CF29">
      <w:pPr>
        <w:pStyle w:val="4"/>
        <w:spacing w:before="0" w:after="0" w:line="360" w:lineRule="auto"/>
      </w:pPr>
      <w:r>
        <w:br w:type="page"/>
      </w:r>
      <w:bookmarkStart w:id="46" w:name="_Toc160007356"/>
      <w:bookmarkStart w:id="47" w:name="_Toc137128185"/>
      <w:r>
        <w:rPr>
          <w:rFonts w:hint="eastAsia"/>
        </w:rPr>
        <w:t>附件1：</w:t>
      </w:r>
      <w:bookmarkEnd w:id="46"/>
      <w:bookmarkEnd w:id="47"/>
    </w:p>
    <w:p w14:paraId="06995B4A">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14:paraId="7F43BDC9">
      <w:pPr>
        <w:widowControl/>
        <w:spacing w:line="360" w:lineRule="auto"/>
        <w:ind w:firstLine="560"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5E8FADEE">
      <w:pPr>
        <w:pStyle w:val="24"/>
        <w:spacing w:after="0" w:line="360" w:lineRule="auto"/>
        <w:ind w:firstLine="480" w:firstLineChars="200"/>
      </w:pPr>
      <w:r>
        <w:rPr>
          <w:rFonts w:hint="eastAsia" w:ascii="宋体" w:hAnsi="宋体"/>
          <w:sz w:val="24"/>
        </w:rPr>
        <w:t>我单位</w:t>
      </w:r>
      <w:r>
        <w:rPr>
          <w:rFonts w:hint="eastAsia" w:ascii="宋体" w:hAnsi="宋体" w:cs="宋体"/>
          <w:sz w:val="24"/>
        </w:rPr>
        <w:t>已收到的</w:t>
      </w:r>
      <w:r>
        <w:rPr>
          <w:rFonts w:hint="eastAsia" w:ascii="宋体" w:hAnsi="宋体" w:cs="宋体"/>
          <w:sz w:val="24"/>
          <w:u w:val="single"/>
          <w:lang w:val="en-US" w:eastAsia="zh-CN"/>
        </w:rPr>
        <w:t xml:space="preserve">              </w:t>
      </w:r>
      <w:r>
        <w:rPr>
          <w:rFonts w:hint="eastAsia" w:ascii="宋体" w:hAnsi="宋体" w:cs="宋体"/>
          <w:sz w:val="24"/>
        </w:rPr>
        <w:t xml:space="preserve"> 项目</w:t>
      </w:r>
      <w:r>
        <w:rPr>
          <w:rFonts w:hint="eastAsia" w:ascii="宋体" w:hAnsi="宋体"/>
          <w:sz w:val="24"/>
        </w:rPr>
        <w:t>（采购编号：</w:t>
      </w:r>
      <w:r>
        <w:rPr>
          <w:rFonts w:hint="eastAsia" w:ascii="宋体" w:hAnsi="宋体"/>
          <w:sz w:val="24"/>
          <w:u w:val="single"/>
          <w:lang w:val="en-US" w:eastAsia="zh-CN"/>
        </w:rPr>
        <w:t xml:space="preserve">      </w:t>
      </w:r>
      <w:r>
        <w:rPr>
          <w:rFonts w:hint="eastAsia" w:ascii="宋体" w:hAnsi="宋体"/>
          <w:sz w:val="24"/>
        </w:rPr>
        <w:t>）</w:t>
      </w:r>
      <w:r>
        <w:rPr>
          <w:rFonts w:hint="eastAsia" w:ascii="宋体" w:hAnsi="宋体" w:cs="宋体"/>
          <w:sz w:val="24"/>
        </w:rPr>
        <w:t>采购文件及有关纪要通知，现</w:t>
      </w:r>
      <w:r>
        <w:rPr>
          <w:rFonts w:hint="eastAsia" w:ascii="宋体" w:hAnsi="宋体"/>
          <w:sz w:val="24"/>
        </w:rPr>
        <w:t>对参与投标及成交后工作，做出如下郑重承诺：</w:t>
      </w:r>
    </w:p>
    <w:p w14:paraId="372FE97E">
      <w:pPr>
        <w:spacing w:line="360" w:lineRule="auto"/>
        <w:ind w:firstLine="480" w:firstLineChars="200"/>
        <w:rPr>
          <w:rFonts w:ascii="宋体" w:hAnsi="宋体" w:cs="宋体"/>
          <w:sz w:val="24"/>
        </w:rPr>
      </w:pPr>
      <w:r>
        <w:rPr>
          <w:rFonts w:hint="eastAsia" w:ascii="宋体" w:hAnsi="宋体" w:cs="宋体"/>
          <w:sz w:val="24"/>
        </w:rPr>
        <w:t>1、我方愿以总价为人民币（大写）</w:t>
      </w:r>
      <w:r>
        <w:rPr>
          <w:rFonts w:hint="eastAsia" w:ascii="宋体" w:hAnsi="宋体" w:cs="宋体"/>
          <w:sz w:val="24"/>
          <w:u w:val="single"/>
          <w:lang w:val="en-US" w:eastAsia="zh-CN"/>
        </w:rPr>
        <w:t xml:space="preserve">     </w:t>
      </w:r>
      <w:r>
        <w:rPr>
          <w:rFonts w:hint="eastAsia" w:ascii="宋体" w:hAnsi="宋体" w:cs="宋体"/>
          <w:sz w:val="24"/>
        </w:rPr>
        <w:t>（小写）￥</w:t>
      </w:r>
      <w:r>
        <w:rPr>
          <w:rFonts w:hint="eastAsia" w:ascii="宋体" w:hAnsi="宋体" w:cs="宋体"/>
          <w:sz w:val="24"/>
          <w:u w:val="single"/>
          <w:lang w:val="en-US" w:eastAsia="zh-CN"/>
        </w:rPr>
        <w:t xml:space="preserve">    </w:t>
      </w:r>
      <w:r>
        <w:rPr>
          <w:rFonts w:hint="eastAsia" w:ascii="宋体" w:hAnsi="宋体" w:cs="宋体"/>
          <w:sz w:val="24"/>
        </w:rPr>
        <w:t xml:space="preserve"> 元，</w:t>
      </w:r>
      <w:r>
        <w:rPr>
          <w:rFonts w:hint="eastAsia" w:ascii="宋体" w:hAnsi="宋体" w:cs="宋体"/>
          <w:sz w:val="24"/>
          <w:lang w:val="en-US" w:eastAsia="zh-CN"/>
        </w:rPr>
        <w:t>合同履行期</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sz w:val="24"/>
          <w:shd w:val="clear" w:color="auto" w:fill="FFFFFF"/>
          <w:lang w:val="en-US" w:eastAsia="zh-CN"/>
        </w:rPr>
        <w:t>服务标准</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sz w:val="24"/>
        </w:rPr>
        <w:t xml:space="preserve">按合同约定实施和完成本项目。 </w:t>
      </w:r>
    </w:p>
    <w:p w14:paraId="183A7B98">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60FE2B62">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637D7FB2">
      <w:pPr>
        <w:widowControl/>
        <w:spacing w:line="360" w:lineRule="auto"/>
        <w:ind w:firstLine="480" w:firstLineChars="200"/>
        <w:rPr>
          <w:rFonts w:ascii="宋体" w:hAnsi="宋体"/>
          <w:kern w:val="0"/>
          <w:sz w:val="24"/>
        </w:rPr>
      </w:pPr>
    </w:p>
    <w:p w14:paraId="648CD0EF">
      <w:pPr>
        <w:widowControl/>
        <w:spacing w:line="360" w:lineRule="auto"/>
        <w:ind w:firstLine="480" w:firstLineChars="200"/>
        <w:rPr>
          <w:rFonts w:ascii="宋体" w:hAnsi="宋体"/>
          <w:kern w:val="0"/>
          <w:sz w:val="24"/>
        </w:rPr>
      </w:pPr>
    </w:p>
    <w:p w14:paraId="5CA44A5B">
      <w:pPr>
        <w:widowControl/>
        <w:spacing w:line="360" w:lineRule="auto"/>
        <w:ind w:firstLine="480" w:firstLineChars="200"/>
        <w:rPr>
          <w:rFonts w:ascii="宋体" w:hAnsi="宋体"/>
          <w:kern w:val="0"/>
          <w:sz w:val="24"/>
        </w:rPr>
      </w:pPr>
    </w:p>
    <w:p w14:paraId="34B3CCDB">
      <w:pPr>
        <w:widowControl/>
        <w:spacing w:line="360" w:lineRule="auto"/>
        <w:ind w:firstLine="480" w:firstLineChars="200"/>
        <w:jc w:val="center"/>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供应商：（盖章）</w:t>
      </w:r>
    </w:p>
    <w:p w14:paraId="53D1ADE2">
      <w:pPr>
        <w:widowControl/>
        <w:spacing w:line="360" w:lineRule="auto"/>
        <w:ind w:firstLine="480" w:firstLineChars="200"/>
        <w:jc w:val="right"/>
        <w:rPr>
          <w:rFonts w:ascii="宋体" w:hAnsi="宋体"/>
          <w:kern w:val="0"/>
          <w:sz w:val="24"/>
        </w:rPr>
      </w:pPr>
      <w:r>
        <w:rPr>
          <w:rFonts w:hint="eastAsia" w:ascii="宋体" w:hAnsi="宋体"/>
          <w:kern w:val="0"/>
          <w:sz w:val="24"/>
        </w:rPr>
        <w:t>法定代表人或授权委托代理人：（签字或盖章）</w:t>
      </w:r>
    </w:p>
    <w:p w14:paraId="1AD900FF">
      <w:pPr>
        <w:widowControl/>
        <w:spacing w:line="360" w:lineRule="auto"/>
        <w:ind w:firstLine="480" w:firstLineChars="200"/>
        <w:jc w:val="center"/>
        <w:rPr>
          <w:rFonts w:ascii="宋体" w:hAnsi="宋体"/>
          <w:kern w:val="0"/>
          <w:sz w:val="24"/>
        </w:rPr>
        <w:sectPr>
          <w:pgSz w:w="11906" w:h="16838"/>
          <w:pgMar w:top="1417" w:right="1417" w:bottom="1417" w:left="1417" w:header="851" w:footer="992" w:gutter="0"/>
          <w:cols w:space="720" w:num="1"/>
          <w:docGrid w:type="linesAndChars" w:linePitch="312" w:charSpace="0"/>
        </w:sectPr>
      </w:pPr>
      <w:r>
        <w:rPr>
          <w:rFonts w:hint="eastAsia" w:ascii="宋体" w:hAnsi="宋体"/>
          <w:kern w:val="0"/>
          <w:sz w:val="24"/>
          <w:lang w:val="en-US" w:eastAsia="zh-CN"/>
        </w:rPr>
        <w:t xml:space="preserve">                   </w:t>
      </w:r>
      <w:r>
        <w:rPr>
          <w:rFonts w:hint="eastAsia" w:ascii="宋体" w:hAnsi="宋体"/>
          <w:kern w:val="0"/>
          <w:sz w:val="24"/>
        </w:rPr>
        <w:t>年      月      日</w:t>
      </w:r>
    </w:p>
    <w:p w14:paraId="7D4E6A3F">
      <w:pPr>
        <w:widowControl/>
        <w:spacing w:line="360" w:lineRule="auto"/>
        <w:ind w:firstLine="880" w:firstLineChars="200"/>
        <w:jc w:val="center"/>
      </w:pPr>
      <w:r>
        <w:rPr>
          <w:rFonts w:hint="eastAsia" w:ascii="宋体" w:hAnsi="宋体"/>
          <w:b/>
          <w:bCs/>
          <w:kern w:val="0"/>
          <w:sz w:val="44"/>
          <w:szCs w:val="44"/>
        </w:rPr>
        <w:t>第一轮报价</w:t>
      </w:r>
    </w:p>
    <w:p w14:paraId="0CA191D1">
      <w:pPr>
        <w:pStyle w:val="87"/>
        <w:spacing w:line="360" w:lineRule="auto"/>
        <w:ind w:firstLine="480" w:firstLineChars="200"/>
        <w:rPr>
          <w:rFonts w:ascii="宋体" w:hAnsi="宋体" w:eastAsia="宋体"/>
          <w:sz w:val="24"/>
          <w:szCs w:val="24"/>
        </w:rPr>
      </w:pPr>
      <w:r>
        <w:rPr>
          <w:rFonts w:hint="eastAsia" w:ascii="宋体" w:hAnsi="宋体" w:eastAsia="宋体"/>
          <w:sz w:val="24"/>
          <w:szCs w:val="24"/>
        </w:rPr>
        <w:t>说明：1、供应商单位应将第一轮报价填入下表并按要求签字或盖章，本表要附在响应文件中。</w:t>
      </w:r>
    </w:p>
    <w:tbl>
      <w:tblPr>
        <w:tblStyle w:val="2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14:paraId="24F2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14:paraId="41B1789E">
            <w:pPr>
              <w:spacing w:line="360" w:lineRule="auto"/>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14:paraId="12BD1DEC">
            <w:pPr>
              <w:spacing w:line="360" w:lineRule="auto"/>
              <w:rPr>
                <w:rFonts w:ascii="宋体" w:hAnsi="宋体"/>
                <w:sz w:val="24"/>
                <w:shd w:val="clear" w:color="auto" w:fill="FFFFFF"/>
              </w:rPr>
            </w:pPr>
          </w:p>
        </w:tc>
      </w:tr>
      <w:tr w14:paraId="7BDE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14:paraId="79BA2878">
            <w:pPr>
              <w:spacing w:line="360" w:lineRule="auto"/>
              <w:jc w:val="center"/>
              <w:rPr>
                <w:rFonts w:ascii="宋体" w:hAnsi="宋体"/>
                <w:sz w:val="24"/>
                <w:shd w:val="clear" w:color="auto" w:fill="FFFFFF"/>
              </w:rPr>
            </w:pPr>
            <w:r>
              <w:rPr>
                <w:rFonts w:hint="eastAsia" w:ascii="宋体" w:hAnsi="宋体"/>
                <w:sz w:val="24"/>
              </w:rPr>
              <w:t>供应商</w:t>
            </w:r>
          </w:p>
        </w:tc>
        <w:tc>
          <w:tcPr>
            <w:tcW w:w="6226" w:type="dxa"/>
            <w:vAlign w:val="center"/>
          </w:tcPr>
          <w:p w14:paraId="44A87614">
            <w:pPr>
              <w:spacing w:line="360" w:lineRule="auto"/>
              <w:rPr>
                <w:rFonts w:ascii="宋体" w:hAnsi="宋体"/>
                <w:sz w:val="24"/>
                <w:shd w:val="clear" w:color="auto" w:fill="FFFFFF"/>
              </w:rPr>
            </w:pPr>
          </w:p>
        </w:tc>
      </w:tr>
      <w:tr w14:paraId="417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14:paraId="7C97A3A2">
            <w:pPr>
              <w:spacing w:line="360" w:lineRule="auto"/>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14:paraId="41BF8687">
            <w:pPr>
              <w:spacing w:line="360" w:lineRule="auto"/>
              <w:rPr>
                <w:rFonts w:ascii="宋体" w:hAnsi="宋体"/>
                <w:sz w:val="24"/>
                <w:shd w:val="clear" w:color="auto" w:fill="FFFFFF"/>
              </w:rPr>
            </w:pPr>
            <w:r>
              <w:rPr>
                <w:rFonts w:hint="eastAsia" w:ascii="宋体" w:hAnsi="宋体"/>
                <w:sz w:val="24"/>
                <w:shd w:val="clear" w:color="auto" w:fill="FFFFFF"/>
              </w:rPr>
              <w:t>（大写）</w:t>
            </w:r>
          </w:p>
          <w:p w14:paraId="32B96364">
            <w:pPr>
              <w:spacing w:line="360" w:lineRule="auto"/>
              <w:rPr>
                <w:rFonts w:ascii="宋体" w:hAnsi="宋体"/>
                <w:sz w:val="24"/>
                <w:u w:val="single"/>
                <w:shd w:val="clear" w:color="auto" w:fill="FFFFFF"/>
              </w:rPr>
            </w:pPr>
            <w:r>
              <w:rPr>
                <w:rFonts w:hint="eastAsia" w:ascii="宋体" w:hAnsi="宋体"/>
                <w:sz w:val="24"/>
                <w:shd w:val="clear" w:color="auto" w:fill="FFFFFF"/>
              </w:rPr>
              <w:t>（小写）</w:t>
            </w:r>
          </w:p>
        </w:tc>
      </w:tr>
      <w:tr w14:paraId="5862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14:paraId="34259758">
            <w:pPr>
              <w:spacing w:line="360" w:lineRule="auto"/>
              <w:jc w:val="center"/>
              <w:rPr>
                <w:rFonts w:hint="eastAsia" w:ascii="宋体" w:hAnsi="宋体" w:eastAsia="宋体"/>
                <w:sz w:val="24"/>
                <w:shd w:val="clear" w:color="auto" w:fill="FFFFFF"/>
                <w:lang w:eastAsia="zh-CN"/>
              </w:rPr>
            </w:pPr>
            <w:r>
              <w:rPr>
                <w:rFonts w:hint="eastAsia" w:ascii="宋体" w:hAnsi="宋体"/>
                <w:kern w:val="0"/>
                <w:sz w:val="24"/>
                <w:lang w:val="en-US" w:eastAsia="zh-CN"/>
              </w:rPr>
              <w:t>合同履行期</w:t>
            </w:r>
          </w:p>
        </w:tc>
        <w:tc>
          <w:tcPr>
            <w:tcW w:w="6226" w:type="dxa"/>
            <w:vAlign w:val="center"/>
          </w:tcPr>
          <w:p w14:paraId="19258A53">
            <w:pPr>
              <w:spacing w:line="360" w:lineRule="auto"/>
              <w:jc w:val="center"/>
              <w:rPr>
                <w:rFonts w:ascii="宋体" w:hAnsi="宋体"/>
                <w:sz w:val="24"/>
                <w:shd w:val="clear" w:color="auto" w:fill="FFFFFF"/>
              </w:rPr>
            </w:pPr>
          </w:p>
        </w:tc>
      </w:tr>
      <w:tr w14:paraId="671D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455305FE">
            <w:pPr>
              <w:spacing w:line="360" w:lineRule="auto"/>
              <w:jc w:val="center"/>
              <w:rPr>
                <w:rFonts w:ascii="宋体" w:hAnsi="宋体"/>
                <w:sz w:val="24"/>
                <w:shd w:val="clear" w:color="auto" w:fill="FFFFFF"/>
              </w:rPr>
            </w:pPr>
            <w:r>
              <w:rPr>
                <w:rFonts w:hint="eastAsia" w:ascii="宋体" w:hAnsi="宋体"/>
                <w:kern w:val="0"/>
                <w:sz w:val="24"/>
                <w:lang w:val="en-US" w:eastAsia="zh-CN"/>
              </w:rPr>
              <w:t>服务标准</w:t>
            </w:r>
          </w:p>
        </w:tc>
        <w:tc>
          <w:tcPr>
            <w:tcW w:w="6226" w:type="dxa"/>
            <w:vAlign w:val="center"/>
          </w:tcPr>
          <w:p w14:paraId="7EC5C39C">
            <w:pPr>
              <w:spacing w:line="360" w:lineRule="auto"/>
              <w:jc w:val="center"/>
              <w:rPr>
                <w:rFonts w:ascii="宋体" w:hAnsi="宋体"/>
                <w:sz w:val="24"/>
                <w:shd w:val="clear" w:color="auto" w:fill="FFFFFF"/>
              </w:rPr>
            </w:pPr>
          </w:p>
        </w:tc>
      </w:tr>
      <w:tr w14:paraId="1268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143A0299">
            <w:pPr>
              <w:spacing w:line="360" w:lineRule="auto"/>
              <w:jc w:val="center"/>
              <w:rPr>
                <w:rFonts w:hint="default" w:ascii="宋体" w:hAnsi="宋体" w:eastAsia="宋体"/>
                <w:sz w:val="24"/>
                <w:shd w:val="clear" w:color="auto" w:fill="FFFFFF"/>
                <w:lang w:val="en-US" w:eastAsia="zh-CN"/>
              </w:rPr>
            </w:pPr>
            <w:r>
              <w:rPr>
                <w:rFonts w:hint="eastAsia" w:ascii="宋体" w:hAnsi="宋体"/>
                <w:sz w:val="24"/>
                <w:shd w:val="clear" w:color="auto" w:fill="FFFFFF"/>
                <w:lang w:val="en-US" w:eastAsia="zh-CN"/>
              </w:rPr>
              <w:t>项目负责人</w:t>
            </w:r>
          </w:p>
        </w:tc>
        <w:tc>
          <w:tcPr>
            <w:tcW w:w="6226" w:type="dxa"/>
            <w:vAlign w:val="center"/>
          </w:tcPr>
          <w:p w14:paraId="65E906C3">
            <w:pPr>
              <w:spacing w:line="360" w:lineRule="auto"/>
              <w:jc w:val="center"/>
              <w:rPr>
                <w:rFonts w:ascii="宋体" w:hAnsi="宋体"/>
                <w:sz w:val="24"/>
                <w:shd w:val="clear" w:color="auto" w:fill="FFFFFF"/>
              </w:rPr>
            </w:pPr>
          </w:p>
        </w:tc>
      </w:tr>
      <w:tr w14:paraId="5B81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5441A759">
            <w:pPr>
              <w:spacing w:line="360" w:lineRule="auto"/>
              <w:jc w:val="center"/>
              <w:rPr>
                <w:rFonts w:hint="default" w:ascii="宋体" w:hAnsi="宋体" w:eastAsia="宋体"/>
                <w:sz w:val="24"/>
                <w:shd w:val="clear" w:color="auto" w:fill="FFFFFF"/>
                <w:lang w:val="en-US" w:eastAsia="zh-CN"/>
              </w:rPr>
            </w:pPr>
            <w:r>
              <w:rPr>
                <w:rFonts w:hint="eastAsia" w:ascii="宋体" w:hAnsi="宋体"/>
                <w:sz w:val="24"/>
                <w:shd w:val="clear" w:color="auto" w:fill="FFFFFF"/>
                <w:lang w:val="en-US" w:eastAsia="zh-CN"/>
              </w:rPr>
              <w:t>证书编号</w:t>
            </w:r>
          </w:p>
        </w:tc>
        <w:tc>
          <w:tcPr>
            <w:tcW w:w="6226" w:type="dxa"/>
            <w:vAlign w:val="center"/>
          </w:tcPr>
          <w:p w14:paraId="09AAA488">
            <w:pPr>
              <w:spacing w:line="360" w:lineRule="auto"/>
              <w:jc w:val="center"/>
              <w:rPr>
                <w:rFonts w:ascii="宋体" w:hAnsi="宋体"/>
                <w:sz w:val="24"/>
                <w:shd w:val="clear" w:color="auto" w:fill="FFFFFF"/>
              </w:rPr>
            </w:pPr>
          </w:p>
        </w:tc>
      </w:tr>
      <w:tr w14:paraId="68CE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167258B8">
            <w:pPr>
              <w:spacing w:line="360" w:lineRule="auto"/>
              <w:jc w:val="center"/>
              <w:rPr>
                <w:rFonts w:ascii="宋体" w:hAnsi="宋体"/>
                <w:sz w:val="24"/>
                <w:shd w:val="clear" w:color="auto" w:fill="FFFFFF"/>
              </w:rPr>
            </w:pPr>
            <w:r>
              <w:rPr>
                <w:rFonts w:hint="eastAsia" w:ascii="宋体" w:hAnsi="宋体"/>
                <w:sz w:val="24"/>
                <w:shd w:val="clear" w:color="auto" w:fill="FFFFFF"/>
              </w:rPr>
              <w:t>谈判有效期</w:t>
            </w:r>
          </w:p>
        </w:tc>
        <w:tc>
          <w:tcPr>
            <w:tcW w:w="6226" w:type="dxa"/>
            <w:vAlign w:val="center"/>
          </w:tcPr>
          <w:p w14:paraId="65CEDF17">
            <w:pPr>
              <w:spacing w:line="360" w:lineRule="auto"/>
              <w:jc w:val="center"/>
              <w:rPr>
                <w:rFonts w:ascii="宋体" w:hAnsi="宋体"/>
                <w:sz w:val="24"/>
                <w:shd w:val="clear" w:color="auto" w:fill="FFFFFF"/>
              </w:rPr>
            </w:pPr>
          </w:p>
        </w:tc>
      </w:tr>
    </w:tbl>
    <w:p w14:paraId="2D0C349E">
      <w:pPr>
        <w:spacing w:line="360" w:lineRule="auto"/>
        <w:ind w:right="960" w:firstLine="480" w:firstLineChars="200"/>
        <w:jc w:val="center"/>
        <w:rPr>
          <w:rFonts w:ascii="宋体" w:hAnsi="宋体"/>
          <w:sz w:val="24"/>
        </w:rPr>
      </w:pPr>
    </w:p>
    <w:p w14:paraId="01659C41">
      <w:pPr>
        <w:spacing w:line="360" w:lineRule="auto"/>
        <w:ind w:right="960" w:firstLine="480" w:firstLineChars="200"/>
        <w:jc w:val="center"/>
        <w:rPr>
          <w:rFonts w:ascii="宋体" w:hAnsi="宋体"/>
          <w:sz w:val="24"/>
        </w:rPr>
      </w:pPr>
    </w:p>
    <w:p w14:paraId="77DE095A">
      <w:pPr>
        <w:spacing w:line="360" w:lineRule="auto"/>
        <w:ind w:right="960" w:firstLine="480" w:firstLineChars="200"/>
        <w:jc w:val="right"/>
        <w:rPr>
          <w:rFonts w:ascii="宋体" w:hAnsi="宋体"/>
          <w:sz w:val="24"/>
        </w:rPr>
      </w:pPr>
      <w:r>
        <w:rPr>
          <w:rFonts w:hint="eastAsia" w:ascii="宋体" w:hAnsi="宋体"/>
          <w:sz w:val="24"/>
          <w:lang w:val="en-US" w:eastAsia="zh-CN"/>
        </w:rPr>
        <w:t xml:space="preserve">            </w:t>
      </w:r>
      <w:r>
        <w:rPr>
          <w:rFonts w:hint="eastAsia" w:ascii="宋体" w:hAnsi="宋体"/>
          <w:sz w:val="24"/>
        </w:rPr>
        <w:t xml:space="preserve">供应商（盖章）：                               </w:t>
      </w:r>
    </w:p>
    <w:p w14:paraId="02AF5361">
      <w:pPr>
        <w:spacing w:line="360" w:lineRule="auto"/>
        <w:ind w:firstLine="480" w:firstLineChars="200"/>
        <w:jc w:val="right"/>
        <w:rPr>
          <w:rFonts w:ascii="宋体" w:hAnsi="宋体"/>
          <w:sz w:val="24"/>
        </w:rPr>
      </w:pPr>
      <w:r>
        <w:rPr>
          <w:rFonts w:hint="eastAsia" w:ascii="宋体" w:hAnsi="宋体"/>
          <w:sz w:val="24"/>
        </w:rPr>
        <w:t xml:space="preserve">                       法人代表或授权代表（签字或盖章）：                                                </w:t>
      </w:r>
    </w:p>
    <w:p w14:paraId="71A0FEA6">
      <w:pPr>
        <w:spacing w:line="360" w:lineRule="auto"/>
        <w:ind w:firstLine="480" w:firstLineChars="200"/>
        <w:jc w:val="left"/>
        <w:rPr>
          <w:rFonts w:ascii="宋体" w:hAnsi="宋体"/>
          <w:sz w:val="24"/>
        </w:rPr>
        <w:sectPr>
          <w:pgSz w:w="11906" w:h="16838"/>
          <w:pgMar w:top="1417" w:right="1417" w:bottom="1417" w:left="1417" w:header="851" w:footer="992" w:gutter="0"/>
          <w:cols w:space="720" w:num="1"/>
          <w:docGrid w:type="linesAndChars" w:linePitch="312" w:charSpace="0"/>
        </w:sect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 </w:t>
      </w:r>
    </w:p>
    <w:p w14:paraId="396FC4C8">
      <w:pPr>
        <w:widowControl/>
        <w:spacing w:line="360" w:lineRule="auto"/>
        <w:ind w:firstLine="880" w:firstLineChars="200"/>
        <w:jc w:val="center"/>
        <w:rPr>
          <w:rFonts w:hint="eastAsia" w:ascii="宋体" w:hAnsi="宋体"/>
          <w:b/>
          <w:bCs/>
          <w:kern w:val="0"/>
          <w:sz w:val="44"/>
          <w:szCs w:val="44"/>
        </w:rPr>
      </w:pPr>
      <w:r>
        <w:rPr>
          <w:rFonts w:hint="eastAsia" w:ascii="宋体" w:hAnsi="宋体"/>
          <w:b/>
          <w:bCs/>
          <w:kern w:val="0"/>
          <w:sz w:val="44"/>
          <w:szCs w:val="44"/>
        </w:rPr>
        <w:tab/>
      </w:r>
      <w:r>
        <w:rPr>
          <w:rFonts w:hint="eastAsia" w:ascii="宋体" w:hAnsi="宋体"/>
          <w:b/>
          <w:bCs/>
          <w:kern w:val="0"/>
          <w:sz w:val="44"/>
          <w:szCs w:val="44"/>
        </w:rPr>
        <w:t>第二轮报价</w:t>
      </w:r>
    </w:p>
    <w:p w14:paraId="6F5A990C"/>
    <w:p w14:paraId="564D42C0">
      <w:pPr>
        <w:pStyle w:val="10"/>
        <w:ind w:firstLine="42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说明：供应商单位应将第二轮报价填入下表并按要求签字或盖章。</w:t>
      </w:r>
    </w:p>
    <w:p w14:paraId="54CC854D"/>
    <w:tbl>
      <w:tblPr>
        <w:tblStyle w:val="2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14:paraId="32CB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14:paraId="3CC2485A">
            <w:pPr>
              <w:spacing w:line="440" w:lineRule="exact"/>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14:paraId="470DDC26">
            <w:pPr>
              <w:spacing w:line="440" w:lineRule="exact"/>
              <w:rPr>
                <w:rFonts w:ascii="宋体" w:hAnsi="宋体"/>
                <w:sz w:val="24"/>
                <w:shd w:val="clear" w:color="auto" w:fill="FFFFFF"/>
              </w:rPr>
            </w:pPr>
          </w:p>
        </w:tc>
      </w:tr>
      <w:tr w14:paraId="6DB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14:paraId="51100D76">
            <w:pPr>
              <w:spacing w:line="440" w:lineRule="exact"/>
              <w:jc w:val="center"/>
              <w:rPr>
                <w:rFonts w:ascii="宋体" w:hAnsi="宋体"/>
                <w:sz w:val="24"/>
                <w:shd w:val="clear" w:color="auto" w:fill="FFFFFF"/>
              </w:rPr>
            </w:pPr>
            <w:r>
              <w:rPr>
                <w:rFonts w:hint="eastAsia" w:ascii="宋体" w:hAnsi="宋体"/>
                <w:sz w:val="24"/>
              </w:rPr>
              <w:t>供应商</w:t>
            </w:r>
          </w:p>
        </w:tc>
        <w:tc>
          <w:tcPr>
            <w:tcW w:w="6226" w:type="dxa"/>
            <w:vAlign w:val="center"/>
          </w:tcPr>
          <w:p w14:paraId="7A231BFE">
            <w:pPr>
              <w:spacing w:line="440" w:lineRule="exact"/>
              <w:rPr>
                <w:rFonts w:ascii="宋体" w:hAnsi="宋体"/>
                <w:sz w:val="24"/>
                <w:shd w:val="clear" w:color="auto" w:fill="FFFFFF"/>
              </w:rPr>
            </w:pPr>
          </w:p>
        </w:tc>
      </w:tr>
      <w:tr w14:paraId="7D2D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182" w:type="dxa"/>
            <w:vAlign w:val="center"/>
          </w:tcPr>
          <w:p w14:paraId="5840160C">
            <w:pPr>
              <w:tabs>
                <w:tab w:val="left" w:pos="360"/>
                <w:tab w:val="left" w:pos="1260"/>
              </w:tabs>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14:paraId="41FF8F5C">
            <w:pPr>
              <w:spacing w:line="440" w:lineRule="exact"/>
              <w:rPr>
                <w:rFonts w:ascii="宋体" w:hAnsi="宋体"/>
                <w:sz w:val="24"/>
                <w:shd w:val="clear" w:color="auto" w:fill="FFFFFF"/>
              </w:rPr>
            </w:pPr>
            <w:r>
              <w:rPr>
                <w:rFonts w:hint="eastAsia" w:ascii="宋体" w:hAnsi="宋体"/>
                <w:sz w:val="24"/>
                <w:shd w:val="clear" w:color="auto" w:fill="FFFFFF"/>
              </w:rPr>
              <w:t>（大写）</w:t>
            </w:r>
          </w:p>
          <w:p w14:paraId="29E9260F">
            <w:pPr>
              <w:spacing w:line="440" w:lineRule="exact"/>
              <w:rPr>
                <w:rFonts w:ascii="宋体" w:hAnsi="宋体"/>
                <w:sz w:val="24"/>
                <w:u w:val="single"/>
                <w:shd w:val="clear" w:color="auto" w:fill="FFFFFF"/>
              </w:rPr>
            </w:pPr>
            <w:r>
              <w:rPr>
                <w:rFonts w:hint="eastAsia" w:ascii="宋体" w:hAnsi="宋体"/>
                <w:sz w:val="24"/>
                <w:shd w:val="clear" w:color="auto" w:fill="FFFFFF"/>
              </w:rPr>
              <w:t>（小写）</w:t>
            </w:r>
          </w:p>
        </w:tc>
      </w:tr>
      <w:tr w14:paraId="26C4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14:paraId="617E3F8F">
            <w:pPr>
              <w:spacing w:line="440" w:lineRule="exact"/>
              <w:jc w:val="center"/>
              <w:rPr>
                <w:rFonts w:hint="eastAsia" w:ascii="宋体" w:hAnsi="宋体" w:eastAsia="宋体"/>
                <w:sz w:val="24"/>
                <w:shd w:val="clear" w:color="auto" w:fill="FFFFFF"/>
                <w:lang w:eastAsia="zh-CN"/>
              </w:rPr>
            </w:pPr>
            <w:r>
              <w:rPr>
                <w:rFonts w:hint="eastAsia" w:ascii="宋体" w:hAnsi="宋体"/>
                <w:sz w:val="24"/>
                <w:shd w:val="clear" w:color="auto" w:fill="FFFFFF"/>
                <w:lang w:val="en-US" w:eastAsia="zh-CN"/>
              </w:rPr>
              <w:t>合同履行期</w:t>
            </w:r>
          </w:p>
        </w:tc>
        <w:tc>
          <w:tcPr>
            <w:tcW w:w="6226" w:type="dxa"/>
            <w:vAlign w:val="center"/>
          </w:tcPr>
          <w:p w14:paraId="5B4C3AF3">
            <w:pPr>
              <w:spacing w:line="440" w:lineRule="exact"/>
              <w:jc w:val="center"/>
              <w:rPr>
                <w:rFonts w:ascii="宋体" w:hAnsi="宋体"/>
                <w:sz w:val="24"/>
                <w:shd w:val="clear" w:color="auto" w:fill="FFFFFF"/>
              </w:rPr>
            </w:pPr>
          </w:p>
        </w:tc>
      </w:tr>
      <w:tr w14:paraId="5E6D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444D7CBE">
            <w:pPr>
              <w:spacing w:line="440" w:lineRule="exact"/>
              <w:jc w:val="center"/>
              <w:rPr>
                <w:rFonts w:ascii="宋体" w:hAnsi="宋体"/>
                <w:sz w:val="24"/>
                <w:shd w:val="clear" w:color="auto" w:fill="FFFFFF"/>
              </w:rPr>
            </w:pPr>
            <w:r>
              <w:rPr>
                <w:rFonts w:hint="eastAsia" w:ascii="宋体" w:hAnsi="宋体"/>
                <w:sz w:val="24"/>
                <w:shd w:val="clear" w:color="auto" w:fill="FFFFFF"/>
                <w:lang w:val="en-US" w:eastAsia="zh-CN"/>
              </w:rPr>
              <w:t>服务标准</w:t>
            </w:r>
          </w:p>
        </w:tc>
        <w:tc>
          <w:tcPr>
            <w:tcW w:w="6226" w:type="dxa"/>
            <w:vAlign w:val="center"/>
          </w:tcPr>
          <w:p w14:paraId="6D1F0710">
            <w:pPr>
              <w:spacing w:line="440" w:lineRule="exact"/>
              <w:jc w:val="center"/>
              <w:rPr>
                <w:rFonts w:ascii="宋体" w:hAnsi="宋体"/>
                <w:sz w:val="24"/>
                <w:shd w:val="clear" w:color="auto" w:fill="FFFFFF"/>
              </w:rPr>
            </w:pPr>
          </w:p>
        </w:tc>
      </w:tr>
      <w:tr w14:paraId="178F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11A4C74B">
            <w:pPr>
              <w:spacing w:line="360" w:lineRule="auto"/>
              <w:jc w:val="center"/>
              <w:rPr>
                <w:rFonts w:hint="eastAsia" w:ascii="宋体" w:hAnsi="宋体"/>
                <w:sz w:val="24"/>
                <w:shd w:val="clear" w:color="auto" w:fill="FFFFFF"/>
              </w:rPr>
            </w:pPr>
            <w:r>
              <w:rPr>
                <w:rFonts w:hint="eastAsia" w:ascii="宋体" w:hAnsi="宋体"/>
                <w:sz w:val="24"/>
                <w:shd w:val="clear" w:color="auto" w:fill="FFFFFF"/>
                <w:lang w:val="en-US" w:eastAsia="zh-CN"/>
              </w:rPr>
              <w:t>项目负责人</w:t>
            </w:r>
          </w:p>
        </w:tc>
        <w:tc>
          <w:tcPr>
            <w:tcW w:w="6226" w:type="dxa"/>
            <w:vAlign w:val="center"/>
          </w:tcPr>
          <w:p w14:paraId="6F65434A">
            <w:pPr>
              <w:spacing w:line="440" w:lineRule="exact"/>
              <w:jc w:val="center"/>
              <w:rPr>
                <w:rFonts w:ascii="宋体" w:hAnsi="宋体"/>
                <w:sz w:val="24"/>
                <w:shd w:val="clear" w:color="auto" w:fill="FFFFFF"/>
              </w:rPr>
            </w:pPr>
          </w:p>
        </w:tc>
      </w:tr>
      <w:tr w14:paraId="51E8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43C5800E">
            <w:pPr>
              <w:spacing w:line="360" w:lineRule="auto"/>
              <w:jc w:val="center"/>
              <w:rPr>
                <w:rFonts w:hint="eastAsia" w:ascii="宋体" w:hAnsi="宋体"/>
                <w:sz w:val="24"/>
                <w:shd w:val="clear" w:color="auto" w:fill="FFFFFF"/>
              </w:rPr>
            </w:pPr>
            <w:r>
              <w:rPr>
                <w:rFonts w:hint="eastAsia" w:ascii="宋体" w:hAnsi="宋体"/>
                <w:sz w:val="24"/>
                <w:shd w:val="clear" w:color="auto" w:fill="FFFFFF"/>
                <w:lang w:val="en-US" w:eastAsia="zh-CN"/>
              </w:rPr>
              <w:t>证书编号</w:t>
            </w:r>
          </w:p>
        </w:tc>
        <w:tc>
          <w:tcPr>
            <w:tcW w:w="6226" w:type="dxa"/>
            <w:vAlign w:val="center"/>
          </w:tcPr>
          <w:p w14:paraId="2F41B3F7">
            <w:pPr>
              <w:spacing w:line="440" w:lineRule="exact"/>
              <w:jc w:val="center"/>
              <w:rPr>
                <w:rFonts w:ascii="宋体" w:hAnsi="宋体"/>
                <w:sz w:val="24"/>
                <w:shd w:val="clear" w:color="auto" w:fill="FFFFFF"/>
              </w:rPr>
            </w:pPr>
          </w:p>
        </w:tc>
      </w:tr>
      <w:tr w14:paraId="5603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14:paraId="2548BCF6">
            <w:pPr>
              <w:spacing w:line="440" w:lineRule="exact"/>
              <w:jc w:val="center"/>
              <w:rPr>
                <w:rFonts w:ascii="宋体" w:hAnsi="宋体"/>
                <w:sz w:val="24"/>
                <w:shd w:val="clear" w:color="auto" w:fill="FFFFFF"/>
              </w:rPr>
            </w:pPr>
            <w:r>
              <w:rPr>
                <w:rFonts w:hint="eastAsia" w:ascii="宋体" w:cs="宋体"/>
                <w:sz w:val="24"/>
              </w:rPr>
              <w:t>谈判</w:t>
            </w:r>
            <w:r>
              <w:rPr>
                <w:rFonts w:ascii="宋体" w:cs="宋体"/>
                <w:sz w:val="24"/>
              </w:rPr>
              <w:t>有效期</w:t>
            </w:r>
          </w:p>
        </w:tc>
        <w:tc>
          <w:tcPr>
            <w:tcW w:w="6226" w:type="dxa"/>
            <w:vAlign w:val="center"/>
          </w:tcPr>
          <w:p w14:paraId="122BFAD8">
            <w:pPr>
              <w:spacing w:line="440" w:lineRule="exact"/>
              <w:jc w:val="center"/>
              <w:rPr>
                <w:rFonts w:ascii="宋体" w:hAnsi="宋体"/>
                <w:sz w:val="24"/>
                <w:shd w:val="clear" w:color="auto" w:fill="FFFFFF"/>
              </w:rPr>
            </w:pPr>
          </w:p>
        </w:tc>
      </w:tr>
    </w:tbl>
    <w:p w14:paraId="7B708211">
      <w:pPr>
        <w:pStyle w:val="87"/>
        <w:ind w:firstLine="560"/>
        <w:rPr>
          <w:rFonts w:ascii="Times New Roman" w:eastAsia="宋体"/>
          <w:kern w:val="2"/>
          <w:sz w:val="24"/>
          <w:szCs w:val="24"/>
        </w:rPr>
      </w:pPr>
    </w:p>
    <w:p w14:paraId="502642AB">
      <w:pPr>
        <w:spacing w:line="400" w:lineRule="exact"/>
        <w:ind w:left="6660" w:hanging="6660" w:hangingChars="2775"/>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供应商（盖章）：                               </w:t>
      </w:r>
    </w:p>
    <w:p w14:paraId="603332E8">
      <w:pPr>
        <w:spacing w:line="400" w:lineRule="exact"/>
        <w:jc w:val="center"/>
        <w:rPr>
          <w:rFonts w:ascii="宋体" w:hAnsi="宋体"/>
          <w:sz w:val="24"/>
        </w:rPr>
      </w:pPr>
      <w:r>
        <w:rPr>
          <w:rFonts w:hint="eastAsia" w:ascii="宋体" w:hAnsi="宋体"/>
          <w:sz w:val="24"/>
        </w:rPr>
        <w:t xml:space="preserve">                            法人代表或授权代表（签字或盖章）：                                                </w:t>
      </w:r>
    </w:p>
    <w:p w14:paraId="61E9FD68">
      <w:pPr>
        <w:spacing w:line="400" w:lineRule="exact"/>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月     日   </w:t>
      </w:r>
    </w:p>
    <w:p w14:paraId="194FEFB3">
      <w:pPr>
        <w:pStyle w:val="15"/>
        <w:adjustRightInd w:val="0"/>
        <w:snapToGrid w:val="0"/>
        <w:spacing w:line="288" w:lineRule="auto"/>
        <w:ind w:firstLine="480" w:firstLineChars="200"/>
        <w:rPr>
          <w:rFonts w:hAnsi="宋体"/>
          <w:b/>
          <w:bCs/>
          <w:kern w:val="0"/>
          <w:sz w:val="24"/>
        </w:rPr>
      </w:pPr>
    </w:p>
    <w:p w14:paraId="5F308215">
      <w:pPr>
        <w:pStyle w:val="15"/>
        <w:adjustRightInd w:val="0"/>
        <w:snapToGrid w:val="0"/>
        <w:spacing w:line="288" w:lineRule="auto"/>
        <w:ind w:firstLine="480" w:firstLineChars="200"/>
        <w:rPr>
          <w:rFonts w:hAnsi="宋体" w:cs="宋体"/>
          <w:b/>
          <w:sz w:val="24"/>
        </w:rPr>
      </w:pPr>
    </w:p>
    <w:p w14:paraId="115DC26C">
      <w:pPr>
        <w:pStyle w:val="4"/>
        <w:spacing w:before="0" w:after="0" w:line="360" w:lineRule="auto"/>
        <w:sectPr>
          <w:pgSz w:w="11906" w:h="16838"/>
          <w:pgMar w:top="1417" w:right="1417" w:bottom="1417" w:left="1417" w:header="851" w:footer="992" w:gutter="0"/>
          <w:cols w:space="720" w:num="1"/>
          <w:docGrid w:type="linesAndChars" w:linePitch="312" w:charSpace="0"/>
        </w:sectPr>
      </w:pPr>
      <w:bookmarkStart w:id="48" w:name="_Toc137128186"/>
    </w:p>
    <w:p w14:paraId="4711B4B3">
      <w:pPr>
        <w:pStyle w:val="4"/>
        <w:spacing w:before="0" w:after="0" w:line="360" w:lineRule="auto"/>
      </w:pPr>
      <w:bookmarkStart w:id="49" w:name="_Toc160007357"/>
      <w:r>
        <w:rPr>
          <w:rFonts w:hint="eastAsia"/>
        </w:rPr>
        <w:t>附件2：</w:t>
      </w:r>
      <w:bookmarkEnd w:id="48"/>
      <w:bookmarkEnd w:id="49"/>
    </w:p>
    <w:p w14:paraId="4D85BBFE">
      <w:pPr>
        <w:spacing w:line="360" w:lineRule="auto"/>
        <w:ind w:firstLine="600" w:firstLineChars="200"/>
        <w:jc w:val="center"/>
        <w:rPr>
          <w:sz w:val="30"/>
          <w:szCs w:val="30"/>
        </w:rPr>
      </w:pPr>
    </w:p>
    <w:p w14:paraId="09BE186C">
      <w:pPr>
        <w:spacing w:line="360" w:lineRule="auto"/>
        <w:ind w:firstLine="880" w:firstLineChars="200"/>
        <w:jc w:val="center"/>
        <w:rPr>
          <w:b/>
          <w:bCs/>
          <w:sz w:val="44"/>
          <w:szCs w:val="44"/>
        </w:rPr>
      </w:pPr>
      <w:r>
        <w:rPr>
          <w:rFonts w:hint="eastAsia"/>
          <w:b/>
          <w:bCs/>
          <w:sz w:val="44"/>
          <w:szCs w:val="44"/>
        </w:rPr>
        <w:t>法定代表人身份证明</w:t>
      </w:r>
    </w:p>
    <w:p w14:paraId="59A7CA2E">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64731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A06D8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34F35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31FB3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14DA1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0A8B7C1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519AA6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14:paraId="7841E51E">
      <w:pPr>
        <w:rPr>
          <w:rFonts w:ascii="宋体" w:hAnsi="宋体"/>
          <w:sz w:val="24"/>
        </w:rPr>
      </w:pPr>
    </w:p>
    <w:p w14:paraId="5A41A861">
      <w:pPr>
        <w:rPr>
          <w:rFonts w:ascii="宋体" w:hAnsi="宋体"/>
        </w:rPr>
      </w:pPr>
      <w:r>
        <w:rPr>
          <w:rFonts w:hint="eastAsia" w:ascii="宋体" w:hAnsi="宋体"/>
          <w:sz w:val="24"/>
        </w:rPr>
        <w:t>附：法定代表人身份证复印件正反面</w:t>
      </w:r>
    </w:p>
    <w:p w14:paraId="5538CDF2">
      <w:pPr>
        <w:rPr>
          <w:rFonts w:ascii="宋体" w:hAnsi="宋体"/>
        </w:rPr>
      </w:pPr>
    </w:p>
    <w:p w14:paraId="38BCC0E4">
      <w:pPr>
        <w:rPr>
          <w:rFonts w:ascii="宋体" w:hAnsi="宋体"/>
        </w:rPr>
      </w:pPr>
    </w:p>
    <w:p w14:paraId="30BBD830">
      <w:pPr>
        <w:rPr>
          <w:rFonts w:ascii="宋体" w:hAnsi="宋体"/>
        </w:rPr>
      </w:pPr>
    </w:p>
    <w:p w14:paraId="0490A653">
      <w:pPr>
        <w:spacing w:line="360" w:lineRule="auto"/>
        <w:rPr>
          <w:rFonts w:ascii="宋体" w:hAnsi="宋体"/>
          <w:sz w:val="24"/>
        </w:rPr>
      </w:pPr>
    </w:p>
    <w:p w14:paraId="255C84F3">
      <w:pPr>
        <w:spacing w:line="360" w:lineRule="auto"/>
        <w:rPr>
          <w:rFonts w:ascii="宋体" w:hAnsi="宋体"/>
          <w:sz w:val="24"/>
        </w:rPr>
      </w:pPr>
    </w:p>
    <w:p w14:paraId="554F639A">
      <w:pPr>
        <w:spacing w:line="360" w:lineRule="auto"/>
        <w:rPr>
          <w:rFonts w:ascii="宋体" w:hAnsi="宋体"/>
          <w:sz w:val="24"/>
        </w:rPr>
      </w:pPr>
    </w:p>
    <w:p w14:paraId="60877252">
      <w:pPr>
        <w:spacing w:line="360" w:lineRule="auto"/>
        <w:rPr>
          <w:rFonts w:ascii="宋体" w:hAnsi="宋体"/>
          <w:sz w:val="24"/>
        </w:rPr>
      </w:pPr>
    </w:p>
    <w:p w14:paraId="2332AFB2">
      <w:pPr>
        <w:spacing w:line="360" w:lineRule="auto"/>
        <w:jc w:val="right"/>
        <w:rPr>
          <w:rFonts w:ascii="宋体" w:hAnsi="宋体"/>
          <w:sz w:val="24"/>
        </w:rPr>
      </w:pPr>
      <w:r>
        <w:rPr>
          <w:rFonts w:hint="eastAsia" w:ascii="宋体" w:hAnsi="宋体"/>
          <w:sz w:val="24"/>
        </w:rPr>
        <w:t>供应商： （盖单位章）</w:t>
      </w:r>
    </w:p>
    <w:p w14:paraId="63C54C37">
      <w:pPr>
        <w:spacing w:line="360" w:lineRule="auto"/>
        <w:ind w:firstLine="480" w:firstLineChars="200"/>
        <w:jc w:val="right"/>
        <w:rPr>
          <w:rFonts w:ascii="宋体" w:hAnsi="宋体"/>
          <w:sz w:val="24"/>
        </w:rPr>
        <w:sectPr>
          <w:pgSz w:w="11906" w:h="16838"/>
          <w:pgMar w:top="1417" w:right="1417" w:bottom="1417" w:left="1417" w:header="851" w:footer="992" w:gutter="0"/>
          <w:cols w:space="720" w:num="1"/>
          <w:docGrid w:type="linesAndChars" w:linePitch="312" w:charSpace="0"/>
        </w:sectPr>
      </w:pPr>
      <w:r>
        <w:rPr>
          <w:rFonts w:hint="eastAsia" w:ascii="宋体" w:hAnsi="宋体"/>
          <w:sz w:val="24"/>
        </w:rPr>
        <w:t xml:space="preserve">         年    月     日</w:t>
      </w:r>
    </w:p>
    <w:p w14:paraId="15172989">
      <w:pPr>
        <w:pStyle w:val="4"/>
        <w:spacing w:before="0" w:after="0" w:line="360" w:lineRule="auto"/>
        <w:rPr>
          <w:rFonts w:ascii="宋体" w:hAnsi="宋体" w:cs="宋体"/>
        </w:rPr>
      </w:pPr>
      <w:bookmarkStart w:id="50" w:name="_Toc160007358"/>
      <w:bookmarkStart w:id="51" w:name="_Toc137128187"/>
      <w:r>
        <w:rPr>
          <w:rFonts w:hint="eastAsia" w:ascii="宋体" w:hAnsi="宋体" w:cs="宋体"/>
        </w:rPr>
        <w:t>附件3：</w:t>
      </w:r>
      <w:bookmarkEnd w:id="50"/>
      <w:bookmarkEnd w:id="51"/>
    </w:p>
    <w:p w14:paraId="0A035BB2">
      <w:pPr>
        <w:spacing w:line="360" w:lineRule="auto"/>
        <w:ind w:firstLine="880" w:firstLineChars="200"/>
        <w:jc w:val="center"/>
        <w:rPr>
          <w:rFonts w:ascii="宋体" w:hAnsi="宋体"/>
          <w:b/>
          <w:sz w:val="44"/>
          <w:szCs w:val="44"/>
        </w:rPr>
      </w:pPr>
    </w:p>
    <w:p w14:paraId="68A35AD1">
      <w:pPr>
        <w:spacing w:line="360" w:lineRule="auto"/>
        <w:ind w:firstLine="880" w:firstLineChars="200"/>
        <w:jc w:val="center"/>
      </w:pPr>
      <w:r>
        <w:rPr>
          <w:rFonts w:hint="eastAsia" w:ascii="宋体" w:hAnsi="宋体"/>
          <w:b/>
          <w:sz w:val="44"/>
          <w:szCs w:val="44"/>
        </w:rPr>
        <w:t>授权委托书</w:t>
      </w:r>
    </w:p>
    <w:p w14:paraId="05796488">
      <w:pPr>
        <w:spacing w:line="360" w:lineRule="auto"/>
        <w:rPr>
          <w:rFonts w:ascii="宋体" w:hAnsi="宋体"/>
          <w:sz w:val="24"/>
        </w:rPr>
      </w:pPr>
    </w:p>
    <w:p w14:paraId="4B9FE076">
      <w:pPr>
        <w:rPr>
          <w:color w:val="auto"/>
          <w:highlight w:val="none"/>
        </w:rPr>
      </w:pPr>
    </w:p>
    <w:p w14:paraId="2E39500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1310EA8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28F33E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398ADF70">
      <w:pPr>
        <w:spacing w:line="360" w:lineRule="auto"/>
        <w:ind w:firstLine="480" w:firstLineChars="200"/>
        <w:rPr>
          <w:rFonts w:ascii="宋体" w:hAnsi="宋体"/>
          <w:sz w:val="24"/>
        </w:rPr>
      </w:pPr>
    </w:p>
    <w:p w14:paraId="5F2DB492">
      <w:pPr>
        <w:spacing w:line="360" w:lineRule="auto"/>
        <w:ind w:firstLine="480" w:firstLineChars="200"/>
        <w:rPr>
          <w:rFonts w:ascii="宋体" w:hAnsi="宋体"/>
          <w:sz w:val="24"/>
        </w:rPr>
      </w:pPr>
      <w:r>
        <w:rPr>
          <w:rFonts w:hint="eastAsia" w:ascii="宋体" w:hAnsi="宋体"/>
          <w:sz w:val="24"/>
        </w:rPr>
        <w:t>附：委托代理人身份证复印件正反面</w:t>
      </w:r>
    </w:p>
    <w:p w14:paraId="1EFA1D3F">
      <w:pPr>
        <w:spacing w:line="360" w:lineRule="auto"/>
        <w:ind w:firstLine="480" w:firstLineChars="200"/>
        <w:rPr>
          <w:rFonts w:ascii="宋体" w:hAnsi="宋体"/>
          <w:sz w:val="24"/>
        </w:rPr>
      </w:pPr>
    </w:p>
    <w:p w14:paraId="063B972F">
      <w:pPr>
        <w:spacing w:line="360" w:lineRule="auto"/>
        <w:ind w:firstLine="480" w:firstLineChars="200"/>
        <w:jc w:val="left"/>
        <w:rPr>
          <w:rFonts w:ascii="宋体" w:hAnsi="宋体"/>
          <w:sz w:val="24"/>
        </w:rPr>
      </w:pPr>
    </w:p>
    <w:p w14:paraId="5E57C53B">
      <w:pPr>
        <w:spacing w:line="360" w:lineRule="auto"/>
        <w:ind w:firstLine="480" w:firstLineChars="200"/>
        <w:jc w:val="left"/>
        <w:rPr>
          <w:rFonts w:ascii="宋体" w:hAnsi="宋体"/>
          <w:sz w:val="24"/>
        </w:rPr>
      </w:pPr>
    </w:p>
    <w:p w14:paraId="71A07C73">
      <w:pPr>
        <w:spacing w:line="360" w:lineRule="auto"/>
        <w:ind w:firstLine="480" w:firstLineChars="200"/>
        <w:jc w:val="left"/>
        <w:rPr>
          <w:rFonts w:ascii="宋体" w:hAnsi="宋体"/>
          <w:sz w:val="24"/>
        </w:rPr>
      </w:pPr>
    </w:p>
    <w:p w14:paraId="413C4C37">
      <w:pPr>
        <w:spacing w:line="360" w:lineRule="auto"/>
        <w:ind w:firstLine="480" w:firstLineChars="200"/>
        <w:jc w:val="left"/>
        <w:rPr>
          <w:rFonts w:ascii="宋体" w:hAnsi="宋体"/>
          <w:sz w:val="24"/>
        </w:rPr>
      </w:pPr>
    </w:p>
    <w:p w14:paraId="6EFE314C">
      <w:pPr>
        <w:spacing w:line="360" w:lineRule="auto"/>
        <w:ind w:firstLine="480" w:firstLineChars="200"/>
        <w:jc w:val="left"/>
        <w:rPr>
          <w:rFonts w:ascii="宋体" w:hAnsi="宋体"/>
          <w:sz w:val="24"/>
        </w:rPr>
      </w:pPr>
    </w:p>
    <w:p w14:paraId="530EC2F2">
      <w:pPr>
        <w:spacing w:line="360" w:lineRule="auto"/>
        <w:ind w:firstLine="480" w:firstLineChars="200"/>
        <w:jc w:val="left"/>
        <w:rPr>
          <w:rFonts w:ascii="宋体" w:hAnsi="宋体"/>
          <w:sz w:val="24"/>
        </w:rPr>
      </w:pPr>
    </w:p>
    <w:p w14:paraId="155A7F83">
      <w:pPr>
        <w:spacing w:line="360" w:lineRule="auto"/>
        <w:jc w:val="left"/>
        <w:rPr>
          <w:rFonts w:ascii="宋体" w:hAnsi="宋体"/>
          <w:sz w:val="24"/>
        </w:rPr>
      </w:pPr>
    </w:p>
    <w:p w14:paraId="6C356E6E">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 xml:space="preserve">供应商：（盖单位公章） </w:t>
      </w:r>
    </w:p>
    <w:p w14:paraId="6E6890C4">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法定代表人：（签字或盖章）</w:t>
      </w:r>
    </w:p>
    <w:p w14:paraId="5567AFED">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委托代理人：（签字或盖章）</w:t>
      </w:r>
    </w:p>
    <w:p w14:paraId="4EA80361">
      <w:pPr>
        <w:spacing w:line="360" w:lineRule="auto"/>
        <w:jc w:val="center"/>
        <w:rPr>
          <w:rFonts w:ascii="宋体" w:hAnsi="宋体"/>
          <w:sz w:val="24"/>
        </w:rPr>
        <w:sectPr>
          <w:pgSz w:w="11906" w:h="16838"/>
          <w:pgMar w:top="1417" w:right="1417" w:bottom="1417" w:left="1417" w:header="851" w:footer="992" w:gutter="0"/>
          <w:cols w:space="720" w:num="1"/>
          <w:docGrid w:type="linesAndChars" w:linePitch="312" w:charSpace="0"/>
        </w:sectPr>
      </w:pPr>
      <w:r>
        <w:rPr>
          <w:rFonts w:hint="eastAsia" w:ascii="宋体" w:hAnsi="宋体"/>
          <w:sz w:val="24"/>
          <w:lang w:val="en-US" w:eastAsia="zh-CN"/>
        </w:rPr>
        <w:t xml:space="preserve">                           </w:t>
      </w:r>
      <w:r>
        <w:rPr>
          <w:rFonts w:hint="eastAsia" w:ascii="宋体" w:hAnsi="宋体"/>
          <w:sz w:val="24"/>
        </w:rPr>
        <w:t>年    月    日</w:t>
      </w:r>
    </w:p>
    <w:p w14:paraId="511012C5">
      <w:pPr>
        <w:pStyle w:val="4"/>
        <w:spacing w:before="0" w:after="0" w:line="360" w:lineRule="auto"/>
      </w:pPr>
      <w:bookmarkStart w:id="52" w:name="_Toc160007359"/>
      <w:r>
        <w:rPr>
          <w:rFonts w:hint="eastAsia"/>
        </w:rPr>
        <w:t>附件4：</w:t>
      </w:r>
      <w:bookmarkEnd w:id="52"/>
    </w:p>
    <w:p w14:paraId="0AF0E8FA">
      <w:pPr>
        <w:widowControl/>
        <w:spacing w:line="360" w:lineRule="auto"/>
        <w:jc w:val="center"/>
        <w:rPr>
          <w:rFonts w:ascii="宋体" w:hAnsi="宋体"/>
          <w:b/>
          <w:bCs/>
          <w:sz w:val="44"/>
          <w:szCs w:val="44"/>
        </w:rPr>
      </w:pPr>
      <w:r>
        <w:rPr>
          <w:rFonts w:hint="eastAsia" w:ascii="宋体" w:hAnsi="宋体"/>
          <w:b/>
          <w:bCs/>
          <w:sz w:val="44"/>
          <w:szCs w:val="44"/>
        </w:rPr>
        <w:t>供应商的资格证明承诺函</w:t>
      </w:r>
    </w:p>
    <w:p w14:paraId="7EB6AB82">
      <w:pPr>
        <w:spacing w:line="360" w:lineRule="auto"/>
        <w:ind w:left="240" w:firstLine="480" w:firstLineChars="200"/>
        <w:jc w:val="center"/>
        <w:rPr>
          <w:rFonts w:ascii="宋体" w:hAnsi="宋体" w:cs="宋体"/>
          <w:sz w:val="24"/>
        </w:rPr>
      </w:pPr>
    </w:p>
    <w:p w14:paraId="40A364E2">
      <w:pPr>
        <w:widowControl/>
        <w:spacing w:line="400" w:lineRule="exact"/>
        <w:jc w:val="left"/>
        <w:rPr>
          <w:rFonts w:ascii="宋体" w:hAnsi="宋体"/>
          <w:sz w:val="24"/>
          <w:szCs w:val="21"/>
          <w:u w:val="none"/>
        </w:rPr>
      </w:pPr>
      <w:r>
        <w:rPr>
          <w:rFonts w:hint="eastAsia" w:ascii="宋体" w:hAnsi="宋体"/>
          <w:sz w:val="24"/>
          <w:szCs w:val="21"/>
        </w:rPr>
        <w:t>致(采购人)：</w:t>
      </w:r>
      <w:r>
        <w:rPr>
          <w:rFonts w:hint="eastAsia" w:ascii="宋体" w:hAnsi="宋体"/>
          <w:sz w:val="24"/>
          <w:szCs w:val="21"/>
          <w:u w:val="none"/>
        </w:rPr>
        <w:t xml:space="preserve">_________________________________ </w:t>
      </w:r>
    </w:p>
    <w:p w14:paraId="0464FAD2">
      <w:pPr>
        <w:widowControl/>
        <w:spacing w:line="400" w:lineRule="exact"/>
        <w:jc w:val="left"/>
        <w:rPr>
          <w:rFonts w:ascii="宋体" w:hAnsi="宋体"/>
          <w:sz w:val="24"/>
          <w:szCs w:val="21"/>
        </w:rPr>
      </w:pPr>
      <w:r>
        <w:rPr>
          <w:rFonts w:hint="eastAsia" w:ascii="宋体" w:hAnsi="宋体"/>
          <w:sz w:val="24"/>
          <w:szCs w:val="21"/>
        </w:rPr>
        <w:t>供应商名称： _________________________________</w:t>
      </w:r>
    </w:p>
    <w:p w14:paraId="24BFE304">
      <w:pPr>
        <w:widowControl/>
        <w:spacing w:line="400" w:lineRule="exact"/>
        <w:jc w:val="left"/>
        <w:rPr>
          <w:rFonts w:ascii="宋体" w:hAnsi="宋体"/>
          <w:sz w:val="24"/>
          <w:szCs w:val="21"/>
        </w:rPr>
      </w:pPr>
      <w:r>
        <w:rPr>
          <w:rFonts w:hint="eastAsia" w:ascii="宋体" w:hAnsi="宋体"/>
          <w:sz w:val="24"/>
          <w:szCs w:val="21"/>
        </w:rPr>
        <w:t xml:space="preserve">统一社会信用代码：_________________________________ </w:t>
      </w:r>
    </w:p>
    <w:p w14:paraId="05FC2703">
      <w:pPr>
        <w:widowControl/>
        <w:spacing w:line="400" w:lineRule="exact"/>
        <w:jc w:val="left"/>
        <w:rPr>
          <w:rFonts w:ascii="宋体" w:hAnsi="宋体"/>
          <w:sz w:val="24"/>
          <w:szCs w:val="21"/>
        </w:rPr>
      </w:pPr>
      <w:r>
        <w:rPr>
          <w:rFonts w:hint="eastAsia" w:ascii="宋体" w:hAnsi="宋体"/>
          <w:sz w:val="24"/>
          <w:szCs w:val="21"/>
        </w:rPr>
        <w:t>供应商地址：_________________________________</w:t>
      </w:r>
    </w:p>
    <w:p w14:paraId="45DA3A9F">
      <w:pPr>
        <w:widowControl/>
        <w:autoSpaceDE/>
        <w:autoSpaceDN/>
        <w:spacing w:line="400" w:lineRule="exact"/>
        <w:ind w:firstLine="480" w:firstLineChars="200"/>
        <w:rPr>
          <w:rFonts w:hint="eastAsia" w:ascii="宋体" w:hAnsi="宋体"/>
          <w:sz w:val="24"/>
          <w:szCs w:val="21"/>
        </w:rPr>
      </w:pPr>
      <w:r>
        <w:rPr>
          <w:rFonts w:hint="eastAsia" w:ascii="宋体" w:hAnsi="宋体"/>
          <w:sz w:val="24"/>
          <w:szCs w:val="21"/>
        </w:rPr>
        <w:t>我单位自愿参加本次政府采购活动，严格遵守《中华人民共和国政府采购法》及相关法律法规，依法诚信经营，无条件遵守本次政府采购活动的各项规定。我单位郑重承诺：</w:t>
      </w:r>
    </w:p>
    <w:p w14:paraId="6197DE91">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3642D0F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3250D5AC">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3E633F56">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470113D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7DCBD23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74793FFB">
      <w:pPr>
        <w:widowControl/>
        <w:spacing w:line="360" w:lineRule="auto"/>
        <w:ind w:firstLine="480" w:firstLineChars="200"/>
        <w:rPr>
          <w:rFonts w:hint="eastAsia" w:ascii="宋体" w:hAnsi="宋体"/>
          <w:sz w:val="24"/>
          <w:szCs w:val="21"/>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7E13F5F6">
      <w:pPr>
        <w:widowControl/>
        <w:spacing w:line="360" w:lineRule="auto"/>
        <w:ind w:firstLine="480" w:firstLineChars="200"/>
        <w:rPr>
          <w:rFonts w:hint="eastAsia" w:ascii="宋体" w:hAnsi="宋体" w:eastAsia="宋体"/>
          <w:color w:val="FF0000"/>
          <w:sz w:val="24"/>
          <w:szCs w:val="21"/>
          <w:lang w:eastAsia="zh-CN"/>
        </w:rPr>
      </w:pPr>
      <w:r>
        <w:rPr>
          <w:rFonts w:hint="eastAsia" w:ascii="宋体" w:hAnsi="宋体"/>
          <w:color w:val="auto"/>
          <w:sz w:val="24"/>
          <w:szCs w:val="21"/>
          <w:lang w:val="en-US" w:eastAsia="zh-CN"/>
        </w:rPr>
        <w:t>三、我单位</w:t>
      </w:r>
      <w:r>
        <w:rPr>
          <w:rFonts w:hint="eastAsia" w:ascii="宋体" w:hAnsi="宋体" w:eastAsia="宋体" w:cs="宋体"/>
          <w:color w:val="auto"/>
          <w:kern w:val="2"/>
          <w:sz w:val="24"/>
          <w:szCs w:val="21"/>
          <w:lang w:val="en-US" w:eastAsia="zh-CN"/>
        </w:rPr>
        <w:t>具有</w:t>
      </w:r>
      <w:r>
        <w:rPr>
          <w:rFonts w:hint="eastAsia" w:ascii="宋体" w:hAnsi="宋体" w:eastAsia="宋体" w:cs="宋体"/>
          <w:color w:val="auto"/>
          <w:kern w:val="0"/>
          <w:sz w:val="24"/>
          <w:highlight w:val="none"/>
        </w:rPr>
        <w:t>有效的测绘资质证书乙级及以上资质</w:t>
      </w:r>
      <w:r>
        <w:rPr>
          <w:rFonts w:hint="eastAsia" w:ascii="宋体" w:hAnsi="宋体" w:eastAsia="宋体" w:cs="宋体"/>
          <w:color w:val="auto"/>
          <w:kern w:val="0"/>
          <w:sz w:val="24"/>
          <w:highlight w:val="none"/>
          <w:lang w:val="en-US" w:eastAsia="zh-CN"/>
        </w:rPr>
        <w:t>；拟派项目负责人具有相关专业高级职称并提供近三个月</w:t>
      </w:r>
      <w:r>
        <w:rPr>
          <w:rFonts w:hint="eastAsia" w:ascii="宋体" w:hAnsi="宋体" w:cs="宋体"/>
          <w:color w:val="auto"/>
          <w:kern w:val="0"/>
          <w:sz w:val="24"/>
          <w:highlight w:val="none"/>
          <w:lang w:val="en-US" w:eastAsia="zh-CN"/>
        </w:rPr>
        <w:t>内任意一个月</w:t>
      </w:r>
      <w:r>
        <w:rPr>
          <w:rFonts w:hint="eastAsia" w:ascii="宋体" w:hAnsi="宋体" w:eastAsia="宋体" w:cs="宋体"/>
          <w:color w:val="auto"/>
          <w:kern w:val="0"/>
          <w:sz w:val="24"/>
          <w:highlight w:val="none"/>
          <w:lang w:val="en-US" w:eastAsia="zh-CN"/>
        </w:rPr>
        <w:t>在本单位缴纳的社保证明。</w:t>
      </w:r>
    </w:p>
    <w:p w14:paraId="424A79CF">
      <w:pPr>
        <w:rPr>
          <w:sz w:val="24"/>
        </w:rPr>
      </w:pPr>
    </w:p>
    <w:p w14:paraId="05ECE4B9">
      <w:pPr>
        <w:ind w:firstLine="480" w:firstLineChars="200"/>
        <w:rPr>
          <w:sz w:val="24"/>
        </w:rPr>
      </w:pPr>
      <w:r>
        <w:rPr>
          <w:rFonts w:hint="eastAsia"/>
          <w:sz w:val="24"/>
        </w:rPr>
        <w:t>若我单位承诺不实，自愿承担提供虚假材料谋取中标、成交的法律责任。</w:t>
      </w:r>
    </w:p>
    <w:p w14:paraId="0B49F261">
      <w:pPr>
        <w:widowControl/>
        <w:spacing w:line="480" w:lineRule="exact"/>
        <w:jc w:val="right"/>
        <w:rPr>
          <w:rFonts w:ascii="宋体" w:hAnsi="宋体"/>
          <w:sz w:val="24"/>
          <w:szCs w:val="21"/>
        </w:rPr>
      </w:pPr>
    </w:p>
    <w:p w14:paraId="5DE275C2">
      <w:pPr>
        <w:widowControl/>
        <w:spacing w:line="480" w:lineRule="exact"/>
        <w:jc w:val="right"/>
        <w:rPr>
          <w:rFonts w:ascii="宋体" w:hAnsi="宋体"/>
          <w:sz w:val="24"/>
          <w:szCs w:val="21"/>
        </w:rPr>
      </w:pPr>
      <w:r>
        <w:rPr>
          <w:rFonts w:hint="eastAsia" w:ascii="宋体" w:hAnsi="宋体"/>
          <w:sz w:val="24"/>
          <w:szCs w:val="21"/>
        </w:rPr>
        <w:t xml:space="preserve">承诺供应商（全称并加盖公章）：__________________ </w:t>
      </w:r>
    </w:p>
    <w:p w14:paraId="45CCAC86">
      <w:pPr>
        <w:widowControl/>
        <w:spacing w:line="480" w:lineRule="exact"/>
        <w:jc w:val="right"/>
        <w:rPr>
          <w:rFonts w:ascii="宋体" w:hAnsi="宋体"/>
          <w:sz w:val="24"/>
          <w:szCs w:val="21"/>
        </w:rPr>
      </w:pPr>
    </w:p>
    <w:p w14:paraId="0DAB2E89">
      <w:pPr>
        <w:widowControl/>
        <w:spacing w:line="480" w:lineRule="exact"/>
        <w:jc w:val="right"/>
        <w:rPr>
          <w:rFonts w:ascii="宋体" w:hAnsi="宋体"/>
          <w:sz w:val="24"/>
          <w:szCs w:val="21"/>
        </w:rPr>
      </w:pPr>
      <w:r>
        <w:rPr>
          <w:rFonts w:hint="eastAsia" w:ascii="宋体" w:hAnsi="宋体"/>
          <w:sz w:val="24"/>
          <w:szCs w:val="21"/>
        </w:rPr>
        <w:t xml:space="preserve">法定代表人或授权代表(签字或签章)：__________________ </w:t>
      </w:r>
    </w:p>
    <w:p w14:paraId="16CBA6E5">
      <w:pPr>
        <w:widowControl/>
        <w:spacing w:line="480" w:lineRule="exact"/>
        <w:jc w:val="right"/>
        <w:rPr>
          <w:rFonts w:ascii="宋体" w:hAnsi="宋体"/>
          <w:sz w:val="24"/>
          <w:szCs w:val="21"/>
        </w:rPr>
      </w:pPr>
    </w:p>
    <w:p w14:paraId="6FDBE307">
      <w:pPr>
        <w:widowControl/>
        <w:spacing w:line="480" w:lineRule="exact"/>
        <w:jc w:val="right"/>
        <w:rPr>
          <w:rFonts w:ascii="宋体" w:hAnsi="宋体"/>
          <w:sz w:val="24"/>
          <w:szCs w:val="21"/>
        </w:rPr>
      </w:pPr>
      <w:r>
        <w:rPr>
          <w:rFonts w:hint="eastAsia" w:ascii="宋体" w:hAnsi="宋体"/>
          <w:sz w:val="24"/>
          <w:szCs w:val="21"/>
        </w:rPr>
        <w:t>日期：_____年___ 月____ 日</w:t>
      </w:r>
    </w:p>
    <w:p w14:paraId="35EEC91D">
      <w:pPr>
        <w:pStyle w:val="4"/>
        <w:spacing w:before="0" w:after="0" w:line="360" w:lineRule="auto"/>
        <w:sectPr>
          <w:pgSz w:w="11906" w:h="16838"/>
          <w:pgMar w:top="1417" w:right="1417" w:bottom="1417" w:left="1417" w:header="851" w:footer="992" w:gutter="0"/>
          <w:cols w:space="720" w:num="1"/>
          <w:docGrid w:type="linesAndChars" w:linePitch="312" w:charSpace="0"/>
        </w:sectPr>
      </w:pPr>
    </w:p>
    <w:p w14:paraId="12BB6719">
      <w:pPr>
        <w:pStyle w:val="4"/>
        <w:spacing w:before="0" w:after="0" w:line="360" w:lineRule="auto"/>
      </w:pPr>
      <w:bookmarkStart w:id="53" w:name="_Toc160007360"/>
      <w:r>
        <w:rPr>
          <w:rFonts w:hint="eastAsia"/>
        </w:rPr>
        <w:t>附件5：</w:t>
      </w:r>
      <w:bookmarkEnd w:id="53"/>
    </w:p>
    <w:p w14:paraId="06F3E2CF">
      <w:pPr>
        <w:pStyle w:val="25"/>
        <w:ind w:left="0" w:leftChars="0" w:firstLine="0" w:firstLineChars="0"/>
      </w:pPr>
    </w:p>
    <w:p w14:paraId="09C8F076">
      <w:pPr>
        <w:spacing w:line="360" w:lineRule="auto"/>
        <w:jc w:val="center"/>
        <w:rPr>
          <w:b/>
          <w:sz w:val="36"/>
          <w:szCs w:val="36"/>
        </w:rPr>
      </w:pPr>
      <w:r>
        <w:rPr>
          <w:rFonts w:hint="eastAsia"/>
          <w:b/>
          <w:sz w:val="36"/>
          <w:szCs w:val="36"/>
        </w:rPr>
        <w:t>供应商所投产品属于政府采购清单规定的节能环保产品的证明材料（如有）</w:t>
      </w:r>
    </w:p>
    <w:p w14:paraId="7C0B0F00">
      <w:pPr>
        <w:pStyle w:val="4"/>
        <w:spacing w:before="0" w:after="0" w:line="360" w:lineRule="auto"/>
        <w:sectPr>
          <w:pgSz w:w="11906" w:h="16838"/>
          <w:pgMar w:top="1417" w:right="1417" w:bottom="1417" w:left="1417" w:header="851" w:footer="992" w:gutter="0"/>
          <w:cols w:space="720" w:num="1"/>
          <w:docGrid w:type="linesAndChars" w:linePitch="312" w:charSpace="0"/>
        </w:sectPr>
      </w:pPr>
    </w:p>
    <w:p w14:paraId="00EA1209">
      <w:pPr>
        <w:pStyle w:val="4"/>
        <w:spacing w:before="0" w:after="0" w:line="360" w:lineRule="auto"/>
      </w:pPr>
      <w:bookmarkStart w:id="54" w:name="_Toc160007361"/>
      <w:r>
        <w:rPr>
          <w:rFonts w:hint="eastAsia"/>
        </w:rPr>
        <w:t>附件6：</w:t>
      </w:r>
      <w:bookmarkEnd w:id="54"/>
    </w:p>
    <w:p w14:paraId="0620168E">
      <w:pPr>
        <w:rPr>
          <w:rFonts w:ascii="宋体" w:hAnsi="宋体"/>
          <w:sz w:val="24"/>
          <w:szCs w:val="21"/>
        </w:rPr>
      </w:pPr>
    </w:p>
    <w:p w14:paraId="5C08DDF4">
      <w:pPr>
        <w:spacing w:line="360" w:lineRule="auto"/>
        <w:jc w:val="center"/>
        <w:rPr>
          <w:sz w:val="24"/>
        </w:rPr>
      </w:pPr>
      <w:r>
        <w:rPr>
          <w:rFonts w:hint="eastAsia"/>
          <w:b/>
          <w:sz w:val="44"/>
          <w:szCs w:val="44"/>
        </w:rPr>
        <w:t>项目服务方案</w:t>
      </w:r>
    </w:p>
    <w:p w14:paraId="145705A3">
      <w:pPr>
        <w:spacing w:line="360" w:lineRule="auto"/>
        <w:ind w:firstLine="480" w:firstLineChars="200"/>
        <w:rPr>
          <w:sz w:val="24"/>
        </w:rPr>
        <w:sectPr>
          <w:pgSz w:w="11906" w:h="16838"/>
          <w:pgMar w:top="1417" w:right="1417" w:bottom="1417" w:left="1417" w:header="851" w:footer="992" w:gutter="0"/>
          <w:cols w:space="720" w:num="1"/>
          <w:docGrid w:type="linesAndChars" w:linePitch="312" w:charSpace="0"/>
        </w:sectPr>
      </w:pPr>
      <w:r>
        <w:rPr>
          <w:rFonts w:hint="eastAsia"/>
          <w:sz w:val="24"/>
        </w:rPr>
        <w:t>根据项目的具体情况以及采购方所提出的要求，针对性地作出对于本项目的服务方案等。</w:t>
      </w:r>
    </w:p>
    <w:p w14:paraId="5FC2BEC1">
      <w:pPr>
        <w:pStyle w:val="4"/>
        <w:spacing w:before="0" w:after="0" w:line="360" w:lineRule="auto"/>
      </w:pPr>
      <w:bookmarkStart w:id="55" w:name="_Toc160007362"/>
      <w:r>
        <w:rPr>
          <w:rFonts w:hint="eastAsia"/>
        </w:rPr>
        <w:t>附件7：</w:t>
      </w:r>
      <w:bookmarkEnd w:id="55"/>
    </w:p>
    <w:p w14:paraId="16B525F7">
      <w:pPr>
        <w:widowControl/>
        <w:tabs>
          <w:tab w:val="left" w:pos="735"/>
        </w:tabs>
        <w:spacing w:line="600" w:lineRule="atLeast"/>
        <w:jc w:val="center"/>
        <w:rPr>
          <w:rFonts w:ascii="宋体" w:hAnsi="宋体"/>
          <w:b/>
          <w:kern w:val="0"/>
          <w:sz w:val="44"/>
          <w:szCs w:val="44"/>
        </w:rPr>
      </w:pPr>
      <w:r>
        <w:rPr>
          <w:rFonts w:hint="eastAsia" w:ascii="宋体" w:hAnsi="宋体" w:cs="宋体"/>
          <w:b/>
          <w:kern w:val="0"/>
          <w:sz w:val="36"/>
          <w:szCs w:val="36"/>
        </w:rPr>
        <w:t>投标承诺函</w:t>
      </w:r>
    </w:p>
    <w:p w14:paraId="5A57EB50">
      <w:pPr>
        <w:spacing w:line="520" w:lineRule="exact"/>
        <w:ind w:firstLine="480" w:firstLineChars="200"/>
        <w:rPr>
          <w:rFonts w:ascii="宋体" w:hAnsi="宋体"/>
          <w:sz w:val="24"/>
        </w:rPr>
      </w:pPr>
      <w:r>
        <w:rPr>
          <w:rFonts w:hint="eastAsia" w:ascii="宋体" w:hAnsi="宋体"/>
          <w:sz w:val="24"/>
        </w:rPr>
        <w:t>我单位对项目（采购编号：</w:t>
      </w:r>
      <w:r>
        <w:rPr>
          <w:rFonts w:hint="eastAsia" w:ascii="宋体" w:hAnsi="宋体"/>
          <w:sz w:val="24"/>
          <w:u w:val="single"/>
          <w:lang w:val="en-US" w:eastAsia="zh-CN"/>
        </w:rPr>
        <w:t xml:space="preserve">     </w:t>
      </w:r>
      <w:r>
        <w:rPr>
          <w:rFonts w:hint="eastAsia" w:ascii="宋体" w:hAnsi="宋体"/>
          <w:sz w:val="24"/>
        </w:rPr>
        <w:t>）投标行为做出承诺，保证所提交材料的真实性。</w:t>
      </w:r>
    </w:p>
    <w:p w14:paraId="6A9BBC93">
      <w:pPr>
        <w:spacing w:line="520" w:lineRule="exact"/>
        <w:ind w:firstLine="480" w:firstLineChars="200"/>
        <w:rPr>
          <w:rFonts w:ascii="宋体" w:hAnsi="宋体"/>
          <w:sz w:val="24"/>
        </w:rPr>
      </w:pPr>
      <w:r>
        <w:rPr>
          <w:rFonts w:hint="eastAsia" w:ascii="宋体" w:hAnsi="宋体"/>
          <w:sz w:val="24"/>
        </w:rPr>
        <w:t>我单位承诺：</w:t>
      </w:r>
    </w:p>
    <w:p w14:paraId="13871AB1">
      <w:pPr>
        <w:spacing w:line="520" w:lineRule="exact"/>
        <w:ind w:firstLine="480" w:firstLineChars="200"/>
        <w:rPr>
          <w:rFonts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14:paraId="6D5F3EAC">
      <w:pPr>
        <w:spacing w:line="520" w:lineRule="exact"/>
        <w:ind w:firstLine="480" w:firstLineChars="200"/>
        <w:rPr>
          <w:rFonts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14:paraId="3AD900CD">
      <w:pPr>
        <w:spacing w:line="52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214A5657">
      <w:pPr>
        <w:spacing w:line="360" w:lineRule="auto"/>
        <w:ind w:firstLine="480" w:firstLineChars="200"/>
        <w:jc w:val="left"/>
      </w:pPr>
      <w:r>
        <w:rPr>
          <w:rFonts w:hint="eastAsia" w:ascii="宋体" w:hAnsi="宋体"/>
          <w:sz w:val="24"/>
        </w:rPr>
        <w:t>4、</w:t>
      </w:r>
      <w:r>
        <w:rPr>
          <w:rFonts w:hint="eastAsia" w:ascii="宋体" w:hAnsi="宋体" w:cs="宋体"/>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5EEB53BB">
      <w:pPr>
        <w:widowControl/>
        <w:spacing w:line="360" w:lineRule="auto"/>
        <w:ind w:firstLine="480" w:firstLineChars="200"/>
        <w:rPr>
          <w:rFonts w:ascii="宋体" w:hAnsi="宋体" w:cs="宋体"/>
          <w:sz w:val="24"/>
        </w:rPr>
      </w:pPr>
      <w:r>
        <w:rPr>
          <w:rFonts w:hint="eastAsia" w:ascii="宋体" w:hAnsi="宋体"/>
          <w:sz w:val="24"/>
        </w:rPr>
        <w:t>5、</w:t>
      </w:r>
      <w:r>
        <w:rPr>
          <w:rFonts w:hint="eastAsia" w:ascii="宋体" w:hAnsi="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10B6D981">
      <w:pPr>
        <w:spacing w:line="520" w:lineRule="exact"/>
        <w:ind w:firstLine="480" w:firstLineChars="200"/>
        <w:jc w:val="left"/>
        <w:rPr>
          <w:rFonts w:ascii="宋体" w:hAnsi="宋体"/>
          <w:sz w:val="24"/>
        </w:rPr>
      </w:pPr>
      <w:r>
        <w:rPr>
          <w:rFonts w:hint="eastAsia" w:ascii="宋体" w:hAnsi="宋体"/>
          <w:sz w:val="24"/>
        </w:rPr>
        <w:t>6、不存在法律法规规定的其他违法违规行为。</w:t>
      </w:r>
    </w:p>
    <w:p w14:paraId="50ECA510"/>
    <w:p w14:paraId="1660B2F7">
      <w:pPr>
        <w:pStyle w:val="15"/>
        <w:adjustRightInd w:val="0"/>
        <w:snapToGrid w:val="0"/>
        <w:spacing w:line="360" w:lineRule="auto"/>
        <w:ind w:firstLine="480" w:firstLineChars="200"/>
        <w:jc w:val="right"/>
        <w:rPr>
          <w:rFonts w:hAnsi="宋体"/>
          <w:sz w:val="24"/>
        </w:rPr>
      </w:pPr>
      <w:r>
        <w:rPr>
          <w:rFonts w:hint="eastAsia" w:hAnsi="宋体"/>
          <w:sz w:val="24"/>
        </w:rPr>
        <w:t xml:space="preserve">                  供应商（盖章）： </w:t>
      </w:r>
    </w:p>
    <w:p w14:paraId="70D4D9DD">
      <w:pPr>
        <w:pStyle w:val="15"/>
        <w:adjustRightInd w:val="0"/>
        <w:snapToGrid w:val="0"/>
        <w:spacing w:line="360" w:lineRule="auto"/>
        <w:ind w:firstLine="480" w:firstLineChars="200"/>
        <w:jc w:val="right"/>
        <w:rPr>
          <w:rFonts w:hAnsi="Calibri"/>
          <w:sz w:val="24"/>
          <w:szCs w:val="24"/>
        </w:rPr>
      </w:pPr>
      <w:r>
        <w:rPr>
          <w:rFonts w:hint="eastAsia" w:hAnsi="Calibri"/>
          <w:sz w:val="24"/>
          <w:szCs w:val="24"/>
        </w:rPr>
        <w:t>年    月     日</w:t>
      </w:r>
    </w:p>
    <w:p w14:paraId="31829272">
      <w:pPr>
        <w:pStyle w:val="4"/>
        <w:spacing w:before="0" w:after="0" w:line="360" w:lineRule="auto"/>
        <w:sectPr>
          <w:pgSz w:w="11906" w:h="16838"/>
          <w:pgMar w:top="1417" w:right="1417" w:bottom="1417" w:left="1417" w:header="851" w:footer="992" w:gutter="0"/>
          <w:cols w:space="720" w:num="1"/>
          <w:docGrid w:type="linesAndChars" w:linePitch="312" w:charSpace="0"/>
        </w:sectPr>
      </w:pPr>
    </w:p>
    <w:p w14:paraId="0517B1DF">
      <w:pPr>
        <w:pStyle w:val="4"/>
        <w:spacing w:before="0" w:after="0" w:line="360" w:lineRule="auto"/>
        <w:rPr>
          <w:b/>
          <w:color w:val="auto"/>
          <w:sz w:val="44"/>
          <w:szCs w:val="44"/>
          <w:highlight w:val="none"/>
        </w:rPr>
      </w:pPr>
      <w:bookmarkStart w:id="56" w:name="_Toc160007363"/>
      <w:r>
        <w:rPr>
          <w:rFonts w:hint="eastAsia"/>
        </w:rPr>
        <w:t>附件8：</w:t>
      </w:r>
      <w:bookmarkEnd w:id="56"/>
    </w:p>
    <w:p w14:paraId="58237AFA">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中小企业声明函（服务）</w:t>
      </w:r>
    </w:p>
    <w:p w14:paraId="08EDDC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 </w:t>
      </w:r>
    </w:p>
    <w:p w14:paraId="1C27FB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法》（财库﹝2020]46 号﹞的规定，本公司（联合体）参加</w:t>
      </w:r>
      <w:r>
        <w:rPr>
          <w:rFonts w:hint="eastAsia" w:ascii="宋体" w:hAnsi="宋体" w:eastAsia="宋体" w:cs="宋体"/>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 xml:space="preserve">的 </w:t>
      </w:r>
    </w:p>
    <w:p w14:paraId="4CD108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采购活动，工程的施工单位全部为符合政策要求的中小企业(或 </w:t>
      </w:r>
    </w:p>
    <w:p w14:paraId="05DB6B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者：服务全部由符合政策要求的中小企业承接）。相关企业（含联合体中的 </w:t>
      </w:r>
    </w:p>
    <w:p w14:paraId="065B71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中小企业、签订分包意向协议的中小企业）的具体情况如下： </w:t>
      </w:r>
    </w:p>
    <w:p w14:paraId="75D25F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 </w:t>
      </w:r>
      <w:r>
        <w:rPr>
          <w:rFonts w:hint="eastAsia" w:ascii="宋体" w:hAnsi="宋体" w:eastAsia="宋体" w:cs="宋体"/>
          <w:color w:val="000000"/>
          <w:kern w:val="0"/>
          <w:sz w:val="13"/>
          <w:szCs w:val="13"/>
          <w:lang w:val="en-US" w:eastAsia="zh-CN" w:bidi="ar"/>
        </w:rPr>
        <w:t xml:space="preserve">1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4858CA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 </w:t>
      </w:r>
    </w:p>
    <w:p w14:paraId="4C5C5F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也不存在与大企业的负责人为同一人的情形。 </w:t>
      </w:r>
    </w:p>
    <w:p w14:paraId="5B7C50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882ED2D">
      <w:pPr>
        <w:keepNext w:val="0"/>
        <w:keepLines w:val="0"/>
        <w:pageBreakBefore w:val="0"/>
        <w:widowControl/>
        <w:suppressLineNumbers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color w:val="000000"/>
          <w:kern w:val="0"/>
          <w:sz w:val="24"/>
          <w:szCs w:val="24"/>
          <w:lang w:val="en-US" w:eastAsia="zh-CN" w:bidi="ar"/>
        </w:rPr>
      </w:pPr>
    </w:p>
    <w:p w14:paraId="1B6F62F0">
      <w:pPr>
        <w:keepNext w:val="0"/>
        <w:keepLines w:val="0"/>
        <w:pageBreakBefore w:val="0"/>
        <w:widowControl/>
        <w:suppressLineNumbers w:val="0"/>
        <w:kinsoku/>
        <w:wordWrap/>
        <w:overflowPunct/>
        <w:topLinePunct w:val="0"/>
        <w:autoSpaceDE/>
        <w:autoSpaceDN/>
        <w:bidi w:val="0"/>
        <w:adjustRightInd/>
        <w:snapToGrid/>
        <w:spacing w:line="360" w:lineRule="auto"/>
        <w:ind w:firstLine="3840" w:firstLineChars="1600"/>
        <w:jc w:val="both"/>
        <w:textAlignment w:val="auto"/>
      </w:pPr>
      <w:r>
        <w:rPr>
          <w:rFonts w:hint="eastAsia" w:ascii="宋体" w:hAnsi="宋体" w:eastAsia="宋体" w:cs="宋体"/>
          <w:color w:val="000000"/>
          <w:kern w:val="0"/>
          <w:sz w:val="24"/>
          <w:szCs w:val="24"/>
          <w:lang w:val="en-US" w:eastAsia="zh-CN" w:bidi="ar"/>
        </w:rPr>
        <w:t>企业名称（盖章）</w:t>
      </w:r>
      <w:r>
        <w:rPr>
          <w:rFonts w:hint="eastAsia" w:ascii="宋体" w:hAnsi="宋体" w:cs="宋体"/>
          <w:color w:val="000000"/>
          <w:kern w:val="0"/>
          <w:sz w:val="24"/>
          <w:szCs w:val="24"/>
          <w:lang w:val="en-US" w:eastAsia="zh-CN" w:bidi="ar"/>
        </w:rPr>
        <w:t>：</w:t>
      </w:r>
    </w:p>
    <w:p w14:paraId="6B0CF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p>
    <w:p w14:paraId="11FBB8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 期：</w:t>
      </w:r>
    </w:p>
    <w:p w14:paraId="572DA961">
      <w:pPr>
        <w:pStyle w:val="41"/>
      </w:pPr>
    </w:p>
    <w:p w14:paraId="26F9ADE2">
      <w:pPr>
        <w:keepNext w:val="0"/>
        <w:keepLines w:val="0"/>
        <w:widowControl/>
        <w:suppressLineNumbers w:val="0"/>
        <w:jc w:val="left"/>
        <w:rPr>
          <w:rFonts w:hint="eastAsia" w:ascii="宋体" w:hAnsi="宋体" w:cs="宋体"/>
          <w:sz w:val="24"/>
          <w:szCs w:val="24"/>
        </w:rPr>
      </w:pPr>
      <w:r>
        <w:rPr>
          <w:rFonts w:hint="default" w:ascii="Times New Roman" w:hAnsi="Times New Roman" w:eastAsia="宋体" w:cs="Times New Roman"/>
          <w:color w:val="000000"/>
          <w:kern w:val="0"/>
          <w:sz w:val="24"/>
          <w:szCs w:val="24"/>
          <w:lang w:val="en-US" w:eastAsia="zh-CN" w:bidi="ar"/>
        </w:rPr>
        <w:t xml:space="preserve">1 </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r>
        <w:rPr>
          <w:rFonts w:hint="eastAsia" w:ascii="宋体" w:hAnsi="宋体" w:cs="宋体"/>
          <w:color w:val="000000"/>
          <w:kern w:val="0"/>
          <w:sz w:val="24"/>
          <w:szCs w:val="24"/>
          <w:lang w:val="en-US" w:eastAsia="zh-CN" w:bidi="ar"/>
        </w:rPr>
        <w:t>。</w:t>
      </w:r>
    </w:p>
    <w:p w14:paraId="08A1F3F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2、本项目标的物所属行业：</w:t>
      </w:r>
      <w:r>
        <w:rPr>
          <w:rFonts w:hint="eastAsia" w:ascii="宋体" w:hAnsi="宋体" w:cs="宋体"/>
          <w:b w:val="0"/>
          <w:bCs/>
          <w:color w:val="auto"/>
          <w:sz w:val="24"/>
          <w:lang w:val="en-US" w:eastAsia="zh-CN"/>
        </w:rPr>
        <w:t>其他未列明行业</w:t>
      </w:r>
      <w:r>
        <w:rPr>
          <w:rFonts w:hint="eastAsia" w:ascii="宋体" w:hAnsi="宋体" w:eastAsia="宋体" w:cs="宋体"/>
          <w:color w:val="000000"/>
          <w:kern w:val="0"/>
          <w:sz w:val="24"/>
          <w:szCs w:val="24"/>
          <w:lang w:val="en-US" w:eastAsia="zh-CN" w:bidi="ar"/>
        </w:rPr>
        <w:t>。</w:t>
      </w:r>
    </w:p>
    <w:p w14:paraId="7C0DAB43">
      <w:pPr>
        <w:widowControl/>
        <w:tabs>
          <w:tab w:val="left" w:pos="735"/>
        </w:tabs>
        <w:spacing w:line="360" w:lineRule="auto"/>
        <w:rPr>
          <w:rFonts w:ascii="宋体" w:hAnsi="宋体"/>
          <w:b/>
          <w:sz w:val="28"/>
          <w:szCs w:val="28"/>
        </w:rPr>
      </w:pPr>
    </w:p>
    <w:p w14:paraId="1BECEF92">
      <w:pPr>
        <w:pStyle w:val="41"/>
        <w:rPr>
          <w:rFonts w:ascii="宋体" w:hAnsi="宋体"/>
          <w:b/>
          <w:sz w:val="28"/>
          <w:szCs w:val="28"/>
        </w:rPr>
      </w:pPr>
    </w:p>
    <w:p w14:paraId="17DD68A6">
      <w:pPr>
        <w:pStyle w:val="41"/>
        <w:rPr>
          <w:rFonts w:ascii="宋体" w:hAnsi="宋体"/>
          <w:b/>
          <w:sz w:val="28"/>
          <w:szCs w:val="28"/>
        </w:rPr>
      </w:pPr>
    </w:p>
    <w:p w14:paraId="62FE592D">
      <w:pPr>
        <w:pStyle w:val="41"/>
        <w:rPr>
          <w:rFonts w:ascii="宋体" w:hAnsi="宋体"/>
          <w:b/>
          <w:sz w:val="28"/>
          <w:szCs w:val="28"/>
        </w:rPr>
      </w:pPr>
    </w:p>
    <w:p w14:paraId="2D28C0D6">
      <w:pPr>
        <w:pStyle w:val="41"/>
        <w:rPr>
          <w:rFonts w:ascii="宋体" w:hAnsi="宋体"/>
          <w:b/>
          <w:sz w:val="28"/>
          <w:szCs w:val="28"/>
        </w:rPr>
      </w:pPr>
    </w:p>
    <w:p w14:paraId="017037B3">
      <w:pPr>
        <w:pStyle w:val="41"/>
        <w:rPr>
          <w:rFonts w:ascii="宋体" w:hAnsi="宋体"/>
          <w:b/>
          <w:sz w:val="28"/>
          <w:szCs w:val="28"/>
        </w:rPr>
      </w:pPr>
    </w:p>
    <w:p w14:paraId="586A92D9">
      <w:pPr>
        <w:pStyle w:val="41"/>
        <w:rPr>
          <w:rFonts w:ascii="宋体" w:hAnsi="宋体"/>
          <w:b/>
          <w:sz w:val="28"/>
          <w:szCs w:val="28"/>
        </w:rPr>
      </w:pPr>
    </w:p>
    <w:p w14:paraId="730A447E">
      <w:pPr>
        <w:pStyle w:val="4"/>
        <w:spacing w:before="0" w:after="0" w:line="360" w:lineRule="auto"/>
      </w:pPr>
      <w:bookmarkStart w:id="57" w:name="_Toc160007364"/>
      <w:r>
        <w:rPr>
          <w:rFonts w:hint="eastAsia"/>
        </w:rPr>
        <w:t>附件9：</w:t>
      </w:r>
      <w:bookmarkEnd w:id="57"/>
    </w:p>
    <w:p w14:paraId="09B66BBC">
      <w:pPr>
        <w:spacing w:line="360" w:lineRule="auto"/>
        <w:ind w:firstLine="600" w:firstLineChars="200"/>
        <w:jc w:val="center"/>
        <w:rPr>
          <w:rFonts w:ascii="宋体" w:hAnsi="宋体" w:cs="宋体"/>
          <w:b/>
          <w:sz w:val="30"/>
          <w:szCs w:val="30"/>
        </w:rPr>
      </w:pPr>
      <w:bookmarkStart w:id="58" w:name="_Toc30170"/>
      <w:bookmarkStart w:id="59" w:name="_Toc14292"/>
    </w:p>
    <w:p w14:paraId="15EC6680">
      <w:pPr>
        <w:spacing w:line="360" w:lineRule="auto"/>
        <w:ind w:firstLine="720" w:firstLineChars="200"/>
        <w:jc w:val="center"/>
        <w:rPr>
          <w:rFonts w:ascii="宋体" w:hAnsi="宋体"/>
          <w:b/>
          <w:sz w:val="28"/>
          <w:szCs w:val="28"/>
        </w:rPr>
      </w:pPr>
      <w:r>
        <w:rPr>
          <w:rFonts w:hint="eastAsia" w:ascii="宋体" w:hAnsi="宋体" w:cs="宋体"/>
          <w:b/>
          <w:kern w:val="0"/>
          <w:sz w:val="36"/>
          <w:szCs w:val="36"/>
        </w:rPr>
        <w:t>残疾人福利性单位声明函（如有）</w:t>
      </w:r>
      <w:bookmarkEnd w:id="58"/>
      <w:bookmarkEnd w:id="59"/>
      <w:r>
        <w:rPr>
          <w:rFonts w:ascii="宋体" w:hAnsi="宋体"/>
          <w:b/>
          <w:sz w:val="28"/>
          <w:szCs w:val="28"/>
        </w:rPr>
        <w:br w:type="page"/>
      </w:r>
      <w:bookmarkStart w:id="60" w:name="_Toc137132333"/>
    </w:p>
    <w:p w14:paraId="0BEC2C48">
      <w:pPr>
        <w:pStyle w:val="4"/>
        <w:spacing w:before="0" w:after="0" w:line="360" w:lineRule="auto"/>
      </w:pPr>
      <w:bookmarkStart w:id="61" w:name="_Toc160007365"/>
      <w:r>
        <w:rPr>
          <w:rFonts w:hint="eastAsia"/>
        </w:rPr>
        <w:t>附件</w:t>
      </w:r>
      <w:r>
        <w:t>10</w:t>
      </w:r>
      <w:r>
        <w:rPr>
          <w:rFonts w:hint="eastAsia"/>
        </w:rPr>
        <w:t>：</w:t>
      </w:r>
      <w:bookmarkEnd w:id="61"/>
    </w:p>
    <w:bookmarkEnd w:id="60"/>
    <w:p w14:paraId="7DD56FBD">
      <w:pPr>
        <w:spacing w:line="360" w:lineRule="auto"/>
        <w:ind w:firstLine="640" w:firstLineChars="200"/>
        <w:jc w:val="center"/>
        <w:rPr>
          <w:b/>
          <w:sz w:val="32"/>
          <w:szCs w:val="32"/>
        </w:rPr>
      </w:pPr>
    </w:p>
    <w:p w14:paraId="6166B96C">
      <w:pPr>
        <w:shd w:val="clear"/>
        <w:spacing w:line="360" w:lineRule="auto"/>
        <w:jc w:val="center"/>
        <w:rPr>
          <w:kern w:val="0"/>
        </w:rPr>
      </w:pPr>
      <w:r>
        <w:rPr>
          <w:rFonts w:hint="eastAsia" w:ascii="宋体" w:hAnsi="宋体" w:cs="宋体"/>
          <w:b/>
          <w:kern w:val="0"/>
          <w:sz w:val="36"/>
          <w:szCs w:val="36"/>
        </w:rPr>
        <w:t>竞争性谈判文件要求的或特定资格证明资料或供应商认为需要加以说明的其他内容</w:t>
      </w:r>
      <w:r>
        <w:rPr>
          <w:rFonts w:hint="eastAsia" w:ascii="宋体" w:hAnsi="宋体" w:cs="宋体"/>
          <w:b/>
          <w:kern w:val="0"/>
          <w:sz w:val="36"/>
          <w:szCs w:val="36"/>
        </w:rPr>
        <w:br w:type="page"/>
      </w:r>
      <w:r>
        <w:rPr>
          <w:rFonts w:hint="eastAsia"/>
          <w:b/>
          <w:kern w:val="0"/>
          <w:sz w:val="44"/>
          <w:szCs w:val="44"/>
        </w:rPr>
        <w:t>优化和提升政府采购政策</w:t>
      </w:r>
    </w:p>
    <w:p w14:paraId="0A203B65">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14:paraId="49D63AF7">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14:paraId="6D7EDC74">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14:paraId="5F00A0DE">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14:paraId="375CE56A">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14:paraId="758EBB93">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14:paraId="1C3B1255">
      <w:pPr>
        <w:shd w:val="clear" w:color="auto"/>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14:paraId="77709593">
      <w:pPr>
        <w:shd w:val="clear" w:color="auto"/>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14:paraId="2B29B51B">
      <w:pPr>
        <w:shd w:val="clear" w:color="auto"/>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14:paraId="55870464">
      <w:pPr>
        <w:shd w:val="clear" w:color="auto"/>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14:paraId="1F2F83B9">
      <w:pPr>
        <w:shd w:val="clear" w:color="auto"/>
        <w:spacing w:line="360" w:lineRule="auto"/>
        <w:ind w:firstLine="560" w:firstLineChars="200"/>
        <w:rPr>
          <w:rFonts w:ascii="仿宋_GB2312" w:hAnsi="Arial" w:eastAsia="仿宋_GB2312" w:cs="Arial"/>
          <w:sz w:val="28"/>
          <w:szCs w:val="28"/>
          <w:shd w:val="clear" w:color="auto" w:fill="FFFFFF"/>
        </w:rPr>
        <w:sectPr>
          <w:pgSz w:w="11906" w:h="16838"/>
          <w:pgMar w:top="1417" w:right="1417" w:bottom="1417" w:left="1417" w:header="851" w:footer="992" w:gutter="0"/>
          <w:cols w:space="720" w:num="1"/>
          <w:docGrid w:type="linesAndChars" w:linePitch="312" w:charSpace="0"/>
        </w:sectPr>
      </w:pPr>
      <w:r>
        <w:rPr>
          <w:rFonts w:hint="eastAsia" w:ascii="仿宋_GB2312" w:hAnsi="Arial" w:eastAsia="仿宋_GB2312" w:cs="Arial"/>
          <w:sz w:val="28"/>
          <w:szCs w:val="28"/>
          <w:shd w:val="clear" w:color="auto" w:fill="FFFFFF"/>
        </w:rPr>
        <w:t>地址：博爱县发展大道188号机关综合办公楼主楼1213室</w:t>
      </w:r>
    </w:p>
    <w:p w14:paraId="0749E977">
      <w:pPr>
        <w:widowControl/>
        <w:shd w:val="clear" w:color="auto"/>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政府采购合同融资政策</w:t>
      </w:r>
    </w:p>
    <w:p w14:paraId="4938D2E7">
      <w:pPr>
        <w:shd w:val="clea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14:paraId="671C557F">
      <w:pPr>
        <w:shd w:val="clea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14:paraId="47B3FDC2">
      <w:pPr>
        <w:shd w:val="clear"/>
        <w:spacing w:line="360" w:lineRule="auto"/>
        <w:ind w:firstLine="640" w:firstLineChars="200"/>
        <w:rPr>
          <w:rFonts w:ascii="仿宋_GB2312" w:eastAsia="仿宋_GB2312"/>
          <w:sz w:val="32"/>
          <w:szCs w:val="32"/>
        </w:rPr>
        <w:sectPr>
          <w:pgSz w:w="11906" w:h="16838"/>
          <w:pgMar w:top="1417" w:right="1417" w:bottom="1417" w:left="1417" w:header="851" w:footer="992" w:gutter="0"/>
          <w:cols w:space="720" w:num="1"/>
          <w:docGrid w:type="linesAndChars" w:linePitch="312" w:charSpace="0"/>
        </w:sect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36"/>
          <w:rFonts w:ascii="仿宋_GB2312" w:hAnsi="方正仿宋_GBK"/>
          <w:sz w:val="32"/>
          <w:szCs w:val="32"/>
        </w:rPr>
        <w:t>http://jiaozuo.hngp.gov.cn</w:t>
      </w:r>
      <w:r>
        <w:rPr>
          <w:rStyle w:val="36"/>
          <w:rFonts w:hint="eastAsia" w:ascii="仿宋_GB2312" w:hAnsi="方正仿宋_GBK"/>
          <w:sz w:val="32"/>
          <w:szCs w:val="32"/>
        </w:rPr>
        <w:t>）</w:t>
      </w:r>
      <w:r>
        <w:rPr>
          <w:rStyle w:val="36"/>
          <w:rFonts w:hint="eastAsia" w:ascii="仿宋_GB2312" w:hAnsi="方正仿宋_GBK"/>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14:paraId="0EA7F141">
      <w:pPr>
        <w:widowControl/>
        <w:shd w:val="clear" w:color="auto"/>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政府采购合同融资操作流</w:t>
      </w:r>
    </w:p>
    <w:p w14:paraId="040D84D4">
      <w:pPr>
        <w:widowControl/>
        <w:shd w:val="clear" w:color="auto"/>
        <w:tabs>
          <w:tab w:val="left" w:pos="0"/>
        </w:tabs>
        <w:spacing w:line="360" w:lineRule="auto"/>
        <w:rPr>
          <w:rFonts w:ascii="方正小标宋简体" w:hAnsi="黑体" w:eastAsia="方正小标宋简体"/>
          <w:sz w:val="44"/>
          <w:szCs w:val="44"/>
        </w:rPr>
        <w:sectPr>
          <w:pgSz w:w="11906" w:h="16838"/>
          <w:pgMar w:top="1417" w:right="1417" w:bottom="1417" w:left="141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1" name="组合 1"/>
                <wp:cNvGraphicFramePr/>
                <a:graphic xmlns:a="http://schemas.openxmlformats.org/drawingml/2006/main">
                  <a:graphicData uri="http://schemas.microsoft.com/office/word/2010/wordprocessingGroup">
                    <wpg:wgp>
                      <wpg:cNvGrpSpPr/>
                      <wpg:grpSpPr>
                        <a:xfrm>
                          <a:off x="0" y="0"/>
                          <a:ext cx="5590540" cy="7728585"/>
                          <a:chOff x="0" y="0"/>
                          <a:chExt cx="9330" cy="11001"/>
                        </a:xfrm>
                        <a:effectLst/>
                      </wpg:grpSpPr>
                      <wps:wsp>
                        <wps:cNvPr id="2" name="Picture 9"/>
                        <wps:cNvSpPr>
                          <a:spLocks noRot="1" noChangeAspect="1" noChangeArrowheads="1" noTextEdit="1"/>
                        </wps:cNvSpPr>
                        <wps:spPr bwMode="auto">
                          <a:xfrm>
                            <a:off x="0" y="0"/>
                            <a:ext cx="9330" cy="11001"/>
                          </a:xfrm>
                          <a:prstGeom prst="rect">
                            <a:avLst/>
                          </a:prstGeom>
                          <a:noFill/>
                          <a:ln>
                            <a:noFill/>
                          </a:ln>
                          <a:effectLst/>
                        </wps:spPr>
                        <wps:bodyPr rot="0" vert="horz" wrap="square" lIns="91440" tIns="45720" rIns="91440" bIns="45720" anchor="t" anchorCtr="0" upright="1">
                          <a:noAutofit/>
                        </wps:bodyPr>
                      </wps:wsp>
                      <wps:wsp>
                        <wps:cNvPr id="3" name="矩形 15"/>
                        <wps:cNvSpPr>
                          <a:spLocks noChangeArrowheads="1"/>
                        </wps:cNvSpPr>
                        <wps:spPr bwMode="auto">
                          <a:xfrm>
                            <a:off x="622" y="1737"/>
                            <a:ext cx="2177" cy="579"/>
                          </a:xfrm>
                          <a:prstGeom prst="rect">
                            <a:avLst/>
                          </a:prstGeom>
                          <a:solidFill>
                            <a:srgbClr val="FFFFFF"/>
                          </a:solidFill>
                          <a:ln w="9525" cmpd="sng">
                            <a:solidFill>
                              <a:srgbClr val="000000"/>
                            </a:solidFill>
                            <a:miter lim="800000"/>
                          </a:ln>
                          <a:effectLst/>
                        </wps:spPr>
                        <wps:txbx>
                          <w:txbxContent>
                            <w:p w14:paraId="5A3FD40A">
                              <w:pPr>
                                <w:jc w:val="center"/>
                                <w:rPr>
                                  <w:rFonts w:ascii="宋体" w:hAnsi="宋体"/>
                                  <w:sz w:val="24"/>
                                </w:rPr>
                              </w:pPr>
                              <w:r>
                                <w:rPr>
                                  <w:rFonts w:hint="eastAsia" w:ascii="宋体" w:hAnsi="宋体"/>
                                  <w:sz w:val="24"/>
                                </w:rPr>
                                <w:t>中小微企业申请</w:t>
                              </w:r>
                            </w:p>
                            <w:p w14:paraId="5FDACC6A">
                              <w:pPr>
                                <w:jc w:val="center"/>
                                <w:rPr>
                                  <w:rFonts w:ascii="宋体" w:hAnsi="宋体"/>
                                </w:rPr>
                              </w:pPr>
                            </w:p>
                          </w:txbxContent>
                        </wps:txbx>
                        <wps:bodyPr rot="0" vert="horz" wrap="square" lIns="91440" tIns="45720" rIns="91440" bIns="45720" anchor="t" anchorCtr="0" upright="1">
                          <a:noAutofit/>
                        </wps:bodyPr>
                      </wps:wsp>
                      <wps:wsp>
                        <wps:cNvPr id="4" name="矩形 217"/>
                        <wps:cNvSpPr>
                          <a:spLocks noChangeArrowheads="1"/>
                        </wps:cNvSpPr>
                        <wps:spPr bwMode="auto">
                          <a:xfrm>
                            <a:off x="3421" y="1392"/>
                            <a:ext cx="5909" cy="1503"/>
                          </a:xfrm>
                          <a:prstGeom prst="rect">
                            <a:avLst/>
                          </a:prstGeom>
                          <a:solidFill>
                            <a:srgbClr val="FFFFFF"/>
                          </a:solidFill>
                          <a:ln w="9525" cmpd="sng">
                            <a:solidFill>
                              <a:srgbClr val="000000"/>
                            </a:solidFill>
                            <a:miter lim="800000"/>
                          </a:ln>
                          <a:effectLst/>
                        </wps:spPr>
                        <wps:txbx>
                          <w:txbxContent>
                            <w:p w14:paraId="29AC7E4F">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rot="0" vert="horz" wrap="square" lIns="91440" tIns="45720" rIns="91440" bIns="45720" anchor="t" anchorCtr="0" upright="1">
                          <a:noAutofit/>
                        </wps:bodyPr>
                      </wps:wsp>
                      <wps:wsp>
                        <wps:cNvPr id="5" name="直线 16"/>
                        <wps:cNvCnPr>
                          <a:cxnSpLocks noChangeShapeType="1"/>
                        </wps:cNvCnPr>
                        <wps:spPr bwMode="auto">
                          <a:xfrm>
                            <a:off x="2799" y="2016"/>
                            <a:ext cx="622" cy="1"/>
                          </a:xfrm>
                          <a:prstGeom prst="line">
                            <a:avLst/>
                          </a:prstGeom>
                          <a:noFill/>
                          <a:ln w="9525" cmpd="sng">
                            <a:solidFill>
                              <a:srgbClr val="000000"/>
                            </a:solidFill>
                            <a:round/>
                            <a:tailEnd type="triangle" w="med" len="med"/>
                          </a:ln>
                          <a:effectLst/>
                        </wps:spPr>
                        <wps:bodyPr/>
                      </wps:wsp>
                      <wps:wsp>
                        <wps:cNvPr id="6" name="矩形 25"/>
                        <wps:cNvSpPr>
                          <a:spLocks noChangeArrowheads="1"/>
                        </wps:cNvSpPr>
                        <wps:spPr bwMode="auto">
                          <a:xfrm>
                            <a:off x="622" y="4632"/>
                            <a:ext cx="2177" cy="1158"/>
                          </a:xfrm>
                          <a:prstGeom prst="rect">
                            <a:avLst/>
                          </a:prstGeom>
                          <a:solidFill>
                            <a:srgbClr val="FFFFFF"/>
                          </a:solidFill>
                          <a:ln w="9525" cmpd="sng">
                            <a:solidFill>
                              <a:srgbClr val="000000"/>
                            </a:solidFill>
                            <a:miter lim="800000"/>
                          </a:ln>
                          <a:effectLst/>
                        </wps:spPr>
                        <wps:txbx>
                          <w:txbxContent>
                            <w:p w14:paraId="6A4211A6"/>
                            <w:p w14:paraId="7D393CC7">
                              <w:pPr>
                                <w:jc w:val="center"/>
                                <w:rPr>
                                  <w:sz w:val="24"/>
                                </w:rPr>
                              </w:pPr>
                              <w:r>
                                <w:rPr>
                                  <w:rFonts w:hint="eastAsia"/>
                                  <w:sz w:val="24"/>
                                </w:rPr>
                                <w:t>开设收款账户</w:t>
                              </w:r>
                            </w:p>
                            <w:p w14:paraId="29B22796">
                              <w:pPr>
                                <w:jc w:val="center"/>
                                <w:rPr>
                                  <w:sz w:val="24"/>
                                </w:rPr>
                              </w:pPr>
                              <w:r>
                                <w:rPr>
                                  <w:rFonts w:hint="eastAsia"/>
                                  <w:sz w:val="24"/>
                                </w:rPr>
                                <w:t>签订政府采购合同</w:t>
                              </w:r>
                            </w:p>
                          </w:txbxContent>
                        </wps:txbx>
                        <wps:bodyPr rot="0" vert="horz" wrap="square" lIns="91440" tIns="45720" rIns="91440" bIns="45720" anchor="t" anchorCtr="0" upright="1">
                          <a:noAutofit/>
                        </wps:bodyPr>
                      </wps:wsp>
                      <wps:wsp>
                        <wps:cNvPr id="7" name="直线 26"/>
                        <wps:cNvCnPr>
                          <a:cxnSpLocks noChangeShapeType="1"/>
                        </wps:cNvCnPr>
                        <wps:spPr bwMode="auto">
                          <a:xfrm>
                            <a:off x="2799" y="5211"/>
                            <a:ext cx="622" cy="1"/>
                          </a:xfrm>
                          <a:prstGeom prst="line">
                            <a:avLst/>
                          </a:prstGeom>
                          <a:noFill/>
                          <a:ln w="9525" cmpd="sng">
                            <a:solidFill>
                              <a:srgbClr val="000000"/>
                            </a:solidFill>
                            <a:round/>
                            <a:tailEnd type="triangle" w="med" len="med"/>
                          </a:ln>
                          <a:effectLst/>
                        </wps:spPr>
                        <wps:bodyPr/>
                      </wps:wsp>
                      <wps:wsp>
                        <wps:cNvPr id="8" name="矩形 32"/>
                        <wps:cNvSpPr>
                          <a:spLocks noChangeArrowheads="1"/>
                        </wps:cNvSpPr>
                        <wps:spPr bwMode="auto">
                          <a:xfrm>
                            <a:off x="622" y="9843"/>
                            <a:ext cx="2177" cy="1158"/>
                          </a:xfrm>
                          <a:prstGeom prst="rect">
                            <a:avLst/>
                          </a:prstGeom>
                          <a:solidFill>
                            <a:srgbClr val="FFFFFF"/>
                          </a:solidFill>
                          <a:ln w="9525" cmpd="sng">
                            <a:solidFill>
                              <a:srgbClr val="000000"/>
                            </a:solidFill>
                            <a:miter lim="800000"/>
                          </a:ln>
                          <a:effectLst/>
                        </wps:spPr>
                        <wps:txbx>
                          <w:txbxContent>
                            <w:p w14:paraId="3ACBB6A1">
                              <w:pPr>
                                <w:jc w:val="center"/>
                              </w:pPr>
                            </w:p>
                            <w:p w14:paraId="700F32EC">
                              <w:pPr>
                                <w:jc w:val="center"/>
                                <w:rPr>
                                  <w:sz w:val="24"/>
                                </w:rPr>
                              </w:pPr>
                              <w:r>
                                <w:rPr>
                                  <w:rFonts w:hint="eastAsia"/>
                                  <w:sz w:val="24"/>
                                </w:rPr>
                                <w:t>合同资金支付及还贷</w:t>
                              </w:r>
                            </w:p>
                          </w:txbxContent>
                        </wps:txbx>
                        <wps:bodyPr rot="0" vert="horz" wrap="square" lIns="91440" tIns="45720" rIns="91440" bIns="45720" anchor="t" anchorCtr="0" upright="1">
                          <a:noAutofit/>
                        </wps:bodyPr>
                      </wps:wsp>
                      <wps:wsp>
                        <wps:cNvPr id="9" name="直线 33"/>
                        <wps:cNvCnPr>
                          <a:cxnSpLocks noChangeShapeType="1"/>
                        </wps:cNvCnPr>
                        <wps:spPr bwMode="auto">
                          <a:xfrm>
                            <a:off x="2799" y="10422"/>
                            <a:ext cx="622" cy="1"/>
                          </a:xfrm>
                          <a:prstGeom prst="line">
                            <a:avLst/>
                          </a:prstGeom>
                          <a:noFill/>
                          <a:ln w="9525" cmpd="sng">
                            <a:solidFill>
                              <a:srgbClr val="000000"/>
                            </a:solidFill>
                            <a:round/>
                            <a:tailEnd type="triangle" w="med" len="med"/>
                          </a:ln>
                          <a:effectLst/>
                        </wps:spPr>
                        <wps:bodyPr/>
                      </wps:wsp>
                      <wps:wsp>
                        <wps:cNvPr id="10" name="矩形 34"/>
                        <wps:cNvSpPr>
                          <a:spLocks noChangeArrowheads="1"/>
                        </wps:cNvSpPr>
                        <wps:spPr bwMode="auto">
                          <a:xfrm>
                            <a:off x="3421" y="9843"/>
                            <a:ext cx="5909" cy="1158"/>
                          </a:xfrm>
                          <a:prstGeom prst="rect">
                            <a:avLst/>
                          </a:prstGeom>
                          <a:solidFill>
                            <a:srgbClr val="FFFFFF"/>
                          </a:solidFill>
                          <a:ln w="9525" cmpd="sng">
                            <a:solidFill>
                              <a:srgbClr val="000000"/>
                            </a:solidFill>
                            <a:miter lim="800000"/>
                          </a:ln>
                          <a:effectLst/>
                        </wps:spPr>
                        <wps:txbx>
                          <w:txbxContent>
                            <w:p w14:paraId="77C1EB9F">
                              <w:pPr>
                                <w:rPr>
                                  <w:sz w:val="24"/>
                                </w:rPr>
                              </w:pPr>
                              <w:r>
                                <w:rPr>
                                  <w:rFonts w:hint="eastAsia"/>
                                  <w:sz w:val="24"/>
                                </w:rPr>
                                <w:t>中小微企业按照合同约定履约，采购人及时开展履约验收，融资服务机构加强管理，及时锁定合同回款资金。</w:t>
                              </w:r>
                            </w:p>
                          </w:txbxContent>
                        </wps:txbx>
                        <wps:bodyPr rot="0" vert="horz" wrap="square" lIns="91440" tIns="45720" rIns="91440" bIns="45720" anchor="t" anchorCtr="0" upright="1">
                          <a:noAutofit/>
                        </wps:bodyPr>
                      </wps:wsp>
                      <wps:wsp>
                        <wps:cNvPr id="11" name="矩形 36"/>
                        <wps:cNvSpPr>
                          <a:spLocks noChangeArrowheads="1"/>
                        </wps:cNvSpPr>
                        <wps:spPr bwMode="auto">
                          <a:xfrm>
                            <a:off x="622" y="0"/>
                            <a:ext cx="2177" cy="1158"/>
                          </a:xfrm>
                          <a:prstGeom prst="rect">
                            <a:avLst/>
                          </a:prstGeom>
                          <a:solidFill>
                            <a:srgbClr val="FFFFFF"/>
                          </a:solidFill>
                          <a:ln w="9525" cmpd="sng">
                            <a:solidFill>
                              <a:srgbClr val="000000"/>
                            </a:solidFill>
                            <a:miter lim="800000"/>
                          </a:ln>
                          <a:effectLst/>
                        </wps:spPr>
                        <wps:txbx>
                          <w:txbxContent>
                            <w:p w14:paraId="3A045E7B">
                              <w:pPr>
                                <w:rPr>
                                  <w:rFonts w:ascii="宋体" w:hAnsi="宋体"/>
                                  <w:sz w:val="24"/>
                                </w:rPr>
                              </w:pPr>
                              <w:r>
                                <w:rPr>
                                  <w:rFonts w:hint="eastAsia" w:ascii="宋体" w:hAnsi="宋体"/>
                                  <w:sz w:val="24"/>
                                </w:rPr>
                                <w:t>中小微企业领取中标（成交）通知书</w:t>
                              </w:r>
                            </w:p>
                          </w:txbxContent>
                        </wps:txbx>
                        <wps:bodyPr rot="0" vert="horz" wrap="square" lIns="91440" tIns="45720" rIns="91440" bIns="45720" anchor="t" anchorCtr="0" upright="1">
                          <a:noAutofit/>
                        </wps:bodyPr>
                      </wps:wsp>
                      <wps:wsp>
                        <wps:cNvPr id="12" name="直线 37"/>
                        <wps:cNvCnPr>
                          <a:cxnSpLocks noChangeShapeType="1"/>
                        </wps:cNvCnPr>
                        <wps:spPr bwMode="auto">
                          <a:xfrm>
                            <a:off x="2799" y="579"/>
                            <a:ext cx="622" cy="1"/>
                          </a:xfrm>
                          <a:prstGeom prst="line">
                            <a:avLst/>
                          </a:prstGeom>
                          <a:noFill/>
                          <a:ln w="9525" cmpd="sng">
                            <a:solidFill>
                              <a:srgbClr val="000000"/>
                            </a:solidFill>
                            <a:round/>
                            <a:tailEnd type="triangle" w="med" len="med"/>
                          </a:ln>
                          <a:effectLst/>
                        </wps:spPr>
                        <wps:bodyPr/>
                      </wps:wsp>
                      <wps:wsp>
                        <wps:cNvPr id="13" name="矩形 38"/>
                        <wps:cNvSpPr>
                          <a:spLocks noChangeArrowheads="1"/>
                        </wps:cNvSpPr>
                        <wps:spPr bwMode="auto">
                          <a:xfrm>
                            <a:off x="3421" y="0"/>
                            <a:ext cx="5909" cy="1158"/>
                          </a:xfrm>
                          <a:prstGeom prst="rect">
                            <a:avLst/>
                          </a:prstGeom>
                          <a:solidFill>
                            <a:srgbClr val="FFFFFF"/>
                          </a:solidFill>
                          <a:ln w="9525" cmpd="sng">
                            <a:solidFill>
                              <a:srgbClr val="000000"/>
                            </a:solidFill>
                            <a:miter lim="800000"/>
                          </a:ln>
                          <a:effectLst/>
                        </wps:spPr>
                        <wps:txbx>
                          <w:txbxContent>
                            <w:p w14:paraId="72ED904A">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rot="0" vert="horz" wrap="square" lIns="91440" tIns="45720" rIns="91440" bIns="45720" anchor="t" anchorCtr="0" upright="1">
                          <a:noAutofit/>
                        </wps:bodyPr>
                      </wps:wsp>
                      <wps:wsp>
                        <wps:cNvPr id="14" name="直线 39"/>
                        <wps:cNvCnPr>
                          <a:cxnSpLocks noChangeShapeType="1"/>
                        </wps:cNvCnPr>
                        <wps:spPr bwMode="auto">
                          <a:xfrm>
                            <a:off x="1720" y="1158"/>
                            <a:ext cx="1" cy="579"/>
                          </a:xfrm>
                          <a:prstGeom prst="line">
                            <a:avLst/>
                          </a:prstGeom>
                          <a:noFill/>
                          <a:ln w="9525" cmpd="sng">
                            <a:solidFill>
                              <a:srgbClr val="000000"/>
                            </a:solidFill>
                            <a:round/>
                            <a:tailEnd type="triangle" w="med" len="med"/>
                          </a:ln>
                          <a:effectLst/>
                        </wps:spPr>
                        <wps:bodyPr/>
                      </wps:wsp>
                      <wps:wsp>
                        <wps:cNvPr id="15" name="矩形 40"/>
                        <wps:cNvSpPr>
                          <a:spLocks noChangeArrowheads="1"/>
                        </wps:cNvSpPr>
                        <wps:spPr bwMode="auto">
                          <a:xfrm>
                            <a:off x="622" y="2895"/>
                            <a:ext cx="2177" cy="1158"/>
                          </a:xfrm>
                          <a:prstGeom prst="rect">
                            <a:avLst/>
                          </a:prstGeom>
                          <a:solidFill>
                            <a:srgbClr val="FFFFFF"/>
                          </a:solidFill>
                          <a:ln w="9525" cmpd="sng">
                            <a:solidFill>
                              <a:srgbClr val="000000"/>
                            </a:solidFill>
                            <a:miter lim="800000"/>
                          </a:ln>
                          <a:effectLst/>
                        </wps:spPr>
                        <wps:txbx>
                          <w:txbxContent>
                            <w:p w14:paraId="7D17A044"/>
                            <w:p w14:paraId="63CB2B71">
                              <w:pPr>
                                <w:jc w:val="center"/>
                                <w:rPr>
                                  <w:sz w:val="24"/>
                                </w:rPr>
                              </w:pPr>
                              <w:r>
                                <w:rPr>
                                  <w:rFonts w:hint="eastAsia"/>
                                  <w:sz w:val="24"/>
                                </w:rPr>
                                <w:t>融资服务机构审查</w:t>
                              </w:r>
                            </w:p>
                          </w:txbxContent>
                        </wps:txbx>
                        <wps:bodyPr rot="0" vert="horz" wrap="square" lIns="91440" tIns="45720" rIns="91440" bIns="45720" anchor="t" anchorCtr="0" upright="1">
                          <a:noAutofit/>
                        </wps:bodyPr>
                      </wps:wsp>
                      <wps:wsp>
                        <wps:cNvPr id="16" name="直线 41"/>
                        <wps:cNvCnPr>
                          <a:cxnSpLocks noChangeShapeType="1"/>
                        </wps:cNvCnPr>
                        <wps:spPr bwMode="auto">
                          <a:xfrm>
                            <a:off x="1720" y="2316"/>
                            <a:ext cx="1" cy="579"/>
                          </a:xfrm>
                          <a:prstGeom prst="line">
                            <a:avLst/>
                          </a:prstGeom>
                          <a:noFill/>
                          <a:ln w="9525" cmpd="sng">
                            <a:solidFill>
                              <a:srgbClr val="000000"/>
                            </a:solidFill>
                            <a:round/>
                            <a:tailEnd type="triangle" w="med" len="med"/>
                          </a:ln>
                          <a:effectLst/>
                        </wps:spPr>
                        <wps:bodyPr/>
                      </wps:wsp>
                      <wps:wsp>
                        <wps:cNvPr id="17" name="直线 42"/>
                        <wps:cNvCnPr>
                          <a:cxnSpLocks noChangeShapeType="1"/>
                        </wps:cNvCnPr>
                        <wps:spPr bwMode="auto">
                          <a:xfrm>
                            <a:off x="2799" y="3588"/>
                            <a:ext cx="622" cy="1"/>
                          </a:xfrm>
                          <a:prstGeom prst="line">
                            <a:avLst/>
                          </a:prstGeom>
                          <a:noFill/>
                          <a:ln w="9525" cmpd="sng">
                            <a:solidFill>
                              <a:srgbClr val="000000"/>
                            </a:solidFill>
                            <a:round/>
                            <a:tailEnd type="triangle" w="med" len="med"/>
                          </a:ln>
                          <a:effectLst/>
                        </wps:spPr>
                        <wps:bodyPr/>
                      </wps:wsp>
                      <wps:wsp>
                        <wps:cNvPr id="18" name="矩形 43"/>
                        <wps:cNvSpPr>
                          <a:spLocks noChangeArrowheads="1"/>
                        </wps:cNvSpPr>
                        <wps:spPr bwMode="auto">
                          <a:xfrm>
                            <a:off x="3421" y="3084"/>
                            <a:ext cx="5909" cy="969"/>
                          </a:xfrm>
                          <a:prstGeom prst="rect">
                            <a:avLst/>
                          </a:prstGeom>
                          <a:solidFill>
                            <a:srgbClr val="FFFFFF"/>
                          </a:solidFill>
                          <a:ln w="9525" cmpd="sng">
                            <a:solidFill>
                              <a:srgbClr val="000000"/>
                            </a:solidFill>
                            <a:miter lim="800000"/>
                          </a:ln>
                          <a:effectLst/>
                        </wps:spPr>
                        <wps:txbx>
                          <w:txbxContent>
                            <w:p w14:paraId="68CF8CDA">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rot="0" vert="horz" wrap="square" lIns="91440" tIns="45720" rIns="91440" bIns="45720" anchor="t" anchorCtr="0" upright="1">
                          <a:noAutofit/>
                        </wps:bodyPr>
                      </wps:wsp>
                      <wps:wsp>
                        <wps:cNvPr id="19" name="直线 44"/>
                        <wps:cNvCnPr>
                          <a:cxnSpLocks noChangeShapeType="1"/>
                        </wps:cNvCnPr>
                        <wps:spPr bwMode="auto">
                          <a:xfrm>
                            <a:off x="1690" y="4053"/>
                            <a:ext cx="1" cy="579"/>
                          </a:xfrm>
                          <a:prstGeom prst="line">
                            <a:avLst/>
                          </a:prstGeom>
                          <a:noFill/>
                          <a:ln w="9525" cmpd="sng">
                            <a:solidFill>
                              <a:srgbClr val="000000"/>
                            </a:solidFill>
                            <a:round/>
                            <a:tailEnd type="triangle" w="med" len="med"/>
                          </a:ln>
                          <a:effectLst/>
                        </wps:spPr>
                        <wps:bodyPr/>
                      </wps:wsp>
                      <wps:wsp>
                        <wps:cNvPr id="20" name="矩形 45"/>
                        <wps:cNvSpPr>
                          <a:spLocks noChangeArrowheads="1"/>
                        </wps:cNvSpPr>
                        <wps:spPr bwMode="auto">
                          <a:xfrm>
                            <a:off x="3421" y="4542"/>
                            <a:ext cx="5909" cy="1398"/>
                          </a:xfrm>
                          <a:prstGeom prst="rect">
                            <a:avLst/>
                          </a:prstGeom>
                          <a:solidFill>
                            <a:srgbClr val="FFFFFF"/>
                          </a:solidFill>
                          <a:ln w="9525" cmpd="sng">
                            <a:solidFill>
                              <a:srgbClr val="000000"/>
                            </a:solidFill>
                            <a:miter lim="800000"/>
                          </a:ln>
                          <a:effectLst/>
                        </wps:spPr>
                        <wps:txbx>
                          <w:txbxContent>
                            <w:p w14:paraId="546874A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rot="0" vert="horz" wrap="square" lIns="91440" tIns="45720" rIns="91440" bIns="45720" anchor="t" anchorCtr="0" upright="1">
                          <a:noAutofit/>
                        </wps:bodyPr>
                      </wps:wsp>
                      <wps:wsp>
                        <wps:cNvPr id="21" name="矩形 46"/>
                        <wps:cNvSpPr>
                          <a:spLocks noChangeArrowheads="1"/>
                        </wps:cNvSpPr>
                        <wps:spPr bwMode="auto">
                          <a:xfrm>
                            <a:off x="622" y="6369"/>
                            <a:ext cx="2177" cy="1158"/>
                          </a:xfrm>
                          <a:prstGeom prst="rect">
                            <a:avLst/>
                          </a:prstGeom>
                          <a:solidFill>
                            <a:srgbClr val="FFFFFF"/>
                          </a:solidFill>
                          <a:ln w="9525" cmpd="sng">
                            <a:solidFill>
                              <a:srgbClr val="000000"/>
                            </a:solidFill>
                            <a:miter lim="800000"/>
                          </a:ln>
                          <a:effectLst/>
                        </wps:spPr>
                        <wps:txbx>
                          <w:txbxContent>
                            <w:p w14:paraId="7961CEF8"/>
                            <w:p w14:paraId="3BCF99A3">
                              <w:pPr>
                                <w:jc w:val="center"/>
                                <w:rPr>
                                  <w:sz w:val="24"/>
                                </w:rPr>
                              </w:pPr>
                              <w:r>
                                <w:rPr>
                                  <w:rFonts w:hint="eastAsia"/>
                                  <w:sz w:val="24"/>
                                </w:rPr>
                                <w:t>政府采购合同备案</w:t>
                              </w:r>
                            </w:p>
                          </w:txbxContent>
                        </wps:txbx>
                        <wps:bodyPr rot="0" vert="horz" wrap="square" lIns="91440" tIns="45720" rIns="91440" bIns="45720" anchor="t" anchorCtr="0" upright="1">
                          <a:noAutofit/>
                        </wps:bodyPr>
                      </wps:wsp>
                      <wps:wsp>
                        <wps:cNvPr id="22" name="直线 47"/>
                        <wps:cNvCnPr>
                          <a:cxnSpLocks noChangeShapeType="1"/>
                        </wps:cNvCnPr>
                        <wps:spPr bwMode="auto">
                          <a:xfrm>
                            <a:off x="2799" y="6948"/>
                            <a:ext cx="622" cy="1"/>
                          </a:xfrm>
                          <a:prstGeom prst="line">
                            <a:avLst/>
                          </a:prstGeom>
                          <a:noFill/>
                          <a:ln w="9525" cmpd="sng">
                            <a:solidFill>
                              <a:srgbClr val="000000"/>
                            </a:solidFill>
                            <a:round/>
                            <a:tailEnd type="triangle" w="med" len="med"/>
                          </a:ln>
                          <a:effectLst/>
                        </wps:spPr>
                        <wps:bodyPr/>
                      </wps:wsp>
                      <wps:wsp>
                        <wps:cNvPr id="23" name="矩形 48"/>
                        <wps:cNvSpPr>
                          <a:spLocks noChangeArrowheads="1"/>
                        </wps:cNvSpPr>
                        <wps:spPr bwMode="auto">
                          <a:xfrm>
                            <a:off x="3421" y="8106"/>
                            <a:ext cx="5909" cy="1158"/>
                          </a:xfrm>
                          <a:prstGeom prst="rect">
                            <a:avLst/>
                          </a:prstGeom>
                          <a:solidFill>
                            <a:srgbClr val="FFFFFF"/>
                          </a:solidFill>
                          <a:ln w="9525" cmpd="sng">
                            <a:solidFill>
                              <a:srgbClr val="000000"/>
                            </a:solidFill>
                            <a:miter lim="800000"/>
                          </a:ln>
                          <a:effectLst/>
                        </wps:spPr>
                        <wps:txbx>
                          <w:txbxContent>
                            <w:p w14:paraId="25223BD0"/>
                            <w:p w14:paraId="6E8987D3">
                              <w:pPr>
                                <w:rPr>
                                  <w:sz w:val="24"/>
                                </w:rPr>
                              </w:pPr>
                              <w:r>
                                <w:rPr>
                                  <w:rFonts w:hint="eastAsia"/>
                                  <w:sz w:val="24"/>
                                </w:rPr>
                                <w:t>融资服务机构确认合同的真实性后，5个工作日内完成放款。</w:t>
                              </w:r>
                            </w:p>
                          </w:txbxContent>
                        </wps:txbx>
                        <wps:bodyPr rot="0" vert="horz" wrap="square" lIns="91440" tIns="45720" rIns="91440" bIns="45720" anchor="t" anchorCtr="0" upright="1">
                          <a:noAutofit/>
                        </wps:bodyPr>
                      </wps:wsp>
                      <wps:wsp>
                        <wps:cNvPr id="24" name="矩形 49"/>
                        <wps:cNvSpPr>
                          <a:spLocks noChangeArrowheads="1"/>
                        </wps:cNvSpPr>
                        <wps:spPr bwMode="auto">
                          <a:xfrm>
                            <a:off x="622" y="8106"/>
                            <a:ext cx="2177" cy="1158"/>
                          </a:xfrm>
                          <a:prstGeom prst="rect">
                            <a:avLst/>
                          </a:prstGeom>
                          <a:solidFill>
                            <a:srgbClr val="FFFFFF"/>
                          </a:solidFill>
                          <a:ln w="9525" cmpd="sng">
                            <a:solidFill>
                              <a:srgbClr val="000000"/>
                            </a:solidFill>
                            <a:miter lim="800000"/>
                          </a:ln>
                          <a:effectLst/>
                        </wps:spPr>
                        <wps:txbx>
                          <w:txbxContent>
                            <w:p w14:paraId="7E83C2A8"/>
                            <w:p w14:paraId="1781F593">
                              <w:pPr>
                                <w:jc w:val="center"/>
                                <w:rPr>
                                  <w:sz w:val="24"/>
                                </w:rPr>
                              </w:pPr>
                              <w:r>
                                <w:rPr>
                                  <w:rFonts w:hint="eastAsia"/>
                                  <w:sz w:val="24"/>
                                </w:rPr>
                                <w:t>融资服务机构放贷</w:t>
                              </w:r>
                            </w:p>
                          </w:txbxContent>
                        </wps:txbx>
                        <wps:bodyPr rot="0" vert="horz" wrap="square" lIns="91440" tIns="45720" rIns="91440" bIns="45720" anchor="t" anchorCtr="0" upright="1">
                          <a:noAutofit/>
                        </wps:bodyPr>
                      </wps:wsp>
                      <wps:wsp>
                        <wps:cNvPr id="25" name="矩形 50"/>
                        <wps:cNvSpPr>
                          <a:spLocks noChangeArrowheads="1"/>
                        </wps:cNvSpPr>
                        <wps:spPr bwMode="auto">
                          <a:xfrm>
                            <a:off x="3421" y="6369"/>
                            <a:ext cx="5909" cy="1158"/>
                          </a:xfrm>
                          <a:prstGeom prst="rect">
                            <a:avLst/>
                          </a:prstGeom>
                          <a:solidFill>
                            <a:srgbClr val="FFFFFF"/>
                          </a:solidFill>
                          <a:ln w="9525" cmpd="sng">
                            <a:solidFill>
                              <a:srgbClr val="000000"/>
                            </a:solidFill>
                            <a:miter lim="800000"/>
                          </a:ln>
                          <a:effectLst/>
                        </wps:spPr>
                        <wps:txbx>
                          <w:txbxContent>
                            <w:p w14:paraId="34049C05">
                              <w:pPr>
                                <w:rPr>
                                  <w:sz w:val="24"/>
                                </w:rPr>
                              </w:pPr>
                              <w:r>
                                <w:rPr>
                                  <w:rFonts w:hint="eastAsia"/>
                                  <w:sz w:val="24"/>
                                </w:rPr>
                                <w:t>签订合同后2个工作日内完成备案；融资机构登陆焦作市电子化政府采购系统核对合同真实性。</w:t>
                              </w:r>
                            </w:p>
                          </w:txbxContent>
                        </wps:txbx>
                        <wps:bodyPr rot="0" vert="horz" wrap="square" lIns="91440" tIns="45720" rIns="91440" bIns="45720" anchor="t" anchorCtr="0" upright="1">
                          <a:noAutofit/>
                        </wps:bodyPr>
                      </wps:wsp>
                      <wps:wsp>
                        <wps:cNvPr id="26" name="直线 51"/>
                        <wps:cNvCnPr>
                          <a:cxnSpLocks noChangeShapeType="1"/>
                        </wps:cNvCnPr>
                        <wps:spPr bwMode="auto">
                          <a:xfrm>
                            <a:off x="1645" y="5790"/>
                            <a:ext cx="1" cy="579"/>
                          </a:xfrm>
                          <a:prstGeom prst="line">
                            <a:avLst/>
                          </a:prstGeom>
                          <a:noFill/>
                          <a:ln w="9525" cmpd="sng">
                            <a:solidFill>
                              <a:srgbClr val="000000"/>
                            </a:solidFill>
                            <a:round/>
                            <a:tailEnd type="triangle" w="med" len="med"/>
                          </a:ln>
                          <a:effectLst/>
                        </wps:spPr>
                        <wps:bodyPr/>
                      </wps:wsp>
                      <wps:wsp>
                        <wps:cNvPr id="27" name="直线 52"/>
                        <wps:cNvCnPr>
                          <a:cxnSpLocks noChangeShapeType="1"/>
                        </wps:cNvCnPr>
                        <wps:spPr bwMode="auto">
                          <a:xfrm>
                            <a:off x="1630" y="7527"/>
                            <a:ext cx="1" cy="579"/>
                          </a:xfrm>
                          <a:prstGeom prst="line">
                            <a:avLst/>
                          </a:prstGeom>
                          <a:noFill/>
                          <a:ln w="9525" cmpd="sng">
                            <a:solidFill>
                              <a:srgbClr val="000000"/>
                            </a:solidFill>
                            <a:round/>
                            <a:tailEnd type="triangle" w="med" len="med"/>
                          </a:ln>
                          <a:effectLst/>
                        </wps:spPr>
                        <wps:bodyPr/>
                      </wps:wsp>
                      <wps:wsp>
                        <wps:cNvPr id="28" name="直线 53"/>
                        <wps:cNvCnPr>
                          <a:cxnSpLocks noChangeShapeType="1"/>
                        </wps:cNvCnPr>
                        <wps:spPr bwMode="auto">
                          <a:xfrm>
                            <a:off x="1645" y="9264"/>
                            <a:ext cx="1" cy="579"/>
                          </a:xfrm>
                          <a:prstGeom prst="line">
                            <a:avLst/>
                          </a:prstGeom>
                          <a:noFill/>
                          <a:ln w="9525" cmpd="sng">
                            <a:solidFill>
                              <a:srgbClr val="000000"/>
                            </a:solidFill>
                            <a:round/>
                            <a:tailEnd type="triangle" w="med" len="med"/>
                          </a:ln>
                          <a:effectLst/>
                        </wps:spPr>
                        <wps:bodyPr/>
                      </wps:wsp>
                      <wps:wsp>
                        <wps:cNvPr id="29" name="直线 54"/>
                        <wps:cNvCnPr>
                          <a:cxnSpLocks noChangeShapeType="1"/>
                        </wps:cNvCnPr>
                        <wps:spPr bwMode="auto">
                          <a:xfrm>
                            <a:off x="2799" y="8685"/>
                            <a:ext cx="622" cy="1"/>
                          </a:xfrm>
                          <a:prstGeom prst="line">
                            <a:avLst/>
                          </a:prstGeom>
                          <a:noFill/>
                          <a:ln w="9525" cmpd="sng">
                            <a:solidFill>
                              <a:srgbClr val="000000"/>
                            </a:solidFill>
                            <a:round/>
                            <a:tailEnd type="triangle" w="med" len="med"/>
                          </a:ln>
                          <a:effectLst/>
                        </wps:spPr>
                        <wps:bodyPr/>
                      </wps:wsp>
                    </wpg:wgp>
                  </a:graphicData>
                </a:graphic>
              </wp:inline>
            </w:drawing>
          </mc:Choice>
          <mc:Fallback>
            <w:pict>
              <v:group id="_x0000_s1026"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V5tK5RAYAAB9GAAAOAAAAZHJzL2Uyb0RvYy54bWztXMtu&#10;4zYU3RfoPwjaN9bblhFnMMhjUGDaBk36AYwk20IlUSXl2Om6iy6776JAd9131aLo1wzyG7186MVk&#10;HHc6YRZlFo4k0xR5eXTuvefSPn61KwvrNiM0x9XCdo8c28qqBKd5tVrY31xffDazLdqgKkUFrrKF&#10;fZdR+9XJp58cb+t55uE1LtKMWNBJRefbemGvm6aeTyY0WWcloke4zip4c4lJiRo4JatJStAWei+L&#10;iec40WSLSVoTnGSUwtUz8aYteySHdIiXyzzJznCyKbOqEb2SrEANTImu85raJ3y0y2WWNF8tlzRr&#10;rGJhw0wb/go3geMb9jo5OUbzFUH1Ok/kENAhQ1DmVKK8gpt2XZ2hBlkbkj/oqswTgileNkcJLidi&#10;ItwiMAvXUWzzhuBNzeeymm9XdWd0WCjF6h/cbfLl7SWx8hSQYFsVKmHB7//84d1PP1ous822Xs2h&#10;yRtSX9WXRF5YiTM23d2SlOw/TMTacavedVbNdo2VwMUwjJ0wAIMn8N506s3CWSjsnqxhcR58Llmf&#10;y0/Gvi8/5rqOwwc06e+Z8eV9SxsY1oQNtBvXtgZo0t5e9L/Z62qN6owvA2XGkPbyWntd5kmzIZkV&#10;C4PxNsxazC60fouTb6lV4a8xYI/ZGJ+uUbXKXtMawDm+RAjerjOUwnh5y2sw4Xma81ZikoPO2SQp&#10;3Ma62X6BU1g3tGkwx+Ahi7LftDWhzZsMlxY7WNgERsp7RrfS3GjeNmGzrPBFXhQwQjQvqtEFWC5x&#10;RVksMXSGLzq/wekdTIMwA8FyAzXBwRqT721rCw/mwqbfbRDJbKv4vALLxG7AwNTwkyCcenBChu/c&#10;DN9BVQJdLezGtsThaSOe/k1N8tWam1aM+DWYb5lLMLWj4sjiYBJjfXZU+S2q7n/57d1fv1ouf1SY&#10;mQB5D1ElsTQCzocjJfIA1PCQulN/Kp7Q9hn23OlUPMDhlON88By2SDgQLBQXecrwwsxOyermtCDW&#10;LQJ+vuB/7MbQ+6hZUVlbWPnQC2EQZZ0CJqoVR+So2ag3h/891luZN+DBirxc2LNhoyeR2uxudjA6&#10;A1pugp4KAwW0gJa9XPhxUesHHrAlg60fe2PYgueJBWzd0PElFlp6NLj9v5MtsIkMeX7+/f6Pvy03&#10;GsD2tBIuPNlVV50XF8i9YgHB9V0NTlcEJZKfxUfYyUGO2ZvGgE4ALoR+/M5o3vItZ2IWL6lBjwLa&#10;Iq9YZILmh3jmj8mhEJlWKff4DcqL8yq1Gm6PhuQQ3RTgrYGwyywFr51BmsGOBK8/SbIiHGCNmSHB&#10;4WryvFEHBuF5wddIrtfoeYPIVyis97yuG84MhbWRmYkXedYGUdmIwrwXorDQczlVGQrrMhr9FAbK&#10;jQSDoDDBJdI56Uoe4lnAI60eCYbCeLxssgceN0G4IhEphRSIgUYU5nP4yDYaozDXCSD/hae2R64J&#10;w7SHYS7IOWMSCzTGYV0u+ZDFBrmkCcSMBqKyGIQ/Cm6HkZgu5ysLGm0aaTyv8by8yva453W7Gsa9&#10;EECE7Kvf9UpR2TjeF0weXLX04HO1QVP20DlehcGM1zUMto/B+tKDZLBhFfb5kweXlx+ZTitjwp7C&#10;IB5gAu6T9TIj4YqNI/9qC8N7/Fkv6AsBBArF+jVcbxbL/Q0mDJOlEBEsGwHkPbDtSw+CxAIupWoL&#10;wzoS83y1DmVITL8Aokr6AReltKGhq0r64YxHgL1LM3KYfjSomr4Q13VH5b4z4zJcj4U+MI8jsyOo&#10;y9tMWVJsJlVF/WCo4mqIy6MYdGQIvwMnVKpRxqVpJzG2RXOk6Qc691Z00kIQClf6GInB3jGzucKw&#10;mPSr7RZvVdMPXkLTj3zhYHvYGlnfiGJ7RDG2i3tUUQ+G23Gf3/l2GUQUByaDYLtIGa281L5GT9X1&#10;xZroziBmrqPsce0ziFY8NV8qMN+E6b9f1Uv7UswdSvu6CuoPYWucr3G++5yvWoMIddYgulznYdBo&#10;6Nbgdh9u1SJEqLkIEYEowBQbKJgqewCMYqNfsVGLEKHeIoQbsW9+Axqmoad8FdWgQT8a+iKEKFAK&#10;TVWmEM+fULotN8RepJQhDBr0o0HV9kO92n4nL8yi9ock2o0WpkA5RAP/UQz43RC4NvphkuE5b9//&#10;rsvJ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FEf8ifXAAAABgEAAA8AAAAAAAAAAQAgAAAAIgAA&#10;AGRycy9kb3ducmV2LnhtbFBLAQIUABQAAAAIAIdO4kCV5tK5RAYAAB9GAAAOAAAAAAAAAAEAIAAA&#10;ACYBAABkcnMvZTJvRG9jLnhtbFBLBQYAAAAABgAGAFkBAADcCQAAAAA=&#10;">
                <o:lock v:ext="edit" aspectratio="f"/>
                <v:rect id="Picture 9" o:spid="_x0000_s1026" o:spt="1" style="position:absolute;left:0;top:0;height:11001;width:933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5A3FD40A">
                        <w:pPr>
                          <w:jc w:val="center"/>
                          <w:rPr>
                            <w:rFonts w:ascii="宋体" w:hAnsi="宋体"/>
                            <w:sz w:val="24"/>
                          </w:rPr>
                        </w:pPr>
                        <w:r>
                          <w:rPr>
                            <w:rFonts w:hint="eastAsia" w:ascii="宋体" w:hAnsi="宋体"/>
                            <w:sz w:val="24"/>
                          </w:rPr>
                          <w:t>中小微企业申请</w:t>
                        </w:r>
                      </w:p>
                      <w:p w14:paraId="5FDACC6A">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9AC7E4F">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6A4211A6"/>
                      <w:p w14:paraId="7D393CC7">
                        <w:pPr>
                          <w:jc w:val="center"/>
                          <w:rPr>
                            <w:sz w:val="24"/>
                          </w:rPr>
                        </w:pPr>
                        <w:r>
                          <w:rPr>
                            <w:rFonts w:hint="eastAsia"/>
                            <w:sz w:val="24"/>
                          </w:rPr>
                          <w:t>开设收款账户</w:t>
                        </w:r>
                      </w:p>
                      <w:p w14:paraId="29B22796">
                        <w:pPr>
                          <w:jc w:val="center"/>
                          <w:rPr>
                            <w:sz w:val="24"/>
                          </w:rPr>
                        </w:pPr>
                        <w:r>
                          <w:rPr>
                            <w:rFonts w:hint="eastAsia"/>
                            <w:sz w:val="24"/>
                          </w:rPr>
                          <w:t>签订政府采购合同</w:t>
                        </w:r>
                      </w:p>
                    </w:txbxContent>
                  </v:textbox>
                </v:rect>
                <v:line id="直线 26" o:spid="_x0000_s1026" o:spt="20" style="position:absolute;left:2799;top:5211;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3ACBB6A1">
                        <w:pPr>
                          <w:jc w:val="center"/>
                        </w:pPr>
                      </w:p>
                      <w:p w14:paraId="700F32EC">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7C1EB9F">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3A045E7B">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2ED904A">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D17A044"/>
                      <w:p w14:paraId="63CB2B71">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8CF8CDA">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46874A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961CEF8"/>
                      <w:p w14:paraId="3BCF99A3">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5223BD0"/>
                      <w:p w14:paraId="6E8987D3">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E83C2A8"/>
                      <w:p w14:paraId="1781F593">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4049C05">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4BAD5092">
      <w:pPr>
        <w:widowControl/>
        <w:shd w:val="clear" w:color="auto"/>
        <w:tabs>
          <w:tab w:val="left" w:pos="0"/>
        </w:tabs>
        <w:spacing w:line="360" w:lineRule="auto"/>
        <w:jc w:val="center"/>
        <w:rPr>
          <w:rFonts w:ascii="宋体" w:hAnsi="宋体" w:cs="宋体"/>
          <w:b/>
          <w:bCs/>
          <w:sz w:val="44"/>
          <w:szCs w:val="44"/>
        </w:rPr>
      </w:pPr>
      <w:r>
        <w:rPr>
          <w:rFonts w:hint="eastAsia" w:ascii="宋体" w:hAnsi="宋体" w:cs="宋体"/>
          <w:b/>
          <w:bCs/>
          <w:sz w:val="44"/>
          <w:szCs w:val="44"/>
        </w:rPr>
        <w:t>融资服务机构名单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4BFD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49C697FC">
            <w:pPr>
              <w:widowControl/>
              <w:shd w:val="clear"/>
              <w:tabs>
                <w:tab w:val="left" w:pos="0"/>
              </w:tabs>
              <w:spacing w:line="360" w:lineRule="auto"/>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14:paraId="7F3E9AEC">
            <w:pPr>
              <w:widowControl/>
              <w:shd w:val="clear"/>
              <w:tabs>
                <w:tab w:val="left" w:pos="0"/>
              </w:tabs>
              <w:spacing w:line="360" w:lineRule="auto"/>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14:paraId="14DE7DB6">
            <w:pPr>
              <w:widowControl/>
              <w:shd w:val="clear"/>
              <w:tabs>
                <w:tab w:val="left" w:pos="0"/>
              </w:tabs>
              <w:spacing w:line="360" w:lineRule="auto"/>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14:paraId="693DF3C6">
            <w:pPr>
              <w:widowControl/>
              <w:shd w:val="clear"/>
              <w:tabs>
                <w:tab w:val="left" w:pos="0"/>
              </w:tabs>
              <w:spacing w:line="360" w:lineRule="auto"/>
              <w:jc w:val="center"/>
              <w:rPr>
                <w:rFonts w:ascii="黑体" w:hAnsi="黑体" w:eastAsia="黑体"/>
                <w:sz w:val="30"/>
                <w:szCs w:val="30"/>
              </w:rPr>
            </w:pPr>
            <w:r>
              <w:rPr>
                <w:rFonts w:hint="eastAsia" w:ascii="黑体" w:hAnsi="黑体" w:eastAsia="黑体"/>
                <w:sz w:val="30"/>
                <w:szCs w:val="30"/>
              </w:rPr>
              <w:t>地址</w:t>
            </w:r>
          </w:p>
        </w:tc>
      </w:tr>
      <w:tr w14:paraId="4E6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797E347">
            <w:pPr>
              <w:widowControl/>
              <w:shd w:val="clear"/>
              <w:tabs>
                <w:tab w:val="left" w:pos="0"/>
              </w:tabs>
              <w:spacing w:line="360" w:lineRule="auto"/>
              <w:rPr>
                <w:rFonts w:ascii="仿宋_GB2312" w:eastAsia="仿宋_GB2312"/>
              </w:rPr>
            </w:pPr>
            <w:r>
              <w:rPr>
                <w:rFonts w:hint="eastAsia" w:ascii="仿宋_GB2312" w:eastAsia="仿宋_GB2312"/>
              </w:rPr>
              <w:t>中国农业银行股份有限公司焦作分行</w:t>
            </w:r>
          </w:p>
        </w:tc>
        <w:tc>
          <w:tcPr>
            <w:tcW w:w="1230" w:type="dxa"/>
            <w:shd w:val="solid" w:color="FFFFFF" w:fill="auto"/>
            <w:vAlign w:val="center"/>
          </w:tcPr>
          <w:p w14:paraId="64504651">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薛国战</w:t>
            </w:r>
          </w:p>
        </w:tc>
        <w:tc>
          <w:tcPr>
            <w:tcW w:w="1876" w:type="dxa"/>
            <w:shd w:val="solid" w:color="FFFFFF" w:fill="auto"/>
            <w:vAlign w:val="center"/>
          </w:tcPr>
          <w:p w14:paraId="030F5572">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0391-2878039       13839109026</w:t>
            </w:r>
          </w:p>
        </w:tc>
        <w:tc>
          <w:tcPr>
            <w:tcW w:w="2325" w:type="dxa"/>
            <w:shd w:val="solid" w:color="FFFFFF" w:fill="auto"/>
            <w:vAlign w:val="center"/>
          </w:tcPr>
          <w:p w14:paraId="1972FF46">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焦作市民主南路88号</w:t>
            </w:r>
          </w:p>
        </w:tc>
      </w:tr>
      <w:tr w14:paraId="2EE8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507A11D">
            <w:pPr>
              <w:widowControl/>
              <w:shd w:val="clear"/>
              <w:tabs>
                <w:tab w:val="left" w:pos="0"/>
              </w:tabs>
              <w:spacing w:line="360" w:lineRule="auto"/>
              <w:rPr>
                <w:rFonts w:ascii="仿宋_GB2312" w:eastAsia="仿宋_GB2312"/>
              </w:rPr>
            </w:pPr>
            <w:r>
              <w:rPr>
                <w:rFonts w:hint="eastAsia" w:ascii="仿宋_GB2312" w:hAnsi="仿宋" w:eastAsia="仿宋_GB2312" w:cs="仿宋"/>
              </w:rPr>
              <w:t>中国银行股份有限公司焦作分行</w:t>
            </w:r>
          </w:p>
        </w:tc>
        <w:tc>
          <w:tcPr>
            <w:tcW w:w="1230" w:type="dxa"/>
            <w:shd w:val="solid" w:color="FFFFFF" w:fill="auto"/>
            <w:vAlign w:val="center"/>
          </w:tcPr>
          <w:p w14:paraId="1EF54E2E">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曹阳</w:t>
            </w:r>
          </w:p>
        </w:tc>
        <w:tc>
          <w:tcPr>
            <w:tcW w:w="1876" w:type="dxa"/>
            <w:shd w:val="solid" w:color="FFFFFF" w:fill="auto"/>
            <w:vAlign w:val="center"/>
          </w:tcPr>
          <w:p w14:paraId="2B41B42E">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0391-8825171  13839118160</w:t>
            </w:r>
          </w:p>
        </w:tc>
        <w:tc>
          <w:tcPr>
            <w:tcW w:w="2325" w:type="dxa"/>
            <w:shd w:val="solid" w:color="FFFFFF" w:fill="auto"/>
            <w:vAlign w:val="center"/>
          </w:tcPr>
          <w:p w14:paraId="5C5640F6">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焦作市丰收路159号</w:t>
            </w:r>
          </w:p>
        </w:tc>
      </w:tr>
      <w:tr w14:paraId="0009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F5241F">
            <w:pPr>
              <w:widowControl/>
              <w:shd w:val="clear"/>
              <w:tabs>
                <w:tab w:val="left" w:pos="0"/>
              </w:tabs>
              <w:spacing w:line="360" w:lineRule="auto"/>
              <w:rPr>
                <w:rFonts w:ascii="仿宋_GB2312" w:eastAsia="仿宋_GB2312"/>
              </w:rPr>
            </w:pPr>
            <w:r>
              <w:rPr>
                <w:rFonts w:hint="eastAsia" w:ascii="仿宋_GB2312" w:hAnsi="华文楷体" w:eastAsia="仿宋_GB2312" w:cs="华文楷体"/>
              </w:rPr>
              <w:t>中国建设银行股份有限公司焦作分行</w:t>
            </w:r>
          </w:p>
        </w:tc>
        <w:tc>
          <w:tcPr>
            <w:tcW w:w="1230" w:type="dxa"/>
            <w:shd w:val="clear" w:color="auto" w:fill="auto"/>
            <w:vAlign w:val="center"/>
          </w:tcPr>
          <w:p w14:paraId="05A0B0D5">
            <w:pPr>
              <w:widowControl/>
              <w:shd w:val="clear"/>
              <w:tabs>
                <w:tab w:val="left" w:pos="0"/>
              </w:tabs>
              <w:spacing w:line="360" w:lineRule="auto"/>
              <w:jc w:val="center"/>
              <w:rPr>
                <w:rFonts w:ascii="仿宋_GB2312" w:hAnsi="仿宋" w:eastAsia="仿宋_GB2312" w:cs="仿宋"/>
              </w:rPr>
            </w:pPr>
            <w:r>
              <w:rPr>
                <w:rFonts w:ascii="仿宋_GB2312" w:hAnsi="仿宋" w:eastAsia="仿宋_GB2312" w:cs="仿宋"/>
              </w:rPr>
              <w:t>李华莹</w:t>
            </w:r>
          </w:p>
        </w:tc>
        <w:tc>
          <w:tcPr>
            <w:tcW w:w="1876" w:type="dxa"/>
            <w:shd w:val="clear" w:color="auto" w:fill="auto"/>
            <w:vAlign w:val="center"/>
          </w:tcPr>
          <w:p w14:paraId="40FFE6D4">
            <w:pPr>
              <w:widowControl/>
              <w:shd w:val="clear"/>
              <w:tabs>
                <w:tab w:val="left" w:pos="0"/>
              </w:tabs>
              <w:spacing w:line="360" w:lineRule="auto"/>
              <w:jc w:val="center"/>
              <w:rPr>
                <w:rFonts w:ascii="仿宋_GB2312" w:hAnsi="仿宋" w:eastAsia="仿宋_GB2312" w:cs="仿宋"/>
              </w:rPr>
            </w:pPr>
            <w:r>
              <w:rPr>
                <w:rFonts w:ascii="仿宋_GB2312" w:hAnsi="仿宋" w:eastAsia="仿宋_GB2312" w:cs="仿宋"/>
              </w:rPr>
              <w:t>0391-3918471</w:t>
            </w:r>
          </w:p>
        </w:tc>
        <w:tc>
          <w:tcPr>
            <w:tcW w:w="2325" w:type="dxa"/>
            <w:shd w:val="solid" w:color="FFFFFF" w:fill="auto"/>
            <w:vAlign w:val="center"/>
          </w:tcPr>
          <w:p w14:paraId="50F9D993">
            <w:pPr>
              <w:widowControl/>
              <w:shd w:val="clear"/>
              <w:tabs>
                <w:tab w:val="left" w:pos="0"/>
              </w:tabs>
              <w:spacing w:line="360" w:lineRule="auto"/>
              <w:rPr>
                <w:rFonts w:ascii="仿宋_GB2312" w:hAnsi="仿宋" w:eastAsia="仿宋_GB2312" w:cs="仿宋"/>
              </w:rPr>
            </w:pPr>
            <w:r>
              <w:rPr>
                <w:rFonts w:ascii="仿宋_GB2312" w:hAnsi="仿宋" w:eastAsia="仿宋_GB2312" w:cs="仿宋"/>
              </w:rPr>
              <w:t>焦作市建设东路152号</w:t>
            </w:r>
          </w:p>
        </w:tc>
      </w:tr>
      <w:tr w14:paraId="452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0CC043C">
            <w:pPr>
              <w:widowControl/>
              <w:shd w:val="clear"/>
              <w:tabs>
                <w:tab w:val="left" w:pos="0"/>
              </w:tabs>
              <w:spacing w:line="360" w:lineRule="auto"/>
              <w:rPr>
                <w:rFonts w:ascii="仿宋_GB2312" w:eastAsia="仿宋_GB2312"/>
              </w:rPr>
            </w:pPr>
            <w:r>
              <w:rPr>
                <w:rFonts w:hint="eastAsia" w:ascii="仿宋_GB2312" w:eastAsia="仿宋_GB2312"/>
              </w:rPr>
              <w:t>中国邮政储蓄银行股份有限公司焦作市分行</w:t>
            </w:r>
          </w:p>
        </w:tc>
        <w:tc>
          <w:tcPr>
            <w:tcW w:w="1230" w:type="dxa"/>
            <w:shd w:val="solid" w:color="FFFFFF" w:fill="auto"/>
            <w:vAlign w:val="center"/>
          </w:tcPr>
          <w:p w14:paraId="797D77DF">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李天祥</w:t>
            </w:r>
          </w:p>
        </w:tc>
        <w:tc>
          <w:tcPr>
            <w:tcW w:w="1876" w:type="dxa"/>
            <w:shd w:val="solid" w:color="FFFFFF" w:fill="auto"/>
            <w:vAlign w:val="center"/>
          </w:tcPr>
          <w:p w14:paraId="07EBB707">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0391-2981968 13523359082</w:t>
            </w:r>
          </w:p>
        </w:tc>
        <w:tc>
          <w:tcPr>
            <w:tcW w:w="2325" w:type="dxa"/>
            <w:shd w:val="solid" w:color="FFFFFF" w:fill="auto"/>
            <w:vAlign w:val="center"/>
          </w:tcPr>
          <w:p w14:paraId="2636B4C2">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焦作市丰收中路2233号</w:t>
            </w:r>
          </w:p>
        </w:tc>
      </w:tr>
      <w:tr w14:paraId="2241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8B785C6">
            <w:pPr>
              <w:widowControl/>
              <w:shd w:val="clear"/>
              <w:tabs>
                <w:tab w:val="left" w:pos="0"/>
              </w:tabs>
              <w:spacing w:line="360" w:lineRule="auto"/>
              <w:rPr>
                <w:rFonts w:ascii="仿宋_GB2312" w:eastAsia="仿宋_GB2312"/>
              </w:rPr>
            </w:pPr>
            <w:r>
              <w:rPr>
                <w:rFonts w:hint="eastAsia" w:ascii="仿宋_GB2312" w:hAnsi="宋体" w:eastAsia="仿宋_GB2312"/>
              </w:rPr>
              <w:t>焦作中旅银行股份有限公司</w:t>
            </w:r>
          </w:p>
        </w:tc>
        <w:tc>
          <w:tcPr>
            <w:tcW w:w="1230" w:type="dxa"/>
            <w:shd w:val="solid" w:color="FFFFFF" w:fill="auto"/>
            <w:vAlign w:val="center"/>
          </w:tcPr>
          <w:p w14:paraId="49DD6123">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周建林</w:t>
            </w:r>
          </w:p>
        </w:tc>
        <w:tc>
          <w:tcPr>
            <w:tcW w:w="1876" w:type="dxa"/>
            <w:shd w:val="solid" w:color="FFFFFF" w:fill="auto"/>
            <w:vAlign w:val="center"/>
          </w:tcPr>
          <w:p w14:paraId="6DDFD7BD">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 xml:space="preserve">0391-2116963 15893053027 </w:t>
            </w:r>
          </w:p>
        </w:tc>
        <w:tc>
          <w:tcPr>
            <w:tcW w:w="2325" w:type="dxa"/>
            <w:shd w:val="solid" w:color="FFFFFF" w:fill="auto"/>
            <w:vAlign w:val="center"/>
          </w:tcPr>
          <w:p w14:paraId="0516EA8A">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焦作市山阳区迎宾路1号</w:t>
            </w:r>
          </w:p>
        </w:tc>
      </w:tr>
      <w:tr w14:paraId="6D68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DEC9824">
            <w:pPr>
              <w:widowControl/>
              <w:shd w:val="clear"/>
              <w:tabs>
                <w:tab w:val="left" w:pos="0"/>
              </w:tabs>
              <w:spacing w:line="360" w:lineRule="auto"/>
              <w:rPr>
                <w:rFonts w:ascii="仿宋_GB2312" w:eastAsia="仿宋_GB2312"/>
              </w:rPr>
            </w:pPr>
            <w:r>
              <w:rPr>
                <w:rFonts w:hint="eastAsia" w:ascii="仿宋_GB2312" w:eastAsia="仿宋_GB2312"/>
              </w:rPr>
              <w:t>中信银行股份有限公司焦作分行</w:t>
            </w:r>
          </w:p>
        </w:tc>
        <w:tc>
          <w:tcPr>
            <w:tcW w:w="1230" w:type="dxa"/>
            <w:shd w:val="clear" w:color="auto" w:fill="auto"/>
            <w:vAlign w:val="center"/>
          </w:tcPr>
          <w:p w14:paraId="7C8364FE">
            <w:pPr>
              <w:widowControl/>
              <w:shd w:val="clear"/>
              <w:tabs>
                <w:tab w:val="left" w:pos="0"/>
              </w:tabs>
              <w:spacing w:line="360" w:lineRule="auto"/>
              <w:jc w:val="center"/>
              <w:rPr>
                <w:rFonts w:ascii="仿宋_GB2312" w:hAnsi="宋体" w:eastAsia="仿宋_GB2312"/>
              </w:rPr>
            </w:pPr>
            <w:r>
              <w:rPr>
                <w:rFonts w:ascii="仿宋_GB2312" w:hAnsi="宋体" w:eastAsia="仿宋_GB2312"/>
              </w:rPr>
              <w:t>周江江</w:t>
            </w:r>
          </w:p>
        </w:tc>
        <w:tc>
          <w:tcPr>
            <w:tcW w:w="1876" w:type="dxa"/>
            <w:shd w:val="clear" w:color="auto" w:fill="auto"/>
            <w:vAlign w:val="center"/>
          </w:tcPr>
          <w:p w14:paraId="3C601FDE">
            <w:pPr>
              <w:widowControl/>
              <w:shd w:val="clear"/>
              <w:tabs>
                <w:tab w:val="left" w:pos="0"/>
              </w:tabs>
              <w:spacing w:line="360" w:lineRule="auto"/>
              <w:rPr>
                <w:rFonts w:ascii="仿宋_GB2312" w:hAnsi="宋体" w:eastAsia="仿宋_GB2312"/>
              </w:rPr>
            </w:pPr>
            <w:r>
              <w:rPr>
                <w:rFonts w:ascii="仿宋_GB2312" w:hAnsi="宋体" w:eastAsia="仿宋_GB2312"/>
              </w:rPr>
              <w:t>17639185001</w:t>
            </w:r>
          </w:p>
        </w:tc>
        <w:tc>
          <w:tcPr>
            <w:tcW w:w="2325" w:type="dxa"/>
            <w:shd w:val="solid" w:color="FFFFFF" w:fill="auto"/>
            <w:vAlign w:val="center"/>
          </w:tcPr>
          <w:p w14:paraId="0B0E95CA">
            <w:pPr>
              <w:widowControl/>
              <w:shd w:val="clear"/>
              <w:tabs>
                <w:tab w:val="left" w:pos="0"/>
              </w:tabs>
              <w:spacing w:line="360" w:lineRule="auto"/>
              <w:rPr>
                <w:rFonts w:ascii="仿宋_GB2312" w:hAnsi="宋体" w:eastAsia="仿宋_GB2312"/>
              </w:rPr>
            </w:pPr>
            <w:r>
              <w:rPr>
                <w:rFonts w:ascii="仿宋_GB2312" w:hAnsi="宋体" w:eastAsia="仿宋_GB2312"/>
              </w:rPr>
              <w:t>焦作市塔南路1736号嘉隆国际中心</w:t>
            </w:r>
          </w:p>
        </w:tc>
      </w:tr>
      <w:tr w14:paraId="05FA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E984464">
            <w:pPr>
              <w:widowControl/>
              <w:shd w:val="clear"/>
              <w:tabs>
                <w:tab w:val="left" w:pos="0"/>
              </w:tabs>
              <w:spacing w:line="360" w:lineRule="auto"/>
              <w:rPr>
                <w:rFonts w:ascii="仿宋_GB2312" w:eastAsia="仿宋_GB2312"/>
              </w:rPr>
            </w:pPr>
            <w:r>
              <w:rPr>
                <w:rFonts w:hint="eastAsia" w:ascii="仿宋_GB2312" w:hAnsi="仿宋_GB2312" w:eastAsia="仿宋_GB2312" w:cs="仿宋_GB2312"/>
                <w:bCs/>
              </w:rPr>
              <w:t>中国光大银行股份有限公司焦作分行</w:t>
            </w:r>
          </w:p>
        </w:tc>
        <w:tc>
          <w:tcPr>
            <w:tcW w:w="1230" w:type="dxa"/>
            <w:shd w:val="solid" w:color="FFFFFF" w:fill="auto"/>
            <w:vAlign w:val="center"/>
          </w:tcPr>
          <w:p w14:paraId="6ECA61FA">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王海宾</w:t>
            </w:r>
          </w:p>
        </w:tc>
        <w:tc>
          <w:tcPr>
            <w:tcW w:w="1876" w:type="dxa"/>
            <w:shd w:val="solid" w:color="FFFFFF" w:fill="auto"/>
            <w:vAlign w:val="center"/>
          </w:tcPr>
          <w:p w14:paraId="232FEF18">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0391-8787996 13598534626</w:t>
            </w:r>
          </w:p>
        </w:tc>
        <w:tc>
          <w:tcPr>
            <w:tcW w:w="2325" w:type="dxa"/>
            <w:shd w:val="solid" w:color="FFFFFF" w:fill="auto"/>
            <w:vAlign w:val="center"/>
          </w:tcPr>
          <w:p w14:paraId="49237ECB">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w:t>
            </w:r>
          </w:p>
        </w:tc>
      </w:tr>
      <w:tr w14:paraId="0911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BA0411F">
            <w:pPr>
              <w:widowControl/>
              <w:shd w:val="clear"/>
              <w:tabs>
                <w:tab w:val="left" w:pos="0"/>
              </w:tabs>
              <w:spacing w:line="360" w:lineRule="auto"/>
              <w:rPr>
                <w:rFonts w:ascii="仿宋_GB2312" w:eastAsia="仿宋_GB2312"/>
              </w:rPr>
            </w:pPr>
            <w:r>
              <w:rPr>
                <w:rFonts w:hint="eastAsia" w:ascii="仿宋_GB2312" w:eastAsia="仿宋_GB2312"/>
              </w:rPr>
              <w:t>中原银行股份有限公司焦作分行</w:t>
            </w:r>
          </w:p>
        </w:tc>
        <w:tc>
          <w:tcPr>
            <w:tcW w:w="1230" w:type="dxa"/>
            <w:shd w:val="solid" w:color="FFFFFF" w:fill="auto"/>
            <w:vAlign w:val="center"/>
          </w:tcPr>
          <w:p w14:paraId="20E8B650">
            <w:pPr>
              <w:shd w:val="solid" w:color="FFFFFF"/>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赵伟</w:t>
            </w:r>
          </w:p>
        </w:tc>
        <w:tc>
          <w:tcPr>
            <w:tcW w:w="1876" w:type="dxa"/>
            <w:shd w:val="solid" w:color="FFFFFF" w:fill="auto"/>
            <w:vAlign w:val="center"/>
          </w:tcPr>
          <w:p w14:paraId="47B151DD">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0391-8796520 15738533033</w:t>
            </w:r>
          </w:p>
        </w:tc>
        <w:tc>
          <w:tcPr>
            <w:tcW w:w="2325" w:type="dxa"/>
            <w:shd w:val="solid" w:color="FFFFFF" w:fill="auto"/>
            <w:vAlign w:val="center"/>
          </w:tcPr>
          <w:p w14:paraId="516E9C64">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焦作市解放区人民路479号</w:t>
            </w:r>
          </w:p>
        </w:tc>
      </w:tr>
      <w:tr w14:paraId="158E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7ADF6D7">
            <w:pPr>
              <w:widowControl/>
              <w:shd w:val="clear"/>
              <w:tabs>
                <w:tab w:val="left" w:pos="0"/>
              </w:tabs>
              <w:spacing w:line="360" w:lineRule="auto"/>
              <w:rPr>
                <w:rFonts w:ascii="仿宋_GB2312" w:eastAsia="仿宋_GB2312"/>
              </w:rPr>
            </w:pPr>
            <w:r>
              <w:rPr>
                <w:rFonts w:hint="eastAsia" w:ascii="仿宋_GB2312" w:eastAsia="仿宋_GB2312"/>
              </w:rPr>
              <w:t>广发银行股份有限公司焦作分行</w:t>
            </w:r>
          </w:p>
        </w:tc>
        <w:tc>
          <w:tcPr>
            <w:tcW w:w="1230" w:type="dxa"/>
            <w:shd w:val="solid" w:color="FFFFFF" w:fill="auto"/>
            <w:vAlign w:val="center"/>
          </w:tcPr>
          <w:p w14:paraId="0F01BB63">
            <w:pPr>
              <w:shd w:val="solid" w:color="FFFFFF"/>
              <w:autoSpaceDN w:val="0"/>
              <w:spacing w:line="360" w:lineRule="auto"/>
              <w:jc w:val="center"/>
              <w:textAlignment w:val="center"/>
              <w:rPr>
                <w:rFonts w:ascii="仿宋_GB2312" w:hAnsi="仿宋" w:eastAsia="仿宋_GB2312"/>
              </w:rPr>
            </w:pPr>
            <w:r>
              <w:rPr>
                <w:rFonts w:ascii="仿宋_GB2312" w:hAnsi="仿宋_GB2312" w:eastAsia="仿宋_GB2312"/>
                <w:shd w:val="clear" w:color="auto" w:fill="FFFFFF"/>
              </w:rPr>
              <w:t>张嘉强</w:t>
            </w:r>
          </w:p>
        </w:tc>
        <w:tc>
          <w:tcPr>
            <w:tcW w:w="1876" w:type="dxa"/>
            <w:shd w:val="solid" w:color="FFFFFF" w:fill="auto"/>
            <w:vAlign w:val="center"/>
          </w:tcPr>
          <w:p w14:paraId="4D3EF08D">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0391-653785 13203910032</w:t>
            </w:r>
          </w:p>
        </w:tc>
        <w:tc>
          <w:tcPr>
            <w:tcW w:w="2325" w:type="dxa"/>
            <w:shd w:val="solid" w:color="FFFFFF" w:fill="auto"/>
            <w:vAlign w:val="center"/>
          </w:tcPr>
          <w:p w14:paraId="2064CF1D">
            <w:pPr>
              <w:shd w:val="solid" w:color="FFFFFF"/>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焦作市塔南路1736号嘉隆金融中心</w:t>
            </w:r>
          </w:p>
        </w:tc>
      </w:tr>
    </w:tbl>
    <w:p w14:paraId="1CC08747">
      <w:pPr>
        <w:widowControl/>
        <w:shd w:val="clear"/>
        <w:tabs>
          <w:tab w:val="left" w:pos="0"/>
        </w:tabs>
        <w:spacing w:line="360" w:lineRule="auto"/>
        <w:ind w:firstLine="420" w:firstLineChars="200"/>
        <w:rPr>
          <w:rFonts w:ascii="仿宋_GB2312" w:eastAsia="仿宋_GB2312"/>
        </w:rPr>
      </w:pPr>
      <w:r>
        <w:rPr>
          <w:rFonts w:hint="eastAsia" w:ascii="仿宋_GB2312" w:eastAsia="仿宋_GB2312"/>
        </w:rPr>
        <w:t>备注：融资服务机构名单和人员联系方式会随时变化。具体情况可登录“焦作市政府采购网”政府采购合同融资平台查询。</w:t>
      </w:r>
    </w:p>
    <w:p w14:paraId="4E1834AA">
      <w:pPr>
        <w:spacing w:line="360" w:lineRule="auto"/>
        <w:rPr>
          <w:rFonts w:ascii="宋体" w:hAnsi="宋体" w:cs="宋体"/>
          <w:sz w:val="24"/>
        </w:rPr>
      </w:pPr>
    </w:p>
    <w:p w14:paraId="228E0CAD"/>
    <w:sectPr>
      <w:footerReference r:id="rId12" w:type="default"/>
      <w:endnotePr>
        <w:numFmt w:val="decimal"/>
      </w:endnotePr>
      <w:pgSz w:w="11905" w:h="16837"/>
      <w:pgMar w:top="1417" w:right="1417" w:bottom="1417" w:left="1417" w:header="851" w:footer="73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BB2F">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25DBE21">
                          <w:pPr>
                            <w:pStyle w:val="17"/>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HIKgoCAAAU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y44s8LQix9//Tz+/nv8&#10;84ORjwTqnM8p785RZuivoae1SWS9uwX5zTMLN42wW3WFCF2jREUDzmJl9qh0wPERpOw+QEWNxC5A&#10;AuprNFE90oMROj3O4fw4qg9MxpaL+WIxpZCk2HiJPUQ+ljv04Z0Cw6JRcKTXT/Bif+vDkDqmxG4W&#10;NrptyS/y1v7jIMzBo9IKnaojmTj/wCT0ZU+10VlCdSBaCMN60eciowH8zllHq1VwSz+Js/a9JWHi&#10;Fo4GjkY5GsJKKix44Gwwb8KwrTuHetsQ7ij9FYm30YnWwwwnyWlZkjCnxY7b+Piesh4+8+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ThyCoKAgAAFAQAAA4AAAAAAAAAAQAgAAAAHgEAAGRy&#10;cy9lMm9Eb2MueG1sUEsFBgAAAAAGAAYAWQEAAJoFAAAAAA==&#10;">
              <v:fill on="f" focussize="0,0"/>
              <v:stroke on="f"/>
              <v:imagedata o:title=""/>
              <o:lock v:ext="edit" aspectratio="f"/>
              <v:textbox inset="0mm,0mm,0mm,0mm" style="mso-fit-shape-to-text:t;">
                <w:txbxContent>
                  <w:p w14:paraId="025DBE21">
                    <w:pPr>
                      <w:pStyle w:val="17"/>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82F13CF">
                          <w:pPr>
                            <w:pStyle w:val="17"/>
                          </w:pPr>
                        </w:p>
                        <w:p w14:paraId="44991F0C">
                          <w:pPr>
                            <w:pStyle w:val="1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MYHQoCAAAU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685s8LQi59+/zr9uT39&#10;/cnIRwK1zueUd+MoM3TvoKO1SWS9uwb53TMLV7WwO3WJCG2tREkDzmJldq+0x/ERZNt+hJIaiX2A&#10;BNRVaKJ6pAcjdHqc4/lxVBeYjC0X88ViSiFJsfESe4h8LHfow3sFhkWj4Eivn+DF4dqHPnVMid0s&#10;bHTTkF/kjf3PQZi9R6UVGqojmTh/zyR0245qo3ML5ZFoIfTrRZ+LjBrwB2ctrVbBLf0kzpoPloSJ&#10;WzgaOBrb0RBWUmHBA2e9eRX6bd071LuacEfpL0m8jU607mYYJKdlScIMix238f49Zd195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ChTGB0KAgAAFAQAAA4AAAAAAAAAAQAgAAAAHgEAAGRy&#10;cy9lMm9Eb2MueG1sUEsFBgAAAAAGAAYAWQEAAJoFAAAAAA==&#10;">
              <v:fill on="f" focussize="0,0"/>
              <v:stroke on="f"/>
              <v:imagedata o:title=""/>
              <o:lock v:ext="edit" aspectratio="f"/>
              <v:textbox inset="0mm,0mm,0mm,0mm" style="mso-fit-shape-to-text:t;">
                <w:txbxContent>
                  <w:p w14:paraId="082F13CF">
                    <w:pPr>
                      <w:pStyle w:val="17"/>
                    </w:pPr>
                  </w:p>
                  <w:p w14:paraId="44991F0C">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7580">
    <w:pPr>
      <w:pStyle w:val="17"/>
      <w:jc w:val="both"/>
      <w:rPr>
        <w:rFonts w:ascii="宋体" w:hAnsi="宋体"/>
        <w:sz w:val="24"/>
        <w:szCs w:val="24"/>
      </w:rPr>
    </w:pPr>
  </w:p>
  <w:p w14:paraId="53435AD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2113505197"/>
      <w:docPartObj>
        <w:docPartGallery w:val="autotext"/>
      </w:docPartObj>
    </w:sdtPr>
    <w:sdtEndPr>
      <w:rPr>
        <w:rFonts w:hint="default" w:ascii="Times New Roman" w:hAnsi="Times New Roman" w:cs="Times New Roman"/>
      </w:rPr>
    </w:sdtEndPr>
    <w:sdtContent>
      <w:p w14:paraId="6717F2BA">
        <w:pPr>
          <w:pStyle w:val="17"/>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46</w:t>
        </w:r>
        <w:r>
          <w:rPr>
            <w:rFonts w:hint="default" w:ascii="Times New Roman" w:hAnsi="Times New Roman" w:cs="Times New Roman"/>
            <w:lang w:val="zh-CN"/>
          </w:rPr>
          <w:fldChar w:fldCharType="end"/>
        </w:r>
      </w:p>
    </w:sdtContent>
  </w:sdt>
  <w:p w14:paraId="6902F84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FF0F">
    <w:pPr>
      <w:pStyle w:val="17"/>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posOffset>2815590</wp:posOffset>
              </wp:positionH>
              <wp:positionV relativeFrom="paragraph">
                <wp:posOffset>47625</wp:posOffset>
              </wp:positionV>
              <wp:extent cx="57785" cy="13144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B614655">
                          <w:pPr>
                            <w:pStyle w:val="1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1.7pt;margin-top:3.75pt;height:10.35pt;width:4.55pt;mso-position-horizontal-relative:margin;mso-wrap-style:none;z-index:251663360;mso-width-relative:page;mso-height-relative:page;" filled="f" stroked="f" coordsize="21600,21600" o:gfxdata="UEsDBAoAAAAAAIdO4kAAAAAAAAAAAAAAAAAEAAAAZHJzL1BLAwQUAAAACACHTuJAjnGoQdUAAAAI&#10;AQAADwAAAGRycy9kb3ducmV2LnhtbE2PwU7DMAyG70i8Q+RJ3Fi60kFVmu4wiQs3BprELWu8plri&#10;VE3WtW+POcHN1v/r8+d6N3snJhxjH0jBZp2BQGqD6alT8PX59liCiEmT0S4QKlgwwq65v6t1ZcKN&#10;PnA6pE4whGKlFdiUhkrK2Fr0Oq7DgMTZOYxeJ17HTppR3xjuncyz7Fl63RNfsHrAvcX2crh6BS/z&#10;MeAQcY/f56kdbb+U7n1R6mG1yV5BJJzTXxl+9VkdGnY6hSuZKJyCongquMqwLQjOi23Ow0lBXuYg&#10;m1r+f6D5AVBLAwQUAAAACACHTuJAMVqFbBACAAARBAAADgAAAGRycy9lMm9Eb2MueG1srVPNbtsw&#10;DL4P2DsIui9OumQtjDhF1yDDgO4H6PoAiizHwmxRoJTY2QNsb7BTL7vvufIco6Q47bpLD7sIFEV+&#10;5PeRml/2bcN2Cp0GU/DJaMyZMhJKbTYFv/uyenXBmfPClKIBowq+V45fLl6+mHc2V2dQQ1MqZARi&#10;XN7Zgtfe2zzLnKxVK9wIrDL0WAG2wtMVN1mJoiP0tsnOxuM3WQdYWgSpnCPvMj3yIyI+BxCqSku1&#10;BLltlfEJFVUjPFFytbaOL2K3VaWk/1RVTnnWFJyY+nhSEbLX4cwWc5FvUNhay2ML4jktPOHUCm2o&#10;6AlqKbxgW9T/QLVaIjio/EhCmyUiURFiMRk/0ea2FlZFLiS1syfR3f+DlR93n5HpsuDTCWdGtDTx&#10;w88fh/vfh1/fGflIoM66nOJuLUX6/i30tDaRrLM3IL86ZuC6FmajrhChq5UoqcGYmT1KTTgugKy7&#10;D1BSIbH1EIH6CtugHunBCJ2Gsz8NR/WeSXLOzs8vZpxJepm8nkyns9BaJvIh16Lz7xS0LBgFRxp9&#10;xBa7G+dT6BASShlY6aaJ42/MXw7CTB4V9+eYHZiE5hMN36/7ozJrKPfECSHtFv0sMmrAb5x1tFcF&#10;N/SNOGveG1IlrOBg4GCsB0MYSYkF95wl89qnVd1a1JuacAfdr0i5lY60QmOpB5IjXGhTojDHrQ6r&#10;+Pgeox5+8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nGoQdUAAAAIAQAADwAAAAAAAAABACAA&#10;AAAiAAAAZHJzL2Rvd25yZXYueG1sUEsBAhQAFAAAAAgAh07iQDFahWwQAgAAEQQAAA4AAAAAAAAA&#10;AQAgAAAAJAEAAGRycy9lMm9Eb2MueG1sUEsFBgAAAAAGAAYAWQEAAKYFAAAAAA==&#10;">
              <v:fill on="f" focussize="0,0"/>
              <v:stroke on="f"/>
              <v:imagedata o:title=""/>
              <o:lock v:ext="edit" aspectratio="f"/>
              <v:textbox inset="0mm,0mm,0mm,0mm" style="mso-fit-shape-to-text:t;">
                <w:txbxContent>
                  <w:p w14:paraId="2B614655">
                    <w:pPr>
                      <w:pStyle w:val="1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txbxContent>
              </v:textbox>
            </v:shape>
          </w:pict>
        </mc:Fallback>
      </mc:AlternateContent>
    </w:r>
  </w:p>
  <w:p w14:paraId="3B0E5559">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EAE3">
    <w:pPr>
      <w:pStyle w:val="17"/>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7761145">
                          <w:pPr>
                            <w:pStyle w:val="1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Xo8WMQAgAAEQQAAA4AAABkcnMvZTJvRG9jLnhtbK1TS27bMBDdF+gd&#10;CO5r2UncBILlII3hokD6AdIegKYoi6jIIYa0JfcA7Q266qb7nsvn6JCS3DTdZNGNMBrOvJn3+Li4&#10;7kzD9gq9Blvw2WTKmbISSm23Bf/0cf3iijMfhC1FA1YV/KA8v14+f7ZoXa7OoIamVMgIxPq8dQWv&#10;Q3B5lnlZKyP8BJyydFgBGhHoF7dZiaIldNNkZ9Ppy6wFLB2CVN5TdtUf8gERnwIIVaWlWoHcGWVD&#10;j4qqEYEo+Vo7z5dp26pSMryvKq8CawpOTEP60hCKN/GbLRci36JwtZbDCuIpKzziZIS2NPQEtRJB&#10;sB3qf6CMlggeqjCRYLKeSFKEWMymj7S5r4VTiQtJ7d1JdP//YOW7/Qdkuiz4OUlihaEbP37/dvzx&#10;6/jzK6McCdQ6n1PdvaPK0L2CjmyTyHp3B/KzZxZua2G36gYR2lqJkhacxc7sQWuP4yPIpn0LJQ0S&#10;uwAJqKvQRPVID0botMnhdDmqC0xScn55eTXnTNLJ7Hx2cTFPA0Q+9jr04bUCw2JQcKSrT9hif+dD&#10;3EXkY0kcZWGtmyZdf2P/SlBhn1HJP0N3ZBKX72mEbtMNymygPBAnhN5b9LIoqAG/cNaSrwpu6Rlx&#10;1ryxpEq04BjgGGzGQFhJjQUPnPXhbeitunOotzXhjrrfkHJrnWjFxfodBr3JKYnt4OpoxYf/qerP&#10;S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Bl6PFjEAIAABEEAAAOAAAAAAAAAAEAIAAA&#10;AB8BAABkcnMvZTJvRG9jLnhtbFBLBQYAAAAABgAGAFkBAAChBQAAAAA=&#10;">
              <v:fill on="f" focussize="0,0"/>
              <v:stroke on="f"/>
              <v:imagedata o:title=""/>
              <o:lock v:ext="edit" aspectratio="f"/>
              <v:textbox inset="0mm,0mm,0mm,0mm" style="mso-fit-shape-to-text:t;">
                <w:txbxContent>
                  <w:p w14:paraId="27761145">
                    <w:pPr>
                      <w:pStyle w:val="1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p>
                </w:txbxContent>
              </v:textbox>
            </v:shape>
          </w:pict>
        </mc:Fallback>
      </mc:AlternateContent>
    </w:r>
  </w:p>
  <w:p w14:paraId="27FE770D">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E5A9">
    <w:pPr>
      <w:pStyle w:val="17"/>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DADD8C9">
                          <w:pPr>
                            <w:pStyle w:val="17"/>
                          </w:pPr>
                          <w:r>
                            <w:rPr>
                              <w:rFonts w:hint="eastAsia"/>
                            </w:rPr>
                            <w:t>—</w:t>
                          </w:r>
                          <w:r>
                            <w:fldChar w:fldCharType="begin"/>
                          </w:r>
                          <w:r>
                            <w:instrText xml:space="preserve"> PAGE  \* MERGEFORMAT </w:instrText>
                          </w:r>
                          <w:r>
                            <w:fldChar w:fldCharType="separate"/>
                          </w:r>
                          <w:r>
                            <w:rPr>
                              <w:rFonts w:hint="eastAsia"/>
                            </w:rPr>
                            <w:t>- 1 -</w:t>
                          </w:r>
                          <w:r>
                            <w:rPr>
                              <w:rFonts w:hint="eastAsia"/>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msOwoCAAAUBAAADgAAAGRycy9lMm9Eb2MueG1srVPNjtMwEL4j8Q6W&#10;7zRtkVAVNV0tWxUhLT/SwgO4jpNYxB5r7DYpDwBvwIkLd56rz8HYSbrLctkDF2s8nvlmvm/G66ve&#10;tOyo0GuwBV/M5pwpK6HUti7450+7FyvOfBC2FC1YVfCT8vxq8/zZunO5WkIDbamQEYj1eecK3oTg&#10;8izzslFG+Bk4ZemxAjQi0BXrrETREbpps+V8/irrAEuHIJX35N0Oj3xExKcAQlVpqbYgD0bZMKCi&#10;akUgSr7RzvNN6raqlAwfqsqrwNqCE9OQTipC9j6e2WYt8hqFa7QcWxBPaeERJyO0paIXqK0Igh1Q&#10;/wNltETwUIWZBJMNRJIixGIxf6TNXSOcSlxIau8uovv/ByvfHz8i02XBX9LcrTA08fOP7+efv8+/&#10;vjHykUCd8znF3TmKDP1r6GltElnvbkF+8czCTSNsra4RoWuUKKnBRczMHqQOOD6C7Lt3UFIhcQiQ&#10;gPoKTVSP9GCETsM5XYaj+sBkLLlarlZzepL0Nl1iDZFP6Q59eKPAsGgUHGn6CV4cb30YQqeQWM3C&#10;Trct+UXe2r8chDl4VFqhMTuSif0PTEK/7yk3OvdQnogWwrBe9LnIaAC/ctbRahXc0k/irH1rSZi4&#10;hZOBk7GfDGElJRY8cDaYN2HY1oNDXTeEO0l/TeLtdKJ138MoOS1LEmZc7LiND+8p6v4z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IqJrDsKAgAAFAQAAA4AAAAAAAAAAQAgAAAAHgEAAGRy&#10;cy9lMm9Eb2MueG1sUEsFBgAAAAAGAAYAWQEAAJoFAAAAAA==&#10;">
              <v:fill on="f" focussize="0,0"/>
              <v:stroke on="f"/>
              <v:imagedata o:title=""/>
              <o:lock v:ext="edit" aspectratio="f"/>
              <v:textbox inset="0mm,0mm,0mm,0mm" style="mso-fit-shape-to-text:t;">
                <w:txbxContent>
                  <w:p w14:paraId="5DADD8C9">
                    <w:pPr>
                      <w:pStyle w:val="17"/>
                    </w:pPr>
                    <w:r>
                      <w:rPr>
                        <w:rFonts w:hint="eastAsia"/>
                      </w:rPr>
                      <w:t>—</w:t>
                    </w:r>
                    <w:r>
                      <w:fldChar w:fldCharType="begin"/>
                    </w:r>
                    <w:r>
                      <w:instrText xml:space="preserve"> PAGE  \* MERGEFORMAT </w:instrText>
                    </w:r>
                    <w:r>
                      <w:fldChar w:fldCharType="separate"/>
                    </w:r>
                    <w:r>
                      <w:rPr>
                        <w:rFonts w:hint="eastAsia"/>
                      </w:rPr>
                      <w:t>- 1 -</w:t>
                    </w:r>
                    <w:r>
                      <w:rPr>
                        <w:rFonts w:hint="eastAsia"/>
                      </w:rP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2989">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DBAC">
    <w:pPr>
      <w:pStyle w:val="18"/>
      <w:pBdr>
        <w:bottom w:val="none" w:color="auto" w:sz="0" w:space="1"/>
      </w:pBdr>
      <w:tabs>
        <w:tab w:val="left" w:pos="5115"/>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919B">
    <w:pPr>
      <w:pStyle w:val="18"/>
      <w:pBdr>
        <w:bottom w:val="none" w:color="auto" w:sz="0" w:space="1"/>
      </w:pBdr>
      <w:tabs>
        <w:tab w:val="left" w:pos="5115"/>
      </w:tabs>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7E8C">
    <w:pPr>
      <w:pStyle w:val="18"/>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E0F30A83"/>
    <w:multiLevelType w:val="singleLevel"/>
    <w:tmpl w:val="E0F30A83"/>
    <w:lvl w:ilvl="0" w:tentative="0">
      <w:start w:val="1"/>
      <w:numFmt w:val="decimal"/>
      <w:suff w:val="space"/>
      <w:lvlText w:val="%1."/>
      <w:lvlJc w:val="left"/>
      <w:pPr>
        <w:ind w:left="150"/>
      </w:pPr>
      <w:rPr>
        <w:rFonts w:hint="default"/>
        <w:i w:val="0"/>
        <w:iCs w:val="0"/>
        <w:color w:val="000000"/>
      </w:rPr>
    </w:lvl>
  </w:abstractNum>
  <w:abstractNum w:abstractNumId="2">
    <w:nsid w:val="0CD3C423"/>
    <w:multiLevelType w:val="singleLevel"/>
    <w:tmpl w:val="0CD3C423"/>
    <w:lvl w:ilvl="0" w:tentative="0">
      <w:start w:val="1"/>
      <w:numFmt w:val="decimal"/>
      <w:suff w:val="space"/>
      <w:lvlText w:val="%1."/>
      <w:lvlJc w:val="left"/>
    </w:lvl>
  </w:abstractNum>
  <w:abstractNum w:abstractNumId="3">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2ACB6D2C"/>
    <w:multiLevelType w:val="singleLevel"/>
    <w:tmpl w:val="2ACB6D2C"/>
    <w:lvl w:ilvl="0" w:tentative="0">
      <w:start w:val="3"/>
      <w:numFmt w:val="chineseCounting"/>
      <w:suff w:val="space"/>
      <w:lvlText w:val="（%1）"/>
      <w:lvlJc w:val="left"/>
      <w:rPr>
        <w:rFonts w:hint="eastAsia"/>
      </w:rPr>
    </w:lvl>
  </w:abstractNum>
  <w:abstractNum w:abstractNumId="5">
    <w:nsid w:val="3C97B317"/>
    <w:multiLevelType w:val="singleLevel"/>
    <w:tmpl w:val="3C97B317"/>
    <w:lvl w:ilvl="0" w:tentative="0">
      <w:start w:val="6"/>
      <w:numFmt w:val="chineseCounting"/>
      <w:suff w:val="space"/>
      <w:lvlText w:val="第%1部分"/>
      <w:lvlJc w:val="left"/>
      <w:rPr>
        <w:rFonts w:hint="eastAsia"/>
      </w:rPr>
    </w:lvl>
  </w:abstractNum>
  <w:abstractNum w:abstractNumId="6">
    <w:nsid w:val="6261BF8E"/>
    <w:multiLevelType w:val="singleLevel"/>
    <w:tmpl w:val="6261BF8E"/>
    <w:lvl w:ilvl="0" w:tentative="0">
      <w:start w:val="7"/>
      <w:numFmt w:val="decimal"/>
      <w:suff w:val="space"/>
      <w:lvlText w:val="%1."/>
      <w:lvlJc w:val="left"/>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OGUyMGRlMzM3OTNmY2NjNDVhYTNhNzYzNGVkMDgifQ=="/>
    <w:docVar w:name="KSO_WPS_MARK_KEY" w:val="7a6ebe51-2853-47b3-976c-cb6369a4790b"/>
  </w:docVars>
  <w:rsids>
    <w:rsidRoot w:val="001A43AD"/>
    <w:rsid w:val="000263F3"/>
    <w:rsid w:val="00041329"/>
    <w:rsid w:val="00060AD5"/>
    <w:rsid w:val="000615DF"/>
    <w:rsid w:val="00063F60"/>
    <w:rsid w:val="000C7084"/>
    <w:rsid w:val="000D386E"/>
    <w:rsid w:val="000D40FA"/>
    <w:rsid w:val="000D7FD2"/>
    <w:rsid w:val="000E2652"/>
    <w:rsid w:val="000E41AD"/>
    <w:rsid w:val="000F1592"/>
    <w:rsid w:val="001076A1"/>
    <w:rsid w:val="00157215"/>
    <w:rsid w:val="00186E08"/>
    <w:rsid w:val="001A43AD"/>
    <w:rsid w:val="001B6405"/>
    <w:rsid w:val="001C698E"/>
    <w:rsid w:val="00260118"/>
    <w:rsid w:val="00270BE1"/>
    <w:rsid w:val="00272DBE"/>
    <w:rsid w:val="002832F3"/>
    <w:rsid w:val="00290E71"/>
    <w:rsid w:val="002E3984"/>
    <w:rsid w:val="002F565F"/>
    <w:rsid w:val="0030193E"/>
    <w:rsid w:val="00320724"/>
    <w:rsid w:val="00336046"/>
    <w:rsid w:val="00354256"/>
    <w:rsid w:val="00390335"/>
    <w:rsid w:val="00393CB6"/>
    <w:rsid w:val="003A18ED"/>
    <w:rsid w:val="003B112A"/>
    <w:rsid w:val="003B24FC"/>
    <w:rsid w:val="003C1119"/>
    <w:rsid w:val="003E3F31"/>
    <w:rsid w:val="0042569D"/>
    <w:rsid w:val="0042605D"/>
    <w:rsid w:val="00441392"/>
    <w:rsid w:val="00462F9A"/>
    <w:rsid w:val="004A313C"/>
    <w:rsid w:val="004D7C61"/>
    <w:rsid w:val="005200DB"/>
    <w:rsid w:val="00533224"/>
    <w:rsid w:val="00537F96"/>
    <w:rsid w:val="00540517"/>
    <w:rsid w:val="00576023"/>
    <w:rsid w:val="005C44EC"/>
    <w:rsid w:val="0061625C"/>
    <w:rsid w:val="0065393D"/>
    <w:rsid w:val="006560DB"/>
    <w:rsid w:val="006B25F3"/>
    <w:rsid w:val="006B6FCC"/>
    <w:rsid w:val="006C3EF3"/>
    <w:rsid w:val="006D4C6F"/>
    <w:rsid w:val="006E13A5"/>
    <w:rsid w:val="006F3B71"/>
    <w:rsid w:val="00787C99"/>
    <w:rsid w:val="007A797C"/>
    <w:rsid w:val="007B7463"/>
    <w:rsid w:val="007C2B87"/>
    <w:rsid w:val="007F15B4"/>
    <w:rsid w:val="008133E6"/>
    <w:rsid w:val="0082346C"/>
    <w:rsid w:val="00824196"/>
    <w:rsid w:val="0085067B"/>
    <w:rsid w:val="008772C9"/>
    <w:rsid w:val="00892E4B"/>
    <w:rsid w:val="008A6D75"/>
    <w:rsid w:val="008B1588"/>
    <w:rsid w:val="008D7B0F"/>
    <w:rsid w:val="008F0FA3"/>
    <w:rsid w:val="009130F9"/>
    <w:rsid w:val="009233B7"/>
    <w:rsid w:val="00923501"/>
    <w:rsid w:val="009441D1"/>
    <w:rsid w:val="00994456"/>
    <w:rsid w:val="009B7C25"/>
    <w:rsid w:val="009D4DFD"/>
    <w:rsid w:val="009E5890"/>
    <w:rsid w:val="00A21D63"/>
    <w:rsid w:val="00A25090"/>
    <w:rsid w:val="00A43F4B"/>
    <w:rsid w:val="00A94A11"/>
    <w:rsid w:val="00AB17B2"/>
    <w:rsid w:val="00AB57FF"/>
    <w:rsid w:val="00AB64F6"/>
    <w:rsid w:val="00AD0151"/>
    <w:rsid w:val="00AD34D4"/>
    <w:rsid w:val="00AE5B02"/>
    <w:rsid w:val="00B0172A"/>
    <w:rsid w:val="00B07B78"/>
    <w:rsid w:val="00B44D6B"/>
    <w:rsid w:val="00B833EE"/>
    <w:rsid w:val="00B901CD"/>
    <w:rsid w:val="00B91ADC"/>
    <w:rsid w:val="00B92042"/>
    <w:rsid w:val="00BB25C8"/>
    <w:rsid w:val="00BD4312"/>
    <w:rsid w:val="00BE0E27"/>
    <w:rsid w:val="00BE39DA"/>
    <w:rsid w:val="00C11793"/>
    <w:rsid w:val="00C2759E"/>
    <w:rsid w:val="00C526EB"/>
    <w:rsid w:val="00C671FD"/>
    <w:rsid w:val="00C74142"/>
    <w:rsid w:val="00C81425"/>
    <w:rsid w:val="00C84FA1"/>
    <w:rsid w:val="00C96D4D"/>
    <w:rsid w:val="00C97F65"/>
    <w:rsid w:val="00CA6B1F"/>
    <w:rsid w:val="00CD5FBD"/>
    <w:rsid w:val="00CD6E01"/>
    <w:rsid w:val="00CE7F29"/>
    <w:rsid w:val="00D0635F"/>
    <w:rsid w:val="00D209DC"/>
    <w:rsid w:val="00D41095"/>
    <w:rsid w:val="00D45E36"/>
    <w:rsid w:val="00D901C4"/>
    <w:rsid w:val="00D95D03"/>
    <w:rsid w:val="00DA5605"/>
    <w:rsid w:val="00DC02B1"/>
    <w:rsid w:val="00DC7843"/>
    <w:rsid w:val="00DE176C"/>
    <w:rsid w:val="00DE42B3"/>
    <w:rsid w:val="00DF02EB"/>
    <w:rsid w:val="00DF527E"/>
    <w:rsid w:val="00DF639C"/>
    <w:rsid w:val="00E0342C"/>
    <w:rsid w:val="00E042C0"/>
    <w:rsid w:val="00E101DA"/>
    <w:rsid w:val="00E40880"/>
    <w:rsid w:val="00E44848"/>
    <w:rsid w:val="00E67813"/>
    <w:rsid w:val="00E73D42"/>
    <w:rsid w:val="00EC4E95"/>
    <w:rsid w:val="00F26FED"/>
    <w:rsid w:val="00F27C4F"/>
    <w:rsid w:val="00F3269D"/>
    <w:rsid w:val="00F410EC"/>
    <w:rsid w:val="00F75A33"/>
    <w:rsid w:val="00F8139B"/>
    <w:rsid w:val="00F87795"/>
    <w:rsid w:val="00F91CE9"/>
    <w:rsid w:val="00F9432B"/>
    <w:rsid w:val="00F9735B"/>
    <w:rsid w:val="00FB779B"/>
    <w:rsid w:val="00FC206D"/>
    <w:rsid w:val="015123B9"/>
    <w:rsid w:val="01626374"/>
    <w:rsid w:val="01910A08"/>
    <w:rsid w:val="019D7341"/>
    <w:rsid w:val="01B97F5E"/>
    <w:rsid w:val="01D408F4"/>
    <w:rsid w:val="01F114A6"/>
    <w:rsid w:val="01F33470"/>
    <w:rsid w:val="02206E0A"/>
    <w:rsid w:val="022E44A8"/>
    <w:rsid w:val="02380E83"/>
    <w:rsid w:val="02605910"/>
    <w:rsid w:val="029748A7"/>
    <w:rsid w:val="02B81FC4"/>
    <w:rsid w:val="02F72AEC"/>
    <w:rsid w:val="0313544C"/>
    <w:rsid w:val="032633D2"/>
    <w:rsid w:val="03492936"/>
    <w:rsid w:val="036F0873"/>
    <w:rsid w:val="03725F44"/>
    <w:rsid w:val="03AE3AF3"/>
    <w:rsid w:val="042A47D4"/>
    <w:rsid w:val="043164D2"/>
    <w:rsid w:val="04510922"/>
    <w:rsid w:val="04812D01"/>
    <w:rsid w:val="04983E5B"/>
    <w:rsid w:val="04D1736D"/>
    <w:rsid w:val="04F73278"/>
    <w:rsid w:val="053F077B"/>
    <w:rsid w:val="05445D91"/>
    <w:rsid w:val="057743B8"/>
    <w:rsid w:val="05AF3B52"/>
    <w:rsid w:val="05B40E45"/>
    <w:rsid w:val="060C2D53"/>
    <w:rsid w:val="0657303E"/>
    <w:rsid w:val="06B37672"/>
    <w:rsid w:val="06D3561E"/>
    <w:rsid w:val="06E45A7E"/>
    <w:rsid w:val="06F23CF7"/>
    <w:rsid w:val="06FE4FD4"/>
    <w:rsid w:val="07740BAF"/>
    <w:rsid w:val="07B92A66"/>
    <w:rsid w:val="07C02047"/>
    <w:rsid w:val="07C5765D"/>
    <w:rsid w:val="084517FD"/>
    <w:rsid w:val="086A5B0F"/>
    <w:rsid w:val="08A05D41"/>
    <w:rsid w:val="08C96CD9"/>
    <w:rsid w:val="08DD4532"/>
    <w:rsid w:val="08F33D56"/>
    <w:rsid w:val="0905374B"/>
    <w:rsid w:val="09253129"/>
    <w:rsid w:val="093920B1"/>
    <w:rsid w:val="093C74AB"/>
    <w:rsid w:val="096B7D90"/>
    <w:rsid w:val="09BA2AC6"/>
    <w:rsid w:val="09DB10D0"/>
    <w:rsid w:val="0A0F696E"/>
    <w:rsid w:val="0A232419"/>
    <w:rsid w:val="0A6C0264"/>
    <w:rsid w:val="0AAE6186"/>
    <w:rsid w:val="0B204BAA"/>
    <w:rsid w:val="0B8E420A"/>
    <w:rsid w:val="0BD3506A"/>
    <w:rsid w:val="0BD67BD1"/>
    <w:rsid w:val="0C0F534B"/>
    <w:rsid w:val="0C915D60"/>
    <w:rsid w:val="0CA85076"/>
    <w:rsid w:val="0CD345CA"/>
    <w:rsid w:val="0D31149D"/>
    <w:rsid w:val="0D442DD2"/>
    <w:rsid w:val="0D8D4779"/>
    <w:rsid w:val="0DB55A7E"/>
    <w:rsid w:val="0DFB6BDF"/>
    <w:rsid w:val="0E124C7E"/>
    <w:rsid w:val="0E7771D7"/>
    <w:rsid w:val="0E820056"/>
    <w:rsid w:val="0EDE1004"/>
    <w:rsid w:val="0EF645A0"/>
    <w:rsid w:val="0F492922"/>
    <w:rsid w:val="0F4934A9"/>
    <w:rsid w:val="0F5337A0"/>
    <w:rsid w:val="0F6C2CCC"/>
    <w:rsid w:val="0F6C3776"/>
    <w:rsid w:val="0F8B4CE8"/>
    <w:rsid w:val="0F8C6CB2"/>
    <w:rsid w:val="0FAB538A"/>
    <w:rsid w:val="0FDA7A1E"/>
    <w:rsid w:val="0FF47A27"/>
    <w:rsid w:val="10190546"/>
    <w:rsid w:val="10545A22"/>
    <w:rsid w:val="10A36062"/>
    <w:rsid w:val="10C96922"/>
    <w:rsid w:val="10CA3AB4"/>
    <w:rsid w:val="10F7015B"/>
    <w:rsid w:val="110133C7"/>
    <w:rsid w:val="115B2DE0"/>
    <w:rsid w:val="122E4E54"/>
    <w:rsid w:val="12767ED2"/>
    <w:rsid w:val="127B5307"/>
    <w:rsid w:val="12B44556"/>
    <w:rsid w:val="12C80001"/>
    <w:rsid w:val="130C25E4"/>
    <w:rsid w:val="1336140F"/>
    <w:rsid w:val="135E2714"/>
    <w:rsid w:val="141A663B"/>
    <w:rsid w:val="142E6621"/>
    <w:rsid w:val="1467768D"/>
    <w:rsid w:val="14700951"/>
    <w:rsid w:val="14A67F16"/>
    <w:rsid w:val="14D40EDF"/>
    <w:rsid w:val="14D709D0"/>
    <w:rsid w:val="14F43330"/>
    <w:rsid w:val="15153C4E"/>
    <w:rsid w:val="15AA7E92"/>
    <w:rsid w:val="15F35395"/>
    <w:rsid w:val="161D2412"/>
    <w:rsid w:val="164E6A70"/>
    <w:rsid w:val="165C73DE"/>
    <w:rsid w:val="167F131F"/>
    <w:rsid w:val="16E3365C"/>
    <w:rsid w:val="171E5514"/>
    <w:rsid w:val="17285513"/>
    <w:rsid w:val="17435EA8"/>
    <w:rsid w:val="17571954"/>
    <w:rsid w:val="17591B70"/>
    <w:rsid w:val="178C6FF3"/>
    <w:rsid w:val="178D1819"/>
    <w:rsid w:val="17CE60BA"/>
    <w:rsid w:val="17EC02EE"/>
    <w:rsid w:val="183A72AB"/>
    <w:rsid w:val="19203B4B"/>
    <w:rsid w:val="196640D0"/>
    <w:rsid w:val="19960E59"/>
    <w:rsid w:val="19A90B8D"/>
    <w:rsid w:val="19AF3CC9"/>
    <w:rsid w:val="19C51BDF"/>
    <w:rsid w:val="1A2024D1"/>
    <w:rsid w:val="1A361CF4"/>
    <w:rsid w:val="1A4268EB"/>
    <w:rsid w:val="1A497C7A"/>
    <w:rsid w:val="1A8962C8"/>
    <w:rsid w:val="1A977032"/>
    <w:rsid w:val="1AB02267"/>
    <w:rsid w:val="1AB600C4"/>
    <w:rsid w:val="1B293607"/>
    <w:rsid w:val="1B2C40B3"/>
    <w:rsid w:val="1B4072CF"/>
    <w:rsid w:val="1B410951"/>
    <w:rsid w:val="1B577DA2"/>
    <w:rsid w:val="1B88615B"/>
    <w:rsid w:val="1BA17641"/>
    <w:rsid w:val="1BD47A17"/>
    <w:rsid w:val="1BDC2E92"/>
    <w:rsid w:val="1C071B9A"/>
    <w:rsid w:val="1C957AA9"/>
    <w:rsid w:val="1CC83FDE"/>
    <w:rsid w:val="1D0D1432"/>
    <w:rsid w:val="1D1C78C7"/>
    <w:rsid w:val="1D1F1166"/>
    <w:rsid w:val="1D7019C1"/>
    <w:rsid w:val="1DD15E62"/>
    <w:rsid w:val="1DD97567"/>
    <w:rsid w:val="1DE303E5"/>
    <w:rsid w:val="1E1265D5"/>
    <w:rsid w:val="1E3E561C"/>
    <w:rsid w:val="1E42510C"/>
    <w:rsid w:val="1E537319"/>
    <w:rsid w:val="1F124BF8"/>
    <w:rsid w:val="1F286A8F"/>
    <w:rsid w:val="1F2E38E2"/>
    <w:rsid w:val="1F374545"/>
    <w:rsid w:val="1F464788"/>
    <w:rsid w:val="1F5844BB"/>
    <w:rsid w:val="1F8F10BF"/>
    <w:rsid w:val="1FD955FC"/>
    <w:rsid w:val="20831A0C"/>
    <w:rsid w:val="20943C19"/>
    <w:rsid w:val="20AC0F62"/>
    <w:rsid w:val="20BD06AD"/>
    <w:rsid w:val="20C941AC"/>
    <w:rsid w:val="20DD111C"/>
    <w:rsid w:val="20DE6C42"/>
    <w:rsid w:val="214C62A1"/>
    <w:rsid w:val="2173382E"/>
    <w:rsid w:val="21B77BBF"/>
    <w:rsid w:val="21F726B1"/>
    <w:rsid w:val="22665141"/>
    <w:rsid w:val="22743D02"/>
    <w:rsid w:val="228201CD"/>
    <w:rsid w:val="2288155B"/>
    <w:rsid w:val="229B2CBA"/>
    <w:rsid w:val="22C53076"/>
    <w:rsid w:val="22E0094F"/>
    <w:rsid w:val="23623B5A"/>
    <w:rsid w:val="23706277"/>
    <w:rsid w:val="23756377"/>
    <w:rsid w:val="23B720F8"/>
    <w:rsid w:val="24030E99"/>
    <w:rsid w:val="24172B97"/>
    <w:rsid w:val="24547947"/>
    <w:rsid w:val="24654B4D"/>
    <w:rsid w:val="246F4781"/>
    <w:rsid w:val="24997A50"/>
    <w:rsid w:val="24AA05AE"/>
    <w:rsid w:val="24AF1021"/>
    <w:rsid w:val="24D40A88"/>
    <w:rsid w:val="253423D2"/>
    <w:rsid w:val="25AA5517"/>
    <w:rsid w:val="25F00653"/>
    <w:rsid w:val="26084E8D"/>
    <w:rsid w:val="2610789E"/>
    <w:rsid w:val="26243349"/>
    <w:rsid w:val="2657371E"/>
    <w:rsid w:val="26B50445"/>
    <w:rsid w:val="26FD06B1"/>
    <w:rsid w:val="271635D9"/>
    <w:rsid w:val="274517C9"/>
    <w:rsid w:val="274A3283"/>
    <w:rsid w:val="274A6DDF"/>
    <w:rsid w:val="27743E5C"/>
    <w:rsid w:val="27873B8F"/>
    <w:rsid w:val="28177609"/>
    <w:rsid w:val="2824180B"/>
    <w:rsid w:val="28E03E9F"/>
    <w:rsid w:val="29347D47"/>
    <w:rsid w:val="29946A38"/>
    <w:rsid w:val="299D58EC"/>
    <w:rsid w:val="2A5F0DF4"/>
    <w:rsid w:val="2A5F7045"/>
    <w:rsid w:val="2A905451"/>
    <w:rsid w:val="2B261911"/>
    <w:rsid w:val="2B4C1378"/>
    <w:rsid w:val="2B4C581C"/>
    <w:rsid w:val="2B4F2C16"/>
    <w:rsid w:val="2B963D85"/>
    <w:rsid w:val="2C161986"/>
    <w:rsid w:val="2C4402A1"/>
    <w:rsid w:val="2C695F59"/>
    <w:rsid w:val="2C6B1CD2"/>
    <w:rsid w:val="2C8132A3"/>
    <w:rsid w:val="2C844B41"/>
    <w:rsid w:val="2C8D7E9A"/>
    <w:rsid w:val="2CBF1134"/>
    <w:rsid w:val="2CD96741"/>
    <w:rsid w:val="2CDA29B3"/>
    <w:rsid w:val="2D35408E"/>
    <w:rsid w:val="2D810687"/>
    <w:rsid w:val="2DD75C03"/>
    <w:rsid w:val="2DED6716"/>
    <w:rsid w:val="2EB83212"/>
    <w:rsid w:val="2F694811"/>
    <w:rsid w:val="2FF479A2"/>
    <w:rsid w:val="2FFE2E5D"/>
    <w:rsid w:val="30112B90"/>
    <w:rsid w:val="307D1FD3"/>
    <w:rsid w:val="3082583C"/>
    <w:rsid w:val="30C916BD"/>
    <w:rsid w:val="30F009F7"/>
    <w:rsid w:val="30FD4EC2"/>
    <w:rsid w:val="311A5A74"/>
    <w:rsid w:val="31576CC8"/>
    <w:rsid w:val="31D245A1"/>
    <w:rsid w:val="31D269E3"/>
    <w:rsid w:val="31DB16A7"/>
    <w:rsid w:val="32917FB8"/>
    <w:rsid w:val="32C26C4C"/>
    <w:rsid w:val="339A2E9C"/>
    <w:rsid w:val="33D22636"/>
    <w:rsid w:val="34763909"/>
    <w:rsid w:val="351729F7"/>
    <w:rsid w:val="355C665B"/>
    <w:rsid w:val="35675000"/>
    <w:rsid w:val="36140CE4"/>
    <w:rsid w:val="3651018A"/>
    <w:rsid w:val="36513CE6"/>
    <w:rsid w:val="36A209E6"/>
    <w:rsid w:val="374D6BA3"/>
    <w:rsid w:val="37A06F2F"/>
    <w:rsid w:val="37B564F7"/>
    <w:rsid w:val="37DA7D33"/>
    <w:rsid w:val="37E34E12"/>
    <w:rsid w:val="37E666B0"/>
    <w:rsid w:val="37EA43F2"/>
    <w:rsid w:val="38066D52"/>
    <w:rsid w:val="380B25BB"/>
    <w:rsid w:val="380F20AB"/>
    <w:rsid w:val="384A30E3"/>
    <w:rsid w:val="386F48F8"/>
    <w:rsid w:val="38C904AC"/>
    <w:rsid w:val="38D8249D"/>
    <w:rsid w:val="38FA68B7"/>
    <w:rsid w:val="39335925"/>
    <w:rsid w:val="3958538C"/>
    <w:rsid w:val="39934616"/>
    <w:rsid w:val="399614DD"/>
    <w:rsid w:val="39B71F7E"/>
    <w:rsid w:val="39DF3CFF"/>
    <w:rsid w:val="3AC30F2B"/>
    <w:rsid w:val="3B057795"/>
    <w:rsid w:val="3B117EE8"/>
    <w:rsid w:val="3B1B2B15"/>
    <w:rsid w:val="3B9528C7"/>
    <w:rsid w:val="3BEE647B"/>
    <w:rsid w:val="3C481BE8"/>
    <w:rsid w:val="3C6A3D54"/>
    <w:rsid w:val="3CD75802"/>
    <w:rsid w:val="3CD96EC2"/>
    <w:rsid w:val="3CEA279F"/>
    <w:rsid w:val="3CED6733"/>
    <w:rsid w:val="3D073351"/>
    <w:rsid w:val="3DA60DBB"/>
    <w:rsid w:val="3DB35286"/>
    <w:rsid w:val="3E502C15"/>
    <w:rsid w:val="3E570308"/>
    <w:rsid w:val="3E8F7AA2"/>
    <w:rsid w:val="3E947D9F"/>
    <w:rsid w:val="3EB72B54"/>
    <w:rsid w:val="3EBE2135"/>
    <w:rsid w:val="3F0833B0"/>
    <w:rsid w:val="3F1E7077"/>
    <w:rsid w:val="3F650802"/>
    <w:rsid w:val="3F7D5B4C"/>
    <w:rsid w:val="3F9C69F7"/>
    <w:rsid w:val="3FC3559C"/>
    <w:rsid w:val="3FFA719D"/>
    <w:rsid w:val="40275AB8"/>
    <w:rsid w:val="40512B35"/>
    <w:rsid w:val="40736F4F"/>
    <w:rsid w:val="40B41A41"/>
    <w:rsid w:val="40F63E08"/>
    <w:rsid w:val="411374F3"/>
    <w:rsid w:val="41686388"/>
    <w:rsid w:val="417E204F"/>
    <w:rsid w:val="41872CB2"/>
    <w:rsid w:val="418A4550"/>
    <w:rsid w:val="41AC44C7"/>
    <w:rsid w:val="41C00043"/>
    <w:rsid w:val="41C061C4"/>
    <w:rsid w:val="422B5D33"/>
    <w:rsid w:val="42784CF1"/>
    <w:rsid w:val="42D7414F"/>
    <w:rsid w:val="43170066"/>
    <w:rsid w:val="4326793B"/>
    <w:rsid w:val="43D45F57"/>
    <w:rsid w:val="43F6411F"/>
    <w:rsid w:val="441141A2"/>
    <w:rsid w:val="44380293"/>
    <w:rsid w:val="44445C7A"/>
    <w:rsid w:val="444924A1"/>
    <w:rsid w:val="4464552C"/>
    <w:rsid w:val="44780FD8"/>
    <w:rsid w:val="447A6AFE"/>
    <w:rsid w:val="448434D9"/>
    <w:rsid w:val="44A80D9D"/>
    <w:rsid w:val="44B32010"/>
    <w:rsid w:val="44CD31DF"/>
    <w:rsid w:val="450E5498"/>
    <w:rsid w:val="453C4F7C"/>
    <w:rsid w:val="45A35BE1"/>
    <w:rsid w:val="468E063F"/>
    <w:rsid w:val="46C422B2"/>
    <w:rsid w:val="46DD5F83"/>
    <w:rsid w:val="472B40E0"/>
    <w:rsid w:val="477B47ED"/>
    <w:rsid w:val="477B5067"/>
    <w:rsid w:val="47AE1E9E"/>
    <w:rsid w:val="47AF4CEF"/>
    <w:rsid w:val="480000CE"/>
    <w:rsid w:val="4814574B"/>
    <w:rsid w:val="48621D83"/>
    <w:rsid w:val="48733F90"/>
    <w:rsid w:val="48A95C04"/>
    <w:rsid w:val="48C81442"/>
    <w:rsid w:val="49281E3C"/>
    <w:rsid w:val="493F20C4"/>
    <w:rsid w:val="49E836F5"/>
    <w:rsid w:val="49EC3FFA"/>
    <w:rsid w:val="4A062BE2"/>
    <w:rsid w:val="4A1E1CDA"/>
    <w:rsid w:val="4AAD305D"/>
    <w:rsid w:val="4AC05487"/>
    <w:rsid w:val="4AF33166"/>
    <w:rsid w:val="4B7A33A3"/>
    <w:rsid w:val="4B9C1A50"/>
    <w:rsid w:val="4BCD7E5B"/>
    <w:rsid w:val="4BE807F1"/>
    <w:rsid w:val="4C0D0258"/>
    <w:rsid w:val="4C147838"/>
    <w:rsid w:val="4CE74F4D"/>
    <w:rsid w:val="4CFD02CC"/>
    <w:rsid w:val="4D826A23"/>
    <w:rsid w:val="4D844549"/>
    <w:rsid w:val="4D950505"/>
    <w:rsid w:val="4DBA61BD"/>
    <w:rsid w:val="4DC96400"/>
    <w:rsid w:val="4DE44FE8"/>
    <w:rsid w:val="4E4A2E20"/>
    <w:rsid w:val="4EB26E94"/>
    <w:rsid w:val="4EEF633A"/>
    <w:rsid w:val="4EFD45B3"/>
    <w:rsid w:val="4F104F47"/>
    <w:rsid w:val="4F4E12B3"/>
    <w:rsid w:val="4F8D5BC1"/>
    <w:rsid w:val="4FA841F2"/>
    <w:rsid w:val="4FAD422B"/>
    <w:rsid w:val="4FB3581D"/>
    <w:rsid w:val="4FC74BC1"/>
    <w:rsid w:val="5021775E"/>
    <w:rsid w:val="502A762A"/>
    <w:rsid w:val="50A40C09"/>
    <w:rsid w:val="50C3182D"/>
    <w:rsid w:val="50EA6DB9"/>
    <w:rsid w:val="50FD6AED"/>
    <w:rsid w:val="513D15DF"/>
    <w:rsid w:val="51404C2B"/>
    <w:rsid w:val="515626A1"/>
    <w:rsid w:val="51894824"/>
    <w:rsid w:val="527649FB"/>
    <w:rsid w:val="52902210"/>
    <w:rsid w:val="534B7DF0"/>
    <w:rsid w:val="53682217"/>
    <w:rsid w:val="53837051"/>
    <w:rsid w:val="53D004E8"/>
    <w:rsid w:val="53FA37B7"/>
    <w:rsid w:val="54134879"/>
    <w:rsid w:val="541A1764"/>
    <w:rsid w:val="5454111A"/>
    <w:rsid w:val="54DB5397"/>
    <w:rsid w:val="54F40207"/>
    <w:rsid w:val="551C150B"/>
    <w:rsid w:val="55216B22"/>
    <w:rsid w:val="55591D3F"/>
    <w:rsid w:val="557004B3"/>
    <w:rsid w:val="55C20305"/>
    <w:rsid w:val="55DB13C7"/>
    <w:rsid w:val="55FD30EB"/>
    <w:rsid w:val="56005DFA"/>
    <w:rsid w:val="56106D91"/>
    <w:rsid w:val="56130B60"/>
    <w:rsid w:val="56462CE4"/>
    <w:rsid w:val="567D5FDA"/>
    <w:rsid w:val="571406EC"/>
    <w:rsid w:val="574216FD"/>
    <w:rsid w:val="57437223"/>
    <w:rsid w:val="576D24F2"/>
    <w:rsid w:val="57911D3D"/>
    <w:rsid w:val="579963F2"/>
    <w:rsid w:val="57CA34A1"/>
    <w:rsid w:val="57EA3B43"/>
    <w:rsid w:val="57FB365A"/>
    <w:rsid w:val="581B3B02"/>
    <w:rsid w:val="587578B0"/>
    <w:rsid w:val="58A71C55"/>
    <w:rsid w:val="58E30CBE"/>
    <w:rsid w:val="58EA204C"/>
    <w:rsid w:val="59253085"/>
    <w:rsid w:val="593D2215"/>
    <w:rsid w:val="59462FFB"/>
    <w:rsid w:val="599C0E6D"/>
    <w:rsid w:val="59A815C0"/>
    <w:rsid w:val="59B368E2"/>
    <w:rsid w:val="59C72B0B"/>
    <w:rsid w:val="59CC3500"/>
    <w:rsid w:val="5A305743"/>
    <w:rsid w:val="5A5A4FB0"/>
    <w:rsid w:val="5A9009D2"/>
    <w:rsid w:val="5AA778BF"/>
    <w:rsid w:val="5AA91A93"/>
    <w:rsid w:val="5AAC561D"/>
    <w:rsid w:val="5AAF6DFC"/>
    <w:rsid w:val="5AD07020"/>
    <w:rsid w:val="5ADD173D"/>
    <w:rsid w:val="5ADF3707"/>
    <w:rsid w:val="5AFA7190"/>
    <w:rsid w:val="5B0B62AA"/>
    <w:rsid w:val="5B435A44"/>
    <w:rsid w:val="5B482908"/>
    <w:rsid w:val="5B7C0AF0"/>
    <w:rsid w:val="5BEA5EBF"/>
    <w:rsid w:val="5BF136F2"/>
    <w:rsid w:val="5C094D51"/>
    <w:rsid w:val="5C6739B4"/>
    <w:rsid w:val="5C734107"/>
    <w:rsid w:val="5C7F2AAC"/>
    <w:rsid w:val="5CF8285E"/>
    <w:rsid w:val="5D656145"/>
    <w:rsid w:val="5DC3342C"/>
    <w:rsid w:val="5DCA41FA"/>
    <w:rsid w:val="5DD46E27"/>
    <w:rsid w:val="5DDE7CA6"/>
    <w:rsid w:val="5EC7073A"/>
    <w:rsid w:val="5EFA0523"/>
    <w:rsid w:val="5F0E0117"/>
    <w:rsid w:val="5F3E6424"/>
    <w:rsid w:val="5F443B39"/>
    <w:rsid w:val="5F531FCE"/>
    <w:rsid w:val="5F6D7533"/>
    <w:rsid w:val="5FA62A45"/>
    <w:rsid w:val="5FD70E51"/>
    <w:rsid w:val="603242D9"/>
    <w:rsid w:val="60602BF4"/>
    <w:rsid w:val="609B59DA"/>
    <w:rsid w:val="609E371C"/>
    <w:rsid w:val="60B371C8"/>
    <w:rsid w:val="60D426E9"/>
    <w:rsid w:val="613F0A5C"/>
    <w:rsid w:val="615C785F"/>
    <w:rsid w:val="621D72A1"/>
    <w:rsid w:val="622B7232"/>
    <w:rsid w:val="62607BB6"/>
    <w:rsid w:val="628A21AA"/>
    <w:rsid w:val="62AF347A"/>
    <w:rsid w:val="62E775FD"/>
    <w:rsid w:val="630E5218"/>
    <w:rsid w:val="631B72A6"/>
    <w:rsid w:val="63B374DF"/>
    <w:rsid w:val="63CE4319"/>
    <w:rsid w:val="63F35B2D"/>
    <w:rsid w:val="64032214"/>
    <w:rsid w:val="645E744B"/>
    <w:rsid w:val="64760C38"/>
    <w:rsid w:val="6477050C"/>
    <w:rsid w:val="64811CA6"/>
    <w:rsid w:val="65870C23"/>
    <w:rsid w:val="65B8702E"/>
    <w:rsid w:val="65D01970"/>
    <w:rsid w:val="66546D57"/>
    <w:rsid w:val="66602124"/>
    <w:rsid w:val="667A09E1"/>
    <w:rsid w:val="667E2026"/>
    <w:rsid w:val="66A25127"/>
    <w:rsid w:val="66BC7B5F"/>
    <w:rsid w:val="66DB4D83"/>
    <w:rsid w:val="673F17B5"/>
    <w:rsid w:val="674F751F"/>
    <w:rsid w:val="67521D4F"/>
    <w:rsid w:val="67825B46"/>
    <w:rsid w:val="67A94E81"/>
    <w:rsid w:val="68437083"/>
    <w:rsid w:val="6888718C"/>
    <w:rsid w:val="68A13DAA"/>
    <w:rsid w:val="68D0643D"/>
    <w:rsid w:val="68F14D31"/>
    <w:rsid w:val="69B47B0D"/>
    <w:rsid w:val="69FF347E"/>
    <w:rsid w:val="6A7C687C"/>
    <w:rsid w:val="6AAD6A36"/>
    <w:rsid w:val="6ABE6E95"/>
    <w:rsid w:val="6AC41FD2"/>
    <w:rsid w:val="6ACF2D88"/>
    <w:rsid w:val="6AD17D83"/>
    <w:rsid w:val="6ADC67BB"/>
    <w:rsid w:val="6B097CE6"/>
    <w:rsid w:val="6B15282D"/>
    <w:rsid w:val="6B291EB1"/>
    <w:rsid w:val="6B2D5DC9"/>
    <w:rsid w:val="6B405AFC"/>
    <w:rsid w:val="6B8B204B"/>
    <w:rsid w:val="6BCD7D23"/>
    <w:rsid w:val="6C0E5BFA"/>
    <w:rsid w:val="6C264CF2"/>
    <w:rsid w:val="6C4B4758"/>
    <w:rsid w:val="6CF32638"/>
    <w:rsid w:val="6D282CEC"/>
    <w:rsid w:val="6DE2733E"/>
    <w:rsid w:val="6DFA01A0"/>
    <w:rsid w:val="6E2711F5"/>
    <w:rsid w:val="6E2E01D3"/>
    <w:rsid w:val="6E445903"/>
    <w:rsid w:val="6E5F098F"/>
    <w:rsid w:val="6E6C6C08"/>
    <w:rsid w:val="6EA36ACE"/>
    <w:rsid w:val="6EAB7730"/>
    <w:rsid w:val="6EF07839"/>
    <w:rsid w:val="6F773AB6"/>
    <w:rsid w:val="6F832159"/>
    <w:rsid w:val="6FCC795E"/>
    <w:rsid w:val="6FD11419"/>
    <w:rsid w:val="70750B2E"/>
    <w:rsid w:val="707623C5"/>
    <w:rsid w:val="707A560C"/>
    <w:rsid w:val="708741CD"/>
    <w:rsid w:val="708F6BDE"/>
    <w:rsid w:val="70952446"/>
    <w:rsid w:val="70D4587B"/>
    <w:rsid w:val="70FA04FB"/>
    <w:rsid w:val="71665B90"/>
    <w:rsid w:val="71866233"/>
    <w:rsid w:val="718B55F7"/>
    <w:rsid w:val="71E573FD"/>
    <w:rsid w:val="7215360E"/>
    <w:rsid w:val="724B52BC"/>
    <w:rsid w:val="727147ED"/>
    <w:rsid w:val="72BF37AA"/>
    <w:rsid w:val="72DC4F92"/>
    <w:rsid w:val="72EE0533"/>
    <w:rsid w:val="732857F3"/>
    <w:rsid w:val="73320420"/>
    <w:rsid w:val="734D525A"/>
    <w:rsid w:val="738D1AFA"/>
    <w:rsid w:val="73EC4A73"/>
    <w:rsid w:val="742835D1"/>
    <w:rsid w:val="74962F86"/>
    <w:rsid w:val="756F2F29"/>
    <w:rsid w:val="75970B78"/>
    <w:rsid w:val="75C8506C"/>
    <w:rsid w:val="75D51537"/>
    <w:rsid w:val="76482E41"/>
    <w:rsid w:val="76592168"/>
    <w:rsid w:val="768F5B89"/>
    <w:rsid w:val="770519A8"/>
    <w:rsid w:val="77291B3A"/>
    <w:rsid w:val="7763329E"/>
    <w:rsid w:val="77DF669D"/>
    <w:rsid w:val="77ED0DBA"/>
    <w:rsid w:val="78202F3D"/>
    <w:rsid w:val="78322C70"/>
    <w:rsid w:val="784B788E"/>
    <w:rsid w:val="785E5813"/>
    <w:rsid w:val="786F17CF"/>
    <w:rsid w:val="78931961"/>
    <w:rsid w:val="7972370D"/>
    <w:rsid w:val="799F43B3"/>
    <w:rsid w:val="79B576B5"/>
    <w:rsid w:val="79BF16C4"/>
    <w:rsid w:val="79C63670"/>
    <w:rsid w:val="79D0629D"/>
    <w:rsid w:val="7A1C14E2"/>
    <w:rsid w:val="7A1E16FE"/>
    <w:rsid w:val="7A345032"/>
    <w:rsid w:val="7A3E76AA"/>
    <w:rsid w:val="7A995229"/>
    <w:rsid w:val="7B405460"/>
    <w:rsid w:val="7B5D1DB2"/>
    <w:rsid w:val="7B9A4DB4"/>
    <w:rsid w:val="7BD06A28"/>
    <w:rsid w:val="7C005257"/>
    <w:rsid w:val="7C134B67"/>
    <w:rsid w:val="7C1C7EBF"/>
    <w:rsid w:val="7C5A4544"/>
    <w:rsid w:val="7C9B5288"/>
    <w:rsid w:val="7CAB2FF1"/>
    <w:rsid w:val="7CF5053A"/>
    <w:rsid w:val="7CF624BE"/>
    <w:rsid w:val="7D00333D"/>
    <w:rsid w:val="7D364FB1"/>
    <w:rsid w:val="7D6515E7"/>
    <w:rsid w:val="7D690EE2"/>
    <w:rsid w:val="7D711B45"/>
    <w:rsid w:val="7D8E58E9"/>
    <w:rsid w:val="7D9F66B2"/>
    <w:rsid w:val="7DEA3FF1"/>
    <w:rsid w:val="7E2A2354"/>
    <w:rsid w:val="7E464D80"/>
    <w:rsid w:val="7E7E6C0F"/>
    <w:rsid w:val="7EA83C8C"/>
    <w:rsid w:val="7ECD54A1"/>
    <w:rsid w:val="7F2C666B"/>
    <w:rsid w:val="7F3A1CFD"/>
    <w:rsid w:val="7FA97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6"/>
    <w:qFormat/>
    <w:uiPriority w:val="99"/>
    <w:pPr>
      <w:keepNext/>
      <w:keepLines/>
      <w:spacing w:line="360" w:lineRule="auto"/>
      <w:outlineLvl w:val="2"/>
    </w:pPr>
    <w:rPr>
      <w:b/>
      <w:bCs/>
      <w:kern w:val="0"/>
      <w:sz w:val="32"/>
      <w:szCs w:val="32"/>
    </w:rPr>
  </w:style>
  <w:style w:type="paragraph" w:styleId="6">
    <w:name w:val="heading 4"/>
    <w:basedOn w:val="1"/>
    <w:next w:val="1"/>
    <w:link w:val="47"/>
    <w:qFormat/>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oc 7"/>
    <w:basedOn w:val="1"/>
    <w:next w:val="1"/>
    <w:qFormat/>
    <w:uiPriority w:val="0"/>
    <w:pPr>
      <w:spacing w:line="440" w:lineRule="atLeast"/>
      <w:ind w:left="2520" w:leftChars="1200" w:firstLine="200" w:firstLineChars="200"/>
    </w:pPr>
    <w:rPr>
      <w:rFonts w:ascii="Times New Roman" w:hAnsi="Times New Roman"/>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link w:val="50"/>
    <w:semiHidden/>
    <w:qFormat/>
    <w:uiPriority w:val="0"/>
    <w:pPr>
      <w:jc w:val="left"/>
    </w:pPr>
  </w:style>
  <w:style w:type="paragraph" w:styleId="10">
    <w:name w:val="Body Text"/>
    <w:basedOn w:val="1"/>
    <w:next w:val="11"/>
    <w:link w:val="51"/>
    <w:qFormat/>
    <w:uiPriority w:val="0"/>
    <w:pPr>
      <w:spacing w:after="120" w:line="440" w:lineRule="atLeast"/>
      <w:ind w:firstLine="200" w:firstLineChars="200"/>
    </w:pPr>
    <w:rPr>
      <w:rFonts w:ascii="Times New Roman" w:hAnsi="Times New Roman"/>
    </w:rPr>
  </w:style>
  <w:style w:type="paragraph" w:styleId="11">
    <w:name w:val="Body Text 2"/>
    <w:basedOn w:val="1"/>
    <w:next w:val="10"/>
    <w:link w:val="52"/>
    <w:qFormat/>
    <w:uiPriority w:val="99"/>
    <w:pPr>
      <w:spacing w:after="120" w:line="480" w:lineRule="auto"/>
    </w:pPr>
    <w:rPr>
      <w:rFonts w:ascii="Times New Roman" w:hAnsi="Times New Roman"/>
      <w:kern w:val="0"/>
      <w:sz w:val="24"/>
    </w:rPr>
  </w:style>
  <w:style w:type="paragraph" w:styleId="12">
    <w:name w:val="Body Text Indent"/>
    <w:basedOn w:val="1"/>
    <w:next w:val="13"/>
    <w:link w:val="48"/>
    <w:unhideWhenUsed/>
    <w:qFormat/>
    <w:uiPriority w:val="99"/>
    <w:pPr>
      <w:spacing w:after="120"/>
      <w:ind w:left="420" w:leftChars="200"/>
    </w:pPr>
  </w:style>
  <w:style w:type="paragraph" w:styleId="13">
    <w:name w:val="envelope return"/>
    <w:basedOn w:val="1"/>
    <w:qFormat/>
    <w:uiPriority w:val="99"/>
    <w:pPr>
      <w:snapToGrid w:val="0"/>
    </w:pPr>
    <w:rPr>
      <w:rFonts w:ascii="Arial" w:hAnsi="Arial" w:cs="Arial"/>
    </w:rPr>
  </w:style>
  <w:style w:type="paragraph" w:styleId="14">
    <w:name w:val="toc 3"/>
    <w:basedOn w:val="1"/>
    <w:next w:val="1"/>
    <w:qFormat/>
    <w:uiPriority w:val="39"/>
    <w:pPr>
      <w:ind w:left="840" w:leftChars="400"/>
    </w:pPr>
  </w:style>
  <w:style w:type="paragraph" w:styleId="15">
    <w:name w:val="Plain Text"/>
    <w:basedOn w:val="1"/>
    <w:link w:val="53"/>
    <w:qFormat/>
    <w:uiPriority w:val="99"/>
    <w:rPr>
      <w:rFonts w:ascii="宋体" w:hAnsi="Courier New"/>
      <w:szCs w:val="21"/>
    </w:rPr>
  </w:style>
  <w:style w:type="paragraph" w:styleId="16">
    <w:name w:val="Balloon Text"/>
    <w:basedOn w:val="1"/>
    <w:link w:val="54"/>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5"/>
    <w:qFormat/>
    <w:uiPriority w:val="0"/>
    <w:pPr>
      <w:spacing w:before="240" w:after="60"/>
      <w:jc w:val="center"/>
      <w:outlineLvl w:val="0"/>
    </w:pPr>
    <w:rPr>
      <w:rFonts w:ascii="Arial" w:hAnsi="Arial" w:cs="Arial"/>
      <w:b/>
      <w:bCs/>
      <w:sz w:val="32"/>
      <w:szCs w:val="32"/>
    </w:rPr>
  </w:style>
  <w:style w:type="paragraph" w:styleId="23">
    <w:name w:val="annotation subject"/>
    <w:basedOn w:val="9"/>
    <w:next w:val="1"/>
    <w:link w:val="56"/>
    <w:qFormat/>
    <w:uiPriority w:val="0"/>
    <w:rPr>
      <w:b/>
      <w:bCs/>
    </w:rPr>
  </w:style>
  <w:style w:type="paragraph" w:styleId="24">
    <w:name w:val="Body Text First Indent"/>
    <w:basedOn w:val="10"/>
    <w:next w:val="25"/>
    <w:link w:val="57"/>
    <w:qFormat/>
    <w:uiPriority w:val="0"/>
    <w:pPr>
      <w:ind w:firstLine="420" w:firstLineChars="100"/>
    </w:pPr>
  </w:style>
  <w:style w:type="paragraph" w:styleId="25">
    <w:name w:val="Body Text First Indent 2"/>
    <w:basedOn w:val="12"/>
    <w:next w:val="8"/>
    <w:link w:val="49"/>
    <w:qFormat/>
    <w:uiPriority w:val="0"/>
    <w:pPr>
      <w:ind w:firstLine="420" w:firstLineChars="200"/>
    </w:pPr>
  </w:style>
  <w:style w:type="table" w:styleId="27">
    <w:name w:val="Table Grid"/>
    <w:basedOn w:val="2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FollowedHyperlink"/>
    <w:unhideWhenUsed/>
    <w:qFormat/>
    <w:uiPriority w:val="99"/>
    <w:rPr>
      <w:color w:val="333333"/>
      <w:u w:val="none"/>
    </w:rPr>
  </w:style>
  <w:style w:type="character" w:styleId="31">
    <w:name w:val="Emphasis"/>
    <w:basedOn w:val="28"/>
    <w:qFormat/>
    <w:uiPriority w:val="0"/>
  </w:style>
  <w:style w:type="character" w:styleId="32">
    <w:name w:val="HTML Definition"/>
    <w:basedOn w:val="28"/>
    <w:unhideWhenUsed/>
    <w:qFormat/>
    <w:uiPriority w:val="99"/>
  </w:style>
  <w:style w:type="character" w:styleId="33">
    <w:name w:val="HTML Typewriter"/>
    <w:unhideWhenUsed/>
    <w:qFormat/>
    <w:uiPriority w:val="99"/>
    <w:rPr>
      <w:rFonts w:hint="default" w:ascii="monospace" w:hAnsi="monospace" w:eastAsia="monospace" w:cs="monospace"/>
      <w:sz w:val="20"/>
    </w:rPr>
  </w:style>
  <w:style w:type="character" w:styleId="34">
    <w:name w:val="HTML Acronym"/>
    <w:basedOn w:val="28"/>
    <w:unhideWhenUsed/>
    <w:qFormat/>
    <w:uiPriority w:val="99"/>
  </w:style>
  <w:style w:type="character" w:styleId="35">
    <w:name w:val="HTML Variable"/>
    <w:basedOn w:val="28"/>
    <w:unhideWhenUsed/>
    <w:qFormat/>
    <w:uiPriority w:val="99"/>
  </w:style>
  <w:style w:type="character" w:styleId="36">
    <w:name w:val="Hyperlink"/>
    <w:qFormat/>
    <w:uiPriority w:val="99"/>
    <w:rPr>
      <w:rFonts w:cs="Times New Roman"/>
      <w:color w:val="0000FF"/>
      <w:u w:val="single"/>
    </w:rPr>
  </w:style>
  <w:style w:type="character" w:styleId="37">
    <w:name w:val="HTML Code"/>
    <w:unhideWhenUsed/>
    <w:qFormat/>
    <w:uiPriority w:val="99"/>
    <w:rPr>
      <w:rFonts w:hint="default" w:ascii="monospace" w:hAnsi="monospace" w:eastAsia="monospace" w:cs="monospace"/>
      <w:sz w:val="20"/>
    </w:rPr>
  </w:style>
  <w:style w:type="character" w:styleId="38">
    <w:name w:val="HTML Cite"/>
    <w:basedOn w:val="28"/>
    <w:unhideWhenUsed/>
    <w:qFormat/>
    <w:uiPriority w:val="99"/>
  </w:style>
  <w:style w:type="character" w:styleId="39">
    <w:name w:val="HTML Keyboard"/>
    <w:unhideWhenUsed/>
    <w:qFormat/>
    <w:uiPriority w:val="99"/>
    <w:rPr>
      <w:rFonts w:ascii="monospace" w:hAnsi="monospace" w:eastAsia="monospace" w:cs="monospace"/>
      <w:sz w:val="20"/>
    </w:rPr>
  </w:style>
  <w:style w:type="character" w:styleId="40">
    <w:name w:val="HTML Sample"/>
    <w:unhideWhenUsed/>
    <w:qFormat/>
    <w:uiPriority w:val="99"/>
    <w:rPr>
      <w:rFonts w:hint="default" w:ascii="monospace" w:hAnsi="monospace" w:eastAsia="monospace" w:cs="monospace"/>
    </w:rPr>
  </w:style>
  <w:style w:type="paragraph" w:customStyle="1" w:styleId="41">
    <w:name w:val="列出段落1"/>
    <w:basedOn w:val="1"/>
    <w:qFormat/>
    <w:uiPriority w:val="34"/>
    <w:rPr>
      <w:rFonts w:ascii="宋体" w:hAnsi="宋体"/>
      <w:color w:val="0070C0"/>
      <w:szCs w:val="21"/>
    </w:rPr>
  </w:style>
  <w:style w:type="character" w:customStyle="1" w:styleId="42">
    <w:name w:val="页眉 Char"/>
    <w:basedOn w:val="28"/>
    <w:link w:val="18"/>
    <w:qFormat/>
    <w:uiPriority w:val="99"/>
    <w:rPr>
      <w:sz w:val="18"/>
      <w:szCs w:val="18"/>
    </w:rPr>
  </w:style>
  <w:style w:type="character" w:customStyle="1" w:styleId="43">
    <w:name w:val="页脚 Char"/>
    <w:basedOn w:val="28"/>
    <w:link w:val="17"/>
    <w:qFormat/>
    <w:uiPriority w:val="99"/>
    <w:rPr>
      <w:sz w:val="18"/>
      <w:szCs w:val="18"/>
    </w:rPr>
  </w:style>
  <w:style w:type="character" w:customStyle="1" w:styleId="44">
    <w:name w:val="标题 1 Char"/>
    <w:basedOn w:val="28"/>
    <w:link w:val="3"/>
    <w:qFormat/>
    <w:uiPriority w:val="0"/>
    <w:rPr>
      <w:rFonts w:ascii="Book Antiqua" w:hAnsi="Book Antiqua" w:eastAsia="宋体" w:cs="Times New Roman"/>
      <w:b/>
      <w:bCs/>
      <w:kern w:val="44"/>
      <w:sz w:val="44"/>
      <w:szCs w:val="44"/>
    </w:rPr>
  </w:style>
  <w:style w:type="character" w:customStyle="1" w:styleId="45">
    <w:name w:val="标题 2 Char"/>
    <w:basedOn w:val="28"/>
    <w:link w:val="4"/>
    <w:qFormat/>
    <w:uiPriority w:val="99"/>
    <w:rPr>
      <w:rFonts w:ascii="Calibri Light" w:hAnsi="Calibri Light" w:eastAsia="宋体" w:cs="Times New Roman"/>
      <w:b/>
      <w:bCs/>
      <w:sz w:val="32"/>
      <w:szCs w:val="32"/>
    </w:rPr>
  </w:style>
  <w:style w:type="character" w:customStyle="1" w:styleId="46">
    <w:name w:val="标题 3 Char"/>
    <w:basedOn w:val="28"/>
    <w:link w:val="5"/>
    <w:qFormat/>
    <w:uiPriority w:val="99"/>
    <w:rPr>
      <w:rFonts w:ascii="Book Antiqua" w:hAnsi="Book Antiqua" w:eastAsia="宋体" w:cs="Times New Roman"/>
      <w:b/>
      <w:bCs/>
      <w:kern w:val="0"/>
      <w:sz w:val="32"/>
      <w:szCs w:val="32"/>
    </w:rPr>
  </w:style>
  <w:style w:type="character" w:customStyle="1" w:styleId="47">
    <w:name w:val="标题 4 Char"/>
    <w:basedOn w:val="28"/>
    <w:link w:val="6"/>
    <w:qFormat/>
    <w:uiPriority w:val="99"/>
    <w:rPr>
      <w:rFonts w:ascii="Cambria" w:hAnsi="Cambria" w:eastAsia="宋体" w:cs="Times New Roman"/>
      <w:b/>
      <w:bCs/>
      <w:sz w:val="28"/>
      <w:szCs w:val="28"/>
    </w:rPr>
  </w:style>
  <w:style w:type="character" w:customStyle="1" w:styleId="48">
    <w:name w:val="正文文本缩进 Char"/>
    <w:basedOn w:val="28"/>
    <w:link w:val="12"/>
    <w:semiHidden/>
    <w:qFormat/>
    <w:uiPriority w:val="99"/>
    <w:rPr>
      <w:rFonts w:ascii="Book Antiqua" w:hAnsi="Book Antiqua" w:eastAsia="宋体" w:cs="Times New Roman"/>
      <w:szCs w:val="24"/>
    </w:rPr>
  </w:style>
  <w:style w:type="character" w:customStyle="1" w:styleId="49">
    <w:name w:val="正文首行缩进 2 Char"/>
    <w:basedOn w:val="48"/>
    <w:link w:val="25"/>
    <w:qFormat/>
    <w:uiPriority w:val="0"/>
    <w:rPr>
      <w:rFonts w:ascii="Book Antiqua" w:hAnsi="Book Antiqua" w:eastAsia="宋体" w:cs="Times New Roman"/>
      <w:szCs w:val="24"/>
    </w:rPr>
  </w:style>
  <w:style w:type="character" w:customStyle="1" w:styleId="50">
    <w:name w:val="批注文字 Char"/>
    <w:basedOn w:val="28"/>
    <w:link w:val="9"/>
    <w:semiHidden/>
    <w:qFormat/>
    <w:uiPriority w:val="0"/>
    <w:rPr>
      <w:rFonts w:ascii="Book Antiqua" w:hAnsi="Book Antiqua" w:eastAsia="宋体" w:cs="Times New Roman"/>
      <w:szCs w:val="24"/>
    </w:rPr>
  </w:style>
  <w:style w:type="character" w:customStyle="1" w:styleId="51">
    <w:name w:val="正文文本 Char"/>
    <w:basedOn w:val="28"/>
    <w:link w:val="10"/>
    <w:qFormat/>
    <w:uiPriority w:val="0"/>
    <w:rPr>
      <w:rFonts w:ascii="Times New Roman" w:hAnsi="Times New Roman" w:eastAsia="宋体" w:cs="Times New Roman"/>
      <w:szCs w:val="24"/>
    </w:rPr>
  </w:style>
  <w:style w:type="character" w:customStyle="1" w:styleId="52">
    <w:name w:val="正文文本 2 Char"/>
    <w:basedOn w:val="28"/>
    <w:link w:val="11"/>
    <w:qFormat/>
    <w:uiPriority w:val="99"/>
    <w:rPr>
      <w:rFonts w:ascii="Times New Roman" w:hAnsi="Times New Roman" w:eastAsia="宋体" w:cs="Times New Roman"/>
      <w:kern w:val="0"/>
      <w:sz w:val="24"/>
      <w:szCs w:val="24"/>
    </w:rPr>
  </w:style>
  <w:style w:type="character" w:customStyle="1" w:styleId="53">
    <w:name w:val="纯文本 Char1"/>
    <w:basedOn w:val="28"/>
    <w:link w:val="15"/>
    <w:qFormat/>
    <w:uiPriority w:val="99"/>
    <w:rPr>
      <w:rFonts w:ascii="宋体" w:hAnsi="Courier New" w:eastAsia="宋体" w:cs="Times New Roman"/>
      <w:szCs w:val="21"/>
    </w:rPr>
  </w:style>
  <w:style w:type="character" w:customStyle="1" w:styleId="54">
    <w:name w:val="批注框文本 Char"/>
    <w:basedOn w:val="28"/>
    <w:link w:val="16"/>
    <w:qFormat/>
    <w:uiPriority w:val="99"/>
    <w:rPr>
      <w:rFonts w:ascii="Book Antiqua" w:hAnsi="Book Antiqua" w:eastAsia="宋体" w:cs="Times New Roman"/>
      <w:sz w:val="18"/>
      <w:szCs w:val="18"/>
    </w:rPr>
  </w:style>
  <w:style w:type="character" w:customStyle="1" w:styleId="55">
    <w:name w:val="标题 Char"/>
    <w:basedOn w:val="28"/>
    <w:link w:val="22"/>
    <w:qFormat/>
    <w:uiPriority w:val="0"/>
    <w:rPr>
      <w:rFonts w:ascii="Arial" w:hAnsi="Arial" w:eastAsia="宋体" w:cs="Arial"/>
      <w:b/>
      <w:bCs/>
      <w:sz w:val="32"/>
      <w:szCs w:val="32"/>
    </w:rPr>
  </w:style>
  <w:style w:type="character" w:customStyle="1" w:styleId="56">
    <w:name w:val="批注主题 Char"/>
    <w:basedOn w:val="50"/>
    <w:link w:val="23"/>
    <w:qFormat/>
    <w:uiPriority w:val="0"/>
    <w:rPr>
      <w:rFonts w:ascii="Book Antiqua" w:hAnsi="Book Antiqua" w:eastAsia="宋体" w:cs="Times New Roman"/>
      <w:b/>
      <w:bCs/>
      <w:szCs w:val="24"/>
    </w:rPr>
  </w:style>
  <w:style w:type="character" w:customStyle="1" w:styleId="57">
    <w:name w:val="正文首行缩进 Char"/>
    <w:basedOn w:val="51"/>
    <w:link w:val="24"/>
    <w:qFormat/>
    <w:uiPriority w:val="0"/>
    <w:rPr>
      <w:rFonts w:ascii="Times New Roman" w:hAnsi="Times New Roman" w:eastAsia="宋体" w:cs="Times New Roman"/>
      <w:szCs w:val="24"/>
    </w:rPr>
  </w:style>
  <w:style w:type="character" w:customStyle="1" w:styleId="58">
    <w:name w:val="font161"/>
    <w:basedOn w:val="28"/>
    <w:qFormat/>
    <w:uiPriority w:val="0"/>
    <w:rPr>
      <w:rFonts w:hint="eastAsia" w:ascii="宋体" w:hAnsi="宋体" w:eastAsia="宋体" w:cs="宋体"/>
      <w:color w:val="000000"/>
      <w:sz w:val="28"/>
      <w:szCs w:val="28"/>
      <w:u w:val="none"/>
      <w:vertAlign w:val="superscript"/>
    </w:rPr>
  </w:style>
  <w:style w:type="character" w:customStyle="1" w:styleId="59">
    <w:name w:val="纯文本 Char"/>
    <w:qFormat/>
    <w:uiPriority w:val="0"/>
    <w:rPr>
      <w:rFonts w:ascii="宋体" w:hAnsi="Courier New"/>
      <w:kern w:val="2"/>
      <w:sz w:val="21"/>
    </w:rPr>
  </w:style>
  <w:style w:type="character" w:customStyle="1" w:styleId="60">
    <w:name w:val="font41"/>
    <w:basedOn w:val="28"/>
    <w:qFormat/>
    <w:uiPriority w:val="0"/>
    <w:rPr>
      <w:rFonts w:hint="eastAsia" w:ascii="宋体" w:hAnsi="宋体" w:eastAsia="宋体" w:cs="宋体"/>
      <w:color w:val="000000"/>
      <w:sz w:val="20"/>
      <w:szCs w:val="20"/>
      <w:u w:val="none"/>
    </w:rPr>
  </w:style>
  <w:style w:type="character" w:customStyle="1" w:styleId="61">
    <w:name w:val="font151"/>
    <w:basedOn w:val="28"/>
    <w:qFormat/>
    <w:uiPriority w:val="0"/>
    <w:rPr>
      <w:rFonts w:hint="eastAsia" w:ascii="宋体" w:hAnsi="宋体" w:eastAsia="宋体" w:cs="宋体"/>
      <w:color w:val="000000"/>
      <w:sz w:val="20"/>
      <w:szCs w:val="20"/>
      <w:u w:val="none"/>
      <w:vertAlign w:val="superscript"/>
    </w:rPr>
  </w:style>
  <w:style w:type="character" w:customStyle="1" w:styleId="62">
    <w:name w:val="font21"/>
    <w:qFormat/>
    <w:uiPriority w:val="0"/>
    <w:rPr>
      <w:rFonts w:ascii="Calibri" w:hAnsi="Calibri" w:cs="Calibri"/>
      <w:color w:val="000000"/>
      <w:sz w:val="16"/>
      <w:szCs w:val="16"/>
      <w:u w:val="none"/>
    </w:rPr>
  </w:style>
  <w:style w:type="character" w:customStyle="1" w:styleId="63">
    <w:name w:val="font171"/>
    <w:basedOn w:val="28"/>
    <w:qFormat/>
    <w:uiPriority w:val="0"/>
    <w:rPr>
      <w:rFonts w:hint="eastAsia" w:ascii="宋体" w:hAnsi="宋体" w:eastAsia="宋体" w:cs="宋体"/>
      <w:color w:val="000000"/>
      <w:sz w:val="20"/>
      <w:szCs w:val="20"/>
      <w:u w:val="none"/>
      <w:vertAlign w:val="superscript"/>
    </w:rPr>
  </w:style>
  <w:style w:type="character" w:customStyle="1" w:styleId="64">
    <w:name w:val="p0 Char Char"/>
    <w:link w:val="65"/>
    <w:qFormat/>
    <w:locked/>
    <w:uiPriority w:val="99"/>
    <w:rPr>
      <w:rFonts w:ascii="Times New Roman" w:hAnsi="Times New Roman" w:cs="Times New Roman"/>
      <w:kern w:val="0"/>
      <w:szCs w:val="21"/>
    </w:rPr>
  </w:style>
  <w:style w:type="paragraph" w:customStyle="1" w:styleId="65">
    <w:name w:val="p0"/>
    <w:basedOn w:val="1"/>
    <w:link w:val="64"/>
    <w:qFormat/>
    <w:uiPriority w:val="99"/>
    <w:pPr>
      <w:widowControl/>
    </w:pPr>
    <w:rPr>
      <w:rFonts w:ascii="Times New Roman" w:hAnsi="Times New Roman" w:eastAsiaTheme="minorEastAsia"/>
      <w:kern w:val="0"/>
      <w:szCs w:val="21"/>
    </w:rPr>
  </w:style>
  <w:style w:type="character" w:customStyle="1" w:styleId="66">
    <w:name w:val="font81"/>
    <w:qFormat/>
    <w:uiPriority w:val="0"/>
    <w:rPr>
      <w:rFonts w:hint="eastAsia" w:ascii="宋体" w:hAnsi="宋体" w:eastAsia="宋体" w:cs="宋体"/>
      <w:color w:val="000000"/>
      <w:sz w:val="24"/>
      <w:szCs w:val="24"/>
      <w:u w:val="none"/>
    </w:rPr>
  </w:style>
  <w:style w:type="character" w:customStyle="1" w:styleId="67">
    <w:name w:val="font31"/>
    <w:qFormat/>
    <w:uiPriority w:val="0"/>
    <w:rPr>
      <w:rFonts w:hint="eastAsia" w:ascii="宋体" w:hAnsi="宋体" w:eastAsia="宋体" w:cs="宋体"/>
      <w:color w:val="000000"/>
      <w:sz w:val="24"/>
      <w:szCs w:val="24"/>
      <w:u w:val="none"/>
    </w:rPr>
  </w:style>
  <w:style w:type="character" w:customStyle="1" w:styleId="68">
    <w:name w:val="font51"/>
    <w:qFormat/>
    <w:uiPriority w:val="0"/>
    <w:rPr>
      <w:rFonts w:ascii="Calibri" w:hAnsi="Calibri" w:cs="Calibri"/>
      <w:color w:val="000000"/>
      <w:sz w:val="24"/>
      <w:szCs w:val="24"/>
      <w:u w:val="none"/>
    </w:rPr>
  </w:style>
  <w:style w:type="character" w:customStyle="1" w:styleId="69">
    <w:name w:val="hover16"/>
    <w:basedOn w:val="28"/>
    <w:qFormat/>
    <w:uiPriority w:val="0"/>
  </w:style>
  <w:style w:type="character" w:customStyle="1" w:styleId="70">
    <w:name w:val="font11"/>
    <w:qFormat/>
    <w:uiPriority w:val="0"/>
    <w:rPr>
      <w:rFonts w:hint="eastAsia" w:ascii="宋体" w:hAnsi="宋体" w:eastAsia="宋体" w:cs="宋体"/>
      <w:color w:val="000000"/>
      <w:sz w:val="16"/>
      <w:szCs w:val="16"/>
      <w:u w:val="none"/>
    </w:rPr>
  </w:style>
  <w:style w:type="paragraph" w:customStyle="1" w:styleId="71">
    <w:name w:val="style4"/>
    <w:basedOn w:val="72"/>
    <w:next w:val="73"/>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无间隔1"/>
    <w:basedOn w:val="1"/>
    <w:qFormat/>
    <w:uiPriority w:val="0"/>
    <w:pPr>
      <w:spacing w:line="400" w:lineRule="exact"/>
    </w:pPr>
    <w:rPr>
      <w:sz w:val="24"/>
    </w:rPr>
  </w:style>
  <w:style w:type="paragraph" w:customStyle="1" w:styleId="7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customStyle="1" w:styleId="77">
    <w:name w:val="Default"/>
    <w:next w:val="1"/>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8">
    <w:name w:val="样式1"/>
    <w:basedOn w:val="1"/>
    <w:qFormat/>
    <w:uiPriority w:val="0"/>
    <w:pPr>
      <w:tabs>
        <w:tab w:val="left" w:pos="709"/>
      </w:tabs>
      <w:ind w:left="709" w:hanging="709"/>
    </w:pPr>
    <w:rPr>
      <w:rFonts w:ascii="宋体" w:hAnsi="宋体"/>
    </w:rPr>
  </w:style>
  <w:style w:type="paragraph" w:customStyle="1" w:styleId="79">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列表段落1"/>
    <w:basedOn w:val="1"/>
    <w:qFormat/>
    <w:uiPriority w:val="99"/>
    <w:pPr>
      <w:ind w:firstLine="420" w:firstLineChars="200"/>
    </w:pPr>
    <w:rPr>
      <w:rFonts w:ascii="Times New Roman" w:hAnsi="Times New Roman"/>
    </w:rPr>
  </w:style>
  <w:style w:type="paragraph" w:customStyle="1" w:styleId="82">
    <w:name w:val="Body Text First Indent1"/>
    <w:basedOn w:val="10"/>
    <w:qFormat/>
    <w:uiPriority w:val="0"/>
    <w:pPr>
      <w:ind w:firstLine="420" w:firstLineChars="100"/>
    </w:pPr>
    <w:rPr>
      <w:rFonts w:ascii="Calibri" w:hAnsi="Calibri"/>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8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85">
    <w:name w:val="BodyText2"/>
    <w:basedOn w:val="1"/>
    <w:next w:val="86"/>
    <w:qFormat/>
    <w:uiPriority w:val="0"/>
    <w:pPr>
      <w:spacing w:after="120" w:line="480" w:lineRule="auto"/>
      <w:textAlignment w:val="baseline"/>
    </w:pPr>
    <w:rPr>
      <w:rFonts w:ascii="Times New Roman" w:hAnsi="Times New Roman"/>
      <w:kern w:val="0"/>
      <w:sz w:val="24"/>
    </w:rPr>
  </w:style>
  <w:style w:type="paragraph" w:customStyle="1" w:styleId="86">
    <w:name w:val="BodyText"/>
    <w:basedOn w:val="1"/>
    <w:next w:val="85"/>
    <w:qFormat/>
    <w:uiPriority w:val="0"/>
    <w:pPr>
      <w:spacing w:after="120" w:line="440" w:lineRule="atLeast"/>
      <w:ind w:firstLine="200" w:firstLineChars="200"/>
      <w:textAlignment w:val="baseline"/>
    </w:pPr>
    <w:rPr>
      <w:rFonts w:ascii="Times New Roman" w:hAnsi="Times New Roman"/>
    </w:rPr>
  </w:style>
  <w:style w:type="paragraph" w:customStyle="1" w:styleId="87">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88">
    <w:name w:val="*正文_1_0"/>
    <w:basedOn w:val="89"/>
    <w:next w:val="89"/>
    <w:qFormat/>
    <w:uiPriority w:val="0"/>
    <w:pPr>
      <w:widowControl/>
      <w:ind w:firstLine="482"/>
    </w:pPr>
    <w:rPr>
      <w:rFonts w:ascii="微软雅黑" w:hAnsi="微软雅黑" w:eastAsia="微软雅黑"/>
      <w:kern w:val="0"/>
      <w:szCs w:val="20"/>
    </w:rPr>
  </w:style>
  <w:style w:type="paragraph" w:customStyle="1" w:styleId="89">
    <w:name w:val="正文_1_0"/>
    <w:next w:val="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Default_1_0"/>
    <w:next w:val="8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9E89D-E949-417C-9BD1-06FB97EDB0C2}">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22009</Words>
  <Characters>23796</Characters>
  <Lines>176</Lines>
  <Paragraphs>49</Paragraphs>
  <TotalTime>4</TotalTime>
  <ScaleCrop>false</ScaleCrop>
  <LinksUpToDate>false</LinksUpToDate>
  <CharactersWithSpaces>25312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2024-02-26T09:29:00Z</dcterms:created>
  <dc:creator>Administrator</dc:creator>
  <cp:lastModifiedBy>Administrator</cp:lastModifiedBy>
  <cp:lastPrinted>2024-09-20T08:55:00Z</cp:lastPrinted>
  <dcterms:modified xsi:type="dcterms:W3CDTF">2024-09-23T07:34:26Z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0A59D78CE2794FC89A6F5B7886D3F32F_13</vt:lpwstr>
  </property>
</Properties>
</file>