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5F2CCDD">
      <w:pPr>
        <w:pStyle w:val="21"/>
        <w:spacing w:after="0"/>
        <w:rPr>
          <w:rFonts w:ascii="宋体" w:hAnsi="宋体" w:cs="宋体"/>
          <w:color w:val="000000" w:themeColor="text1"/>
          <w:sz w:val="24"/>
          <w:highlight w:val="none"/>
          <w14:textFill>
            <w14:solidFill>
              <w14:schemeClr w14:val="tx1"/>
            </w14:solidFill>
          </w14:textFill>
        </w:rPr>
      </w:pPr>
      <w:bookmarkStart w:id="0" w:name="_Toc281574833"/>
    </w:p>
    <w:p w14:paraId="06B8F08E">
      <w:pPr>
        <w:pStyle w:val="24"/>
        <w:keepNext w:val="0"/>
        <w:keepLines w:val="0"/>
        <w:pageBreakBefore w:val="0"/>
        <w:kinsoku/>
        <w:wordWrap/>
        <w:overflowPunct/>
        <w:topLinePunct w:val="0"/>
        <w:autoSpaceDE/>
        <w:autoSpaceDN/>
        <w:bidi w:val="0"/>
        <w:spacing w:before="0" w:after="0" w:line="360" w:lineRule="auto"/>
        <w:textAlignment w:val="auto"/>
        <w:rPr>
          <w:rFonts w:hint="eastAsia" w:ascii="宋体" w:hAnsi="宋体" w:eastAsia="宋体" w:cs="宋体"/>
          <w:b/>
          <w:color w:val="000000" w:themeColor="text1"/>
          <w:kern w:val="0"/>
          <w:sz w:val="40"/>
          <w:szCs w:val="40"/>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40"/>
          <w:szCs w:val="40"/>
          <w:highlight w:val="none"/>
          <w:lang w:val="en-US" w:eastAsia="zh-CN" w:bidi="ar-SA"/>
          <w14:textFill>
            <w14:solidFill>
              <w14:schemeClr w14:val="tx1"/>
            </w14:solidFill>
          </w14:textFill>
        </w:rPr>
        <w:t>博爱县教育体育局焦作新材料职业学院图书、教学设备、实验设备等采购项目二标段（二次）项目</w:t>
      </w:r>
    </w:p>
    <w:p w14:paraId="1FDD4C98">
      <w:pPr>
        <w:pStyle w:val="24"/>
        <w:keepNext w:val="0"/>
        <w:keepLines w:val="0"/>
        <w:pageBreakBefore w:val="0"/>
        <w:kinsoku/>
        <w:wordWrap/>
        <w:overflowPunct/>
        <w:topLinePunct w:val="0"/>
        <w:autoSpaceDE/>
        <w:autoSpaceDN/>
        <w:bidi w:val="0"/>
        <w:spacing w:before="0" w:after="0" w:line="360" w:lineRule="auto"/>
        <w:textAlignment w:val="auto"/>
        <w:rPr>
          <w:rFonts w:hint="eastAsia" w:ascii="宋体" w:hAnsi="宋体" w:eastAsia="宋体" w:cs="宋体"/>
          <w:b/>
          <w:color w:val="000000" w:themeColor="text1"/>
          <w:kern w:val="0"/>
          <w:sz w:val="40"/>
          <w:szCs w:val="40"/>
          <w:highlight w:val="none"/>
          <w:lang w:val="en-US" w:eastAsia="zh-CN" w:bidi="ar-SA"/>
          <w14:textFill>
            <w14:solidFill>
              <w14:schemeClr w14:val="tx1"/>
            </w14:solidFill>
          </w14:textFill>
        </w:rPr>
      </w:pPr>
      <w:r>
        <w:rPr>
          <w:rFonts w:hint="eastAsia" w:ascii="宋体" w:hAnsi="宋体" w:eastAsia="宋体" w:cs="宋体"/>
          <w:b/>
          <w:color w:val="000000" w:themeColor="text1"/>
          <w:kern w:val="0"/>
          <w:sz w:val="40"/>
          <w:szCs w:val="40"/>
          <w:highlight w:val="none"/>
          <w:lang w:val="en-US" w:eastAsia="zh-CN" w:bidi="ar-SA"/>
          <w14:textFill>
            <w14:solidFill>
              <w14:schemeClr w14:val="tx1"/>
            </w14:solidFill>
          </w14:textFill>
        </w:rPr>
        <w:t xml:space="preserve">（机房类二次） </w:t>
      </w:r>
    </w:p>
    <w:p w14:paraId="692E91D4">
      <w:pPr>
        <w:snapToGrid w:val="0"/>
        <w:spacing w:line="360" w:lineRule="auto"/>
        <w:jc w:val="center"/>
        <w:rPr>
          <w:rFonts w:hint="eastAsia" w:ascii="宋体" w:hAnsi="宋体" w:cs="宋体"/>
          <w:b/>
          <w:color w:val="000000" w:themeColor="text1"/>
          <w:kern w:val="0"/>
          <w:sz w:val="52"/>
          <w:szCs w:val="52"/>
          <w:highlight w:val="none"/>
          <w14:textFill>
            <w14:solidFill>
              <w14:schemeClr w14:val="tx1"/>
            </w14:solidFill>
          </w14:textFill>
        </w:rPr>
      </w:pPr>
    </w:p>
    <w:p w14:paraId="7092DCE9">
      <w:pPr>
        <w:snapToGrid w:val="0"/>
        <w:spacing w:line="360" w:lineRule="auto"/>
        <w:jc w:val="center"/>
        <w:rPr>
          <w:rFonts w:ascii="宋体" w:hAnsi="宋体" w:cs="宋体"/>
          <w:b/>
          <w:color w:val="000000" w:themeColor="text1"/>
          <w:kern w:val="0"/>
          <w:sz w:val="52"/>
          <w:szCs w:val="52"/>
          <w:highlight w:val="none"/>
          <w14:textFill>
            <w14:solidFill>
              <w14:schemeClr w14:val="tx1"/>
            </w14:solidFill>
          </w14:textFill>
        </w:rPr>
      </w:pPr>
      <w:r>
        <w:rPr>
          <w:rFonts w:hint="eastAsia" w:ascii="宋体" w:hAnsi="宋体" w:cs="宋体"/>
          <w:b/>
          <w:color w:val="000000" w:themeColor="text1"/>
          <w:kern w:val="0"/>
          <w:sz w:val="52"/>
          <w:szCs w:val="52"/>
          <w:highlight w:val="none"/>
          <w14:textFill>
            <w14:solidFill>
              <w14:schemeClr w14:val="tx1"/>
            </w14:solidFill>
          </w14:textFill>
        </w:rPr>
        <w:t>招 标 文 件</w:t>
      </w:r>
    </w:p>
    <w:p w14:paraId="4275A109">
      <w:pPr>
        <w:spacing w:line="360" w:lineRule="auto"/>
        <w:jc w:val="center"/>
        <w:rPr>
          <w:rFonts w:hint="default" w:ascii="宋体" w:hAnsi="宋体" w:eastAsia="宋体" w:cs="宋体"/>
          <w:b/>
          <w:bCs/>
          <w:color w:val="000000" w:themeColor="text1"/>
          <w:sz w:val="28"/>
          <w:szCs w:val="28"/>
          <w:highlight w:val="none"/>
          <w:lang w:val="en-US" w:eastAsia="zh-CN"/>
          <w14:textFill>
            <w14:solidFill>
              <w14:schemeClr w14:val="tx1"/>
            </w14:solidFill>
          </w14:textFill>
        </w:rPr>
      </w:pPr>
      <w:r>
        <w:rPr>
          <w:rFonts w:hint="eastAsia" w:ascii="宋体" w:hAnsi="宋体" w:cs="宋体"/>
          <w:b/>
          <w:bCs/>
          <w:color w:val="000000" w:themeColor="text1"/>
          <w:sz w:val="28"/>
          <w:szCs w:val="28"/>
          <w:highlight w:val="none"/>
          <w:lang w:eastAsia="zh-CN"/>
          <w14:textFill>
            <w14:solidFill>
              <w14:schemeClr w14:val="tx1"/>
            </w14:solidFill>
          </w14:textFill>
        </w:rPr>
        <w:t>项目编号：</w:t>
      </w:r>
      <w:r>
        <w:rPr>
          <w:rFonts w:hint="eastAsia" w:ascii="宋体" w:hAnsi="宋体" w:cs="宋体"/>
          <w:b/>
          <w:bCs/>
          <w:color w:val="000000" w:themeColor="text1"/>
          <w:sz w:val="28"/>
          <w:szCs w:val="28"/>
          <w:highlight w:val="none"/>
          <w:lang w:val="en-US" w:eastAsia="zh-CN"/>
          <w14:textFill>
            <w14:solidFill>
              <w14:schemeClr w14:val="tx1"/>
            </w14:solidFill>
          </w14:textFill>
        </w:rPr>
        <w:t>博财招标采购-2024-25</w:t>
      </w:r>
    </w:p>
    <w:p w14:paraId="50B5270F">
      <w:pPr>
        <w:spacing w:line="360" w:lineRule="auto"/>
        <w:jc w:val="center"/>
        <w:rPr>
          <w:rFonts w:ascii="宋体" w:hAnsi="宋体" w:cs="宋体"/>
          <w:b/>
          <w:bCs/>
          <w:color w:val="000000" w:themeColor="text1"/>
          <w:sz w:val="32"/>
          <w:szCs w:val="32"/>
          <w:highlight w:val="none"/>
          <w:u w:val="singl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drawing>
          <wp:anchor distT="0" distB="0" distL="114300" distR="114300" simplePos="0" relativeHeight="251667456" behindDoc="0" locked="0" layoutInCell="1" allowOverlap="1">
            <wp:simplePos x="0" y="0"/>
            <wp:positionH relativeFrom="column">
              <wp:posOffset>1687830</wp:posOffset>
            </wp:positionH>
            <wp:positionV relativeFrom="paragraph">
              <wp:posOffset>154940</wp:posOffset>
            </wp:positionV>
            <wp:extent cx="2509520" cy="2202815"/>
            <wp:effectExtent l="0" t="0" r="5080" b="6985"/>
            <wp:wrapSquare wrapText="bothSides"/>
            <wp:docPr id="13" name="图片 2" descr="公司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3" name="图片 2" descr="公司logo"/>
                    <pic:cNvPicPr>
                      <a:picLocks noChangeAspect="1"/>
                    </pic:cNvPicPr>
                  </pic:nvPicPr>
                  <pic:blipFill>
                    <a:blip r:embed="rId10"/>
                    <a:stretch>
                      <a:fillRect/>
                    </a:stretch>
                  </pic:blipFill>
                  <pic:spPr>
                    <a:xfrm>
                      <a:off x="0" y="0"/>
                      <a:ext cx="2509520" cy="2202815"/>
                    </a:xfrm>
                    <a:prstGeom prst="rect">
                      <a:avLst/>
                    </a:prstGeom>
                    <a:noFill/>
                    <a:ln>
                      <a:noFill/>
                    </a:ln>
                  </pic:spPr>
                </pic:pic>
              </a:graphicData>
            </a:graphic>
          </wp:anchor>
        </w:drawing>
      </w:r>
    </w:p>
    <w:p w14:paraId="711828C0">
      <w:pPr>
        <w:pStyle w:val="35"/>
        <w:rPr>
          <w:rFonts w:ascii="宋体" w:hAnsi="宋体" w:cs="宋体"/>
          <w:color w:val="000000" w:themeColor="text1"/>
          <w:highlight w:val="none"/>
          <w14:textFill>
            <w14:solidFill>
              <w14:schemeClr w14:val="tx1"/>
            </w14:solidFill>
          </w14:textFill>
        </w:rPr>
      </w:pPr>
    </w:p>
    <w:p w14:paraId="427DC89E">
      <w:pPr>
        <w:pStyle w:val="7"/>
        <w:rPr>
          <w:rFonts w:ascii="宋体" w:hAnsi="宋体" w:eastAsia="宋体" w:cs="宋体"/>
          <w:color w:val="000000" w:themeColor="text1"/>
          <w:highlight w:val="none"/>
          <w14:textFill>
            <w14:solidFill>
              <w14:schemeClr w14:val="tx1"/>
            </w14:solidFill>
          </w14:textFill>
        </w:rPr>
      </w:pPr>
    </w:p>
    <w:p w14:paraId="189C4C75">
      <w:pPr>
        <w:rPr>
          <w:rFonts w:ascii="宋体" w:hAnsi="宋体" w:cs="宋体"/>
          <w:color w:val="000000" w:themeColor="text1"/>
          <w:sz w:val="30"/>
          <w:highlight w:val="none"/>
          <w14:textFill>
            <w14:solidFill>
              <w14:schemeClr w14:val="tx1"/>
            </w14:solidFill>
          </w14:textFill>
        </w:rPr>
      </w:pPr>
    </w:p>
    <w:p w14:paraId="277FD27C">
      <w:pPr>
        <w:rPr>
          <w:rFonts w:ascii="宋体" w:hAnsi="宋体" w:cs="宋体"/>
          <w:color w:val="000000" w:themeColor="text1"/>
          <w:highlight w:val="none"/>
          <w14:textFill>
            <w14:solidFill>
              <w14:schemeClr w14:val="tx1"/>
            </w14:solidFill>
          </w14:textFill>
        </w:rPr>
      </w:pPr>
    </w:p>
    <w:p w14:paraId="660E5C81">
      <w:pPr>
        <w:pStyle w:val="6"/>
        <w:rPr>
          <w:rFonts w:ascii="宋体" w:hAnsi="宋体" w:cs="宋体"/>
          <w:color w:val="000000" w:themeColor="text1"/>
          <w:highlight w:val="none"/>
          <w14:textFill>
            <w14:solidFill>
              <w14:schemeClr w14:val="tx1"/>
            </w14:solidFill>
          </w14:textFill>
        </w:rPr>
      </w:pPr>
    </w:p>
    <w:p w14:paraId="484DA37B">
      <w:pPr>
        <w:rPr>
          <w:rFonts w:ascii="宋体" w:hAnsi="宋体" w:cs="宋体"/>
          <w:b/>
          <w:bCs/>
          <w:color w:val="000000" w:themeColor="text1"/>
          <w:sz w:val="32"/>
          <w:szCs w:val="32"/>
          <w:highlight w:val="none"/>
          <w14:textFill>
            <w14:solidFill>
              <w14:schemeClr w14:val="tx1"/>
            </w14:solidFill>
          </w14:textFill>
        </w:rPr>
      </w:pPr>
    </w:p>
    <w:p w14:paraId="16CB2264">
      <w:pPr>
        <w:rPr>
          <w:rFonts w:ascii="宋体" w:hAnsi="宋体" w:cs="宋体"/>
          <w:b/>
          <w:bCs/>
          <w:color w:val="000000" w:themeColor="text1"/>
          <w:sz w:val="32"/>
          <w:szCs w:val="32"/>
          <w:highlight w:val="none"/>
          <w14:textFill>
            <w14:solidFill>
              <w14:schemeClr w14:val="tx1"/>
            </w14:solidFill>
          </w14:textFill>
        </w:rPr>
      </w:pPr>
    </w:p>
    <w:p w14:paraId="641066F0">
      <w:pPr>
        <w:rPr>
          <w:rFonts w:ascii="宋体" w:hAnsi="宋体" w:cs="宋体"/>
          <w:b/>
          <w:bCs/>
          <w:color w:val="000000" w:themeColor="text1"/>
          <w:sz w:val="32"/>
          <w:szCs w:val="32"/>
          <w:highlight w:val="none"/>
          <w14:textFill>
            <w14:solidFill>
              <w14:schemeClr w14:val="tx1"/>
            </w14:solidFill>
          </w14:textFill>
        </w:rPr>
      </w:pPr>
    </w:p>
    <w:p w14:paraId="6C677DA4">
      <w:pPr>
        <w:rPr>
          <w:rFonts w:ascii="宋体" w:hAnsi="宋体" w:cs="宋体"/>
          <w:b/>
          <w:bCs/>
          <w:color w:val="000000" w:themeColor="text1"/>
          <w:sz w:val="32"/>
          <w:szCs w:val="32"/>
          <w:highlight w:val="none"/>
          <w14:textFill>
            <w14:solidFill>
              <w14:schemeClr w14:val="tx1"/>
            </w14:solidFill>
          </w14:textFill>
        </w:rPr>
      </w:pPr>
    </w:p>
    <w:p w14:paraId="500EA283">
      <w:pPr>
        <w:rPr>
          <w:rFonts w:ascii="宋体" w:hAnsi="宋体" w:cs="宋体"/>
          <w:b/>
          <w:bCs/>
          <w:color w:val="000000" w:themeColor="text1"/>
          <w:sz w:val="32"/>
          <w:szCs w:val="32"/>
          <w:highlight w:val="none"/>
          <w14:textFill>
            <w14:solidFill>
              <w14:schemeClr w14:val="tx1"/>
            </w14:solidFill>
          </w14:textFill>
        </w:rPr>
      </w:pPr>
    </w:p>
    <w:p w14:paraId="32472E53">
      <w:pPr>
        <w:rPr>
          <w:rFonts w:ascii="宋体" w:hAnsi="宋体" w:cs="宋体"/>
          <w:b/>
          <w:bCs/>
          <w:color w:val="000000" w:themeColor="text1"/>
          <w:sz w:val="32"/>
          <w:szCs w:val="32"/>
          <w:highlight w:val="none"/>
          <w14:textFill>
            <w14:solidFill>
              <w14:schemeClr w14:val="tx1"/>
            </w14:solidFill>
          </w14:textFill>
        </w:rPr>
      </w:pPr>
    </w:p>
    <w:p w14:paraId="0EE32A34">
      <w:pPr>
        <w:rPr>
          <w:rFonts w:ascii="宋体" w:hAnsi="宋体" w:cs="宋体"/>
          <w:b/>
          <w:bCs/>
          <w:color w:val="000000" w:themeColor="text1"/>
          <w:sz w:val="32"/>
          <w:szCs w:val="32"/>
          <w:highlight w:val="none"/>
          <w14:textFill>
            <w14:solidFill>
              <w14:schemeClr w14:val="tx1"/>
            </w14:solidFill>
          </w14:textFill>
        </w:rPr>
      </w:pPr>
    </w:p>
    <w:p w14:paraId="770CBEF5">
      <w:pPr>
        <w:bidi w:val="0"/>
        <w:rPr>
          <w:color w:val="000000" w:themeColor="text1"/>
          <w:highlight w:val="none"/>
          <w14:textFill>
            <w14:solidFill>
              <w14:schemeClr w14:val="tx1"/>
            </w14:solidFill>
          </w14:textFill>
        </w:rPr>
      </w:pPr>
    </w:p>
    <w:p w14:paraId="02D14F4C">
      <w:pPr>
        <w:ind w:firstLine="1928" w:firstLineChars="600"/>
        <w:rPr>
          <w:rFonts w:ascii="宋体" w:hAnsi="宋体" w:cs="宋体"/>
          <w:b/>
          <w:bCs/>
          <w:color w:val="000000" w:themeColor="text1"/>
          <w:sz w:val="32"/>
          <w:szCs w:val="32"/>
          <w:highlight w:val="none"/>
          <w14:textFill>
            <w14:solidFill>
              <w14:schemeClr w14:val="tx1"/>
            </w14:solidFill>
          </w14:textFill>
        </w:rPr>
      </w:pPr>
    </w:p>
    <w:p w14:paraId="58881C38">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采 购 人：</w:t>
      </w:r>
      <w:r>
        <w:rPr>
          <w:rFonts w:hint="eastAsia" w:ascii="宋体" w:hAnsi="宋体" w:cs="宋体"/>
          <w:b/>
          <w:color w:val="000000" w:themeColor="text1"/>
          <w:spacing w:val="-6"/>
          <w:sz w:val="36"/>
          <w:szCs w:val="36"/>
          <w:highlight w:val="none"/>
          <w14:textFill>
            <w14:solidFill>
              <w14:schemeClr w14:val="tx1"/>
            </w14:solidFill>
          </w14:textFill>
        </w:rPr>
        <w:t>博爱县教育体育局</w:t>
      </w:r>
    </w:p>
    <w:p w14:paraId="3569B61C">
      <w:pPr>
        <w:spacing w:line="360" w:lineRule="auto"/>
        <w:jc w:val="center"/>
        <w:rPr>
          <w:rFonts w:ascii="宋体" w:hAnsi="宋体" w:cs="宋体"/>
          <w:b/>
          <w:bCs/>
          <w:color w:val="000000" w:themeColor="text1"/>
          <w:sz w:val="36"/>
          <w:szCs w:val="36"/>
          <w:highlight w:val="none"/>
          <w14:textFill>
            <w14:solidFill>
              <w14:schemeClr w14:val="tx1"/>
            </w14:solidFill>
          </w14:textFill>
        </w:rPr>
      </w:pPr>
      <w:r>
        <w:rPr>
          <w:rFonts w:hint="eastAsia" w:ascii="宋体" w:hAnsi="宋体" w:cs="宋体"/>
          <w:b/>
          <w:bCs/>
          <w:color w:val="000000" w:themeColor="text1"/>
          <w:sz w:val="36"/>
          <w:szCs w:val="36"/>
          <w:highlight w:val="none"/>
          <w14:textFill>
            <w14:solidFill>
              <w14:schemeClr w14:val="tx1"/>
            </w14:solidFill>
          </w14:textFill>
        </w:rPr>
        <w:t>代理机构：智博国际工程咨询有限公司</w:t>
      </w:r>
    </w:p>
    <w:p w14:paraId="1BB79B4F">
      <w:pPr>
        <w:spacing w:line="360" w:lineRule="auto"/>
        <w:jc w:val="center"/>
        <w:rPr>
          <w:rFonts w:ascii="宋体" w:hAnsi="宋体" w:cs="宋体"/>
          <w:b/>
          <w:bCs/>
          <w:color w:val="000000" w:themeColor="text1"/>
          <w:sz w:val="36"/>
          <w:szCs w:val="36"/>
          <w:highlight w:val="none"/>
          <w14:textFill>
            <w14:solidFill>
              <w14:schemeClr w14:val="tx1"/>
            </w14:solidFill>
          </w14:textFill>
        </w:rPr>
        <w:sectPr>
          <w:footerReference r:id="rId5" w:type="first"/>
          <w:headerReference r:id="rId3" w:type="even"/>
          <w:footerReference r:id="rId4" w:type="even"/>
          <w:pgSz w:w="11905" w:h="16838"/>
          <w:pgMar w:top="1304" w:right="1304" w:bottom="1304" w:left="1304" w:header="0" w:footer="737" w:gutter="0"/>
          <w:pgNumType w:fmt="numberInDash" w:start="1"/>
          <w:cols w:space="0" w:num="1"/>
          <w:rtlGutter w:val="0"/>
          <w:docGrid w:linePitch="380" w:charSpace="0"/>
        </w:sectPr>
      </w:pPr>
      <w:r>
        <w:rPr>
          <w:rFonts w:hint="eastAsia" w:ascii="宋体" w:hAnsi="宋体" w:cs="宋体"/>
          <w:b/>
          <w:bCs/>
          <w:color w:val="000000" w:themeColor="text1"/>
          <w:sz w:val="36"/>
          <w:szCs w:val="36"/>
          <w:highlight w:val="none"/>
          <w14:textFill>
            <w14:solidFill>
              <w14:schemeClr w14:val="tx1"/>
            </w14:solidFill>
          </w14:textFill>
        </w:rPr>
        <w:t>日    期：</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二零二四 </w:t>
      </w:r>
      <w:r>
        <w:rPr>
          <w:rFonts w:hint="eastAsia" w:ascii="宋体" w:hAnsi="宋体" w:cs="宋体"/>
          <w:b/>
          <w:bCs/>
          <w:color w:val="000000" w:themeColor="text1"/>
          <w:sz w:val="36"/>
          <w:szCs w:val="36"/>
          <w:highlight w:val="none"/>
          <w14:textFill>
            <w14:solidFill>
              <w14:schemeClr w14:val="tx1"/>
            </w14:solidFill>
          </w14:textFill>
        </w:rPr>
        <w:t>年</w:t>
      </w:r>
      <w:r>
        <w:rPr>
          <w:rFonts w:hint="eastAsia" w:ascii="宋体" w:hAnsi="宋体" w:cs="宋体"/>
          <w:b/>
          <w:bCs/>
          <w:color w:val="000000" w:themeColor="text1"/>
          <w:sz w:val="36"/>
          <w:szCs w:val="36"/>
          <w:highlight w:val="none"/>
          <w:lang w:val="en-US" w:eastAsia="zh-CN"/>
          <w14:textFill>
            <w14:solidFill>
              <w14:schemeClr w14:val="tx1"/>
            </w14:solidFill>
          </w14:textFill>
        </w:rPr>
        <w:t xml:space="preserve"> 十二 </w:t>
      </w:r>
      <w:r>
        <w:rPr>
          <w:rFonts w:hint="eastAsia" w:ascii="宋体" w:hAnsi="宋体" w:cs="宋体"/>
          <w:b/>
          <w:bCs/>
          <w:color w:val="000000" w:themeColor="text1"/>
          <w:sz w:val="36"/>
          <w:szCs w:val="36"/>
          <w:highlight w:val="none"/>
          <w14:textFill>
            <w14:solidFill>
              <w14:schemeClr w14:val="tx1"/>
            </w14:solidFill>
          </w14:textFill>
        </w:rPr>
        <w:t>月</w:t>
      </w:r>
    </w:p>
    <w:p w14:paraId="4512DA30">
      <w:pPr>
        <w:spacing w:line="360" w:lineRule="auto"/>
        <w:jc w:val="center"/>
        <w:rPr>
          <w:rFonts w:ascii="宋体" w:hAnsi="宋体" w:cs="宋体"/>
          <w:color w:val="000000" w:themeColor="text1"/>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p>
    <w:p w14:paraId="794FCEF1">
      <w:pPr>
        <w:pStyle w:val="17"/>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bCs/>
          <w:color w:val="000000" w:themeColor="text1"/>
          <w:szCs w:val="21"/>
          <w:highlight w:val="none"/>
          <w:lang w:val="zh-CN"/>
          <w14:textFill>
            <w14:solidFill>
              <w14:schemeClr w14:val="tx1"/>
            </w14:solidFill>
          </w14:textFill>
        </w:rPr>
        <w:fldChar w:fldCharType="begin"/>
      </w:r>
      <w:r>
        <w:rPr>
          <w:rFonts w:hint="eastAsia" w:ascii="宋体" w:hAnsi="宋体" w:cs="宋体"/>
          <w:b/>
          <w:bCs/>
          <w:color w:val="000000" w:themeColor="text1"/>
          <w:szCs w:val="21"/>
          <w:highlight w:val="none"/>
          <w:lang w:val="zh-CN"/>
          <w14:textFill>
            <w14:solidFill>
              <w14:schemeClr w14:val="tx1"/>
            </w14:solidFill>
          </w14:textFill>
        </w:rPr>
        <w:instrText xml:space="preserve"> TOC \o "1-3" \h \z \u </w:instrText>
      </w:r>
      <w:r>
        <w:rPr>
          <w:rFonts w:hint="eastAsia" w:ascii="宋体" w:hAnsi="宋体" w:cs="宋体"/>
          <w:b/>
          <w:bCs/>
          <w:color w:val="000000" w:themeColor="text1"/>
          <w:szCs w:val="21"/>
          <w:highlight w:val="none"/>
          <w:lang w:val="zh-CN"/>
          <w14:textFill>
            <w14:solidFill>
              <w14:schemeClr w14:val="tx1"/>
            </w14:solidFill>
          </w14:textFill>
        </w:rPr>
        <w:fldChar w:fldCharType="separate"/>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"_Toc2516"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第一章</w:t>
      </w:r>
      <w:r>
        <w:rPr>
          <w:rFonts w:hint="eastAsia" w:ascii="宋体" w:hAnsi="宋体" w:cs="宋体"/>
          <w:bCs/>
          <w:color w:val="000000" w:themeColor="text1"/>
          <w:sz w:val="28"/>
          <w:szCs w:val="28"/>
          <w:highlight w:val="none"/>
          <w14:textFill>
            <w14:solidFill>
              <w14:schemeClr w14:val="tx1"/>
            </w14:solidFill>
          </w14:textFill>
        </w:rPr>
        <w:t xml:space="preserve"> 招标公告</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_Toc2516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A056FE3">
      <w:pPr>
        <w:pStyle w:val="17"/>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"_Toc17008"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第二章 供应商须知</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_Toc17008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8</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6757FCBA">
      <w:pPr>
        <w:pStyle w:val="17"/>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"_Toc15006"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第三章 评标办法（综合评分法）</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_Toc15006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21</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D5493D9">
      <w:pPr>
        <w:pStyle w:val="17"/>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"_Toc1909"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第四章 合同条款及格式</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_Toc1909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28</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10A3087">
      <w:pPr>
        <w:pStyle w:val="17"/>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"_Toc13770" </w:instrText>
      </w:r>
      <w:r>
        <w:rPr>
          <w:color w:val="000000" w:themeColor="text1"/>
          <w:highlight w:val="none"/>
          <w14:textFill>
            <w14:solidFill>
              <w14:schemeClr w14:val="tx1"/>
            </w14:solidFill>
          </w14:textFill>
        </w:rPr>
        <w:fldChar w:fldCharType="separate"/>
      </w:r>
      <w:r>
        <w:rPr>
          <w:rFonts w:hint="eastAsia" w:ascii="宋体" w:hAnsi="宋体" w:cs="宋体"/>
          <w:bCs/>
          <w:color w:val="000000" w:themeColor="text1"/>
          <w:sz w:val="28"/>
          <w:szCs w:val="28"/>
          <w:highlight w:val="none"/>
          <w14:textFill>
            <w14:solidFill>
              <w14:schemeClr w14:val="tx1"/>
            </w14:solidFill>
          </w14:textFill>
        </w:rPr>
        <w:t>第五章 采购内容及技术要求</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_Toc13770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30</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7FDBDF17">
      <w:pPr>
        <w:pStyle w:val="17"/>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"_Toc14121"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第六章 质疑与投诉</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_Toc14121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44</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11BDDD4B">
      <w:pPr>
        <w:pStyle w:val="17"/>
        <w:tabs>
          <w:tab w:val="right" w:leader="dot" w:pos="9747"/>
        </w:tabs>
        <w:spacing w:line="480" w:lineRule="auto"/>
        <w:rPr>
          <w:rFonts w:ascii="宋体" w:hAnsi="宋体" w:cs="宋体"/>
          <w:color w:val="000000" w:themeColor="text1"/>
          <w:sz w:val="28"/>
          <w:szCs w:val="28"/>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"_Toc8922"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第七章 履约验收</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_Toc8922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45</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20D0B4E9">
      <w:pPr>
        <w:pStyle w:val="17"/>
        <w:tabs>
          <w:tab w:val="right" w:leader="dot" w:pos="9747"/>
        </w:tabs>
        <w:spacing w:line="480" w:lineRule="auto"/>
        <w:rPr>
          <w:color w:val="000000" w:themeColor="text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\l "_Toc19054"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第八章 投标文件格式</w:t>
      </w:r>
      <w:r>
        <w:rPr>
          <w:rFonts w:hint="eastAsia" w:ascii="宋体" w:hAnsi="宋体" w:cs="宋体"/>
          <w:color w:val="000000" w:themeColor="text1"/>
          <w:sz w:val="28"/>
          <w:szCs w:val="28"/>
          <w:highlight w:val="none"/>
          <w14:textFill>
            <w14:solidFill>
              <w14:schemeClr w14:val="tx1"/>
            </w14:solidFill>
          </w14:textFill>
        </w:rPr>
        <w:tab/>
      </w:r>
      <w:r>
        <w:rPr>
          <w:rFonts w:hint="eastAsia" w:ascii="宋体" w:hAnsi="宋体" w:cs="宋体"/>
          <w:color w:val="000000" w:themeColor="text1"/>
          <w:sz w:val="28"/>
          <w:szCs w:val="28"/>
          <w:highlight w:val="none"/>
          <w14:textFill>
            <w14:solidFill>
              <w14:schemeClr w14:val="tx1"/>
            </w14:solidFill>
          </w14:textFill>
        </w:rPr>
        <w:fldChar w:fldCharType="begin"/>
      </w:r>
      <w:r>
        <w:rPr>
          <w:rFonts w:hint="eastAsia" w:ascii="宋体" w:hAnsi="宋体" w:cs="宋体"/>
          <w:color w:val="000000" w:themeColor="text1"/>
          <w:sz w:val="28"/>
          <w:szCs w:val="28"/>
          <w:highlight w:val="none"/>
          <w14:textFill>
            <w14:solidFill>
              <w14:schemeClr w14:val="tx1"/>
            </w14:solidFill>
          </w14:textFill>
        </w:rPr>
        <w:instrText xml:space="preserve"> PAGEREF _Toc19054 \h </w:instrText>
      </w:r>
      <w:r>
        <w:rPr>
          <w:rFonts w:hint="eastAsia" w:ascii="宋体" w:hAnsi="宋体" w:cs="宋体"/>
          <w:color w:val="000000" w:themeColor="text1"/>
          <w:sz w:val="28"/>
          <w:szCs w:val="28"/>
          <w:highlight w:val="none"/>
          <w14:textFill>
            <w14:solidFill>
              <w14:schemeClr w14:val="tx1"/>
            </w14:solidFill>
          </w14:textFill>
        </w:rPr>
        <w:fldChar w:fldCharType="separate"/>
      </w:r>
      <w:r>
        <w:rPr>
          <w:rFonts w:hint="eastAsia" w:ascii="宋体" w:hAnsi="宋体" w:cs="宋体"/>
          <w:color w:val="000000" w:themeColor="text1"/>
          <w:sz w:val="28"/>
          <w:szCs w:val="28"/>
          <w:highlight w:val="none"/>
          <w14:textFill>
            <w14:solidFill>
              <w14:schemeClr w14:val="tx1"/>
            </w14:solidFill>
          </w14:textFill>
        </w:rPr>
        <w:t>46</w:t>
      </w:r>
      <w:r>
        <w:rPr>
          <w:rFonts w:hint="eastAsia" w:ascii="宋体" w:hAnsi="宋体" w:cs="宋体"/>
          <w:color w:val="000000" w:themeColor="text1"/>
          <w:sz w:val="28"/>
          <w:szCs w:val="28"/>
          <w:highlight w:val="none"/>
          <w14:textFill>
            <w14:solidFill>
              <w14:schemeClr w14:val="tx1"/>
            </w14:solidFill>
          </w14:textFill>
        </w:rPr>
        <w:fldChar w:fldCharType="end"/>
      </w:r>
      <w:r>
        <w:rPr>
          <w:rFonts w:hint="eastAsia" w:ascii="宋体" w:hAnsi="宋体" w:cs="宋体"/>
          <w:color w:val="000000" w:themeColor="text1"/>
          <w:sz w:val="28"/>
          <w:szCs w:val="28"/>
          <w:highlight w:val="none"/>
          <w14:textFill>
            <w14:solidFill>
              <w14:schemeClr w14:val="tx1"/>
            </w14:solidFill>
          </w14:textFill>
        </w:rPr>
        <w:fldChar w:fldCharType="end"/>
      </w:r>
    </w:p>
    <w:p w14:paraId="5C5AB0E6">
      <w:pPr>
        <w:pStyle w:val="20"/>
        <w:tabs>
          <w:tab w:val="right" w:leader="dot" w:pos="9747"/>
        </w:tabs>
        <w:rPr>
          <w:color w:val="000000" w:themeColor="text1"/>
          <w:highlight w:val="none"/>
          <w14:textFill>
            <w14:solidFill>
              <w14:schemeClr w14:val="tx1"/>
            </w14:solidFill>
          </w14:textFill>
        </w:rPr>
      </w:pPr>
    </w:p>
    <w:p w14:paraId="440F21AD">
      <w:pPr>
        <w:rPr>
          <w:rFonts w:ascii="宋体" w:hAnsi="宋体" w:cs="宋体"/>
          <w:bCs/>
          <w:caps/>
          <w:color w:val="000000" w:themeColor="text1"/>
          <w:szCs w:val="21"/>
          <w:highlight w:val="none"/>
          <w:lang w:val="zh-CN"/>
          <w14:textFill>
            <w14:solidFill>
              <w14:schemeClr w14:val="tx1"/>
            </w14:solidFill>
          </w14:textFill>
        </w:rPr>
      </w:pPr>
      <w:r>
        <w:rPr>
          <w:rFonts w:hint="eastAsia" w:ascii="宋体" w:hAnsi="宋体" w:cs="宋体"/>
          <w:bCs/>
          <w:caps/>
          <w:color w:val="000000" w:themeColor="text1"/>
          <w:szCs w:val="21"/>
          <w:highlight w:val="none"/>
          <w:lang w:val="zh-CN"/>
          <w14:textFill>
            <w14:solidFill>
              <w14:schemeClr w14:val="tx1"/>
            </w14:solidFill>
          </w14:textFill>
        </w:rPr>
        <w:fldChar w:fldCharType="end"/>
      </w:r>
      <w:bookmarkStart w:id="1" w:name="_Toc22837"/>
      <w:bookmarkStart w:id="2" w:name="_Toc18853"/>
    </w:p>
    <w:p w14:paraId="04D763CF">
      <w:pPr>
        <w:rPr>
          <w:rFonts w:ascii="宋体" w:hAnsi="宋体" w:cs="宋体"/>
          <w:bCs/>
          <w:caps/>
          <w:color w:val="000000" w:themeColor="text1"/>
          <w:szCs w:val="21"/>
          <w:highlight w:val="none"/>
          <w:lang w:val="zh-CN"/>
          <w14:textFill>
            <w14:solidFill>
              <w14:schemeClr w14:val="tx1"/>
            </w14:solidFill>
          </w14:textFill>
        </w:rPr>
      </w:pPr>
      <w:r>
        <w:rPr>
          <w:rFonts w:hint="eastAsia" w:ascii="宋体" w:hAnsi="宋体" w:cs="宋体"/>
          <w:bCs/>
          <w:caps/>
          <w:color w:val="000000" w:themeColor="text1"/>
          <w:szCs w:val="21"/>
          <w:highlight w:val="none"/>
          <w:lang w:val="zh-CN"/>
          <w14:textFill>
            <w14:solidFill>
              <w14:schemeClr w14:val="tx1"/>
            </w14:solidFill>
          </w14:textFill>
        </w:rPr>
        <w:br w:type="page"/>
      </w:r>
      <w:bookmarkStart w:id="388" w:name="_GoBack"/>
      <w:bookmarkEnd w:id="388"/>
    </w:p>
    <w:p w14:paraId="0ABE0CA9">
      <w:pPr>
        <w:spacing w:line="360" w:lineRule="auto"/>
        <w:jc w:val="center"/>
        <w:rPr>
          <w:rFonts w:ascii="宋体" w:hAnsi="宋体" w:cs="宋体"/>
          <w:b/>
          <w:bCs/>
          <w:color w:val="000000" w:themeColor="text1"/>
          <w:sz w:val="40"/>
          <w:szCs w:val="40"/>
          <w:highlight w:val="none"/>
          <w14:textFill>
            <w14:solidFill>
              <w14:schemeClr w14:val="tx1"/>
            </w14:solidFill>
          </w14:textFill>
        </w:rPr>
      </w:pPr>
      <w:r>
        <w:rPr>
          <w:rFonts w:hint="eastAsia" w:ascii="宋体" w:hAnsi="宋体" w:cs="宋体"/>
          <w:b/>
          <w:bCs/>
          <w:color w:val="000000" w:themeColor="text1"/>
          <w:sz w:val="32"/>
          <w:szCs w:val="40"/>
          <w:highlight w:val="none"/>
          <w14:textFill>
            <w14:solidFill>
              <w14:schemeClr w14:val="tx1"/>
            </w14:solidFill>
          </w14:textFill>
        </w:rPr>
        <w:t>重要事项提示</w:t>
      </w:r>
      <w:bookmarkEnd w:id="1"/>
      <w:bookmarkEnd w:id="2"/>
    </w:p>
    <w:p w14:paraId="7A6C46A8">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各潜在投标人：</w:t>
      </w:r>
    </w:p>
    <w:p w14:paraId="0D504E7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以下环节是此采购文件中需要重点关注的环节，对以下内容的忽视，可能是影响贵公司中标的重要因素。请在编制相应文件参与政府采购时高度重视。</w:t>
      </w:r>
    </w:p>
    <w:p w14:paraId="4D14AE7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1、采购文件应通过焦作市公共资源交易中心网站会员系统进行网上下载；未使用</w:t>
      </w:r>
      <w:r>
        <w:rPr>
          <w:rFonts w:hint="eastAsia" w:ascii="宋体" w:hAnsi="宋体" w:cs="宋体"/>
          <w:bCs/>
          <w:color w:val="000000" w:themeColor="text1"/>
          <w:kern w:val="0"/>
          <w:sz w:val="24"/>
          <w:highlight w:val="none"/>
          <w14:textFill>
            <w14:solidFill>
              <w14:schemeClr w14:val="tx1"/>
            </w14:solidFill>
          </w14:textFill>
        </w:rPr>
        <w:t>企业 CA 密匙</w:t>
      </w:r>
      <w:r>
        <w:rPr>
          <w:rFonts w:hint="eastAsia" w:ascii="宋体" w:hAnsi="宋体" w:cs="宋体"/>
          <w:color w:val="000000" w:themeColor="text1"/>
          <w:sz w:val="24"/>
          <w:highlight w:val="none"/>
          <w14:textFill>
            <w14:solidFill>
              <w14:schemeClr w14:val="tx1"/>
            </w14:solidFill>
          </w14:textFill>
        </w:rPr>
        <w:t>登录焦作市公共资源交易中心网站会员系统进行网上下载文件的，投标视为无效；</w:t>
      </w:r>
    </w:p>
    <w:p w14:paraId="77AF0A9B">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具体要求详见招标文件。 平台统一技术服务电话：400-998-0000，服务 QQ：4008503300，服务时间：周一至周日 8：00-17：30。</w:t>
      </w:r>
    </w:p>
    <w:p w14:paraId="2BB8DBD9">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投标人无需到现场参加开标会议，无需到达现场提交原件资料。投标人应当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17ED367">
      <w:pPr>
        <w:pStyle w:val="23"/>
        <w:numPr>
          <w:ilvl w:val="0"/>
          <w:numId w:val="2"/>
        </w:numPr>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有下列情形之一的，将作为自动放弃、无效投标或废标处理：</w:t>
      </w:r>
    </w:p>
    <w:p w14:paraId="5262064A">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（1）在投标文件中对同一采购项目有两个或多个报价，且未声明哪一个有效的；</w:t>
      </w:r>
    </w:p>
    <w:p w14:paraId="09963AF7">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（2）响应文件的关键内容（投标报价、合同履行期限（供货及安装期）、质量标准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品牌、型号、投标有效期</w:t>
      </w:r>
      <w:r>
        <w:rPr>
          <w:rFonts w:hint="eastAsia"/>
          <w:color w:val="000000" w:themeColor="text1"/>
          <w:highlight w:val="none"/>
          <w14:textFill>
            <w14:solidFill>
              <w14:schemeClr w14:val="tx1"/>
            </w14:solidFill>
          </w14:textFill>
        </w:rPr>
        <w:t>等））未填写或填写字迹模糊无法辨认的；</w:t>
      </w:r>
    </w:p>
    <w:p w14:paraId="1C6F29C9">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（3）相关资格证明文件不合格的；</w:t>
      </w:r>
    </w:p>
    <w:p w14:paraId="4D8F46BF">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（4）投标报价超出</w:t>
      </w:r>
      <w:r>
        <w:rPr>
          <w:rFonts w:hint="eastAsia"/>
          <w:color w:val="000000" w:themeColor="text1"/>
          <w:highlight w:val="none"/>
          <w:lang w:eastAsia="zh-CN"/>
          <w14:textFill>
            <w14:solidFill>
              <w14:schemeClr w14:val="tx1"/>
            </w14:solidFill>
          </w14:textFill>
        </w:rPr>
        <w:t>最高限价</w:t>
      </w:r>
      <w:r>
        <w:rPr>
          <w:rFonts w:hint="eastAsia"/>
          <w:color w:val="000000" w:themeColor="text1"/>
          <w:highlight w:val="none"/>
          <w14:textFill>
            <w14:solidFill>
              <w14:schemeClr w14:val="tx1"/>
            </w14:solidFill>
          </w14:textFill>
        </w:rPr>
        <w:t>的；</w:t>
      </w:r>
    </w:p>
    <w:p w14:paraId="39A8AA50">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（5）投标文件中附有采购人不能接受的条件的；</w:t>
      </w:r>
    </w:p>
    <w:p w14:paraId="323F87EB">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（6）投标文件有明显不符合采购文件其它要求和有关法律法规的；</w:t>
      </w:r>
    </w:p>
    <w:p w14:paraId="0854F03B">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7）如因两个或两个以上投标人使用同一台计算或同一个IP上传响应文件，被不见面开标系统提示为“投标文件制作机器码一致”的，则视其投标无效。若经查实有《政府采购法实施条例》第七十四条情形，监管部门将依法做出处理；</w:t>
      </w:r>
    </w:p>
    <w:p w14:paraId="6CB88FC0">
      <w:pPr>
        <w:pStyle w:val="23"/>
        <w:spacing w:before="0" w:beforeAutospacing="0" w:after="0" w:afterAutospacing="0" w:line="360" w:lineRule="auto"/>
        <w:ind w:firstLine="480" w:firstLineChars="200"/>
        <w:jc w:val="both"/>
        <w:rPr>
          <w:color w:val="000000" w:themeColor="text1"/>
          <w:highlight w:val="none"/>
          <w14:textFill>
            <w14:solidFill>
              <w14:schemeClr w14:val="tx1"/>
            </w14:solidFill>
          </w14:textFill>
        </w:rPr>
      </w:pPr>
      <w:r>
        <w:rPr>
          <w:rFonts w:hint="eastAsia"/>
          <w:color w:val="000000" w:themeColor="text1"/>
          <w:highlight w:val="none"/>
          <w14:textFill>
            <w14:solidFill>
              <w14:schemeClr w14:val="tx1"/>
            </w14:solidFill>
          </w14:textFill>
        </w:rPr>
        <w:t>（8）在评标过程中，评标委员会发现投标单位的报价明显低于其它投标报价，使得其投标报价可能低于其个别成本的，应当要求该投标人作出书面说明并提供相关证明材料。投标人不能合理说明或者不能提供相关证明材料的，由评标委员会认定该投标人以低于成本报价竞标的。</w:t>
      </w:r>
    </w:p>
    <w:p w14:paraId="500F52EC">
      <w:pPr>
        <w:pStyle w:val="23"/>
        <w:spacing w:before="0" w:beforeAutospacing="0" w:after="0" w:afterAutospacing="0" w:line="360" w:lineRule="auto"/>
        <w:ind w:firstLine="482" w:firstLineChars="200"/>
        <w:jc w:val="both"/>
        <w:rPr>
          <w:b/>
          <w:bCs/>
          <w:color w:val="000000" w:themeColor="text1"/>
          <w:highlight w:val="none"/>
          <w14:textFill>
            <w14:solidFill>
              <w14:schemeClr w14:val="tx1"/>
            </w14:solidFill>
          </w14:textFill>
        </w:rPr>
      </w:pPr>
      <w:r>
        <w:rPr>
          <w:rFonts w:hint="eastAsia"/>
          <w:b/>
          <w:bCs/>
          <w:color w:val="000000" w:themeColor="text1"/>
          <w:highlight w:val="none"/>
          <w14:textFill>
            <w14:solidFill>
              <w14:schemeClr w14:val="tx1"/>
            </w14:solidFill>
          </w14:textFill>
        </w:rPr>
        <w:t>注：中标结果确定后，按照此文件合同文本签订正式合同，签订合同后一个工作日内完成合同备案公示。</w:t>
      </w:r>
    </w:p>
    <w:p w14:paraId="352B35DB">
      <w:pPr>
        <w:spacing w:line="360" w:lineRule="auto"/>
        <w:rPr>
          <w:rFonts w:ascii="宋体" w:hAnsi="宋体" w:cs="宋体"/>
          <w:color w:val="000000" w:themeColor="text1"/>
          <w:highlight w:val="none"/>
          <w14:textFill>
            <w14:solidFill>
              <w14:schemeClr w14:val="tx1"/>
            </w14:solidFill>
          </w14:textFill>
        </w:rPr>
      </w:pPr>
    </w:p>
    <w:p w14:paraId="7C0E0DAA">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br w:type="page"/>
      </w:r>
    </w:p>
    <w:p w14:paraId="2F757EAF">
      <w:pPr>
        <w:pStyle w:val="24"/>
        <w:spacing w:before="0" w:after="0" w:line="360" w:lineRule="auto"/>
        <w:rPr>
          <w:rFonts w:ascii="宋体" w:hAnsi="宋体" w:eastAsia="宋体" w:cs="宋体"/>
          <w:bCs/>
          <w:color w:val="000000" w:themeColor="text1"/>
          <w:highlight w:val="none"/>
          <w14:textFill>
            <w14:solidFill>
              <w14:schemeClr w14:val="tx1"/>
            </w14:solidFill>
          </w14:textFill>
        </w:rPr>
      </w:pPr>
      <w:bookmarkStart w:id="3" w:name="_Toc2516"/>
      <w:r>
        <w:rPr>
          <w:rFonts w:hint="eastAsia" w:ascii="宋体" w:hAnsi="宋体" w:eastAsia="宋体" w:cs="宋体"/>
          <w:color w:val="000000" w:themeColor="text1"/>
          <w:highlight w:val="none"/>
          <w14:textFill>
            <w14:solidFill>
              <w14:schemeClr w14:val="tx1"/>
            </w14:solidFill>
          </w14:textFill>
        </w:rPr>
        <w:t>第一章</w:t>
      </w:r>
      <w:r>
        <w:rPr>
          <w:rFonts w:hint="eastAsia" w:ascii="宋体" w:hAnsi="宋体" w:eastAsia="宋体" w:cs="宋体"/>
          <w:bCs/>
          <w:color w:val="000000" w:themeColor="text1"/>
          <w:highlight w:val="none"/>
          <w14:textFill>
            <w14:solidFill>
              <w14:schemeClr w14:val="tx1"/>
            </w14:solidFill>
          </w14:textFill>
        </w:rPr>
        <w:t xml:space="preserve"> 招标公告</w:t>
      </w:r>
      <w:bookmarkEnd w:id="3"/>
    </w:p>
    <w:p w14:paraId="5DAA4D0E">
      <w:pPr>
        <w:pStyle w:val="24"/>
        <w:keepNext w:val="0"/>
        <w:keepLines w:val="0"/>
        <w:pageBreakBefore w:val="0"/>
        <w:kinsoku/>
        <w:wordWrap/>
        <w:overflowPunct/>
        <w:topLinePunct w:val="0"/>
        <w:autoSpaceDE/>
        <w:autoSpaceDN/>
        <w:bidi w:val="0"/>
        <w:spacing w:before="0" w:after="0" w:line="440" w:lineRule="exact"/>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博爱县教育体育局焦作新材料职业学院图书、教学设备、实验设备等采购项目</w:t>
      </w:r>
    </w:p>
    <w:p w14:paraId="102E9665">
      <w:pPr>
        <w:pStyle w:val="24"/>
        <w:keepNext w:val="0"/>
        <w:keepLines w:val="0"/>
        <w:pageBreakBefore w:val="0"/>
        <w:kinsoku/>
        <w:wordWrap/>
        <w:overflowPunct/>
        <w:topLinePunct w:val="0"/>
        <w:autoSpaceDE/>
        <w:autoSpaceDN/>
        <w:bidi w:val="0"/>
        <w:spacing w:before="0" w:after="0" w:line="440" w:lineRule="exact"/>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二标段（二次）项目（机房类二次）</w:t>
      </w:r>
      <w:r>
        <w:rPr>
          <w:rFonts w:hint="eastAsia" w:ascii="宋体" w:hAnsi="宋体" w:eastAsia="宋体" w:cs="宋体"/>
          <w:b/>
          <w:bCs/>
          <w:color w:val="000000" w:themeColor="text1"/>
          <w:sz w:val="24"/>
          <w:szCs w:val="24"/>
          <w:highlight w:val="none"/>
          <w:lang w:eastAsia="zh-CN"/>
          <w14:textFill>
            <w14:solidFill>
              <w14:schemeClr w14:val="tx1"/>
            </w14:solidFill>
          </w14:textFill>
        </w:rPr>
        <w:t>招标公告（</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不见面开标</w:t>
      </w:r>
      <w:r>
        <w:rPr>
          <w:rFonts w:hint="eastAsia" w:ascii="宋体" w:hAnsi="宋体" w:eastAsia="宋体" w:cs="宋体"/>
          <w:b/>
          <w:bCs/>
          <w:color w:val="000000" w:themeColor="text1"/>
          <w:sz w:val="24"/>
          <w:szCs w:val="24"/>
          <w:highlight w:val="none"/>
          <w:lang w:eastAsia="zh-CN"/>
          <w14:textFill>
            <w14:solidFill>
              <w14:schemeClr w14:val="tx1"/>
            </w14:solidFill>
          </w14:textFill>
        </w:rPr>
        <w:t>）</w:t>
      </w:r>
    </w:p>
    <w:tbl>
      <w:tblPr>
        <w:tblStyle w:val="29"/>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9513"/>
      </w:tblGrid>
      <w:tr w14:paraId="3D1792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9963" w:type="dxa"/>
          </w:tcPr>
          <w:p w14:paraId="372DC84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firstLine="480" w:firstLineChars="200"/>
              <w:textAlignment w:val="auto"/>
              <w:rPr>
                <w:rFonts w:hint="eastAsia" w:ascii="宋体" w:hAnsi="宋体" w:eastAsia="宋体" w:cs="宋体"/>
                <w:color w:val="000000" w:themeColor="text1"/>
                <w:sz w:val="24"/>
                <w:szCs w:val="24"/>
                <w:highlight w:val="none"/>
                <w:vertAlign w:val="baseli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项目概况</w:t>
            </w:r>
            <w:r>
              <w:rPr>
                <w:rFonts w:hint="eastAsia" w:cs="宋体"/>
                <w:color w:val="000000" w:themeColor="text1"/>
                <w:sz w:val="24"/>
                <w:szCs w:val="24"/>
                <w:highlight w:val="none"/>
                <w:lang w:eastAsia="zh-CN"/>
                <w14:textFill>
                  <w14:solidFill>
                    <w14:schemeClr w14:val="tx1"/>
                  </w14:solidFill>
                </w14:textFill>
              </w:rPr>
              <w:t>：博爱县教育体育局焦作新材料职业学院图书、教学设备、实验设备等采购项目</w:t>
            </w:r>
            <w:r>
              <w:rPr>
                <w:rFonts w:hint="eastAsia" w:cs="宋体"/>
                <w:color w:val="000000" w:themeColor="text1"/>
                <w:sz w:val="24"/>
                <w:szCs w:val="24"/>
                <w:highlight w:val="none"/>
                <w:lang w:val="en-US" w:eastAsia="zh-CN"/>
                <w14:textFill>
                  <w14:solidFill>
                    <w14:schemeClr w14:val="tx1"/>
                  </w14:solidFill>
                </w14:textFill>
              </w:rPr>
              <w:t>二标段（二次）项目（机房类二次）</w:t>
            </w:r>
            <w:r>
              <w:rPr>
                <w:rFonts w:hint="eastAsia" w:cs="宋体"/>
                <w:color w:val="000000" w:themeColor="text1"/>
                <w:sz w:val="24"/>
                <w:szCs w:val="24"/>
                <w:highlight w:val="none"/>
                <w:lang w:eastAsia="zh-CN"/>
                <w14:textFill>
                  <w14:solidFill>
                    <w14:schemeClr w14:val="tx1"/>
                  </w14:solidFill>
                </w14:textFill>
              </w:rPr>
              <w:t>的</w:t>
            </w:r>
            <w:r>
              <w:rPr>
                <w:rFonts w:hint="eastAsia" w:ascii="宋体" w:hAnsi="宋体" w:eastAsia="宋体" w:cs="宋体"/>
                <w:color w:val="000000" w:themeColor="text1"/>
                <w:sz w:val="24"/>
                <w:szCs w:val="24"/>
                <w:highlight w:val="none"/>
                <w14:textFill>
                  <w14:solidFill>
                    <w14:schemeClr w14:val="tx1"/>
                  </w14:solidFill>
                </w14:textFill>
              </w:rPr>
              <w:t>潜在供应商应在焦作市公共资源交易中心网站获取</w:t>
            </w:r>
            <w:r>
              <w:rPr>
                <w:rFonts w:hint="eastAsia" w:cs="宋体"/>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color w:val="000000" w:themeColor="text1"/>
                <w:sz w:val="24"/>
                <w:szCs w:val="24"/>
                <w:highlight w:val="none"/>
                <w14:textFill>
                  <w14:solidFill>
                    <w14:schemeClr w14:val="tx1"/>
                  </w14:solidFill>
                </w14:textFill>
              </w:rPr>
              <w:t>文件，并于</w:t>
            </w:r>
            <w:r>
              <w:rPr>
                <w:rFonts w:hint="eastAsia" w:cs="宋体"/>
                <w:b/>
                <w:bCs/>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b/>
                <w:bCs/>
                <w:color w:val="000000" w:themeColor="text1"/>
                <w:sz w:val="24"/>
                <w:szCs w:val="24"/>
                <w:highlight w:val="none"/>
                <w14:textFill>
                  <w14:solidFill>
                    <w14:schemeClr w14:val="tx1"/>
                  </w14:solidFill>
                </w14:textFill>
              </w:rPr>
              <w:t>年</w:t>
            </w:r>
            <w:r>
              <w:rPr>
                <w:rFonts w:hint="eastAsia" w:cs="宋体"/>
                <w:b/>
                <w:bCs/>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b/>
                <w:bCs/>
                <w:color w:val="000000" w:themeColor="text1"/>
                <w:sz w:val="24"/>
                <w:szCs w:val="24"/>
                <w:highlight w:val="none"/>
                <w14:textFill>
                  <w14:solidFill>
                    <w14:schemeClr w14:val="tx1"/>
                  </w14:solidFill>
                </w14:textFill>
              </w:rPr>
              <w:t>月</w:t>
            </w:r>
            <w:r>
              <w:rPr>
                <w:rFonts w:hint="eastAsia" w:cs="宋体"/>
                <w:b/>
                <w:bCs/>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b/>
                <w:bCs/>
                <w:color w:val="000000" w:themeColor="text1"/>
                <w:sz w:val="24"/>
                <w:szCs w:val="24"/>
                <w:highlight w:val="none"/>
                <w14:textFill>
                  <w14:solidFill>
                    <w14:schemeClr w14:val="tx1"/>
                  </w14:solidFill>
                </w14:textFill>
              </w:rPr>
              <w:t>日09时00分</w:t>
            </w:r>
            <w:r>
              <w:rPr>
                <w:rFonts w:hint="eastAsia" w:ascii="宋体" w:hAnsi="宋体" w:eastAsia="宋体" w:cs="宋体"/>
                <w:color w:val="000000" w:themeColor="text1"/>
                <w:sz w:val="24"/>
                <w:szCs w:val="24"/>
                <w:highlight w:val="none"/>
                <w14:textFill>
                  <w14:solidFill>
                    <w14:schemeClr w14:val="tx1"/>
                  </w14:solidFill>
                </w14:textFill>
              </w:rPr>
              <w:t>（北京时间）前递交</w:t>
            </w:r>
            <w:r>
              <w:rPr>
                <w:rFonts w:hint="eastAsia" w:cs="宋体"/>
                <w:color w:val="000000" w:themeColor="text1"/>
                <w:sz w:val="24"/>
                <w:szCs w:val="24"/>
                <w:highlight w:val="none"/>
                <w:lang w:val="en-US" w:eastAsia="zh-CN"/>
                <w14:textFill>
                  <w14:solidFill>
                    <w14:schemeClr w14:val="tx1"/>
                  </w14:solidFill>
                </w14:textFill>
              </w:rPr>
              <w:t>投标</w:t>
            </w:r>
            <w:r>
              <w:rPr>
                <w:rFonts w:hint="eastAsia" w:ascii="宋体" w:hAnsi="宋体" w:eastAsia="宋体" w:cs="宋体"/>
                <w:color w:val="000000" w:themeColor="text1"/>
                <w:sz w:val="24"/>
                <w:szCs w:val="24"/>
                <w:highlight w:val="none"/>
                <w14:textFill>
                  <w14:solidFill>
                    <w14:schemeClr w14:val="tx1"/>
                  </w14:solidFill>
                </w14:textFill>
              </w:rPr>
              <w:t>文件。</w:t>
            </w:r>
          </w:p>
        </w:tc>
      </w:tr>
    </w:tbl>
    <w:p w14:paraId="75DFEC3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一、项目基本情况</w:t>
      </w:r>
    </w:p>
    <w:p w14:paraId="225B2F0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w:t>
      </w:r>
      <w:r>
        <w:rPr>
          <w:rFonts w:hint="eastAsia" w:cs="宋体"/>
          <w:color w:val="000000" w:themeColor="text1"/>
          <w:sz w:val="24"/>
          <w:szCs w:val="24"/>
          <w:highlight w:val="none"/>
          <w:lang w:val="en-US" w:eastAsia="zh-CN"/>
          <w14:textFill>
            <w14:solidFill>
              <w14:schemeClr w14:val="tx1"/>
            </w14:solidFill>
          </w14:textFill>
        </w:rPr>
        <w:t>项目</w:t>
      </w:r>
      <w:r>
        <w:rPr>
          <w:rFonts w:hint="eastAsia" w:ascii="宋体" w:hAnsi="宋体" w:eastAsia="宋体" w:cs="宋体"/>
          <w:color w:val="000000" w:themeColor="text1"/>
          <w:sz w:val="24"/>
          <w:szCs w:val="24"/>
          <w:highlight w:val="none"/>
          <w:lang w:eastAsia="zh-CN"/>
          <w14:textFill>
            <w14:solidFill>
              <w14:schemeClr w14:val="tx1"/>
            </w14:solidFill>
          </w14:textFill>
        </w:rPr>
        <w:t>编号</w:t>
      </w:r>
      <w:r>
        <w:rPr>
          <w:rFonts w:hint="eastAsia" w:cs="宋体"/>
          <w:color w:val="000000" w:themeColor="text1"/>
          <w:sz w:val="24"/>
          <w:szCs w:val="24"/>
          <w:highlight w:val="none"/>
          <w:lang w:val="en-US" w:eastAsia="zh-CN"/>
          <w14:textFill>
            <w14:solidFill>
              <w14:schemeClr w14:val="tx1"/>
            </w14:solidFill>
          </w14:textFill>
        </w:rPr>
        <w:t>：博财招标采购-2024-25</w:t>
      </w:r>
    </w:p>
    <w:p w14:paraId="2835D68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default"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2.项目名称：</w:t>
      </w:r>
      <w:r>
        <w:rPr>
          <w:rFonts w:hint="eastAsia" w:cs="宋体"/>
          <w:color w:val="000000" w:themeColor="text1"/>
          <w:sz w:val="24"/>
          <w:szCs w:val="24"/>
          <w:highlight w:val="none"/>
          <w:lang w:val="en-US" w:eastAsia="zh-CN"/>
          <w14:textFill>
            <w14:solidFill>
              <w14:schemeClr w14:val="tx1"/>
            </w14:solidFill>
          </w14:textFill>
        </w:rPr>
        <w:t>博爱县教育体育局焦作新材料职业学院图书、教学设备、实验设备等采购项目二标段（二次）项目</w:t>
      </w:r>
    </w:p>
    <w:p w14:paraId="63FC3D4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3.采购方式：公开招标</w:t>
      </w:r>
    </w:p>
    <w:p w14:paraId="3842B02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4.预算金额：9400000</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p w14:paraId="3D657A2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最高限价：9400000</w:t>
      </w:r>
      <w:r>
        <w:rPr>
          <w:rFonts w:hint="eastAsia" w:cs="宋体"/>
          <w:color w:val="000000" w:themeColor="text1"/>
          <w:sz w:val="24"/>
          <w:szCs w:val="24"/>
          <w:highlight w:val="none"/>
          <w:lang w:val="en-US"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00</w:t>
      </w:r>
      <w:r>
        <w:rPr>
          <w:rFonts w:hint="eastAsia" w:ascii="宋体" w:hAnsi="宋体" w:eastAsia="宋体" w:cs="宋体"/>
          <w:color w:val="000000" w:themeColor="text1"/>
          <w:sz w:val="24"/>
          <w:szCs w:val="24"/>
          <w:highlight w:val="none"/>
          <w:lang w:eastAsia="zh-CN"/>
          <w14:textFill>
            <w14:solidFill>
              <w14:schemeClr w14:val="tx1"/>
            </w14:solidFill>
          </w14:textFill>
        </w:rPr>
        <w:t>元</w:t>
      </w:r>
    </w:p>
    <w:tbl>
      <w:tblPr>
        <w:tblStyle w:val="28"/>
        <w:tblW w:w="9776" w:type="dxa"/>
        <w:jc w:val="center"/>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15" w:type="dxa"/>
          <w:left w:w="15" w:type="dxa"/>
          <w:bottom w:w="15" w:type="dxa"/>
          <w:right w:w="15" w:type="dxa"/>
        </w:tblCellMar>
      </w:tblPr>
      <w:tblGrid>
        <w:gridCol w:w="764"/>
        <w:gridCol w:w="2906"/>
        <w:gridCol w:w="2644"/>
        <w:gridCol w:w="1808"/>
        <w:gridCol w:w="1654"/>
      </w:tblGrid>
      <w:tr w14:paraId="15C45F78">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1CC8D2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序号</w:t>
            </w:r>
          </w:p>
        </w:tc>
        <w:tc>
          <w:tcPr>
            <w:tcW w:w="2906"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3B4A871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包号</w:t>
            </w:r>
          </w:p>
        </w:tc>
        <w:tc>
          <w:tcPr>
            <w:tcW w:w="264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505B6DF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包名称</w:t>
            </w:r>
          </w:p>
        </w:tc>
        <w:tc>
          <w:tcPr>
            <w:tcW w:w="1808"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3C5DCE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包预算</w:t>
            </w:r>
          </w:p>
          <w:p w14:paraId="38ACCF0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c>
          <w:tcPr>
            <w:tcW w:w="165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6A2CBF8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包最高限价</w:t>
            </w:r>
          </w:p>
          <w:p w14:paraId="41FFDBC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（元）</w:t>
            </w:r>
          </w:p>
        </w:tc>
      </w:tr>
      <w:tr w14:paraId="6A35720D">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15" w:type="dxa"/>
            <w:left w:w="15" w:type="dxa"/>
            <w:bottom w:w="15" w:type="dxa"/>
            <w:right w:w="15" w:type="dxa"/>
          </w:tblCellMar>
        </w:tblPrEx>
        <w:trPr>
          <w:trHeight w:val="758" w:hRule="atLeast"/>
          <w:jc w:val="center"/>
        </w:trPr>
        <w:tc>
          <w:tcPr>
            <w:tcW w:w="76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4F1DB25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1</w:t>
            </w:r>
          </w:p>
        </w:tc>
        <w:tc>
          <w:tcPr>
            <w:tcW w:w="2906"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137FF3B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博政采购〔202</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85</w:t>
            </w:r>
            <w:r>
              <w:rPr>
                <w:rFonts w:hint="eastAsia" w:ascii="宋体" w:hAnsi="宋体" w:eastAsia="宋体" w:cs="宋体"/>
                <w:color w:val="000000" w:themeColor="text1"/>
                <w:sz w:val="24"/>
                <w:szCs w:val="24"/>
                <w:highlight w:val="none"/>
                <w:lang w:eastAsia="zh-CN"/>
                <w14:textFill>
                  <w14:solidFill>
                    <w14:schemeClr w14:val="tx1"/>
                  </w14:solidFill>
                </w14:textFill>
              </w:rPr>
              <w:t>号</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1</w:t>
            </w:r>
          </w:p>
        </w:tc>
        <w:tc>
          <w:tcPr>
            <w:tcW w:w="264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3310953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机房类实训室</w:t>
            </w:r>
            <w:r>
              <w:rPr>
                <w:rFonts w:hint="eastAsia" w:ascii="宋体" w:hAnsi="宋体" w:eastAsia="宋体" w:cs="宋体"/>
                <w:color w:val="000000" w:themeColor="text1"/>
                <w:sz w:val="24"/>
                <w:szCs w:val="24"/>
                <w:highlight w:val="none"/>
                <w:lang w:val="en-US" w:eastAsia="zh-CN"/>
                <w14:textFill>
                  <w14:solidFill>
                    <w14:schemeClr w14:val="tx1"/>
                  </w14:solidFill>
                </w14:textFill>
              </w:rPr>
              <w:t>设备</w:t>
            </w:r>
          </w:p>
        </w:tc>
        <w:tc>
          <w:tcPr>
            <w:tcW w:w="1808"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7A55EC0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default"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2850000.00</w:t>
            </w:r>
          </w:p>
        </w:tc>
        <w:tc>
          <w:tcPr>
            <w:tcW w:w="1654" w:type="dxa"/>
            <w:tcBorders>
              <w:top w:val="single" w:color="auto" w:sz="4" w:space="0"/>
              <w:left w:val="single" w:color="auto" w:sz="4" w:space="0"/>
              <w:bottom w:val="single" w:color="auto" w:sz="4" w:space="0"/>
              <w:right w:val="single" w:color="auto" w:sz="4" w:space="0"/>
            </w:tcBorders>
            <w:noWrap w:val="0"/>
            <w:tcMar>
              <w:top w:w="0" w:type="dxa"/>
              <w:left w:w="70" w:type="dxa"/>
              <w:bottom w:w="0" w:type="dxa"/>
              <w:right w:w="70" w:type="dxa"/>
            </w:tcMar>
            <w:vAlign w:val="center"/>
          </w:tcPr>
          <w:p w14:paraId="0014930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jc w:val="center"/>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2850000.00</w:t>
            </w:r>
          </w:p>
        </w:tc>
      </w:tr>
    </w:tbl>
    <w:p w14:paraId="6028BF2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5.采购需求（包括但不限于标的的名称、数量、简要技术需求或服务要求等）</w:t>
      </w:r>
    </w:p>
    <w:p w14:paraId="587077B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green"/>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cs="宋体"/>
          <w:color w:val="000000" w:themeColor="text1"/>
          <w:sz w:val="24"/>
          <w:szCs w:val="24"/>
          <w:highlight w:val="none"/>
          <w:lang w:eastAsia="zh-CN"/>
          <w14:textFill>
            <w14:solidFill>
              <w14:schemeClr w14:val="tx1"/>
            </w14:solidFill>
          </w14:textFill>
        </w:rPr>
        <w:t>本项目</w:t>
      </w:r>
      <w:r>
        <w:rPr>
          <w:rFonts w:hint="eastAsia" w:cs="宋体"/>
          <w:color w:val="000000" w:themeColor="text1"/>
          <w:sz w:val="24"/>
          <w:szCs w:val="24"/>
          <w:highlight w:val="none"/>
          <w:lang w:val="en-US" w:eastAsia="zh-CN"/>
          <w14:textFill>
            <w14:solidFill>
              <w14:schemeClr w14:val="tx1"/>
            </w14:solidFill>
          </w14:textFill>
        </w:rPr>
        <w:t>机房类</w:t>
      </w:r>
      <w:r>
        <w:rPr>
          <w:rFonts w:hint="eastAsia" w:cs="宋体"/>
          <w:color w:val="000000" w:themeColor="text1"/>
          <w:sz w:val="24"/>
          <w:szCs w:val="24"/>
          <w:highlight w:val="none"/>
          <w:lang w:eastAsia="zh-CN"/>
          <w14:textFill>
            <w14:solidFill>
              <w14:schemeClr w14:val="tx1"/>
            </w14:solidFill>
          </w14:textFill>
        </w:rPr>
        <w:t>主要采购机房类实训室设备等</w:t>
      </w:r>
      <w:r>
        <w:rPr>
          <w:rFonts w:hint="eastAsia" w:ascii="宋体" w:hAnsi="宋体" w:eastAsia="宋体" w:cs="宋体"/>
          <w:color w:val="000000" w:themeColor="text1"/>
          <w:sz w:val="24"/>
          <w:szCs w:val="24"/>
          <w:highlight w:val="none"/>
          <w:lang w:val="en-US" w:eastAsia="zh-CN"/>
          <w14:textFill>
            <w14:solidFill>
              <w14:schemeClr w14:val="tx1"/>
            </w14:solidFill>
          </w14:textFill>
        </w:rPr>
        <w:t>（详见招标文件第五章“采购内容及技术要求”）</w:t>
      </w:r>
      <w:r>
        <w:rPr>
          <w:rFonts w:hint="eastAsia" w:cs="宋体"/>
          <w:color w:val="000000" w:themeColor="text1"/>
          <w:sz w:val="24"/>
          <w:szCs w:val="24"/>
          <w:highlight w:val="none"/>
          <w:lang w:val="en-US" w:eastAsia="zh-CN"/>
          <w14:textFill>
            <w14:solidFill>
              <w14:schemeClr w14:val="tx1"/>
            </w14:solidFill>
          </w14:textFill>
        </w:rPr>
        <w:t>；</w:t>
      </w:r>
    </w:p>
    <w:p w14:paraId="154EFE1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（2）项目地点：采购人指定地点</w:t>
      </w:r>
      <w:r>
        <w:rPr>
          <w:rFonts w:hint="eastAsia" w:cs="宋体"/>
          <w:color w:val="000000" w:themeColor="text1"/>
          <w:sz w:val="24"/>
          <w:szCs w:val="24"/>
          <w:highlight w:val="none"/>
          <w:lang w:val="en-US" w:eastAsia="zh-CN"/>
          <w14:textFill>
            <w14:solidFill>
              <w14:schemeClr w14:val="tx1"/>
            </w14:solidFill>
          </w14:textFill>
        </w:rPr>
        <w:t>；</w:t>
      </w:r>
    </w:p>
    <w:p w14:paraId="2D765C9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w:t>
      </w:r>
      <w:r>
        <w:rPr>
          <w:rFonts w:hint="eastAsia" w:ascii="宋体" w:hAnsi="宋体" w:eastAsia="宋体" w:cs="宋体"/>
          <w:color w:val="000000" w:themeColor="text1"/>
          <w:sz w:val="24"/>
          <w:szCs w:val="24"/>
          <w:highlight w:val="none"/>
          <w:lang w:eastAsia="zh-CN"/>
          <w14:textFill>
            <w14:solidFill>
              <w14:schemeClr w14:val="tx1"/>
            </w14:solidFill>
          </w14:textFill>
        </w:rPr>
        <w:t>质量标准：合格，符合国家及行业规范标准</w:t>
      </w:r>
      <w:r>
        <w:rPr>
          <w:rFonts w:hint="eastAsia" w:cs="宋体"/>
          <w:color w:val="000000" w:themeColor="text1"/>
          <w:sz w:val="24"/>
          <w:szCs w:val="24"/>
          <w:highlight w:val="none"/>
          <w:lang w:eastAsia="zh-CN"/>
          <w14:textFill>
            <w14:solidFill>
              <w14:schemeClr w14:val="tx1"/>
            </w14:solidFill>
          </w14:textFill>
        </w:rPr>
        <w:t>；</w:t>
      </w:r>
    </w:p>
    <w:p w14:paraId="0CFA70C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4</w:t>
      </w: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）合同履行期限（供货及安装期）：</w:t>
      </w:r>
      <w:r>
        <w:rPr>
          <w:rFonts w:hint="eastAsia" w:ascii="宋体" w:hAnsi="宋体" w:eastAsia="宋体" w:cs="宋体"/>
          <w:color w:val="000000" w:themeColor="text1"/>
          <w:sz w:val="24"/>
          <w:szCs w:val="24"/>
          <w:highlight w:val="none"/>
          <w:lang w:val="en-US" w:eastAsia="zh-CN"/>
          <w14:textFill>
            <w14:solidFill>
              <w14:schemeClr w14:val="tx1"/>
            </w14:solidFill>
          </w14:textFill>
        </w:rPr>
        <w:t>30日历天</w:t>
      </w:r>
      <w:r>
        <w:rPr>
          <w:rFonts w:hint="eastAsia" w:cs="宋体"/>
          <w:color w:val="000000" w:themeColor="text1"/>
          <w:sz w:val="24"/>
          <w:szCs w:val="24"/>
          <w:highlight w:val="none"/>
          <w:lang w:val="en-US" w:eastAsia="zh-CN"/>
          <w14:textFill>
            <w14:solidFill>
              <w14:schemeClr w14:val="tx1"/>
            </w14:solidFill>
          </w14:textFill>
        </w:rPr>
        <w:t>；</w:t>
      </w:r>
    </w:p>
    <w:p w14:paraId="17D834D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w:t>
      </w:r>
      <w:r>
        <w:rPr>
          <w:rFonts w:hint="eastAsia" w:ascii="宋体" w:hAnsi="宋体" w:eastAsia="宋体" w:cs="宋体"/>
          <w:color w:val="000000" w:themeColor="text1"/>
          <w:sz w:val="24"/>
          <w:szCs w:val="24"/>
          <w:highlight w:val="none"/>
          <w:lang w:val="en-US" w:eastAsia="zh-CN"/>
          <w14:textFill>
            <w14:solidFill>
              <w14:schemeClr w14:val="tx1"/>
            </w14:solidFill>
          </w14:textFill>
        </w:rPr>
        <w:t>5</w:t>
      </w:r>
      <w:r>
        <w:rPr>
          <w:rFonts w:hint="eastAsia" w:ascii="宋体" w:hAnsi="宋体" w:eastAsia="宋体" w:cs="宋体"/>
          <w:color w:val="000000" w:themeColor="text1"/>
          <w:sz w:val="24"/>
          <w:szCs w:val="24"/>
          <w:highlight w:val="none"/>
          <w:lang w:eastAsia="zh-CN"/>
          <w14:textFill>
            <w14:solidFill>
              <w14:schemeClr w14:val="tx1"/>
            </w14:solidFill>
          </w14:textFill>
        </w:rPr>
        <w:t>）质保期：三年。</w:t>
      </w:r>
    </w:p>
    <w:p w14:paraId="2970D9B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6</w:t>
      </w:r>
      <w:r>
        <w:rPr>
          <w:rFonts w:hint="eastAsia" w:ascii="宋体" w:hAnsi="宋体" w:eastAsia="宋体" w:cs="宋体"/>
          <w:color w:val="000000" w:themeColor="text1"/>
          <w:sz w:val="24"/>
          <w:szCs w:val="24"/>
          <w:highlight w:val="none"/>
          <w:lang w:eastAsia="zh-CN"/>
          <w14:textFill>
            <w14:solidFill>
              <w14:schemeClr w14:val="tx1"/>
            </w14:solidFill>
          </w14:textFill>
        </w:rPr>
        <w:t>.合同履行期限：</w:t>
      </w:r>
      <w:r>
        <w:rPr>
          <w:rFonts w:hint="eastAsia" w:ascii="宋体" w:hAnsi="宋体" w:eastAsia="宋体" w:cs="宋体"/>
          <w:color w:val="000000" w:themeColor="text1"/>
          <w:sz w:val="24"/>
          <w:szCs w:val="24"/>
          <w:highlight w:val="none"/>
          <w:lang w:val="en-US" w:eastAsia="zh-CN"/>
          <w14:textFill>
            <w14:solidFill>
              <w14:schemeClr w14:val="tx1"/>
            </w14:solidFill>
          </w14:textFill>
        </w:rPr>
        <w:t>30日历天。</w:t>
      </w:r>
    </w:p>
    <w:p w14:paraId="4D6036A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7</w:t>
      </w:r>
      <w:r>
        <w:rPr>
          <w:rFonts w:hint="eastAsia" w:ascii="宋体" w:hAnsi="宋体" w:eastAsia="宋体" w:cs="宋体"/>
          <w:color w:val="000000" w:themeColor="text1"/>
          <w:sz w:val="24"/>
          <w:szCs w:val="24"/>
          <w:highlight w:val="none"/>
          <w:lang w:eastAsia="zh-CN"/>
          <w14:textFill>
            <w14:solidFill>
              <w14:schemeClr w14:val="tx1"/>
            </w14:solidFill>
          </w14:textFill>
        </w:rPr>
        <w:t>.本项目是否接受联合体投标：</w:t>
      </w:r>
      <w:r>
        <w:rPr>
          <w:rFonts w:hint="eastAsia" w:ascii="宋体" w:hAnsi="宋体" w:eastAsia="宋体" w:cs="宋体"/>
          <w:color w:val="000000" w:themeColor="text1"/>
          <w:sz w:val="24"/>
          <w:szCs w:val="24"/>
          <w:highlight w:val="none"/>
          <w:lang w:val="en-US" w:eastAsia="zh-CN"/>
          <w14:textFill>
            <w14:solidFill>
              <w14:schemeClr w14:val="tx1"/>
            </w14:solidFill>
          </w14:textFill>
        </w:rPr>
        <w:t>否。</w:t>
      </w:r>
    </w:p>
    <w:p w14:paraId="0E5CDB2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8</w:t>
      </w:r>
      <w:r>
        <w:rPr>
          <w:rFonts w:hint="eastAsia" w:ascii="宋体" w:hAnsi="宋体" w:eastAsia="宋体" w:cs="宋体"/>
          <w:color w:val="000000" w:themeColor="text1"/>
          <w:sz w:val="24"/>
          <w:szCs w:val="24"/>
          <w:highlight w:val="none"/>
          <w:lang w:eastAsia="zh-CN"/>
          <w14:textFill>
            <w14:solidFill>
              <w14:schemeClr w14:val="tx1"/>
            </w14:solidFill>
          </w14:textFill>
        </w:rPr>
        <w:t>.是否接受进口产品：否。</w:t>
      </w:r>
    </w:p>
    <w:p w14:paraId="3D66F1B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9</w:t>
      </w:r>
      <w:r>
        <w:rPr>
          <w:rFonts w:hint="eastAsia" w:ascii="宋体" w:hAnsi="宋体" w:eastAsia="宋体" w:cs="宋体"/>
          <w:color w:val="000000" w:themeColor="text1"/>
          <w:sz w:val="24"/>
          <w:szCs w:val="24"/>
          <w:highlight w:val="none"/>
          <w:lang w:eastAsia="zh-CN"/>
          <w14:textFill>
            <w14:solidFill>
              <w14:schemeClr w14:val="tx1"/>
            </w14:solidFill>
          </w14:textFill>
        </w:rPr>
        <w:t>.是否专门面向中小企业：否</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p>
    <w:p w14:paraId="00F2C53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二、申请人资格要求</w:t>
      </w:r>
    </w:p>
    <w:p w14:paraId="6E81300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1.符合《中华人民共和国政府采购法》第二十二条之规定；</w:t>
      </w:r>
    </w:p>
    <w:p w14:paraId="4A5F600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2.落实政府采购政策需满足的资格要求：促进中小企业和监狱企业发展扶持政策、政府强制采购节能产品、节能产品及环境标志产品优先采购。</w:t>
      </w:r>
    </w:p>
    <w:p w14:paraId="17BEE03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3.本项目的特定资格要求：</w:t>
      </w:r>
    </w:p>
    <w:p w14:paraId="790CF4D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3.1供应商须具有有效的营业执照，并具有实施完成本项目的经营实力和完善的售后服务体系；</w:t>
      </w:r>
    </w:p>
    <w:p w14:paraId="7EA0A4A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26FC64F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3.3本项目不接受联合体投标；</w:t>
      </w:r>
    </w:p>
    <w:p w14:paraId="43AEEF1D">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3.4资格审查方式：资格后审。</w:t>
      </w:r>
    </w:p>
    <w:p w14:paraId="737C50C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注：各供应商可就</w:t>
      </w:r>
      <w:r>
        <w:rPr>
          <w:rFonts w:hint="eastAsia" w:cs="宋体"/>
          <w:color w:val="000000" w:themeColor="text1"/>
          <w:sz w:val="24"/>
          <w:szCs w:val="24"/>
          <w:highlight w:val="none"/>
          <w:lang w:eastAsia="zh-CN"/>
          <w14:textFill>
            <w14:solidFill>
              <w14:schemeClr w14:val="tx1"/>
            </w14:solidFill>
          </w14:textFill>
        </w:rPr>
        <w:t>本项目</w:t>
      </w:r>
      <w:r>
        <w:rPr>
          <w:rFonts w:hint="eastAsia" w:cs="宋体"/>
          <w:color w:val="000000" w:themeColor="text1"/>
          <w:sz w:val="24"/>
          <w:szCs w:val="24"/>
          <w:highlight w:val="none"/>
          <w:lang w:val="en-US" w:eastAsia="zh-CN"/>
          <w14:textFill>
            <w14:solidFill>
              <w14:schemeClr w14:val="tx1"/>
            </w14:solidFill>
          </w14:textFill>
        </w:rPr>
        <w:t>机房类</w:t>
      </w:r>
      <w:r>
        <w:rPr>
          <w:rFonts w:hint="eastAsia" w:ascii="宋体" w:hAnsi="宋体" w:eastAsia="宋体" w:cs="宋体"/>
          <w:color w:val="000000" w:themeColor="text1"/>
          <w:sz w:val="24"/>
          <w:szCs w:val="24"/>
          <w:highlight w:val="none"/>
          <w:lang w:val="en-US" w:eastAsia="zh-CN"/>
          <w14:textFill>
            <w14:solidFill>
              <w14:schemeClr w14:val="tx1"/>
            </w14:solidFill>
          </w14:textFill>
        </w:rPr>
        <w:t>进行任意投报</w:t>
      </w:r>
      <w:r>
        <w:rPr>
          <w:rFonts w:hint="eastAsia" w:cs="宋体"/>
          <w:color w:val="000000" w:themeColor="text1"/>
          <w:sz w:val="24"/>
          <w:szCs w:val="24"/>
          <w:highlight w:val="none"/>
          <w:lang w:val="en-US" w:eastAsia="zh-CN"/>
          <w14:textFill>
            <w14:solidFill>
              <w14:schemeClr w14:val="tx1"/>
            </w14:solidFill>
          </w14:textFill>
        </w:rPr>
        <w:t>。但</w:t>
      </w:r>
      <w:r>
        <w:rPr>
          <w:rFonts w:hint="default" w:ascii="宋体" w:hAnsi="宋体" w:eastAsia="宋体" w:cs="宋体"/>
          <w:color w:val="000000" w:themeColor="text1"/>
          <w:sz w:val="24"/>
          <w:szCs w:val="24"/>
          <w:highlight w:val="none"/>
          <w:lang w:val="en-US" w:eastAsia="zh-CN"/>
          <w14:textFill>
            <w14:solidFill>
              <w14:schemeClr w14:val="tx1"/>
            </w14:solidFill>
          </w14:textFill>
        </w:rPr>
        <w:t>若供应商</w:t>
      </w:r>
      <w:r>
        <w:rPr>
          <w:rFonts w:hint="eastAsia" w:ascii="宋体" w:hAnsi="宋体" w:eastAsia="宋体" w:cs="宋体"/>
          <w:color w:val="000000" w:themeColor="text1"/>
          <w:sz w:val="24"/>
          <w:szCs w:val="24"/>
          <w:highlight w:val="none"/>
          <w:lang w:val="en-US" w:eastAsia="zh-CN"/>
          <w14:textFill>
            <w14:solidFill>
              <w14:schemeClr w14:val="tx1"/>
            </w14:solidFill>
          </w14:textFill>
        </w:rPr>
        <w:t>在</w:t>
      </w:r>
      <w:r>
        <w:rPr>
          <w:rFonts w:hint="eastAsia" w:cs="宋体"/>
          <w:color w:val="000000" w:themeColor="text1"/>
          <w:sz w:val="24"/>
          <w:szCs w:val="24"/>
          <w:highlight w:val="none"/>
          <w:lang w:eastAsia="zh-CN"/>
          <w14:textFill>
            <w14:solidFill>
              <w14:schemeClr w14:val="tx1"/>
            </w14:solidFill>
          </w14:textFill>
        </w:rPr>
        <w:t>本项目</w:t>
      </w:r>
      <w:r>
        <w:rPr>
          <w:rFonts w:hint="eastAsia" w:cs="宋体"/>
          <w:color w:val="000000" w:themeColor="text1"/>
          <w:sz w:val="24"/>
          <w:szCs w:val="24"/>
          <w:highlight w:val="none"/>
          <w:lang w:val="en-US" w:eastAsia="zh-CN"/>
          <w14:textFill>
            <w14:solidFill>
              <w14:schemeClr w14:val="tx1"/>
            </w14:solidFill>
          </w14:textFill>
        </w:rPr>
        <w:t>机房类之前</w:t>
      </w:r>
      <w:r>
        <w:rPr>
          <w:rFonts w:hint="eastAsia" w:ascii="宋体" w:hAnsi="宋体" w:eastAsia="宋体" w:cs="宋体"/>
          <w:color w:val="000000" w:themeColor="text1"/>
          <w:sz w:val="24"/>
          <w:szCs w:val="24"/>
          <w:highlight w:val="none"/>
          <w:lang w:val="en-US" w:eastAsia="zh-CN"/>
          <w14:textFill>
            <w14:solidFill>
              <w14:schemeClr w14:val="tx1"/>
            </w14:solidFill>
          </w14:textFill>
        </w:rPr>
        <w:t>其他</w:t>
      </w:r>
      <w:r>
        <w:rPr>
          <w:rFonts w:hint="eastAsia" w:cs="宋体"/>
          <w:color w:val="000000" w:themeColor="text1"/>
          <w:sz w:val="24"/>
          <w:szCs w:val="24"/>
          <w:highlight w:val="none"/>
          <w:lang w:val="en-US" w:eastAsia="zh-CN"/>
          <w14:textFill>
            <w14:solidFill>
              <w14:schemeClr w14:val="tx1"/>
            </w14:solidFill>
          </w14:textFill>
        </w:rPr>
        <w:t>包</w:t>
      </w:r>
      <w:r>
        <w:rPr>
          <w:rFonts w:hint="eastAsia" w:ascii="宋体" w:hAnsi="宋体" w:eastAsia="宋体" w:cs="宋体"/>
          <w:color w:val="000000" w:themeColor="text1"/>
          <w:sz w:val="24"/>
          <w:szCs w:val="24"/>
          <w:highlight w:val="none"/>
          <w:lang w:val="en-US" w:eastAsia="zh-CN"/>
          <w14:textFill>
            <w14:solidFill>
              <w14:schemeClr w14:val="tx1"/>
            </w14:solidFill>
          </w14:textFill>
        </w:rPr>
        <w:t>段中</w:t>
      </w:r>
      <w:r>
        <w:rPr>
          <w:rFonts w:hint="eastAsia" w:cs="宋体"/>
          <w:color w:val="000000" w:themeColor="text1"/>
          <w:sz w:val="24"/>
          <w:szCs w:val="24"/>
          <w:highlight w:val="none"/>
          <w:lang w:val="en-US" w:eastAsia="zh-CN"/>
          <w14:textFill>
            <w14:solidFill>
              <w14:schemeClr w14:val="tx1"/>
            </w14:solidFill>
          </w14:textFill>
        </w:rPr>
        <w:t>被推荐为第一中标候选人</w:t>
      </w:r>
      <w:r>
        <w:rPr>
          <w:rFonts w:hint="eastAsia" w:ascii="宋体" w:hAnsi="宋体" w:eastAsia="宋体" w:cs="宋体"/>
          <w:color w:val="000000" w:themeColor="text1"/>
          <w:sz w:val="24"/>
          <w:szCs w:val="24"/>
          <w:highlight w:val="none"/>
          <w:lang w:val="en-US" w:eastAsia="zh-CN"/>
          <w14:textFill>
            <w14:solidFill>
              <w14:schemeClr w14:val="tx1"/>
            </w14:solidFill>
          </w14:textFill>
        </w:rPr>
        <w:t>，</w:t>
      </w:r>
      <w:r>
        <w:rPr>
          <w:rFonts w:hint="eastAsia" w:cs="宋体"/>
          <w:color w:val="000000" w:themeColor="text1"/>
          <w:sz w:val="24"/>
          <w:szCs w:val="24"/>
          <w:highlight w:val="none"/>
          <w:lang w:val="en-US" w:eastAsia="zh-CN"/>
          <w14:textFill>
            <w14:solidFill>
              <w14:schemeClr w14:val="tx1"/>
            </w14:solidFill>
          </w14:textFill>
        </w:rPr>
        <w:t>则</w:t>
      </w:r>
      <w:r>
        <w:rPr>
          <w:rFonts w:hint="eastAsia" w:ascii="宋体" w:hAnsi="宋体" w:eastAsia="宋体" w:cs="宋体"/>
          <w:color w:val="000000" w:themeColor="text1"/>
          <w:sz w:val="24"/>
          <w:szCs w:val="24"/>
          <w:highlight w:val="none"/>
          <w:lang w:val="en-US" w:eastAsia="zh-CN"/>
          <w14:textFill>
            <w14:solidFill>
              <w14:schemeClr w14:val="tx1"/>
            </w14:solidFill>
          </w14:textFill>
        </w:rPr>
        <w:t>该供应商将不再被推荐为</w:t>
      </w:r>
      <w:r>
        <w:rPr>
          <w:rFonts w:hint="eastAsia" w:cs="宋体"/>
          <w:color w:val="000000" w:themeColor="text1"/>
          <w:sz w:val="24"/>
          <w:szCs w:val="24"/>
          <w:highlight w:val="none"/>
          <w:lang w:eastAsia="zh-CN"/>
          <w14:textFill>
            <w14:solidFill>
              <w14:schemeClr w14:val="tx1"/>
            </w14:solidFill>
          </w14:textFill>
        </w:rPr>
        <w:t>本项目</w:t>
      </w:r>
      <w:r>
        <w:rPr>
          <w:rFonts w:hint="eastAsia" w:cs="宋体"/>
          <w:color w:val="000000" w:themeColor="text1"/>
          <w:sz w:val="24"/>
          <w:szCs w:val="24"/>
          <w:highlight w:val="none"/>
          <w:lang w:val="en-US" w:eastAsia="zh-CN"/>
          <w14:textFill>
            <w14:solidFill>
              <w14:schemeClr w14:val="tx1"/>
            </w14:solidFill>
          </w14:textFill>
        </w:rPr>
        <w:t>机房类</w:t>
      </w:r>
      <w:r>
        <w:rPr>
          <w:rFonts w:hint="eastAsia" w:ascii="宋体" w:hAnsi="宋体" w:eastAsia="宋体" w:cs="宋体"/>
          <w:color w:val="000000" w:themeColor="text1"/>
          <w:sz w:val="24"/>
          <w:szCs w:val="24"/>
          <w:highlight w:val="none"/>
          <w:lang w:val="en-US" w:eastAsia="zh-CN"/>
          <w14:textFill>
            <w14:solidFill>
              <w14:schemeClr w14:val="tx1"/>
            </w14:solidFill>
          </w14:textFill>
        </w:rPr>
        <w:t>中标候选人，其他供应商依次递补。</w:t>
      </w:r>
    </w:p>
    <w:p w14:paraId="3C9DE5A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三、获取</w:t>
      </w:r>
      <w:r>
        <w:rPr>
          <w:rFonts w:hint="eastAsia" w:cs="宋体"/>
          <w:b/>
          <w:bCs/>
          <w:color w:val="000000" w:themeColor="text1"/>
          <w:sz w:val="24"/>
          <w:szCs w:val="24"/>
          <w:highlight w:val="none"/>
          <w:lang w:val="en-US" w:eastAsia="zh-CN"/>
          <w14:textFill>
            <w14:solidFill>
              <w14:schemeClr w14:val="tx1"/>
            </w14:solidFill>
          </w14:textFill>
        </w:rPr>
        <w:t>招标</w:t>
      </w:r>
      <w:r>
        <w:rPr>
          <w:rFonts w:hint="eastAsia" w:ascii="宋体" w:hAnsi="宋体" w:eastAsia="宋体" w:cs="宋体"/>
          <w:b/>
          <w:bCs/>
          <w:color w:val="000000" w:themeColor="text1"/>
          <w:sz w:val="24"/>
          <w:szCs w:val="24"/>
          <w:highlight w:val="none"/>
          <w:lang w:eastAsia="zh-CN"/>
          <w14:textFill>
            <w14:solidFill>
              <w14:schemeClr w14:val="tx1"/>
            </w14:solidFill>
          </w14:textFill>
        </w:rPr>
        <w:t>文件</w:t>
      </w:r>
    </w:p>
    <w:p w14:paraId="6143FA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1.时间：2024年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18</w:t>
      </w:r>
      <w:r>
        <w:rPr>
          <w:rFonts w:hint="eastAsia" w:ascii="宋体" w:hAnsi="宋体" w:eastAsia="宋体" w:cs="宋体"/>
          <w:color w:val="000000" w:themeColor="text1"/>
          <w:sz w:val="24"/>
          <w:szCs w:val="24"/>
          <w:highlight w:val="none"/>
          <w:lang w:eastAsia="zh-CN"/>
          <w14:textFill>
            <w14:solidFill>
              <w14:schemeClr w14:val="tx1"/>
            </w14:solidFill>
          </w14:textFill>
        </w:rPr>
        <w:t>日至2024年</w:t>
      </w:r>
      <w:r>
        <w:rPr>
          <w:rFonts w:hint="eastAsia"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24</w:t>
      </w:r>
      <w:r>
        <w:rPr>
          <w:rFonts w:hint="eastAsia" w:ascii="宋体" w:hAnsi="宋体" w:eastAsia="宋体" w:cs="宋体"/>
          <w:color w:val="000000" w:themeColor="text1"/>
          <w:sz w:val="24"/>
          <w:szCs w:val="24"/>
          <w:highlight w:val="none"/>
          <w:lang w:eastAsia="zh-CN"/>
          <w14:textFill>
            <w14:solidFill>
              <w14:schemeClr w14:val="tx1"/>
            </w14:solidFill>
          </w14:textFill>
        </w:rPr>
        <w:t>日每天上午08:00至11:59，下午12:00至23:59（北京时间，法定节假日除外）；</w:t>
      </w:r>
    </w:p>
    <w:p w14:paraId="50E0CC5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2.地点：焦作市公共资源交易中心网站；</w:t>
      </w:r>
    </w:p>
    <w:p w14:paraId="47D6623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3.方式：本项目采用电子开评标（不见面开标），凡有意参加投标者，请登陆焦作市公共资源交易中心网站交易平台“交易主体登录”栏目下载</w:t>
      </w:r>
      <w:r>
        <w:rPr>
          <w:rFonts w:hint="eastAsia" w:ascii="宋体" w:hAnsi="宋体" w:eastAsia="宋体" w:cs="宋体"/>
          <w:color w:val="000000" w:themeColor="text1"/>
          <w:sz w:val="24"/>
          <w:szCs w:val="24"/>
          <w:highlight w:val="none"/>
          <w:lang w:val="en-US" w:eastAsia="zh-CN"/>
          <w14:textFill>
            <w14:solidFill>
              <w14:schemeClr w14:val="tx1"/>
            </w14:solidFill>
          </w14:textFill>
        </w:rPr>
        <w:t>采购</w:t>
      </w:r>
      <w:r>
        <w:rPr>
          <w:rFonts w:hint="eastAsia" w:ascii="宋体" w:hAnsi="宋体" w:eastAsia="宋体" w:cs="宋体"/>
          <w:color w:val="000000" w:themeColor="text1"/>
          <w:sz w:val="24"/>
          <w:szCs w:val="24"/>
          <w:highlight w:val="none"/>
          <w:lang w:eastAsia="zh-CN"/>
          <w14:textFill>
            <w14:solidFill>
              <w14:schemeClr w14:val="tx1"/>
            </w14:solidFill>
          </w14:textFill>
        </w:rPr>
        <w:t>文件。</w:t>
      </w:r>
    </w:p>
    <w:p w14:paraId="3849053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4.售价：0元</w:t>
      </w:r>
    </w:p>
    <w:p w14:paraId="4DCEB3E5">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四、</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投标截止时间及地点</w:t>
      </w:r>
    </w:p>
    <w:p w14:paraId="6C662B9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1.截止时间：</w:t>
      </w:r>
      <w:r>
        <w:rPr>
          <w:rFonts w:hint="eastAsia" w:cs="宋体"/>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eastAsia="zh-CN"/>
          <w14:textFill>
            <w14:solidFill>
              <w14:schemeClr w14:val="tx1"/>
            </w14:solidFill>
          </w14:textFill>
        </w:rPr>
        <w:t>日09：00（北京时间）；</w:t>
      </w:r>
    </w:p>
    <w:p w14:paraId="15126E8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cs="宋体"/>
          <w:color w:val="000000" w:themeColor="text1"/>
          <w:sz w:val="24"/>
          <w:szCs w:val="24"/>
          <w:highlight w:val="none"/>
          <w:lang w:val="en-US" w:eastAsia="zh-CN"/>
          <w14:textFill>
            <w14:solidFill>
              <w14:schemeClr w14:val="tx1"/>
            </w14:solidFill>
          </w14:textFill>
        </w:rPr>
      </w:pPr>
      <w:r>
        <w:rPr>
          <w:rFonts w:hint="eastAsia" w:cs="宋体"/>
          <w:color w:val="000000" w:themeColor="text1"/>
          <w:sz w:val="24"/>
          <w:szCs w:val="24"/>
          <w:highlight w:val="none"/>
          <w:lang w:val="en-US" w:eastAsia="zh-CN"/>
          <w14:textFill>
            <w14:solidFill>
              <w14:schemeClr w14:val="tx1"/>
            </w14:solidFill>
          </w14:textFill>
        </w:rPr>
        <w:t>2.地点：加密电子响应性文件须在响应性文件提交截止时间前通过“焦作市公共资源交易中心（https://ggzy.jiaozuo.gov.cn/）”网站-交易平台加密上传。</w:t>
      </w:r>
    </w:p>
    <w:p w14:paraId="60E2628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val="en-US"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五、</w:t>
      </w:r>
      <w:r>
        <w:rPr>
          <w:rFonts w:hint="eastAsia" w:ascii="宋体" w:hAnsi="宋体" w:eastAsia="宋体" w:cs="宋体"/>
          <w:b/>
          <w:bCs/>
          <w:color w:val="000000" w:themeColor="text1"/>
          <w:sz w:val="24"/>
          <w:szCs w:val="24"/>
          <w:highlight w:val="none"/>
          <w:lang w:val="en-US" w:eastAsia="zh-CN"/>
          <w14:textFill>
            <w14:solidFill>
              <w14:schemeClr w14:val="tx1"/>
            </w14:solidFill>
          </w14:textFill>
        </w:rPr>
        <w:t>开标时间及地点</w:t>
      </w:r>
    </w:p>
    <w:p w14:paraId="4B78A60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1.时间：</w:t>
      </w:r>
      <w:r>
        <w:rPr>
          <w:rFonts w:hint="eastAsia" w:cs="宋体"/>
          <w:color w:val="000000" w:themeColor="text1"/>
          <w:sz w:val="24"/>
          <w:szCs w:val="24"/>
          <w:highlight w:val="none"/>
          <w:lang w:val="en-US" w:eastAsia="zh-CN"/>
          <w14:textFill>
            <w14:solidFill>
              <w14:schemeClr w14:val="tx1"/>
            </w14:solidFill>
          </w14:textFill>
        </w:rPr>
        <w:t>2025</w:t>
      </w:r>
      <w:r>
        <w:rPr>
          <w:rFonts w:hint="eastAsia" w:ascii="宋体" w:hAnsi="宋体" w:eastAsia="宋体" w:cs="宋体"/>
          <w:color w:val="000000" w:themeColor="text1"/>
          <w:sz w:val="24"/>
          <w:szCs w:val="24"/>
          <w:highlight w:val="none"/>
          <w:lang w:eastAsia="zh-CN"/>
          <w14:textFill>
            <w14:solidFill>
              <w14:schemeClr w14:val="tx1"/>
            </w14:solidFill>
          </w14:textFill>
        </w:rPr>
        <w:t>年</w:t>
      </w:r>
      <w:r>
        <w:rPr>
          <w:rFonts w:hint="eastAsia" w:cs="宋体"/>
          <w:color w:val="000000" w:themeColor="text1"/>
          <w:sz w:val="24"/>
          <w:szCs w:val="24"/>
          <w:highlight w:val="none"/>
          <w:lang w:val="en-US" w:eastAsia="zh-CN"/>
          <w14:textFill>
            <w14:solidFill>
              <w14:schemeClr w14:val="tx1"/>
            </w14:solidFill>
          </w14:textFill>
        </w:rPr>
        <w:t>01</w:t>
      </w:r>
      <w:r>
        <w:rPr>
          <w:rFonts w:hint="eastAsia" w:ascii="宋体" w:hAnsi="宋体" w:eastAsia="宋体" w:cs="宋体"/>
          <w:color w:val="000000" w:themeColor="text1"/>
          <w:sz w:val="24"/>
          <w:szCs w:val="24"/>
          <w:highlight w:val="none"/>
          <w:lang w:eastAsia="zh-CN"/>
          <w14:textFill>
            <w14:solidFill>
              <w14:schemeClr w14:val="tx1"/>
            </w14:solidFill>
          </w14:textFill>
        </w:rPr>
        <w:t>月</w:t>
      </w:r>
      <w:r>
        <w:rPr>
          <w:rFonts w:hint="eastAsia" w:cs="宋体"/>
          <w:color w:val="000000" w:themeColor="text1"/>
          <w:sz w:val="24"/>
          <w:szCs w:val="24"/>
          <w:highlight w:val="none"/>
          <w:lang w:val="en-US" w:eastAsia="zh-CN"/>
          <w14:textFill>
            <w14:solidFill>
              <w14:schemeClr w14:val="tx1"/>
            </w14:solidFill>
          </w14:textFill>
        </w:rPr>
        <w:t>09</w:t>
      </w:r>
      <w:r>
        <w:rPr>
          <w:rFonts w:hint="eastAsia" w:ascii="宋体" w:hAnsi="宋体" w:eastAsia="宋体" w:cs="宋体"/>
          <w:color w:val="000000" w:themeColor="text1"/>
          <w:sz w:val="24"/>
          <w:szCs w:val="24"/>
          <w:highlight w:val="none"/>
          <w:lang w:eastAsia="zh-CN"/>
          <w14:textFill>
            <w14:solidFill>
              <w14:schemeClr w14:val="tx1"/>
            </w14:solidFill>
          </w14:textFill>
        </w:rPr>
        <w:t>日09：00（北京时间）；</w:t>
      </w:r>
    </w:p>
    <w:p w14:paraId="5F4F3C6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2.地点：博爱县公共资源交易中心二楼不见面开标</w:t>
      </w:r>
      <w:r>
        <w:rPr>
          <w:rFonts w:hint="eastAsia" w:cs="宋体"/>
          <w:color w:val="000000" w:themeColor="text1"/>
          <w:sz w:val="24"/>
          <w:szCs w:val="24"/>
          <w:highlight w:val="none"/>
          <w:lang w:val="en-US" w:eastAsia="zh-CN"/>
          <w14:textFill>
            <w14:solidFill>
              <w14:schemeClr w14:val="tx1"/>
            </w14:solidFill>
          </w14:textFill>
        </w:rPr>
        <w:t>二</w:t>
      </w:r>
      <w:r>
        <w:rPr>
          <w:rFonts w:hint="eastAsia" w:ascii="宋体" w:hAnsi="宋体" w:eastAsia="宋体" w:cs="宋体"/>
          <w:color w:val="000000" w:themeColor="text1"/>
          <w:sz w:val="24"/>
          <w:szCs w:val="24"/>
          <w:highlight w:val="none"/>
          <w:lang w:eastAsia="zh-CN"/>
          <w14:textFill>
            <w14:solidFill>
              <w14:schemeClr w14:val="tx1"/>
            </w14:solidFill>
          </w14:textFill>
        </w:rPr>
        <w:t>室。</w:t>
      </w:r>
    </w:p>
    <w:p w14:paraId="636FD3E0">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六、发布公告的媒介及公告期限</w:t>
      </w:r>
    </w:p>
    <w:p w14:paraId="62C26DB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本次公告在《河南省政府采购网》、《中国招标投标公共服务平台》、《焦作市政府采购网》、《焦作市公共资源交易中心网》、《博爱县人民政府网》、《博爱县公共资源交易中心网》http://ggzy.boai.gov.cn/上发布，招标公告期限为五个工作日。</w:t>
      </w:r>
    </w:p>
    <w:p w14:paraId="30774B7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七、其他补充事宜</w:t>
      </w:r>
    </w:p>
    <w:p w14:paraId="10766AE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1.</w:t>
      </w:r>
      <w:r>
        <w:rPr>
          <w:rFonts w:hint="eastAsia" w:ascii="宋体" w:hAnsi="宋体" w:eastAsia="宋体" w:cs="宋体"/>
          <w:color w:val="000000" w:themeColor="text1"/>
          <w:sz w:val="24"/>
          <w:szCs w:val="24"/>
          <w:highlight w:val="none"/>
          <w:lang w:eastAsia="zh-CN"/>
          <w14:textFill>
            <w14:solidFill>
              <w14:schemeClr w14:val="tx1"/>
            </w14:solidFill>
          </w14:textFill>
        </w:rPr>
        <w:t>本项目采用“远程不见面”的开标方式，潜在投标人可提前在焦作市交易中心官网首页---下载中心--下载《焦作市电子招投标系统操作手册》和《焦作市公共资源交易平台不见面开标操作手册》、《投标文件制作工作工具》等，查看操作说明，按要求进行投标文件制作和上传等。为避免网络拥堵等不可控因素影响投标文件的上传，请提前上传投标文件，并在开标截止时间前登录不见面开标大厅</w:t>
      </w:r>
    </w:p>
    <w:p w14:paraId="073D10E9">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（http://ggzy.jiaozuo.gov.cn/BidOpeningHall/bidhall/default/login）进行签到，按要求解密投标文件。因文件未及时上传导致投标失败的责任由投标人自行承担，具体要求详见招标文件。 平台统一技术服务电话：400-998-0000，服务 QQ：4008503300，服务时间：周一至周日</w:t>
      </w:r>
      <w:r>
        <w:rPr>
          <w:rFonts w:hint="eastAsia" w:ascii="宋体" w:hAnsi="宋体" w:eastAsia="宋体" w:cs="宋体"/>
          <w:color w:val="000000" w:themeColor="text1"/>
          <w:sz w:val="24"/>
          <w:szCs w:val="24"/>
          <w:highlight w:val="none"/>
          <w:lang w:val="en-US" w:eastAsia="zh-CN"/>
          <w14:textFill>
            <w14:solidFill>
              <w14:schemeClr w14:val="tx1"/>
            </w14:solidFill>
          </w14:textFill>
        </w:rPr>
        <w:t>0</w:t>
      </w:r>
      <w:r>
        <w:rPr>
          <w:rFonts w:hint="eastAsia" w:ascii="宋体" w:hAnsi="宋体" w:eastAsia="宋体" w:cs="宋体"/>
          <w:color w:val="000000" w:themeColor="text1"/>
          <w:sz w:val="24"/>
          <w:szCs w:val="24"/>
          <w:highlight w:val="none"/>
          <w:lang w:eastAsia="zh-CN"/>
          <w14:textFill>
            <w14:solidFill>
              <w14:schemeClr w14:val="tx1"/>
            </w14:solidFill>
          </w14:textFill>
        </w:rPr>
        <w:t>8：00-17：30。</w:t>
      </w:r>
    </w:p>
    <w:p w14:paraId="11177AD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投标人无需到现场参加开标会议，无需到达现场提交原件资料。投标人应当在投标截止前，登录远程开标大厅进行签到，在线准时参加开标活动并进行文件解密、答疑澄清等。加密电子投标文件须在焦作市公共资源交易中心电子交易平台中加密上传，上传时必须得到电脑“上传成功”的确认回复后方为上传成功。在规定时间内投标文件未解密的投标人，视为放弃投标。</w:t>
      </w:r>
    </w:p>
    <w:p w14:paraId="3212C55F">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textAlignment w:val="auto"/>
        <w:rPr>
          <w:rFonts w:hint="eastAsia" w:ascii="宋体" w:hAnsi="宋体" w:eastAsia="宋体" w:cs="宋体"/>
          <w:b/>
          <w:bCs/>
          <w:color w:val="000000" w:themeColor="text1"/>
          <w:sz w:val="24"/>
          <w:szCs w:val="24"/>
          <w:highlight w:val="none"/>
          <w:lang w:eastAsia="zh-CN"/>
          <w14:textFill>
            <w14:solidFill>
              <w14:schemeClr w14:val="tx1"/>
            </w14:solidFill>
          </w14:textFill>
        </w:rPr>
      </w:pPr>
      <w:r>
        <w:rPr>
          <w:rFonts w:hint="eastAsia" w:ascii="宋体" w:hAnsi="宋体" w:eastAsia="宋体" w:cs="宋体"/>
          <w:b/>
          <w:bCs/>
          <w:color w:val="000000" w:themeColor="text1"/>
          <w:sz w:val="24"/>
          <w:szCs w:val="24"/>
          <w:highlight w:val="none"/>
          <w:lang w:eastAsia="zh-CN"/>
          <w14:textFill>
            <w14:solidFill>
              <w14:schemeClr w14:val="tx1"/>
            </w14:solidFill>
          </w14:textFill>
        </w:rPr>
        <w:t>八、凡对本次采购提出询问，请按以下方式联系</w:t>
      </w:r>
    </w:p>
    <w:p w14:paraId="55EE70D3">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1.采购人信息</w:t>
      </w:r>
    </w:p>
    <w:p w14:paraId="6C753AEC">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 xml:space="preserve">名 称：博爱县教育体育局 </w:t>
      </w:r>
    </w:p>
    <w:p w14:paraId="5C0CE70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 址：博爱县玉祥路北 </w:t>
      </w:r>
    </w:p>
    <w:p w14:paraId="4F33452F">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000000" w:themeColor="text1"/>
          <w:kern w:val="0"/>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联系人：</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张</w:t>
      </w:r>
      <w:r>
        <w:rPr>
          <w:rFonts w:hint="eastAsia" w:ascii="宋体" w:hAnsi="宋体" w:eastAsia="宋体" w:cs="宋体"/>
          <w:color w:val="000000" w:themeColor="text1"/>
          <w:sz w:val="24"/>
          <w:szCs w:val="24"/>
          <w:highlight w:val="none"/>
          <w:lang w:val="en-US" w:eastAsia="zh-CN"/>
          <w14:textFill>
            <w14:solidFill>
              <w14:schemeClr w14:val="tx1"/>
            </w14:solidFill>
          </w14:textFill>
        </w:rPr>
        <w:t>小文</w:t>
      </w:r>
    </w:p>
    <w:p w14:paraId="7DCE45A2">
      <w:pPr>
        <w:keepNext w:val="0"/>
        <w:keepLines w:val="0"/>
        <w:pageBreakBefore w:val="0"/>
        <w:kinsoku/>
        <w:wordWrap/>
        <w:overflowPunct/>
        <w:topLinePunct w:val="0"/>
        <w:autoSpaceDE/>
        <w:autoSpaceDN/>
        <w:bidi w:val="0"/>
        <w:adjustRightInd w:val="0"/>
        <w:snapToGrid w:val="0"/>
        <w:spacing w:beforeAutospacing="0" w:afterAutospacing="0" w:line="440" w:lineRule="exact"/>
        <w:ind w:firstLine="480" w:firstLineChars="200"/>
        <w:textAlignment w:val="auto"/>
        <w:rPr>
          <w:rFonts w:hint="eastAsia" w:ascii="宋体" w:hAnsi="宋体" w:eastAsia="宋体" w:cs="宋体"/>
          <w:color w:val="000000" w:themeColor="text1"/>
          <w:sz w:val="24"/>
          <w:szCs w:val="24"/>
          <w:highlight w:val="none"/>
          <w:lang w:val="en-US" w:eastAsia="zh-CN"/>
          <w14:textFill>
            <w14:solidFill>
              <w14:schemeClr w14:val="tx1"/>
            </w14:solidFill>
          </w14:textFill>
        </w:rPr>
      </w:pPr>
      <w:r>
        <w:rPr>
          <w:rFonts w:hint="eastAsia" w:ascii="宋体" w:hAnsi="宋体" w:eastAsia="宋体" w:cs="宋体"/>
          <w:color w:val="000000" w:themeColor="text1"/>
          <w:kern w:val="0"/>
          <w:sz w:val="24"/>
          <w:szCs w:val="24"/>
          <w:highlight w:val="none"/>
          <w14:textFill>
            <w14:solidFill>
              <w14:schemeClr w14:val="tx1"/>
            </w14:solidFill>
          </w14:textFill>
        </w:rPr>
        <w:t>电话：</w:t>
      </w:r>
      <w:r>
        <w:rPr>
          <w:rFonts w:hint="eastAsia" w:ascii="宋体" w:hAnsi="宋体" w:eastAsia="宋体" w:cs="宋体"/>
          <w:color w:val="000000" w:themeColor="text1"/>
          <w:kern w:val="0"/>
          <w:sz w:val="24"/>
          <w:szCs w:val="24"/>
          <w:highlight w:val="none"/>
          <w:lang w:val="en-US" w:eastAsia="zh-CN"/>
          <w14:textFill>
            <w14:solidFill>
              <w14:schemeClr w14:val="tx1"/>
            </w14:solidFill>
          </w14:textFill>
        </w:rPr>
        <w:t>0391-8663926</w:t>
      </w:r>
    </w:p>
    <w:p w14:paraId="28197AF2">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2.采购代理机构信息</w:t>
      </w:r>
    </w:p>
    <w:p w14:paraId="01E582C7">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名 称：智博国际工程咨询有限公司</w:t>
      </w:r>
    </w:p>
    <w:p w14:paraId="7A99D94E">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地 址：郑州市西三环与北三环交叉口国家大学科技园（东区）18号楼D座2层</w:t>
      </w:r>
    </w:p>
    <w:p w14:paraId="161B4A86">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联系人：黄天鹏、刘莎、刘勇琪</w:t>
      </w:r>
    </w:p>
    <w:p w14:paraId="310710E1">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联系方式：0371-68638111</w:t>
      </w:r>
    </w:p>
    <w:p w14:paraId="0B7E95BB">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3.项目联系方式</w:t>
      </w:r>
    </w:p>
    <w:p w14:paraId="0CBE3C5A">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项目联系人：黄天鹏、刘莎、刘勇琪</w:t>
      </w:r>
    </w:p>
    <w:p w14:paraId="547FBAE8">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right="0" w:firstLine="480" w:firstLineChars="200"/>
        <w:textAlignment w:val="auto"/>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联系方式：0371-68638111</w:t>
      </w:r>
    </w:p>
    <w:p w14:paraId="13A70FB4">
      <w:pPr>
        <w:pStyle w:val="2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440" w:lineRule="exact"/>
        <w:ind w:left="0" w:right="0"/>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 xml:space="preserve"> </w:t>
      </w:r>
    </w:p>
    <w:p w14:paraId="31EB9FF2">
      <w:pPr>
        <w:keepNext w:val="0"/>
        <w:keepLines w:val="0"/>
        <w:pageBreakBefore w:val="0"/>
        <w:widowControl/>
        <w:kinsoku/>
        <w:wordWrap/>
        <w:overflowPunct/>
        <w:topLinePunct w:val="0"/>
        <w:autoSpaceDE/>
        <w:autoSpaceDN/>
        <w:bidi w:val="0"/>
        <w:spacing w:line="440" w:lineRule="exact"/>
        <w:ind w:firstLine="42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采购人：</w:t>
      </w:r>
      <w:r>
        <w:rPr>
          <w:rFonts w:hint="eastAsia" w:ascii="宋体" w:hAnsi="宋体" w:eastAsia="宋体" w:cs="宋体"/>
          <w:color w:val="000000" w:themeColor="text1"/>
          <w:kern w:val="0"/>
          <w:sz w:val="24"/>
          <w:szCs w:val="24"/>
          <w:highlight w:val="none"/>
          <w14:textFill>
            <w14:solidFill>
              <w14:schemeClr w14:val="tx1"/>
            </w14:solidFill>
          </w14:textFill>
        </w:rPr>
        <w:t>博爱县教育体育局</w:t>
      </w:r>
    </w:p>
    <w:p w14:paraId="79C27D15">
      <w:pPr>
        <w:keepNext w:val="0"/>
        <w:keepLines w:val="0"/>
        <w:pageBreakBefore w:val="0"/>
        <w:widowControl/>
        <w:kinsoku/>
        <w:wordWrap/>
        <w:overflowPunct/>
        <w:topLinePunct w:val="0"/>
        <w:autoSpaceDE/>
        <w:autoSpaceDN/>
        <w:bidi w:val="0"/>
        <w:spacing w:line="440" w:lineRule="exact"/>
        <w:ind w:firstLine="2880" w:firstLineChars="1200"/>
        <w:jc w:val="right"/>
        <w:textAlignment w:val="auto"/>
        <w:rPr>
          <w:rFonts w:hint="eastAsia" w:ascii="宋体" w:hAnsi="宋体" w:eastAsia="宋体" w:cs="宋体"/>
          <w:color w:val="000000" w:themeColor="text1"/>
          <w:sz w:val="24"/>
          <w:szCs w:val="24"/>
          <w:highlight w:val="none"/>
          <w:shd w:val="clear" w:color="auto" w:fill="FFFFFF"/>
          <w14:textFill>
            <w14:solidFill>
              <w14:schemeClr w14:val="tx1"/>
            </w14:solidFill>
          </w14:textFill>
        </w:rPr>
      </w:pPr>
      <w:r>
        <w:rPr>
          <w:rFonts w:hint="eastAsia" w:ascii="宋体" w:hAnsi="宋体" w:eastAsia="宋体" w:cs="宋体"/>
          <w:color w:val="000000" w:themeColor="text1"/>
          <w:sz w:val="24"/>
          <w:szCs w:val="24"/>
          <w:highlight w:val="none"/>
          <w:shd w:val="clear" w:color="auto" w:fill="FFFFFF"/>
          <w14:textFill>
            <w14:solidFill>
              <w14:schemeClr w14:val="tx1"/>
            </w14:solidFill>
          </w14:textFill>
        </w:rPr>
        <w:t>采购代理机构：智博国际工程咨询有限公司</w:t>
      </w:r>
    </w:p>
    <w:p w14:paraId="27BFAFA5">
      <w:pPr>
        <w:keepNext w:val="0"/>
        <w:keepLines w:val="0"/>
        <w:pageBreakBefore w:val="0"/>
        <w:widowControl/>
        <w:kinsoku/>
        <w:wordWrap/>
        <w:overflowPunct/>
        <w:topLinePunct w:val="0"/>
        <w:autoSpaceDE/>
        <w:autoSpaceDN/>
        <w:bidi w:val="0"/>
        <w:spacing w:line="440" w:lineRule="exact"/>
        <w:ind w:firstLine="420"/>
        <w:jc w:val="right"/>
        <w:textAlignment w:val="auto"/>
        <w:rPr>
          <w:rFonts w:hint="eastAsia" w:ascii="宋体" w:hAnsi="宋体" w:eastAsia="宋体" w:cs="宋体"/>
          <w:color w:val="000000" w:themeColor="text1"/>
          <w:sz w:val="24"/>
          <w:szCs w:val="24"/>
          <w:highlight w:val="none"/>
          <w14:textFill>
            <w14:solidFill>
              <w14:schemeClr w14:val="tx1"/>
            </w14:solidFill>
          </w14:textFill>
        </w:rPr>
      </w:pPr>
      <w:r>
        <w:rPr>
          <w:rFonts w:hint="eastAsia" w:ascii="宋体" w:hAnsi="宋体" w:eastAsia="宋体" w:cs="宋体"/>
          <w:color w:val="000000" w:themeColor="text1"/>
          <w:sz w:val="24"/>
          <w:szCs w:val="24"/>
          <w:highlight w:val="none"/>
          <w14:textFill>
            <w14:solidFill>
              <w14:schemeClr w14:val="tx1"/>
            </w14:solidFill>
          </w14:textFill>
        </w:rPr>
        <w:t>发布时间：</w:t>
      </w:r>
      <w:r>
        <w:rPr>
          <w:rFonts w:hint="eastAsia" w:ascii="宋体" w:hAnsi="宋体" w:cs="宋体"/>
          <w:color w:val="000000" w:themeColor="text1"/>
          <w:sz w:val="24"/>
          <w:szCs w:val="24"/>
          <w:highlight w:val="none"/>
          <w:lang w:eastAsia="zh-CN"/>
          <w14:textFill>
            <w14:solidFill>
              <w14:schemeClr w14:val="tx1"/>
            </w14:solidFill>
          </w14:textFill>
        </w:rPr>
        <w:t>2024年</w:t>
      </w:r>
      <w:r>
        <w:rPr>
          <w:rFonts w:hint="eastAsia" w:ascii="宋体" w:hAnsi="宋体" w:cs="宋体"/>
          <w:color w:val="000000" w:themeColor="text1"/>
          <w:sz w:val="24"/>
          <w:szCs w:val="24"/>
          <w:highlight w:val="none"/>
          <w:lang w:val="en-US" w:eastAsia="zh-CN"/>
          <w14:textFill>
            <w14:solidFill>
              <w14:schemeClr w14:val="tx1"/>
            </w14:solidFill>
          </w14:textFill>
        </w:rPr>
        <w:t>12</w:t>
      </w:r>
      <w:r>
        <w:rPr>
          <w:rFonts w:hint="eastAsia" w:ascii="宋体" w:hAnsi="宋体" w:eastAsia="宋体" w:cs="宋体"/>
          <w:color w:val="000000" w:themeColor="text1"/>
          <w:sz w:val="24"/>
          <w:szCs w:val="24"/>
          <w:highlight w:val="none"/>
          <w14:textFill>
            <w14:solidFill>
              <w14:schemeClr w14:val="tx1"/>
            </w14:solidFill>
          </w14:textFill>
        </w:rPr>
        <w:t>月</w:t>
      </w:r>
      <w:r>
        <w:rPr>
          <w:rFonts w:hint="eastAsia" w:ascii="宋体" w:hAnsi="宋体" w:cs="宋体"/>
          <w:color w:val="000000" w:themeColor="text1"/>
          <w:sz w:val="24"/>
          <w:szCs w:val="24"/>
          <w:highlight w:val="none"/>
          <w:lang w:val="en-US" w:eastAsia="zh-CN"/>
          <w14:textFill>
            <w14:solidFill>
              <w14:schemeClr w14:val="tx1"/>
            </w14:solidFill>
          </w14:textFill>
        </w:rPr>
        <w:t>17</w:t>
      </w:r>
      <w:r>
        <w:rPr>
          <w:rFonts w:hint="eastAsia" w:ascii="宋体" w:hAnsi="宋体" w:eastAsia="宋体" w:cs="宋体"/>
          <w:color w:val="000000" w:themeColor="text1"/>
          <w:sz w:val="24"/>
          <w:szCs w:val="24"/>
          <w:highlight w:val="none"/>
          <w14:textFill>
            <w14:solidFill>
              <w14:schemeClr w14:val="tx1"/>
            </w14:solidFill>
          </w14:textFill>
        </w:rPr>
        <w:t>日</w:t>
      </w:r>
    </w:p>
    <w:p w14:paraId="4DDA833C">
      <w:pPr>
        <w:autoSpaceDE w:val="0"/>
        <w:autoSpaceDN w:val="0"/>
        <w:adjustRightInd w:val="0"/>
        <w:spacing w:line="360" w:lineRule="auto"/>
        <w:jc w:val="center"/>
        <w:outlineLvl w:val="0"/>
        <w:rPr>
          <w:rFonts w:ascii="宋体" w:hAnsi="宋体" w:cs="宋体"/>
          <w:b/>
          <w:color w:val="000000" w:themeColor="text1"/>
          <w:sz w:val="28"/>
          <w:szCs w:val="28"/>
          <w:highlight w:val="none"/>
          <w14:textFill>
            <w14:solidFill>
              <w14:schemeClr w14:val="tx1"/>
            </w14:solidFill>
          </w14:textFill>
        </w:rPr>
      </w:pPr>
      <w:bookmarkStart w:id="4" w:name="_Toc17008"/>
      <w:r>
        <w:rPr>
          <w:rFonts w:hint="eastAsia" w:ascii="宋体" w:hAnsi="宋体" w:cs="宋体"/>
          <w:b/>
          <w:color w:val="000000" w:themeColor="text1"/>
          <w:sz w:val="28"/>
          <w:szCs w:val="28"/>
          <w:highlight w:val="none"/>
          <w14:textFill>
            <w14:solidFill>
              <w14:schemeClr w14:val="tx1"/>
            </w14:solidFill>
          </w14:textFill>
        </w:rPr>
        <w:t>第二章  供应商须知</w:t>
      </w:r>
      <w:bookmarkEnd w:id="4"/>
    </w:p>
    <w:bookmarkEnd w:id="0"/>
    <w:p w14:paraId="44069086">
      <w:pPr>
        <w:pStyle w:val="24"/>
        <w:spacing w:before="0" w:after="0" w:line="360" w:lineRule="auto"/>
        <w:rPr>
          <w:rFonts w:ascii="宋体" w:hAnsi="宋体" w:eastAsia="宋体" w:cs="宋体"/>
          <w:color w:val="000000" w:themeColor="text1"/>
          <w:sz w:val="28"/>
          <w:szCs w:val="28"/>
          <w:highlight w:val="none"/>
          <w14:textFill>
            <w14:solidFill>
              <w14:schemeClr w14:val="tx1"/>
            </w14:solidFill>
          </w14:textFill>
        </w:rPr>
      </w:pPr>
      <w:bookmarkStart w:id="5" w:name="_Toc426369478"/>
      <w:bookmarkStart w:id="6" w:name="_Toc7779"/>
      <w:bookmarkStart w:id="7" w:name="_Toc403122490"/>
      <w:bookmarkStart w:id="8" w:name="_Toc19003"/>
      <w:bookmarkStart w:id="9" w:name="_Toc9161"/>
      <w:bookmarkStart w:id="10" w:name="_Toc14655"/>
      <w:bookmarkStart w:id="11" w:name="_Toc32497"/>
      <w:r>
        <w:rPr>
          <w:rFonts w:hint="eastAsia" w:ascii="宋体" w:hAnsi="宋体" w:eastAsia="宋体" w:cs="宋体"/>
          <w:color w:val="000000" w:themeColor="text1"/>
          <w:sz w:val="28"/>
          <w:szCs w:val="28"/>
          <w:highlight w:val="none"/>
          <w14:textFill>
            <w14:solidFill>
              <w14:schemeClr w14:val="tx1"/>
            </w14:solidFill>
          </w14:textFill>
        </w:rPr>
        <w:t>供应商须知前附表</w:t>
      </w:r>
      <w:bookmarkEnd w:id="5"/>
      <w:bookmarkEnd w:id="6"/>
      <w:bookmarkEnd w:id="7"/>
      <w:bookmarkEnd w:id="8"/>
      <w:bookmarkEnd w:id="9"/>
      <w:bookmarkEnd w:id="10"/>
      <w:bookmarkEnd w:id="11"/>
    </w:p>
    <w:tbl>
      <w:tblPr>
        <w:tblStyle w:val="28"/>
        <w:tblW w:w="9362"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90"/>
        <w:gridCol w:w="1927"/>
        <w:gridCol w:w="6445"/>
      </w:tblGrid>
      <w:tr w14:paraId="24E0E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DA3CDA6">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条款号</w:t>
            </w:r>
          </w:p>
        </w:tc>
        <w:tc>
          <w:tcPr>
            <w:tcW w:w="1927" w:type="dxa"/>
            <w:vAlign w:val="center"/>
          </w:tcPr>
          <w:p w14:paraId="2B7B8DD7">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条款名称</w:t>
            </w:r>
          </w:p>
        </w:tc>
        <w:tc>
          <w:tcPr>
            <w:tcW w:w="6445" w:type="dxa"/>
            <w:vAlign w:val="center"/>
          </w:tcPr>
          <w:p w14:paraId="1EB40623">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编列内容</w:t>
            </w:r>
          </w:p>
        </w:tc>
      </w:tr>
      <w:tr w14:paraId="5EAA40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D933D11">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1.1.2</w:t>
            </w:r>
          </w:p>
        </w:tc>
        <w:tc>
          <w:tcPr>
            <w:tcW w:w="1927" w:type="dxa"/>
            <w:vAlign w:val="center"/>
          </w:tcPr>
          <w:p w14:paraId="55D8577A">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w:t>
            </w:r>
          </w:p>
        </w:tc>
        <w:tc>
          <w:tcPr>
            <w:tcW w:w="6445" w:type="dxa"/>
            <w:vAlign w:val="center"/>
          </w:tcPr>
          <w:p w14:paraId="66D90A19">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采购人：博爱县教育体育局</w:t>
            </w:r>
          </w:p>
          <w:p w14:paraId="05121517">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地址：博爱县玉祥路北</w:t>
            </w:r>
          </w:p>
          <w:p w14:paraId="39EF9F22">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联系人：张小文</w:t>
            </w:r>
          </w:p>
          <w:p w14:paraId="61A30E10">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电话：</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0391-8663926</w:t>
            </w:r>
          </w:p>
        </w:tc>
      </w:tr>
      <w:tr w14:paraId="7A76F6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7813AAB2">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1.1.3</w:t>
            </w:r>
          </w:p>
        </w:tc>
        <w:tc>
          <w:tcPr>
            <w:tcW w:w="1927" w:type="dxa"/>
            <w:vAlign w:val="center"/>
          </w:tcPr>
          <w:p w14:paraId="495BB064">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w:t>
            </w:r>
          </w:p>
        </w:tc>
        <w:tc>
          <w:tcPr>
            <w:tcW w:w="6445" w:type="dxa"/>
            <w:vAlign w:val="center"/>
          </w:tcPr>
          <w:p w14:paraId="40B4D9E1">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采购代理机构：智博国际工程咨询有限公司</w:t>
            </w:r>
          </w:p>
          <w:p w14:paraId="5708A8A2">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地址：郑州市西三环与北三环交叉口国家大学科技园（东区）18号楼D座2层</w:t>
            </w:r>
          </w:p>
          <w:p w14:paraId="0DC76BC0">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联系人：黄天鹏、刘莎、刘勇琪</w:t>
            </w:r>
          </w:p>
          <w:p w14:paraId="01A276D6">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电话：0371-68638111</w:t>
            </w:r>
          </w:p>
        </w:tc>
      </w:tr>
      <w:tr w14:paraId="3FE1EDF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4FBE163B">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1.1.4</w:t>
            </w:r>
          </w:p>
        </w:tc>
        <w:tc>
          <w:tcPr>
            <w:tcW w:w="1927" w:type="dxa"/>
            <w:vAlign w:val="center"/>
          </w:tcPr>
          <w:p w14:paraId="69AF070E">
            <w:pPr>
              <w:keepNext w:val="0"/>
              <w:keepLines w:val="0"/>
              <w:pageBreakBefore w:val="0"/>
              <w:kinsoku/>
              <w:wordWrap/>
              <w:overflowPunct/>
              <w:topLinePunct w:val="0"/>
              <w:bidi w:val="0"/>
              <w:adjustRightInd w:val="0"/>
              <w:snapToGrid w:val="0"/>
              <w:spacing w:line="440" w:lineRule="exact"/>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项目名称</w:t>
            </w:r>
          </w:p>
        </w:tc>
        <w:tc>
          <w:tcPr>
            <w:tcW w:w="6445" w:type="dxa"/>
            <w:vAlign w:val="center"/>
          </w:tcPr>
          <w:p w14:paraId="671856AA">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博爱县教育体育局焦作新材料职业学院图书、教学设备、实验设备等采购项目二标段（二次）项目</w:t>
            </w:r>
          </w:p>
        </w:tc>
      </w:tr>
      <w:tr w14:paraId="52008D3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55CF89C5">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1.1.5</w:t>
            </w:r>
          </w:p>
        </w:tc>
        <w:tc>
          <w:tcPr>
            <w:tcW w:w="1927" w:type="dxa"/>
            <w:vAlign w:val="center"/>
          </w:tcPr>
          <w:p w14:paraId="4BBBBDA8">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Cs/>
                <w:iCs/>
                <w:color w:val="000000" w:themeColor="text1"/>
                <w:sz w:val="21"/>
                <w:szCs w:val="21"/>
                <w:highlight w:val="none"/>
                <w14:textFill>
                  <w14:solidFill>
                    <w14:schemeClr w14:val="tx1"/>
                  </w14:solidFill>
                </w14:textFill>
              </w:rPr>
              <w:t>项目地点</w:t>
            </w:r>
          </w:p>
        </w:tc>
        <w:tc>
          <w:tcPr>
            <w:tcW w:w="6445" w:type="dxa"/>
            <w:vAlign w:val="center"/>
          </w:tcPr>
          <w:p w14:paraId="27CDECC3">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采购人指定地点</w:t>
            </w:r>
          </w:p>
        </w:tc>
      </w:tr>
      <w:tr w14:paraId="402EFF4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30BE24BA">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1.2.1</w:t>
            </w:r>
          </w:p>
        </w:tc>
        <w:tc>
          <w:tcPr>
            <w:tcW w:w="1927" w:type="dxa"/>
            <w:vAlign w:val="center"/>
          </w:tcPr>
          <w:p w14:paraId="7F04E3F6">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资金来源</w:t>
            </w:r>
          </w:p>
        </w:tc>
        <w:tc>
          <w:tcPr>
            <w:tcW w:w="6445" w:type="dxa"/>
            <w:vAlign w:val="center"/>
          </w:tcPr>
          <w:p w14:paraId="22B5DF2D">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财政资金</w:t>
            </w:r>
          </w:p>
        </w:tc>
      </w:tr>
      <w:tr w14:paraId="1B4E70F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1DE76224">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1.2.2</w:t>
            </w:r>
          </w:p>
        </w:tc>
        <w:tc>
          <w:tcPr>
            <w:tcW w:w="1927" w:type="dxa"/>
            <w:vAlign w:val="center"/>
          </w:tcPr>
          <w:p w14:paraId="45265D5F">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资金落实情况</w:t>
            </w:r>
          </w:p>
        </w:tc>
        <w:tc>
          <w:tcPr>
            <w:tcW w:w="6445" w:type="dxa"/>
            <w:vAlign w:val="center"/>
          </w:tcPr>
          <w:p w14:paraId="65BE1E6A">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已落实</w:t>
            </w:r>
          </w:p>
        </w:tc>
      </w:tr>
      <w:tr w14:paraId="13F513A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6" w:hRule="atLeast"/>
        </w:trPr>
        <w:tc>
          <w:tcPr>
            <w:tcW w:w="990" w:type="dxa"/>
            <w:vAlign w:val="center"/>
          </w:tcPr>
          <w:p w14:paraId="57BB6941">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1.3.1</w:t>
            </w:r>
          </w:p>
        </w:tc>
        <w:tc>
          <w:tcPr>
            <w:tcW w:w="1927" w:type="dxa"/>
            <w:vAlign w:val="center"/>
          </w:tcPr>
          <w:p w14:paraId="3E391540">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采购内容</w:t>
            </w:r>
          </w:p>
        </w:tc>
        <w:tc>
          <w:tcPr>
            <w:tcW w:w="6445" w:type="dxa"/>
          </w:tcPr>
          <w:p w14:paraId="4CD65B84">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eastAsia="zh-CN"/>
                <w14:textFill>
                  <w14:solidFill>
                    <w14:schemeClr w14:val="tx1"/>
                  </w14:solidFill>
                </w14:textFill>
              </w:rPr>
              <w:t>本项目</w:t>
            </w:r>
            <w:r>
              <w:rPr>
                <w:rFonts w:hint="eastAsia" w:hAnsi="宋体" w:cs="宋体"/>
                <w:color w:val="000000" w:themeColor="text1"/>
                <w:kern w:val="0"/>
                <w:sz w:val="21"/>
                <w:szCs w:val="21"/>
                <w:highlight w:val="none"/>
                <w:lang w:val="en-US" w:eastAsia="zh-CN"/>
                <w14:textFill>
                  <w14:solidFill>
                    <w14:schemeClr w14:val="tx1"/>
                  </w14:solidFill>
                </w14:textFill>
              </w:rPr>
              <w:t>机房类</w:t>
            </w:r>
            <w:r>
              <w:rPr>
                <w:rFonts w:hint="eastAsia" w:ascii="宋体" w:hAnsi="宋体" w:eastAsia="宋体" w:cs="宋体"/>
                <w:color w:val="000000" w:themeColor="text1"/>
                <w:kern w:val="0"/>
                <w:sz w:val="21"/>
                <w:szCs w:val="21"/>
                <w:highlight w:val="none"/>
                <w:lang w:eastAsia="zh-CN"/>
                <w14:textFill>
                  <w14:solidFill>
                    <w14:schemeClr w14:val="tx1"/>
                  </w14:solidFill>
                </w14:textFill>
              </w:rPr>
              <w:t>主要采购</w:t>
            </w:r>
            <w:r>
              <w:rPr>
                <w:rFonts w:hint="eastAsia" w:hAnsi="宋体" w:cs="宋体"/>
                <w:color w:val="000000" w:themeColor="text1"/>
                <w:kern w:val="0"/>
                <w:sz w:val="21"/>
                <w:szCs w:val="21"/>
                <w:highlight w:val="none"/>
                <w:lang w:eastAsia="zh-CN"/>
                <w14:textFill>
                  <w14:solidFill>
                    <w14:schemeClr w14:val="tx1"/>
                  </w14:solidFill>
                </w14:textFill>
              </w:rPr>
              <w:t>机房类实训室设备</w:t>
            </w: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等</w:t>
            </w:r>
            <w:r>
              <w:rPr>
                <w:rFonts w:hint="eastAsia" w:ascii="宋体" w:hAnsi="宋体" w:eastAsia="宋体" w:cs="宋体"/>
                <w:color w:val="000000" w:themeColor="text1"/>
                <w:kern w:val="0"/>
                <w:sz w:val="21"/>
                <w:szCs w:val="21"/>
                <w:highlight w:val="none"/>
                <w:lang w:eastAsia="zh-CN"/>
                <w14:textFill>
                  <w14:solidFill>
                    <w14:schemeClr w14:val="tx1"/>
                  </w14:solidFill>
                </w14:textFill>
              </w:rPr>
              <w:t>（详见招标文件第五章“采购内容及技术要求”）</w:t>
            </w:r>
            <w:r>
              <w:rPr>
                <w:rFonts w:hint="eastAsia" w:ascii="宋体" w:hAnsi="宋体" w:eastAsia="宋体" w:cs="宋体"/>
                <w:color w:val="000000" w:themeColor="text1"/>
                <w:kern w:val="0"/>
                <w:sz w:val="21"/>
                <w:szCs w:val="21"/>
                <w:highlight w:val="none"/>
                <w14:textFill>
                  <w14:solidFill>
                    <w14:schemeClr w14:val="tx1"/>
                  </w14:solidFill>
                </w14:textFill>
              </w:rPr>
              <w:t>；</w:t>
            </w:r>
          </w:p>
        </w:tc>
      </w:tr>
      <w:tr w14:paraId="3866D2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52553E7E">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1.3.2</w:t>
            </w:r>
          </w:p>
        </w:tc>
        <w:tc>
          <w:tcPr>
            <w:tcW w:w="1927" w:type="dxa"/>
            <w:vAlign w:val="center"/>
          </w:tcPr>
          <w:p w14:paraId="0AD049F7">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合同履行期限</w:t>
            </w:r>
          </w:p>
          <w:p w14:paraId="437F2FF2">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（供货及安装期）</w:t>
            </w:r>
          </w:p>
        </w:tc>
        <w:tc>
          <w:tcPr>
            <w:tcW w:w="6445" w:type="dxa"/>
            <w:vAlign w:val="center"/>
          </w:tcPr>
          <w:p w14:paraId="372C2F00">
            <w:pPr>
              <w:pStyle w:val="47"/>
              <w:keepNext w:val="0"/>
              <w:keepLines w:val="0"/>
              <w:pageBreakBefore w:val="0"/>
              <w:kinsoku/>
              <w:wordWrap/>
              <w:overflowPunct/>
              <w:topLinePunct w:val="0"/>
              <w:autoSpaceDE/>
              <w:autoSpaceDN/>
              <w:bidi w:val="0"/>
              <w:adjustRightInd/>
              <w:snapToGrid/>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bidi="ar-SA"/>
                <w14:textFill>
                  <w14:solidFill>
                    <w14:schemeClr w14:val="tx1"/>
                  </w14:solidFill>
                </w14:textFill>
              </w:rPr>
              <w:t>30日历天；</w:t>
            </w:r>
          </w:p>
        </w:tc>
      </w:tr>
      <w:tr w14:paraId="135712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52C743F9">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1.3.3</w:t>
            </w:r>
          </w:p>
        </w:tc>
        <w:tc>
          <w:tcPr>
            <w:tcW w:w="1927" w:type="dxa"/>
            <w:vAlign w:val="center"/>
          </w:tcPr>
          <w:p w14:paraId="011BE7A8">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质量标准</w:t>
            </w:r>
          </w:p>
        </w:tc>
        <w:tc>
          <w:tcPr>
            <w:tcW w:w="6445" w:type="dxa"/>
            <w:vAlign w:val="center"/>
          </w:tcPr>
          <w:p w14:paraId="4A24AAE6">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kern w:val="0"/>
                <w:sz w:val="21"/>
                <w:szCs w:val="21"/>
                <w:highlight w:val="none"/>
                <w:lang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合格，符合国家、行业规范标准</w:t>
            </w:r>
            <w:r>
              <w:rPr>
                <w:rFonts w:hint="eastAsia" w:ascii="宋体" w:hAnsi="宋体" w:cs="宋体"/>
                <w:color w:val="000000" w:themeColor="text1"/>
                <w:kern w:val="0"/>
                <w:sz w:val="21"/>
                <w:szCs w:val="21"/>
                <w:highlight w:val="none"/>
                <w:lang w:eastAsia="zh-CN"/>
                <w14:textFill>
                  <w14:solidFill>
                    <w14:schemeClr w14:val="tx1"/>
                  </w14:solidFill>
                </w14:textFill>
              </w:rPr>
              <w:t>；</w:t>
            </w:r>
          </w:p>
        </w:tc>
      </w:tr>
      <w:tr w14:paraId="2D2A6DC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09E80808">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1.3.4</w:t>
            </w:r>
          </w:p>
        </w:tc>
        <w:tc>
          <w:tcPr>
            <w:tcW w:w="1927" w:type="dxa"/>
            <w:vAlign w:val="center"/>
          </w:tcPr>
          <w:p w14:paraId="26404C85">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质保期</w:t>
            </w:r>
          </w:p>
        </w:tc>
        <w:tc>
          <w:tcPr>
            <w:tcW w:w="6445" w:type="dxa"/>
            <w:vAlign w:val="center"/>
          </w:tcPr>
          <w:p w14:paraId="6685B504">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lang w:val="en-US" w:eastAsia="zh-CN"/>
                <w14:textFill>
                  <w14:solidFill>
                    <w14:schemeClr w14:val="tx1"/>
                  </w14:solidFill>
                </w14:textFill>
              </w:rPr>
              <w:t>三年</w:t>
            </w:r>
            <w:r>
              <w:rPr>
                <w:rFonts w:hint="eastAsia" w:ascii="宋体" w:hAnsi="宋体" w:cs="宋体"/>
                <w:color w:val="000000" w:themeColor="text1"/>
                <w:kern w:val="0"/>
                <w:sz w:val="21"/>
                <w:szCs w:val="21"/>
                <w:highlight w:val="none"/>
                <w:lang w:val="en-US" w:eastAsia="zh-CN"/>
                <w14:textFill>
                  <w14:solidFill>
                    <w14:schemeClr w14:val="tx1"/>
                  </w14:solidFill>
                </w14:textFill>
              </w:rPr>
              <w:t>；</w:t>
            </w:r>
          </w:p>
        </w:tc>
      </w:tr>
      <w:tr w14:paraId="6D4554E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5A9740F9">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1.4.1</w:t>
            </w:r>
          </w:p>
        </w:tc>
        <w:tc>
          <w:tcPr>
            <w:tcW w:w="1927" w:type="dxa"/>
            <w:vAlign w:val="center"/>
          </w:tcPr>
          <w:p w14:paraId="3EFAE662">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供应商资质条件</w:t>
            </w:r>
          </w:p>
        </w:tc>
        <w:tc>
          <w:tcPr>
            <w:tcW w:w="6445" w:type="dxa"/>
            <w:vAlign w:val="center"/>
          </w:tcPr>
          <w:p w14:paraId="5E07A2CB">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1.符合《中华人民共和国政府采购法》第二十二条之规定；</w:t>
            </w:r>
          </w:p>
          <w:p w14:paraId="6C44B9E2">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2.落实政府采购政策需满足的资格要求：促进中小企业和监狱企业发展扶持政策、政府强制采购节能产品、节能产品及环境标志产品优先采购。</w:t>
            </w:r>
          </w:p>
          <w:p w14:paraId="50425EA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3.本项目的特定资格要求：</w:t>
            </w:r>
          </w:p>
          <w:p w14:paraId="4563013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3.1供应商须具有有效的营业执照，并具有实施完成本项目的经营实力和完善的售后服务体系；</w:t>
            </w:r>
          </w:p>
          <w:p w14:paraId="02A82B1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3.2信誉要求：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同时对信用信息查询记录和证据进行打印存档；</w:t>
            </w:r>
          </w:p>
          <w:p w14:paraId="07A8CC6A">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3.3本项目不接受联合体投标；</w:t>
            </w:r>
          </w:p>
          <w:p w14:paraId="7AB736D7">
            <w:pPr>
              <w:keepNext w:val="0"/>
              <w:keepLines w:val="0"/>
              <w:pageBreakBefore w:val="0"/>
              <w:widowControl w:val="0"/>
              <w:kinsoku/>
              <w:wordWrap/>
              <w:overflowPunct/>
              <w:topLinePunct w:val="0"/>
              <w:autoSpaceDE/>
              <w:autoSpaceDN/>
              <w:bidi w:val="0"/>
              <w:adjustRightInd w:val="0"/>
              <w:snapToGrid w:val="0"/>
              <w:spacing w:line="440" w:lineRule="exact"/>
              <w:ind w:left="0" w:leftChars="0" w:right="0" w:rightChars="0" w:firstLine="105" w:firstLineChars="5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t>3.4资格审查方式：资格后审。</w:t>
            </w:r>
          </w:p>
        </w:tc>
      </w:tr>
      <w:tr w14:paraId="22088D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2B8AE8F5">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1.4.2</w:t>
            </w:r>
          </w:p>
        </w:tc>
        <w:tc>
          <w:tcPr>
            <w:tcW w:w="1927" w:type="dxa"/>
            <w:vAlign w:val="center"/>
          </w:tcPr>
          <w:p w14:paraId="1B972940">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是否接受联合体</w:t>
            </w:r>
          </w:p>
        </w:tc>
        <w:tc>
          <w:tcPr>
            <w:tcW w:w="6445" w:type="dxa"/>
            <w:vAlign w:val="center"/>
          </w:tcPr>
          <w:p w14:paraId="6E52B00A">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不接受</w:t>
            </w:r>
          </w:p>
        </w:tc>
      </w:tr>
      <w:tr w14:paraId="6780EA2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77" w:hRule="atLeast"/>
        </w:trPr>
        <w:tc>
          <w:tcPr>
            <w:tcW w:w="990" w:type="dxa"/>
            <w:vAlign w:val="center"/>
          </w:tcPr>
          <w:p w14:paraId="0E114AA1">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1.10.1</w:t>
            </w:r>
          </w:p>
        </w:tc>
        <w:tc>
          <w:tcPr>
            <w:tcW w:w="1927" w:type="dxa"/>
            <w:vAlign w:val="center"/>
          </w:tcPr>
          <w:p w14:paraId="2AAAF4AF">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投标预备会</w:t>
            </w:r>
          </w:p>
        </w:tc>
        <w:tc>
          <w:tcPr>
            <w:tcW w:w="6445" w:type="dxa"/>
            <w:vAlign w:val="center"/>
          </w:tcPr>
          <w:p w14:paraId="328D8E6B">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不召开</w:t>
            </w:r>
          </w:p>
        </w:tc>
      </w:tr>
      <w:tr w14:paraId="1D8E26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2A2BBEE">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1.10.2</w:t>
            </w:r>
          </w:p>
        </w:tc>
        <w:tc>
          <w:tcPr>
            <w:tcW w:w="1927" w:type="dxa"/>
            <w:vAlign w:val="center"/>
          </w:tcPr>
          <w:p w14:paraId="4D464E09">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供应商提出问题的</w:t>
            </w:r>
          </w:p>
          <w:p w14:paraId="5999084B">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截止时间</w:t>
            </w:r>
          </w:p>
        </w:tc>
        <w:tc>
          <w:tcPr>
            <w:tcW w:w="6445" w:type="dxa"/>
            <w:vAlign w:val="center"/>
          </w:tcPr>
          <w:p w14:paraId="74440AA5">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若有疑问，应当在获取招标文件或者招标文件公告期限届满之日起七个工作日内，以书面形式向采购人、代理机构提出质疑。</w:t>
            </w:r>
          </w:p>
        </w:tc>
      </w:tr>
      <w:tr w14:paraId="35C5C7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6F9D41B6">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1.10.3</w:t>
            </w:r>
          </w:p>
        </w:tc>
        <w:tc>
          <w:tcPr>
            <w:tcW w:w="1927" w:type="dxa"/>
            <w:vAlign w:val="center"/>
          </w:tcPr>
          <w:p w14:paraId="5297D56E">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采购人说明澄清的时间</w:t>
            </w:r>
          </w:p>
        </w:tc>
        <w:tc>
          <w:tcPr>
            <w:tcW w:w="6445" w:type="dxa"/>
            <w:vAlign w:val="center"/>
          </w:tcPr>
          <w:p w14:paraId="1A0360D6">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招标文件规定的投标截止时间15天前</w:t>
            </w:r>
          </w:p>
        </w:tc>
      </w:tr>
      <w:tr w14:paraId="5944CAF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trPr>
        <w:tc>
          <w:tcPr>
            <w:tcW w:w="990" w:type="dxa"/>
            <w:vAlign w:val="center"/>
          </w:tcPr>
          <w:p w14:paraId="4AB710EA">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1.11</w:t>
            </w:r>
          </w:p>
        </w:tc>
        <w:tc>
          <w:tcPr>
            <w:tcW w:w="1927" w:type="dxa"/>
            <w:vAlign w:val="center"/>
          </w:tcPr>
          <w:p w14:paraId="086AC6E6">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分包</w:t>
            </w:r>
          </w:p>
        </w:tc>
        <w:tc>
          <w:tcPr>
            <w:tcW w:w="6445" w:type="dxa"/>
            <w:vAlign w:val="center"/>
          </w:tcPr>
          <w:p w14:paraId="6C380299">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52DA78C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7D2A2FAE">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w:t>
            </w:r>
          </w:p>
        </w:tc>
        <w:tc>
          <w:tcPr>
            <w:tcW w:w="1927" w:type="dxa"/>
            <w:vAlign w:val="center"/>
          </w:tcPr>
          <w:p w14:paraId="7F92E56B">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供应商要求澄清招标文件的截止时间</w:t>
            </w:r>
          </w:p>
        </w:tc>
        <w:tc>
          <w:tcPr>
            <w:tcW w:w="6445" w:type="dxa"/>
            <w:vAlign w:val="center"/>
          </w:tcPr>
          <w:p w14:paraId="24C7370E">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若有疑问，应当在获取招标文件或者招标文件公告期限届满之日起七个工作日内，以书面形式向采购人、代理机构提出质疑。</w:t>
            </w:r>
          </w:p>
        </w:tc>
      </w:tr>
      <w:tr w14:paraId="4AE031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9" w:hRule="atLeast"/>
        </w:trPr>
        <w:tc>
          <w:tcPr>
            <w:tcW w:w="990" w:type="dxa"/>
            <w:vAlign w:val="center"/>
          </w:tcPr>
          <w:p w14:paraId="6D1EBDCF">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2.2.2</w:t>
            </w:r>
          </w:p>
        </w:tc>
        <w:tc>
          <w:tcPr>
            <w:tcW w:w="1927" w:type="dxa"/>
            <w:vAlign w:val="center"/>
          </w:tcPr>
          <w:p w14:paraId="4984EF87">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投标截止时间</w:t>
            </w:r>
          </w:p>
        </w:tc>
        <w:tc>
          <w:tcPr>
            <w:tcW w:w="6445" w:type="dxa"/>
            <w:vAlign w:val="center"/>
          </w:tcPr>
          <w:p w14:paraId="34E189EE">
            <w:pPr>
              <w:keepNext w:val="0"/>
              <w:keepLines w:val="0"/>
              <w:pageBreakBefore w:val="0"/>
              <w:kinsoku/>
              <w:wordWrap/>
              <w:overflowPunct/>
              <w:topLinePunct w:val="0"/>
              <w:bidi w:val="0"/>
              <w:spacing w:line="440" w:lineRule="exact"/>
              <w:jc w:val="lef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202</w:t>
            </w:r>
            <w:r>
              <w:rPr>
                <w:rFonts w:hint="eastAsia" w:ascii="宋体" w:hAnsi="宋体" w:cs="宋体"/>
                <w:b/>
                <w:bCs/>
                <w:color w:val="000000" w:themeColor="text1"/>
                <w:kern w:val="0"/>
                <w:sz w:val="21"/>
                <w:szCs w:val="21"/>
                <w:highlight w:val="none"/>
                <w:u w:val="single"/>
                <w:lang w:val="en-US" w:eastAsia="zh-CN"/>
                <w14:textFill>
                  <w14:solidFill>
                    <w14:schemeClr w14:val="tx1"/>
                  </w14:solidFill>
                </w14:textFill>
              </w:rPr>
              <w:t>5</w:t>
            </w: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年</w:t>
            </w:r>
            <w:r>
              <w:rPr>
                <w:rFonts w:hint="eastAsia" w:ascii="宋体" w:hAnsi="宋体" w:cs="宋体"/>
                <w:b/>
                <w:bCs/>
                <w:color w:val="000000" w:themeColor="text1"/>
                <w:kern w:val="0"/>
                <w:sz w:val="21"/>
                <w:szCs w:val="21"/>
                <w:highlight w:val="none"/>
                <w:u w:val="single"/>
                <w:lang w:val="en-US" w:eastAsia="zh-CN"/>
                <w14:textFill>
                  <w14:solidFill>
                    <w14:schemeClr w14:val="tx1"/>
                  </w14:solidFill>
                </w14:textFill>
              </w:rPr>
              <w:t>01</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月</w:t>
            </w:r>
            <w:r>
              <w:rPr>
                <w:rFonts w:hint="eastAsia" w:ascii="宋体" w:hAnsi="宋体" w:cs="宋体"/>
                <w:b/>
                <w:bCs/>
                <w:color w:val="000000" w:themeColor="text1"/>
                <w:kern w:val="0"/>
                <w:sz w:val="21"/>
                <w:szCs w:val="21"/>
                <w:highlight w:val="none"/>
                <w:u w:val="single"/>
                <w:lang w:val="en-US" w:eastAsia="zh-CN"/>
                <w14:textFill>
                  <w14:solidFill>
                    <w14:schemeClr w14:val="tx1"/>
                  </w14:solidFill>
                </w14:textFill>
              </w:rPr>
              <w:t>09</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日09</w:t>
            </w:r>
            <w:r>
              <w:rPr>
                <w:rFonts w:hint="eastAsia" w:ascii="宋体" w:hAnsi="宋体" w:eastAsia="宋体" w:cs="宋体"/>
                <w:b/>
                <w:bCs/>
                <w:color w:val="000000" w:themeColor="text1"/>
                <w:kern w:val="0"/>
                <w:sz w:val="21"/>
                <w:szCs w:val="21"/>
                <w:highlight w:val="none"/>
                <w:u w:val="single"/>
                <w:lang w:eastAsia="zh-CN"/>
                <w14:textFill>
                  <w14:solidFill>
                    <w14:schemeClr w14:val="tx1"/>
                  </w14:solidFill>
                </w14:textFill>
              </w:rPr>
              <w:t>：</w:t>
            </w:r>
            <w:r>
              <w:rPr>
                <w:rFonts w:hint="eastAsia" w:ascii="宋体" w:hAnsi="宋体" w:eastAsia="宋体" w:cs="宋体"/>
                <w:b/>
                <w:bCs/>
                <w:color w:val="000000" w:themeColor="text1"/>
                <w:kern w:val="0"/>
                <w:sz w:val="21"/>
                <w:szCs w:val="21"/>
                <w:highlight w:val="none"/>
                <w:u w:val="single"/>
                <w14:textFill>
                  <w14:solidFill>
                    <w14:schemeClr w14:val="tx1"/>
                  </w14:solidFill>
                </w14:textFill>
              </w:rPr>
              <w:t>00（北京时间）</w:t>
            </w:r>
          </w:p>
        </w:tc>
      </w:tr>
      <w:tr w14:paraId="2061E74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4B7B69D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3.1.1</w:t>
            </w:r>
          </w:p>
        </w:tc>
        <w:tc>
          <w:tcPr>
            <w:tcW w:w="1927" w:type="dxa"/>
            <w:vAlign w:val="center"/>
          </w:tcPr>
          <w:p w14:paraId="20B783D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构成投标文件的</w:t>
            </w:r>
          </w:p>
          <w:p w14:paraId="535383F6">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其他材料</w:t>
            </w:r>
          </w:p>
        </w:tc>
        <w:tc>
          <w:tcPr>
            <w:tcW w:w="6445" w:type="dxa"/>
            <w:vAlign w:val="center"/>
          </w:tcPr>
          <w:p w14:paraId="2DC2DD1E">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招标文件中要求的其他资料。 </w:t>
            </w:r>
          </w:p>
        </w:tc>
      </w:tr>
      <w:tr w14:paraId="21EF22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3" w:hRule="atLeast"/>
        </w:trPr>
        <w:tc>
          <w:tcPr>
            <w:tcW w:w="990" w:type="dxa"/>
            <w:vAlign w:val="center"/>
          </w:tcPr>
          <w:p w14:paraId="2D01F542">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3.3.1</w:t>
            </w:r>
          </w:p>
        </w:tc>
        <w:tc>
          <w:tcPr>
            <w:tcW w:w="1927" w:type="dxa"/>
            <w:vAlign w:val="center"/>
          </w:tcPr>
          <w:p w14:paraId="03BBEA20">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6445" w:type="dxa"/>
            <w:vAlign w:val="center"/>
          </w:tcPr>
          <w:p w14:paraId="5DC87624">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60日历天（从投标截止之日算起）</w:t>
            </w:r>
          </w:p>
        </w:tc>
      </w:tr>
      <w:tr w14:paraId="1C5757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45A304A">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3.6</w:t>
            </w:r>
          </w:p>
        </w:tc>
        <w:tc>
          <w:tcPr>
            <w:tcW w:w="1927" w:type="dxa"/>
            <w:vAlign w:val="center"/>
          </w:tcPr>
          <w:p w14:paraId="4E31DD19">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是否允许递交备选</w:t>
            </w:r>
          </w:p>
          <w:p w14:paraId="54F58B22">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投标方案</w:t>
            </w:r>
          </w:p>
        </w:tc>
        <w:tc>
          <w:tcPr>
            <w:tcW w:w="6445" w:type="dxa"/>
            <w:vAlign w:val="center"/>
          </w:tcPr>
          <w:p w14:paraId="2326C6D7">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不允许</w:t>
            </w:r>
          </w:p>
        </w:tc>
      </w:tr>
      <w:tr w14:paraId="0EA69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shd w:val="clear" w:color="auto" w:fill="auto"/>
            <w:vAlign w:val="center"/>
          </w:tcPr>
          <w:p w14:paraId="0556674C">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3.7.3</w:t>
            </w:r>
          </w:p>
        </w:tc>
        <w:tc>
          <w:tcPr>
            <w:tcW w:w="1927" w:type="dxa"/>
            <w:shd w:val="clear" w:color="auto" w:fill="auto"/>
            <w:vAlign w:val="center"/>
          </w:tcPr>
          <w:p w14:paraId="25C79CB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签字盖章要求</w:t>
            </w:r>
          </w:p>
        </w:tc>
        <w:tc>
          <w:tcPr>
            <w:tcW w:w="6445" w:type="dxa"/>
            <w:shd w:val="clear" w:color="auto" w:fill="auto"/>
            <w:vAlign w:val="center"/>
          </w:tcPr>
          <w:p w14:paraId="369465F3">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（1）要求供应商加盖公章的地方都应加盖供应商单位的CA 印章。</w:t>
            </w:r>
          </w:p>
          <w:p w14:paraId="0162EC8C">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（2）要求法定代表人签字或盖章的，法定代表人在签字或盖章的地方上传手写签名的扫描件或加盖法定代表人CA印章。</w:t>
            </w:r>
          </w:p>
          <w:p w14:paraId="4E8ECF95">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（3）要求委托代理人签字或盖章的，委托代理人在签字或盖章的地方上传手写签名的扫描件或加盖委托代理人CA印章。</w:t>
            </w:r>
          </w:p>
        </w:tc>
      </w:tr>
      <w:tr w14:paraId="1B48DA0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2" w:hRule="atLeast"/>
        </w:trPr>
        <w:tc>
          <w:tcPr>
            <w:tcW w:w="990" w:type="dxa"/>
            <w:vAlign w:val="center"/>
          </w:tcPr>
          <w:p w14:paraId="07619D58">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3.7.4</w:t>
            </w:r>
          </w:p>
        </w:tc>
        <w:tc>
          <w:tcPr>
            <w:tcW w:w="1927" w:type="dxa"/>
            <w:vAlign w:val="center"/>
          </w:tcPr>
          <w:p w14:paraId="2FD8725E">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投标文件份数</w:t>
            </w:r>
          </w:p>
        </w:tc>
        <w:tc>
          <w:tcPr>
            <w:tcW w:w="6445" w:type="dxa"/>
            <w:vAlign w:val="center"/>
          </w:tcPr>
          <w:p w14:paraId="6700DEBA">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加密的电子投标文件壹份（.jztf 格式在会员系统指定位置上传）；自备非加密的电子投标文件一份，如有紧急情况，在不见面开标按要求上传。</w:t>
            </w:r>
          </w:p>
        </w:tc>
      </w:tr>
      <w:tr w14:paraId="6ADBFAA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5" w:hRule="atLeast"/>
        </w:trPr>
        <w:tc>
          <w:tcPr>
            <w:tcW w:w="990" w:type="dxa"/>
            <w:vAlign w:val="center"/>
          </w:tcPr>
          <w:p w14:paraId="4D8FD18F">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4.2.2</w:t>
            </w:r>
          </w:p>
        </w:tc>
        <w:tc>
          <w:tcPr>
            <w:tcW w:w="1927" w:type="dxa"/>
            <w:vAlign w:val="center"/>
          </w:tcPr>
          <w:p w14:paraId="389A45F2">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递交投标文件方式和地点</w:t>
            </w:r>
          </w:p>
        </w:tc>
        <w:tc>
          <w:tcPr>
            <w:tcW w:w="6445" w:type="dxa"/>
            <w:vAlign w:val="center"/>
          </w:tcPr>
          <w:p w14:paraId="3C115F32">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本项目采用“远程不见面”开标方式，远程开标大厅网址为http://122.112.246.33/BidOpening/bidopeninghallaction/hall/login。投标人不需到开标现场参加开标会议，不需提交原件资料等。 </w:t>
            </w:r>
          </w:p>
          <w:p w14:paraId="2E0C40C4">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（1）电子投标文件的递交</w:t>
            </w:r>
          </w:p>
          <w:p w14:paraId="07CD9056">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a、各投标人应在投标截止时间前上传加密的电子投标文件</w:t>
            </w:r>
          </w:p>
          <w:p w14:paraId="31BBB601">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（.jztf 格式）到会员系统的指定位置。上传时必须得到电脑“上传成功”的确认回复。请投标人在上传时认真检查上传投标文件是否完整、正确。</w:t>
            </w:r>
          </w:p>
          <w:p w14:paraId="143D1BF9">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b、如系统故故障需上传非加密文件时，投标人应按照采购人指示将非加密文件递交给采购人。</w:t>
            </w:r>
          </w:p>
        </w:tc>
      </w:tr>
      <w:tr w14:paraId="658F115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7F5AACFB">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4.2.3</w:t>
            </w:r>
          </w:p>
        </w:tc>
        <w:tc>
          <w:tcPr>
            <w:tcW w:w="1927" w:type="dxa"/>
            <w:vAlign w:val="center"/>
          </w:tcPr>
          <w:p w14:paraId="316FA6B8">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是否退还投标文件</w:t>
            </w:r>
          </w:p>
        </w:tc>
        <w:tc>
          <w:tcPr>
            <w:tcW w:w="6445" w:type="dxa"/>
            <w:vAlign w:val="center"/>
          </w:tcPr>
          <w:p w14:paraId="5CA66C35">
            <w:pPr>
              <w:pStyle w:val="13"/>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w:t>
            </w:r>
          </w:p>
        </w:tc>
      </w:tr>
      <w:tr w14:paraId="566467B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17D53718">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5.1</w:t>
            </w:r>
          </w:p>
        </w:tc>
        <w:tc>
          <w:tcPr>
            <w:tcW w:w="1927" w:type="dxa"/>
            <w:vAlign w:val="center"/>
          </w:tcPr>
          <w:p w14:paraId="392AC357">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开标时间和地点</w:t>
            </w:r>
          </w:p>
        </w:tc>
        <w:tc>
          <w:tcPr>
            <w:tcW w:w="6445" w:type="dxa"/>
            <w:vAlign w:val="center"/>
          </w:tcPr>
          <w:p w14:paraId="1B644C49">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开标时间：同投标截止时间。登录远程开标大厅，凭制作投标文件所用的企业 CA 密匙在线签到、解密文件等，解密时间为投标截止时后30分钟内。</w:t>
            </w:r>
          </w:p>
          <w:p w14:paraId="2D4C055E">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现场开标地点：</w:t>
            </w:r>
            <w:r>
              <w:rPr>
                <w:rFonts w:hint="eastAsia" w:ascii="宋体" w:hAnsi="宋体" w:eastAsia="宋体" w:cs="宋体"/>
                <w:color w:val="000000" w:themeColor="text1"/>
                <w:sz w:val="21"/>
                <w:szCs w:val="21"/>
                <w:highlight w:val="none"/>
                <w:lang w:eastAsia="zh-CN"/>
                <w14:textFill>
                  <w14:solidFill>
                    <w14:schemeClr w14:val="tx1"/>
                  </w14:solidFill>
                </w14:textFill>
              </w:rPr>
              <w:t>博爱县公共资源交易中心二楼不见面开标</w:t>
            </w:r>
            <w:r>
              <w:rPr>
                <w:rFonts w:hint="eastAsia" w:ascii="宋体" w:hAnsi="宋体" w:cs="宋体"/>
                <w:color w:val="000000" w:themeColor="text1"/>
                <w:sz w:val="21"/>
                <w:szCs w:val="21"/>
                <w:highlight w:val="none"/>
                <w:lang w:val="en-US" w:eastAsia="zh-CN"/>
                <w14:textFill>
                  <w14:solidFill>
                    <w14:schemeClr w14:val="tx1"/>
                  </w14:solidFill>
                </w14:textFill>
              </w:rPr>
              <w:t>二</w:t>
            </w:r>
            <w:r>
              <w:rPr>
                <w:rFonts w:hint="eastAsia" w:ascii="宋体" w:hAnsi="宋体" w:eastAsia="宋体" w:cs="宋体"/>
                <w:color w:val="000000" w:themeColor="text1"/>
                <w:sz w:val="21"/>
                <w:szCs w:val="21"/>
                <w:highlight w:val="none"/>
                <w:lang w:eastAsia="zh-CN"/>
                <w14:textFill>
                  <w14:solidFill>
                    <w14:schemeClr w14:val="tx1"/>
                  </w14:solidFill>
                </w14:textFill>
              </w:rPr>
              <w:t>室</w:t>
            </w:r>
          </w:p>
        </w:tc>
      </w:tr>
      <w:tr w14:paraId="0AB6F8C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77" w:hRule="atLeast"/>
        </w:trPr>
        <w:tc>
          <w:tcPr>
            <w:tcW w:w="990" w:type="dxa"/>
            <w:vAlign w:val="center"/>
          </w:tcPr>
          <w:p w14:paraId="7AFACC7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6.1.1</w:t>
            </w:r>
          </w:p>
        </w:tc>
        <w:tc>
          <w:tcPr>
            <w:tcW w:w="1927" w:type="dxa"/>
            <w:vAlign w:val="center"/>
          </w:tcPr>
          <w:p w14:paraId="2B81BD2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评标委员会的组建</w:t>
            </w:r>
          </w:p>
        </w:tc>
        <w:tc>
          <w:tcPr>
            <w:tcW w:w="6445" w:type="dxa"/>
            <w:vAlign w:val="center"/>
          </w:tcPr>
          <w:p w14:paraId="48F96D40">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评标委员会构成：由采购人代表</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名和政府采购专家库中随机抽取的评审专家</w:t>
            </w:r>
            <w:r>
              <w:rPr>
                <w:rFonts w:hint="eastAsia" w:ascii="宋体" w:hAnsi="宋体" w:eastAsia="宋体" w:cs="宋体"/>
                <w:color w:val="000000" w:themeColor="text1"/>
                <w:sz w:val="21"/>
                <w:szCs w:val="21"/>
                <w:highlight w:val="none"/>
                <w:lang w:val="en-US" w:eastAsia="zh-CN"/>
                <w14:textFill>
                  <w14:solidFill>
                    <w14:schemeClr w14:val="tx1"/>
                  </w14:solidFill>
                </w14:textFill>
              </w:rPr>
              <w:t>5</w:t>
            </w:r>
            <w:r>
              <w:rPr>
                <w:rFonts w:hint="eastAsia" w:ascii="宋体" w:hAnsi="宋体" w:eastAsia="宋体" w:cs="宋体"/>
                <w:color w:val="000000" w:themeColor="text1"/>
                <w:sz w:val="21"/>
                <w:szCs w:val="21"/>
                <w:highlight w:val="none"/>
                <w14:textFill>
                  <w14:solidFill>
                    <w14:schemeClr w14:val="tx1"/>
                  </w14:solidFill>
                </w14:textFill>
              </w:rPr>
              <w:t>名,共</w:t>
            </w:r>
            <w:r>
              <w:rPr>
                <w:rFonts w:hint="eastAsia" w:ascii="宋体" w:hAnsi="宋体" w:eastAsia="宋体" w:cs="宋体"/>
                <w:color w:val="000000" w:themeColor="text1"/>
                <w:sz w:val="21"/>
                <w:szCs w:val="21"/>
                <w:highlight w:val="none"/>
                <w:lang w:val="en-US" w:eastAsia="zh-CN"/>
                <w14:textFill>
                  <w14:solidFill>
                    <w14:schemeClr w14:val="tx1"/>
                  </w14:solidFill>
                </w14:textFill>
              </w:rPr>
              <w:t>7</w:t>
            </w:r>
            <w:r>
              <w:rPr>
                <w:rFonts w:hint="eastAsia" w:ascii="宋体" w:hAnsi="宋体" w:eastAsia="宋体" w:cs="宋体"/>
                <w:color w:val="000000" w:themeColor="text1"/>
                <w:sz w:val="21"/>
                <w:szCs w:val="21"/>
                <w:highlight w:val="none"/>
                <w14:textFill>
                  <w14:solidFill>
                    <w14:schemeClr w14:val="tx1"/>
                  </w14:solidFill>
                </w14:textFill>
              </w:rPr>
              <w:t>人组成。</w:t>
            </w:r>
          </w:p>
          <w:p w14:paraId="13EAFC21">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u w:val="singl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评审专家确定方式：在开标前从有关政府部门设立的评标专家中随机抽取确定。</w:t>
            </w:r>
          </w:p>
        </w:tc>
      </w:tr>
      <w:tr w14:paraId="7B3C1B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29AE473">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7.1</w:t>
            </w:r>
          </w:p>
        </w:tc>
        <w:tc>
          <w:tcPr>
            <w:tcW w:w="1927" w:type="dxa"/>
            <w:vAlign w:val="center"/>
          </w:tcPr>
          <w:p w14:paraId="1808618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是否授权评标委员会确定中标人</w:t>
            </w:r>
          </w:p>
        </w:tc>
        <w:tc>
          <w:tcPr>
            <w:tcW w:w="6445" w:type="dxa"/>
            <w:vAlign w:val="center"/>
          </w:tcPr>
          <w:p w14:paraId="6B818129">
            <w:pPr>
              <w:keepNext w:val="0"/>
              <w:keepLines w:val="0"/>
              <w:pageBreakBefore w:val="0"/>
              <w:kinsoku/>
              <w:wordWrap/>
              <w:overflowPunct/>
              <w:topLinePunct w:val="0"/>
              <w:bidi w:val="0"/>
              <w:spacing w:line="440" w:lineRule="exact"/>
              <w:jc w:val="lef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否，由评标委员会从认定的合理报价中，按得分由高到低的顺序，依次推荐3名中标候选人。</w:t>
            </w:r>
          </w:p>
          <w:p w14:paraId="68C87952">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采购人应当确定排名第一的中标候选人为中标人。排名第一的中标候选人放弃中标、因不可抗力不能履行合同，或者被查实存在影响中标结果的违法行为等情形，不符合中标条件的，采购人可以按照评标委员会提出的中标候选人名单排序依次确定其他中标候选人为中标人。</w:t>
            </w:r>
          </w:p>
          <w:p w14:paraId="1459DBB2">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非因不可抗力因素放弃中标的，或排名第一的中标候选人未按规定期限与采购人签订合同的，应赔偿采购人由此造成的损失，损失费的计算方法为该中标候选人的投标价与重新确定的中标人中标价的差额，将按相关规定予以处理。</w:t>
            </w:r>
          </w:p>
        </w:tc>
      </w:tr>
      <w:tr w14:paraId="16B4FCD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vAlign w:val="center"/>
          </w:tcPr>
          <w:p w14:paraId="61EE749F">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7.3.1</w:t>
            </w:r>
          </w:p>
        </w:tc>
        <w:tc>
          <w:tcPr>
            <w:tcW w:w="1927" w:type="dxa"/>
            <w:vAlign w:val="center"/>
          </w:tcPr>
          <w:p w14:paraId="1255E03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履约保证金</w:t>
            </w:r>
          </w:p>
        </w:tc>
        <w:tc>
          <w:tcPr>
            <w:tcW w:w="6445" w:type="dxa"/>
            <w:vAlign w:val="center"/>
          </w:tcPr>
          <w:p w14:paraId="308F6D6B">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14:paraId="22F4C01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trPr>
        <w:tc>
          <w:tcPr>
            <w:tcW w:w="990" w:type="dxa"/>
            <w:shd w:val="clear" w:color="auto" w:fill="auto"/>
            <w:vAlign w:val="center"/>
          </w:tcPr>
          <w:p w14:paraId="2C450807">
            <w:pPr>
              <w:pStyle w:val="13"/>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7.3.2</w:t>
            </w:r>
          </w:p>
        </w:tc>
        <w:tc>
          <w:tcPr>
            <w:tcW w:w="1927" w:type="dxa"/>
            <w:shd w:val="clear" w:color="auto" w:fill="auto"/>
            <w:vAlign w:val="center"/>
          </w:tcPr>
          <w:p w14:paraId="5F09C96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投标保证金</w:t>
            </w:r>
          </w:p>
        </w:tc>
        <w:tc>
          <w:tcPr>
            <w:tcW w:w="6445" w:type="dxa"/>
            <w:shd w:val="clear" w:color="auto" w:fill="auto"/>
            <w:vAlign w:val="center"/>
          </w:tcPr>
          <w:p w14:paraId="7D6E7059">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无</w:t>
            </w:r>
          </w:p>
        </w:tc>
      </w:tr>
      <w:tr w14:paraId="0C3808E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center"/>
          </w:tcPr>
          <w:p w14:paraId="34BE542B">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7.3.3</w:t>
            </w:r>
          </w:p>
        </w:tc>
        <w:tc>
          <w:tcPr>
            <w:tcW w:w="1927" w:type="dxa"/>
            <w:vAlign w:val="center"/>
          </w:tcPr>
          <w:p w14:paraId="6F3B8C73">
            <w:pPr>
              <w:keepNext w:val="0"/>
              <w:keepLines w:val="0"/>
              <w:pageBreakBefore w:val="0"/>
              <w:kinsoku/>
              <w:wordWrap/>
              <w:overflowPunct/>
              <w:topLinePunct w:val="0"/>
              <w:bidi w:val="0"/>
              <w:spacing w:line="440" w:lineRule="exact"/>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质量保证金</w:t>
            </w:r>
          </w:p>
        </w:tc>
        <w:tc>
          <w:tcPr>
            <w:tcW w:w="6445" w:type="dxa"/>
            <w:vAlign w:val="bottom"/>
          </w:tcPr>
          <w:p w14:paraId="006F2DA8">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无，本项目采购货物在质保期内属于货物质量问题的，成交供应商应免费维修，不能维修的应及时更换新货物，供应商须针对质保期内的质量问题提供承诺函。</w:t>
            </w:r>
          </w:p>
        </w:tc>
      </w:tr>
      <w:tr w14:paraId="6A22CB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24" w:hRule="atLeast"/>
        </w:trPr>
        <w:tc>
          <w:tcPr>
            <w:tcW w:w="990" w:type="dxa"/>
            <w:vAlign w:val="bottom"/>
          </w:tcPr>
          <w:p w14:paraId="26C0812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10</w:t>
            </w:r>
          </w:p>
        </w:tc>
        <w:tc>
          <w:tcPr>
            <w:tcW w:w="8372" w:type="dxa"/>
            <w:gridSpan w:val="2"/>
            <w:vAlign w:val="bottom"/>
          </w:tcPr>
          <w:p w14:paraId="66039D6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color w:val="000000" w:themeColor="text1"/>
                <w:sz w:val="21"/>
                <w:szCs w:val="21"/>
                <w:highlight w:val="none"/>
                <w14:textFill>
                  <w14:solidFill>
                    <w14:schemeClr w14:val="tx1"/>
                  </w14:solidFill>
                </w14:textFill>
              </w:rPr>
            </w:pPr>
            <w:r>
              <w:rPr>
                <w:rFonts w:hint="eastAsia" w:ascii="宋体" w:hAnsi="宋体" w:eastAsia="宋体" w:cs="宋体"/>
                <w:b/>
                <w:color w:val="000000" w:themeColor="text1"/>
                <w:sz w:val="21"/>
                <w:szCs w:val="21"/>
                <w:highlight w:val="none"/>
                <w14:textFill>
                  <w14:solidFill>
                    <w14:schemeClr w14:val="tx1"/>
                  </w14:solidFill>
                </w14:textFill>
              </w:rPr>
              <w:t>需要补充的其他内容</w:t>
            </w:r>
          </w:p>
        </w:tc>
      </w:tr>
      <w:tr w14:paraId="3489C6D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0" w:hRule="atLeast"/>
        </w:trPr>
        <w:tc>
          <w:tcPr>
            <w:tcW w:w="990" w:type="dxa"/>
            <w:vAlign w:val="center"/>
          </w:tcPr>
          <w:p w14:paraId="287473B6">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10.1</w:t>
            </w:r>
          </w:p>
        </w:tc>
        <w:tc>
          <w:tcPr>
            <w:tcW w:w="1927" w:type="dxa"/>
            <w:vAlign w:val="center"/>
          </w:tcPr>
          <w:p w14:paraId="424E8B38">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预算金额</w:t>
            </w:r>
          </w:p>
        </w:tc>
        <w:tc>
          <w:tcPr>
            <w:tcW w:w="6445" w:type="dxa"/>
            <w:vAlign w:val="bottom"/>
          </w:tcPr>
          <w:p w14:paraId="19675929">
            <w:pPr>
              <w:pStyle w:val="64"/>
              <w:keepNext w:val="0"/>
              <w:keepLines w:val="0"/>
              <w:pageBreakBefore w:val="0"/>
              <w:widowControl/>
              <w:numPr>
                <w:ilvl w:val="0"/>
                <w:numId w:val="0"/>
              </w:numPr>
              <w:kinsoku/>
              <w:wordWrap/>
              <w:overflowPunct/>
              <w:topLinePunct w:val="0"/>
              <w:autoSpaceDE/>
              <w:autoSpaceDN/>
              <w:bidi w:val="0"/>
              <w:adjustRightInd/>
              <w:snapToGrid/>
              <w:spacing w:line="440" w:lineRule="exact"/>
              <w:ind w:left="0" w:leftChars="0"/>
              <w:textAlignment w:val="auto"/>
              <w:rPr>
                <w:rFonts w:hint="eastAsia" w:ascii="宋体" w:hAnsi="宋体" w:eastAsia="宋体" w:cs="宋体"/>
                <w:b/>
                <w:bCs/>
                <w:color w:val="000000" w:themeColor="text1"/>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bidi="ar-SA"/>
                <w14:textFill>
                  <w14:solidFill>
                    <w14:schemeClr w14:val="tx1"/>
                  </w14:solidFill>
                </w14:textFill>
              </w:rPr>
              <w:t>1、</w:t>
            </w:r>
            <w:r>
              <w:rPr>
                <w:rFonts w:hint="eastAsia" w:ascii="宋体" w:hAnsi="宋体" w:eastAsia="宋体" w:cs="宋体"/>
                <w:b/>
                <w:bCs/>
                <w:color w:val="000000" w:themeColor="text1"/>
                <w:sz w:val="21"/>
                <w:szCs w:val="21"/>
                <w:highlight w:val="none"/>
                <w14:textFill>
                  <w14:solidFill>
                    <w14:schemeClr w14:val="tx1"/>
                  </w14:solidFill>
                </w14:textFill>
              </w:rPr>
              <w:t>预算</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金额：</w:t>
            </w:r>
            <w:r>
              <w:rPr>
                <w:rFonts w:hint="eastAsia" w:ascii="宋体" w:hAnsi="宋体" w:cs="宋体"/>
                <w:b/>
                <w:bCs/>
                <w:color w:val="000000" w:themeColor="text1"/>
                <w:sz w:val="21"/>
                <w:szCs w:val="21"/>
                <w:highlight w:val="none"/>
                <w:lang w:val="en-US" w:eastAsia="zh-CN"/>
                <w14:textFill>
                  <w14:solidFill>
                    <w14:schemeClr w14:val="tx1"/>
                  </w14:solidFill>
                </w14:textFill>
              </w:rPr>
              <w:t>人民币¥2850000</w:t>
            </w:r>
            <w:r>
              <w:rPr>
                <w:rFonts w:hint="eastAsia" w:ascii="宋体" w:hAnsi="宋体" w:eastAsia="宋体" w:cs="宋体"/>
                <w:b/>
                <w:bCs/>
                <w:color w:val="000000" w:themeColor="text1"/>
                <w:sz w:val="21"/>
                <w:szCs w:val="21"/>
                <w:highlight w:val="none"/>
                <w:lang w:val="en-US" w:eastAsia="zh-CN"/>
                <w14:textFill>
                  <w14:solidFill>
                    <w14:schemeClr w14:val="tx1"/>
                  </w14:solidFill>
                </w14:textFill>
              </w:rPr>
              <w:t>.00元；</w:t>
            </w:r>
          </w:p>
          <w:p w14:paraId="27DF0530">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w:t>
            </w:r>
            <w:r>
              <w:rPr>
                <w:rFonts w:hint="eastAsia" w:ascii="宋体" w:hAnsi="宋体" w:eastAsia="宋体" w:cs="宋体"/>
                <w:color w:val="000000" w:themeColor="text1"/>
                <w:sz w:val="21"/>
                <w:szCs w:val="21"/>
                <w:highlight w:val="none"/>
                <w:lang w:eastAsia="zh-CN"/>
                <w14:textFill>
                  <w14:solidFill>
                    <w14:schemeClr w14:val="tx1"/>
                  </w14:solidFill>
                </w14:textFill>
              </w:rPr>
              <w:t>最高限价</w:t>
            </w:r>
            <w:r>
              <w:rPr>
                <w:rFonts w:hint="eastAsia" w:ascii="宋体" w:hAnsi="宋体" w:eastAsia="宋体" w:cs="宋体"/>
                <w:color w:val="000000" w:themeColor="text1"/>
                <w:sz w:val="21"/>
                <w:szCs w:val="21"/>
                <w:highlight w:val="none"/>
                <w14:textFill>
                  <w14:solidFill>
                    <w14:schemeClr w14:val="tx1"/>
                  </w14:solidFill>
                </w14:textFill>
              </w:rPr>
              <w:t>是采购人设置的最高限价，供应商的投标报价高于</w:t>
            </w:r>
            <w:r>
              <w:rPr>
                <w:rFonts w:hint="eastAsia" w:ascii="宋体" w:hAnsi="宋体" w:eastAsia="宋体" w:cs="宋体"/>
                <w:color w:val="000000" w:themeColor="text1"/>
                <w:sz w:val="21"/>
                <w:szCs w:val="21"/>
                <w:highlight w:val="none"/>
                <w:lang w:eastAsia="zh-CN"/>
                <w14:textFill>
                  <w14:solidFill>
                    <w14:schemeClr w14:val="tx1"/>
                  </w14:solidFill>
                </w14:textFill>
              </w:rPr>
              <w:t>最高限价</w:t>
            </w:r>
            <w:r>
              <w:rPr>
                <w:rFonts w:hint="eastAsia" w:ascii="宋体" w:hAnsi="宋体" w:eastAsia="宋体" w:cs="宋体"/>
                <w:color w:val="000000" w:themeColor="text1"/>
                <w:sz w:val="21"/>
                <w:szCs w:val="21"/>
                <w:highlight w:val="none"/>
                <w14:textFill>
                  <w14:solidFill>
                    <w14:schemeClr w14:val="tx1"/>
                  </w14:solidFill>
                </w14:textFill>
              </w:rPr>
              <w:t>的视为无效报价，其投标予以拒绝。</w:t>
            </w:r>
          </w:p>
          <w:p w14:paraId="29BDE292">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b/>
                <w:bCs/>
                <w:color w:val="000000" w:themeColor="text1"/>
                <w:sz w:val="21"/>
                <w:szCs w:val="21"/>
                <w:highlight w:val="none"/>
                <w:lang w:eastAsia="zh-CN"/>
                <w14:textFill>
                  <w14:solidFill>
                    <w14:schemeClr w14:val="tx1"/>
                  </w14:solidFill>
                </w14:textFill>
              </w:rPr>
              <w:t>3、当中标人的投标报价高于最高限价的95%时，该中标人的中标价按最高限价的95%执行。</w:t>
            </w:r>
          </w:p>
        </w:tc>
      </w:tr>
      <w:tr w14:paraId="32062F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8" w:hRule="atLeast"/>
        </w:trPr>
        <w:tc>
          <w:tcPr>
            <w:tcW w:w="990" w:type="dxa"/>
            <w:vAlign w:val="center"/>
          </w:tcPr>
          <w:p w14:paraId="1A104DAF">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10.2</w:t>
            </w:r>
          </w:p>
        </w:tc>
        <w:tc>
          <w:tcPr>
            <w:tcW w:w="1927" w:type="dxa"/>
            <w:vAlign w:val="center"/>
          </w:tcPr>
          <w:p w14:paraId="40602841">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小型或微型企业（含监狱企业）</w:t>
            </w:r>
          </w:p>
        </w:tc>
        <w:tc>
          <w:tcPr>
            <w:tcW w:w="6445" w:type="dxa"/>
            <w:vAlign w:val="center"/>
          </w:tcPr>
          <w:p w14:paraId="7F06F0A2">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kern w:val="0"/>
                <w:sz w:val="21"/>
                <w:szCs w:val="21"/>
                <w:highlight w:val="none"/>
                <w14:textFill>
                  <w14:solidFill>
                    <w14:schemeClr w14:val="tx1"/>
                  </w14:solidFill>
                </w14:textFill>
              </w:rPr>
              <w:t>对小型或微型企业投标的扶持：(如有）</w:t>
            </w:r>
          </w:p>
          <w:p w14:paraId="2AE2C7DA">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kern w:val="0"/>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1.1投标供应商为小型或微型企业时，报价给予C1的价格扣除（C1的取值为20%），即：评标价＝投标报价（最后报价）×(1－C1）；</w:t>
            </w:r>
          </w:p>
          <w:p w14:paraId="30FAC495">
            <w:pPr>
              <w:keepNext w:val="0"/>
              <w:keepLines w:val="0"/>
              <w:pageBreakBefore w:val="0"/>
              <w:kinsoku/>
              <w:wordWrap/>
              <w:overflowPunct/>
              <w:topLinePunct w:val="0"/>
              <w:autoSpaceDE w:val="0"/>
              <w:autoSpaceDN w:val="0"/>
              <w:bidi w:val="0"/>
              <w:adjustRightInd w:val="0"/>
              <w:spacing w:line="440" w:lineRule="exact"/>
              <w:jc w:val="lef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小微企业应当提供《中小企业声明函》（见格式）。</w:t>
            </w:r>
          </w:p>
          <w:p w14:paraId="6ED2EE19">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2、按照《政府采购促进中小企业发展管理办法》有关规定，中小企业的标准为：</w:t>
            </w:r>
          </w:p>
          <w:p w14:paraId="77138850">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2.1提供本企业制造的货物、承担的工程或者服务，或者提供其他中小企业制造的货物，不包括提供或使用大型企业注册商标的货物；</w:t>
            </w:r>
          </w:p>
          <w:p w14:paraId="23B52C6A">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2.2本规定所称中小企业划分标准，是指国务院有关部门根据企业从业人员、营业收入、资产总额等指标制定的中小企业划型标准（工信部联企业﹝2011﹞300号）；</w:t>
            </w:r>
          </w:p>
          <w:p w14:paraId="62AE2404">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2.3小型、微型企业提供有中型企业制造的货物的，视同为中型企业；小型、微型、中型企业提供有大型企业制造的货物的，视同为大型企业。</w:t>
            </w:r>
          </w:p>
          <w:p w14:paraId="62FF2D3D">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根据财政部司法部《关于政府采购支持监狱企业发展有关问题的通知》（财库〔2014〕68号）和财政部民政部中国残疾人联合会《关于促进残疾人就业政府采购政策的通知》（财库〔2017〕141号）规定；监狱企业和残疾人福利性单位视同小型、微型企业。</w:t>
            </w:r>
          </w:p>
          <w:p w14:paraId="4D8B92E9">
            <w:pPr>
              <w:keepNext w:val="0"/>
              <w:keepLines w:val="0"/>
              <w:pageBreakBefore w:val="0"/>
              <w:widowControl/>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lang w:val="en-US"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备注：小微企业（监狱企业、残疾人福利性单位视同小微企业）价格扣除按照20%。</w:t>
            </w:r>
          </w:p>
          <w:p w14:paraId="310BB245">
            <w:pPr>
              <w:keepNext w:val="0"/>
              <w:keepLines w:val="0"/>
              <w:pageBreakBefore w:val="0"/>
              <w:widowControl/>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中小企业划分标准（所属行业）：工业</w:t>
            </w:r>
          </w:p>
        </w:tc>
      </w:tr>
      <w:tr w14:paraId="6AF0131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5" w:hRule="atLeast"/>
        </w:trPr>
        <w:tc>
          <w:tcPr>
            <w:tcW w:w="990" w:type="dxa"/>
            <w:vAlign w:val="center"/>
          </w:tcPr>
          <w:p w14:paraId="4003B950">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10.3</w:t>
            </w:r>
          </w:p>
        </w:tc>
        <w:tc>
          <w:tcPr>
            <w:tcW w:w="1927" w:type="dxa"/>
            <w:vAlign w:val="center"/>
          </w:tcPr>
          <w:p w14:paraId="0546DFE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核心产品</w:t>
            </w:r>
          </w:p>
        </w:tc>
        <w:tc>
          <w:tcPr>
            <w:tcW w:w="6445" w:type="dxa"/>
            <w:vAlign w:val="center"/>
          </w:tcPr>
          <w:p w14:paraId="5D07C67C">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1、提供相同品牌核心产品且通过资格审查、符合性审查的不同供应商参加同一合同项下投标的，按一家供应商计算，评审后得分最高的同品牌供应商获得中标人推荐资格；评审得分相同的，由采购人委托评标委员会按照随机抽取方式确定一个供应商获得中标人推荐资格，其他同品牌供应商不作为中标候选人。 </w:t>
            </w:r>
          </w:p>
          <w:p w14:paraId="7F2F83BC">
            <w:pPr>
              <w:keepNext w:val="0"/>
              <w:keepLines w:val="0"/>
              <w:pageBreakBefore w:val="0"/>
              <w:kinsoku/>
              <w:wordWrap/>
              <w:overflowPunct/>
              <w:topLinePunct w:val="0"/>
              <w:bidi w:val="0"/>
              <w:adjustRightInd w:val="0"/>
              <w:snapToGrid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
                <w:bCs/>
                <w:color w:val="000000" w:themeColor="text1"/>
                <w:sz w:val="21"/>
                <w:szCs w:val="21"/>
                <w:highlight w:val="none"/>
                <w14:textFill>
                  <w14:solidFill>
                    <w14:schemeClr w14:val="tx1"/>
                  </w14:solidFill>
                </w14:textFill>
              </w:rPr>
              <w:t xml:space="preserve">2、核心产品：详见第五章 </w:t>
            </w:r>
          </w:p>
        </w:tc>
      </w:tr>
      <w:tr w14:paraId="77735CD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2" w:hRule="atLeast"/>
        </w:trPr>
        <w:tc>
          <w:tcPr>
            <w:tcW w:w="990" w:type="dxa"/>
            <w:vAlign w:val="center"/>
          </w:tcPr>
          <w:p w14:paraId="03E4D3DD">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10.4</w:t>
            </w:r>
          </w:p>
        </w:tc>
        <w:tc>
          <w:tcPr>
            <w:tcW w:w="1927" w:type="dxa"/>
            <w:vAlign w:val="center"/>
          </w:tcPr>
          <w:p w14:paraId="026E3831">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付款方式</w:t>
            </w:r>
          </w:p>
        </w:tc>
        <w:tc>
          <w:tcPr>
            <w:tcW w:w="6445" w:type="dxa"/>
            <w:vAlign w:val="center"/>
          </w:tcPr>
          <w:p w14:paraId="591B6A4A">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合同签订后，本项目分二批次供货，全部供货安装结束，该项目经过国家认可的第三方质量检测机构验收和检测合格后，据实支付合同总额的100％。</w:t>
            </w:r>
          </w:p>
        </w:tc>
      </w:tr>
      <w:tr w14:paraId="1BDCE2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80" w:hRule="atLeast"/>
        </w:trPr>
        <w:tc>
          <w:tcPr>
            <w:tcW w:w="990" w:type="dxa"/>
            <w:vAlign w:val="center"/>
          </w:tcPr>
          <w:p w14:paraId="42B9D5A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10.5</w:t>
            </w:r>
          </w:p>
        </w:tc>
        <w:tc>
          <w:tcPr>
            <w:tcW w:w="1927" w:type="dxa"/>
            <w:vAlign w:val="center"/>
          </w:tcPr>
          <w:p w14:paraId="1A7938AC">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供货要求</w:t>
            </w:r>
          </w:p>
        </w:tc>
        <w:tc>
          <w:tcPr>
            <w:tcW w:w="6445" w:type="dxa"/>
            <w:vAlign w:val="center"/>
          </w:tcPr>
          <w:p w14:paraId="1DD8998D">
            <w:pPr>
              <w:keepNext w:val="0"/>
              <w:keepLines w:val="0"/>
              <w:pageBreakBefore w:val="0"/>
              <w:kinsoku/>
              <w:wordWrap/>
              <w:overflowPunct/>
              <w:topLinePunct w:val="0"/>
              <w:bidi w:val="0"/>
              <w:spacing w:line="440" w:lineRule="exact"/>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若因</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bCs/>
                <w:color w:val="000000" w:themeColor="text1"/>
                <w:sz w:val="21"/>
                <w:szCs w:val="21"/>
                <w:highlight w:val="none"/>
                <w14:textFill>
                  <w14:solidFill>
                    <w14:schemeClr w14:val="tx1"/>
                  </w14:solidFill>
                </w14:textFill>
              </w:rPr>
              <w:t>人原因不能按期按质供货，将扣除</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中标</w:t>
            </w:r>
            <w:r>
              <w:rPr>
                <w:rFonts w:hint="eastAsia" w:ascii="宋体" w:hAnsi="宋体" w:eastAsia="宋体" w:cs="宋体"/>
                <w:bCs/>
                <w:color w:val="000000" w:themeColor="text1"/>
                <w:sz w:val="21"/>
                <w:szCs w:val="21"/>
                <w:highlight w:val="none"/>
                <w14:textFill>
                  <w14:solidFill>
                    <w14:schemeClr w14:val="tx1"/>
                  </w14:solidFill>
                </w14:textFill>
              </w:rPr>
              <w:t>人2万元的违约金，同时每超过一天另扣除合同金额的千分之一。</w:t>
            </w:r>
          </w:p>
        </w:tc>
      </w:tr>
      <w:tr w14:paraId="259B45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1" w:hRule="atLeast"/>
        </w:trPr>
        <w:tc>
          <w:tcPr>
            <w:tcW w:w="990" w:type="dxa"/>
            <w:vAlign w:val="center"/>
          </w:tcPr>
          <w:p w14:paraId="251D260A">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10.6</w:t>
            </w:r>
          </w:p>
        </w:tc>
        <w:tc>
          <w:tcPr>
            <w:tcW w:w="1927" w:type="dxa"/>
            <w:vAlign w:val="center"/>
          </w:tcPr>
          <w:p w14:paraId="2E9C11AE">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p>
        </w:tc>
        <w:tc>
          <w:tcPr>
            <w:tcW w:w="6445" w:type="dxa"/>
            <w:vAlign w:val="center"/>
          </w:tcPr>
          <w:p w14:paraId="6DEAF2B8">
            <w:pPr>
              <w:keepNext w:val="0"/>
              <w:keepLines w:val="0"/>
              <w:pageBreakBefore w:val="0"/>
              <w:kinsoku/>
              <w:wordWrap/>
              <w:overflowPunct/>
              <w:topLinePunct w:val="0"/>
              <w:bidi w:val="0"/>
              <w:spacing w:line="440" w:lineRule="exact"/>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招标代理服务费:</w:t>
            </w:r>
            <w:r>
              <w:rPr>
                <w:rFonts w:hint="eastAsia" w:ascii="宋体" w:hAnsi="宋体" w:eastAsia="宋体" w:cs="宋体"/>
                <w:color w:val="000000" w:themeColor="text1"/>
                <w:sz w:val="21"/>
                <w:szCs w:val="21"/>
                <w:highlight w:val="none"/>
                <w:lang w:val="en-US" w:eastAsia="zh-CN" w:bidi="ar-SA"/>
                <w14:textFill>
                  <w14:solidFill>
                    <w14:schemeClr w14:val="tx1"/>
                  </w14:solidFill>
                </w14:textFill>
              </w:rPr>
              <w:t>依据</w:t>
            </w:r>
            <w:r>
              <w:rPr>
                <w:rFonts w:hint="eastAsia" w:ascii="宋体" w:hAnsi="宋体" w:eastAsia="宋体" w:cs="宋体"/>
                <w:color w:val="000000" w:themeColor="text1"/>
                <w:sz w:val="21"/>
                <w:szCs w:val="21"/>
                <w:highlight w:val="none"/>
                <w:lang w:val="en-US" w:eastAsia="zh-CN"/>
                <w14:textFill>
                  <w14:solidFill>
                    <w14:schemeClr w14:val="tx1"/>
                  </w14:solidFill>
                </w14:textFill>
              </w:rPr>
              <w:t>预算金额</w:t>
            </w:r>
            <w:r>
              <w:rPr>
                <w:rFonts w:hint="eastAsia" w:ascii="宋体" w:hAnsi="宋体" w:eastAsia="宋体" w:cs="宋体"/>
                <w:color w:val="000000" w:themeColor="text1"/>
                <w:sz w:val="21"/>
                <w:szCs w:val="21"/>
                <w:highlight w:val="none"/>
                <w14:textFill>
                  <w14:solidFill>
                    <w14:schemeClr w14:val="tx1"/>
                  </w14:solidFill>
                </w14:textFill>
              </w:rPr>
              <w:t>参照豫</w:t>
            </w:r>
            <w:r>
              <w:rPr>
                <w:rFonts w:hint="eastAsia" w:ascii="宋体" w:hAnsi="宋体" w:eastAsia="宋体" w:cs="宋体"/>
                <w:bCs/>
                <w:color w:val="000000" w:themeColor="text1"/>
                <w:sz w:val="21"/>
                <w:szCs w:val="21"/>
                <w:highlight w:val="none"/>
                <w14:textFill>
                  <w14:solidFill>
                    <w14:schemeClr w14:val="tx1"/>
                  </w14:solidFill>
                </w14:textFill>
              </w:rPr>
              <w:t>招协[2023]002号《河南省招标代理服务收费指导意见》中的标准向中标人收取,</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由</w:t>
            </w:r>
            <w:r>
              <w:rPr>
                <w:rFonts w:hint="eastAsia" w:ascii="宋体" w:hAnsi="宋体" w:eastAsia="宋体" w:cs="宋体"/>
                <w:bCs/>
                <w:color w:val="000000" w:themeColor="text1"/>
                <w:sz w:val="21"/>
                <w:szCs w:val="21"/>
                <w:highlight w:val="none"/>
                <w14:textFill>
                  <w14:solidFill>
                    <w14:schemeClr w14:val="tx1"/>
                  </w14:solidFill>
                </w14:textFill>
              </w:rPr>
              <w:t>中标人在领取中标通知书前向代理机构足额缴纳。</w:t>
            </w:r>
          </w:p>
        </w:tc>
      </w:tr>
      <w:tr w14:paraId="48CB3B3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990" w:type="dxa"/>
            <w:vAlign w:val="center"/>
          </w:tcPr>
          <w:p w14:paraId="31D1B4AE">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10.7</w:t>
            </w:r>
          </w:p>
        </w:tc>
        <w:tc>
          <w:tcPr>
            <w:tcW w:w="1927" w:type="dxa"/>
            <w:shd w:val="clear" w:color="auto" w:fill="auto"/>
            <w:vAlign w:val="center"/>
          </w:tcPr>
          <w:p w14:paraId="7CF1CDD1">
            <w:pPr>
              <w:keepNext w:val="0"/>
              <w:keepLines w:val="0"/>
              <w:pageBreakBefore w:val="0"/>
              <w:kinsoku/>
              <w:wordWrap/>
              <w:overflowPunct/>
              <w:topLinePunct w:val="0"/>
              <w:bidi w:val="0"/>
              <w:adjustRightInd w:val="0"/>
              <w:snapToGrid w:val="0"/>
              <w:spacing w:line="440" w:lineRule="exact"/>
              <w:jc w:val="center"/>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认定为不响应招标文件的其它条件</w:t>
            </w:r>
          </w:p>
        </w:tc>
        <w:tc>
          <w:tcPr>
            <w:tcW w:w="6445" w:type="dxa"/>
            <w:shd w:val="clear" w:color="auto" w:fill="auto"/>
            <w:vAlign w:val="center"/>
          </w:tcPr>
          <w:p w14:paraId="2998C760">
            <w:pPr>
              <w:pStyle w:val="27"/>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1、未按招标文件明示的规定签字盖章的；</w:t>
            </w:r>
          </w:p>
          <w:p w14:paraId="6DD4B52C">
            <w:pPr>
              <w:pStyle w:val="27"/>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2、投标文件的关键内容（投标报价、合同履行期限（供货及安装期）、质量标准</w:t>
            </w:r>
            <w:r>
              <w:rPr>
                <w:rFonts w:hint="eastAsia" w:ascii="宋体" w:hAnsi="宋体" w:eastAsia="宋体" w:cs="宋体"/>
                <w:bCs/>
                <w:color w:val="000000" w:themeColor="text1"/>
                <w:sz w:val="21"/>
                <w:szCs w:val="21"/>
                <w:highlight w:val="none"/>
                <w:lang w:eastAsia="zh-CN"/>
                <w14:textFill>
                  <w14:solidFill>
                    <w14:schemeClr w14:val="tx1"/>
                  </w14:solidFill>
                </w14:textFill>
              </w:rPr>
              <w:t>、</w:t>
            </w:r>
            <w:r>
              <w:rPr>
                <w:rFonts w:hint="eastAsia" w:ascii="宋体" w:hAnsi="宋体" w:eastAsia="宋体" w:cs="宋体"/>
                <w:bCs/>
                <w:color w:val="000000" w:themeColor="text1"/>
                <w:sz w:val="21"/>
                <w:szCs w:val="21"/>
                <w:highlight w:val="none"/>
                <w:lang w:val="en-US" w:eastAsia="zh-CN"/>
                <w14:textFill>
                  <w14:solidFill>
                    <w14:schemeClr w14:val="tx1"/>
                  </w14:solidFill>
                </w14:textFill>
              </w:rPr>
              <w:t>品牌、型号、投标有效期</w:t>
            </w:r>
            <w:r>
              <w:rPr>
                <w:rFonts w:hint="eastAsia" w:ascii="宋体" w:hAnsi="宋体" w:eastAsia="宋体" w:cs="宋体"/>
                <w:bCs/>
                <w:color w:val="000000" w:themeColor="text1"/>
                <w:sz w:val="21"/>
                <w:szCs w:val="21"/>
                <w:highlight w:val="none"/>
                <w14:textFill>
                  <w14:solidFill>
                    <w14:schemeClr w14:val="tx1"/>
                  </w14:solidFill>
                </w14:textFill>
              </w:rPr>
              <w:t>等）未填写或填写字迹模糊、达不到采购要求的；</w:t>
            </w:r>
          </w:p>
          <w:p w14:paraId="7E2391A9">
            <w:pPr>
              <w:pStyle w:val="27"/>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3、投标报价超出招标</w:t>
            </w:r>
            <w:r>
              <w:rPr>
                <w:rFonts w:hint="eastAsia" w:ascii="宋体" w:hAnsi="宋体" w:eastAsia="宋体" w:cs="宋体"/>
                <w:bCs/>
                <w:color w:val="000000" w:themeColor="text1"/>
                <w:sz w:val="21"/>
                <w:szCs w:val="21"/>
                <w:highlight w:val="none"/>
                <w:lang w:eastAsia="zh-CN"/>
                <w14:textFill>
                  <w14:solidFill>
                    <w14:schemeClr w14:val="tx1"/>
                  </w14:solidFill>
                </w14:textFill>
              </w:rPr>
              <w:t>最高限价</w:t>
            </w:r>
            <w:r>
              <w:rPr>
                <w:rFonts w:hint="eastAsia" w:ascii="宋体" w:hAnsi="宋体" w:eastAsia="宋体" w:cs="宋体"/>
                <w:bCs/>
                <w:color w:val="000000" w:themeColor="text1"/>
                <w:sz w:val="21"/>
                <w:szCs w:val="21"/>
                <w:highlight w:val="none"/>
                <w14:textFill>
                  <w14:solidFill>
                    <w14:schemeClr w14:val="tx1"/>
                  </w14:solidFill>
                </w14:textFill>
              </w:rPr>
              <w:t>的；</w:t>
            </w:r>
          </w:p>
          <w:p w14:paraId="3C5E65A5">
            <w:pPr>
              <w:pStyle w:val="27"/>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4、供应商递交两份或多份内容不同的投标文件，或在一份投标文件中对同一招标项目有两个或多个报价，且未声明哪一个有效的；</w:t>
            </w:r>
          </w:p>
          <w:p w14:paraId="755DB44D">
            <w:pPr>
              <w:pStyle w:val="27"/>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5、相关资格证明文件不合格的；</w:t>
            </w:r>
          </w:p>
          <w:p w14:paraId="5BF06EB3">
            <w:pPr>
              <w:pStyle w:val="27"/>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6、未按要求填写报价明细表的。</w:t>
            </w:r>
          </w:p>
          <w:p w14:paraId="64C88A7A">
            <w:pPr>
              <w:pStyle w:val="27"/>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7、附有采购人不能接受的条件的；</w:t>
            </w:r>
          </w:p>
          <w:p w14:paraId="16A12162">
            <w:pPr>
              <w:pStyle w:val="27"/>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8、评标过程中，如因两个或两个以上投标人在同一台计算或同一个IP上传响应文件，而被不见面开标系统提示为“投标文件制作机器码一致”的，则视其投标无效。</w:t>
            </w:r>
          </w:p>
          <w:p w14:paraId="079431FC">
            <w:pPr>
              <w:pStyle w:val="27"/>
              <w:keepNext w:val="0"/>
              <w:keepLines w:val="0"/>
              <w:pageBreakBefore w:val="0"/>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14:textFill>
                  <w14:solidFill>
                    <w14:schemeClr w14:val="tx1"/>
                  </w14:solidFill>
                </w14:textFill>
              </w:rPr>
            </w:pPr>
            <w:r>
              <w:rPr>
                <w:rFonts w:hint="eastAsia" w:ascii="宋体" w:hAnsi="宋体" w:eastAsia="宋体" w:cs="宋体"/>
                <w:bCs/>
                <w:color w:val="000000" w:themeColor="text1"/>
                <w:sz w:val="21"/>
                <w:szCs w:val="21"/>
                <w:highlight w:val="none"/>
                <w14:textFill>
                  <w14:solidFill>
                    <w14:schemeClr w14:val="tx1"/>
                  </w14:solidFill>
                </w14:textFill>
              </w:rPr>
              <w:t>9、投标文件有明显不符合招标文件其它要求和有关法律法规的。</w:t>
            </w:r>
          </w:p>
        </w:tc>
      </w:tr>
      <w:tr w14:paraId="0593E86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77" w:hRule="atLeast"/>
        </w:trPr>
        <w:tc>
          <w:tcPr>
            <w:tcW w:w="990" w:type="dxa"/>
            <w:vAlign w:val="center"/>
          </w:tcPr>
          <w:p w14:paraId="6F0248B4">
            <w:pPr>
              <w:keepNext w:val="0"/>
              <w:keepLines w:val="0"/>
              <w:pageBreakBefore w:val="0"/>
              <w:kinsoku/>
              <w:wordWrap/>
              <w:overflowPunct/>
              <w:topLinePunct w:val="0"/>
              <w:bidi w:val="0"/>
              <w:spacing w:line="440" w:lineRule="exact"/>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10.8</w:t>
            </w:r>
          </w:p>
        </w:tc>
        <w:tc>
          <w:tcPr>
            <w:tcW w:w="8372" w:type="dxa"/>
            <w:gridSpan w:val="2"/>
            <w:vAlign w:val="center"/>
          </w:tcPr>
          <w:p w14:paraId="78F66C71">
            <w:pPr>
              <w:pStyle w:val="27"/>
              <w:keepNext w:val="0"/>
              <w:keepLines w:val="0"/>
              <w:pageBreakBefore w:val="0"/>
              <w:tabs>
                <w:tab w:val="left" w:pos="1268"/>
              </w:tabs>
              <w:kinsoku/>
              <w:wordWrap/>
              <w:overflowPunct/>
              <w:topLinePunct w:val="0"/>
              <w:bidi w:val="0"/>
              <w:spacing w:line="440" w:lineRule="exact"/>
              <w:ind w:firstLine="0" w:firstLineChars="0"/>
              <w:textAlignment w:val="auto"/>
              <w:rPr>
                <w:rFonts w:hint="eastAsia" w:ascii="宋体" w:hAnsi="宋体" w:eastAsia="宋体" w:cs="宋体"/>
                <w:bCs/>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本招标文件解释权归采购人</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r>
    </w:tbl>
    <w:p w14:paraId="254C5237">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2" w:name="_Toc23576"/>
      <w:bookmarkStart w:id="13" w:name="_Toc23082"/>
      <w:bookmarkStart w:id="14" w:name="_Toc9048"/>
      <w:bookmarkStart w:id="15" w:name="_Toc426369479"/>
      <w:bookmarkStart w:id="16" w:name="_Toc403122491"/>
      <w:bookmarkStart w:id="17" w:name="_Toc426369491"/>
      <w:bookmarkStart w:id="18" w:name="_Toc26894"/>
      <w:bookmarkStart w:id="19" w:name="_Toc403122503"/>
      <w:r>
        <w:rPr>
          <w:rFonts w:hint="eastAsia" w:ascii="宋体" w:hAnsi="宋体" w:cs="宋体"/>
          <w:color w:val="000000" w:themeColor="text1"/>
          <w:szCs w:val="21"/>
          <w:highlight w:val="none"/>
          <w14:textFill>
            <w14:solidFill>
              <w14:schemeClr w14:val="tx1"/>
            </w14:solidFill>
          </w14:textFill>
        </w:rPr>
        <w:br w:type="page"/>
      </w:r>
    </w:p>
    <w:p w14:paraId="773B74F9">
      <w:pPr>
        <w:pStyle w:val="24"/>
        <w:spacing w:before="0" w:after="0" w:line="360" w:lineRule="auto"/>
        <w:ind w:firstLine="422" w:firstLineChars="200"/>
        <w:jc w:val="both"/>
        <w:rPr>
          <w:rFonts w:ascii="宋体" w:hAnsi="宋体" w:eastAsia="宋体" w:cs="宋体"/>
          <w:color w:val="000000" w:themeColor="text1"/>
          <w:sz w:val="21"/>
          <w:szCs w:val="21"/>
          <w:highlight w:val="none"/>
          <w14:textFill>
            <w14:solidFill>
              <w14:schemeClr w14:val="tx1"/>
            </w14:solidFill>
          </w14:textFill>
        </w:rPr>
      </w:pPr>
      <w:bookmarkStart w:id="20" w:name="_Toc2462"/>
      <w:bookmarkStart w:id="21" w:name="_Toc26329"/>
      <w:r>
        <w:rPr>
          <w:rFonts w:hint="eastAsia" w:ascii="宋体" w:hAnsi="宋体" w:eastAsia="宋体" w:cs="宋体"/>
          <w:color w:val="000000" w:themeColor="text1"/>
          <w:sz w:val="21"/>
          <w:szCs w:val="21"/>
          <w:highlight w:val="none"/>
          <w14:textFill>
            <w14:solidFill>
              <w14:schemeClr w14:val="tx1"/>
            </w14:solidFill>
          </w14:textFill>
        </w:rPr>
        <w:t>1. 总则</w:t>
      </w:r>
      <w:bookmarkEnd w:id="12"/>
      <w:bookmarkEnd w:id="13"/>
      <w:bookmarkEnd w:id="14"/>
      <w:bookmarkEnd w:id="15"/>
      <w:bookmarkEnd w:id="16"/>
      <w:bookmarkEnd w:id="20"/>
      <w:bookmarkEnd w:id="21"/>
    </w:p>
    <w:p w14:paraId="1B92122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2" w:name="_Toc403122492"/>
      <w:bookmarkStart w:id="23" w:name="_Toc274249575"/>
      <w:bookmarkStart w:id="24" w:name="_Toc426369480"/>
      <w:bookmarkStart w:id="25" w:name="_Toc279599771"/>
      <w:r>
        <w:rPr>
          <w:rFonts w:hint="eastAsia" w:ascii="宋体" w:hAnsi="宋体" w:cs="宋体"/>
          <w:b/>
          <w:bCs/>
          <w:color w:val="000000" w:themeColor="text1"/>
          <w:szCs w:val="21"/>
          <w:highlight w:val="none"/>
          <w14:textFill>
            <w14:solidFill>
              <w14:schemeClr w14:val="tx1"/>
            </w14:solidFill>
          </w14:textFill>
        </w:rPr>
        <w:t>1.1 项目概况</w:t>
      </w:r>
      <w:bookmarkEnd w:id="22"/>
      <w:bookmarkEnd w:id="23"/>
      <w:bookmarkEnd w:id="24"/>
      <w:bookmarkEnd w:id="25"/>
    </w:p>
    <w:p w14:paraId="72FB7B7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1.1.1 根据</w:t>
      </w:r>
      <w:r>
        <w:rPr>
          <w:rFonts w:hint="eastAsia" w:ascii="宋体" w:hAnsi="宋体" w:cs="宋体"/>
          <w:bCs/>
          <w:color w:val="000000" w:themeColor="text1"/>
          <w:szCs w:val="21"/>
          <w:highlight w:val="none"/>
          <w14:textFill>
            <w14:solidFill>
              <w14:schemeClr w14:val="tx1"/>
            </w14:solidFill>
          </w14:textFill>
        </w:rPr>
        <w:t>《中华人民共和国政府采购法》</w:t>
      </w:r>
      <w:r>
        <w:rPr>
          <w:rFonts w:hint="eastAsia" w:ascii="宋体" w:hAnsi="宋体" w:cs="宋体"/>
          <w:color w:val="000000" w:themeColor="text1"/>
          <w:szCs w:val="21"/>
          <w:highlight w:val="none"/>
          <w14:textFill>
            <w14:solidFill>
              <w14:schemeClr w14:val="tx1"/>
            </w14:solidFill>
          </w14:textFill>
        </w:rPr>
        <w:t xml:space="preserve">等有关法律、法规和规章的规定，本招标项目已具备招标条件，现对本招标项目进行公开招标。 </w:t>
      </w:r>
    </w:p>
    <w:p w14:paraId="220E98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1.1.2  本招标项目采购人：见供应商须知前附表。 </w:t>
      </w:r>
    </w:p>
    <w:p w14:paraId="5C7341F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1.1.3  本招标项目采购代理机构：见供应商须知前附表。 </w:t>
      </w:r>
    </w:p>
    <w:p w14:paraId="6E972B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1.1.4  本招标项目名称：见供应商须知前附表。 </w:t>
      </w:r>
    </w:p>
    <w:p w14:paraId="78626A3F">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6" w:name="_Toc403122493"/>
      <w:bookmarkStart w:id="27" w:name="_Toc426369481"/>
      <w:bookmarkStart w:id="28" w:name="_Toc279599772"/>
      <w:bookmarkStart w:id="29" w:name="_Toc274249576"/>
      <w:r>
        <w:rPr>
          <w:rFonts w:hint="eastAsia" w:ascii="宋体" w:hAnsi="宋体" w:cs="宋体"/>
          <w:b/>
          <w:bCs/>
          <w:color w:val="000000" w:themeColor="text1"/>
          <w:szCs w:val="21"/>
          <w:highlight w:val="none"/>
          <w14:textFill>
            <w14:solidFill>
              <w14:schemeClr w14:val="tx1"/>
            </w14:solidFill>
          </w14:textFill>
        </w:rPr>
        <w:t>1.2 资金来源和落实情况</w:t>
      </w:r>
      <w:bookmarkEnd w:id="26"/>
      <w:bookmarkEnd w:id="27"/>
      <w:bookmarkEnd w:id="28"/>
      <w:bookmarkEnd w:id="29"/>
    </w:p>
    <w:p w14:paraId="75ECEB8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1.2.1  本招标项目的资金来源：见供应商须知前附表。 </w:t>
      </w:r>
    </w:p>
    <w:p w14:paraId="3223362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1.2.2  本招标项目的资金落实情况：见供应商须知前附表。 </w:t>
      </w:r>
    </w:p>
    <w:p w14:paraId="1DADE92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30" w:name="_Toc279599773"/>
      <w:bookmarkStart w:id="31" w:name="_Toc426369482"/>
      <w:bookmarkStart w:id="32" w:name="_Toc403122494"/>
      <w:bookmarkStart w:id="33" w:name="_Toc274249577"/>
      <w:r>
        <w:rPr>
          <w:rFonts w:hint="eastAsia" w:ascii="宋体" w:hAnsi="宋体" w:cs="宋体"/>
          <w:b/>
          <w:bCs/>
          <w:color w:val="000000" w:themeColor="text1"/>
          <w:szCs w:val="21"/>
          <w:highlight w:val="none"/>
          <w14:textFill>
            <w14:solidFill>
              <w14:schemeClr w14:val="tx1"/>
            </w14:solidFill>
          </w14:textFill>
        </w:rPr>
        <w:t>1.3 采购内容、合同履行期限和质量</w:t>
      </w:r>
      <w:bookmarkEnd w:id="30"/>
      <w:bookmarkEnd w:id="31"/>
      <w:bookmarkEnd w:id="32"/>
      <w:bookmarkEnd w:id="33"/>
      <w:r>
        <w:rPr>
          <w:rFonts w:hint="eastAsia" w:ascii="宋体" w:hAnsi="宋体" w:cs="宋体"/>
          <w:b/>
          <w:bCs/>
          <w:color w:val="000000" w:themeColor="text1"/>
          <w:szCs w:val="21"/>
          <w:highlight w:val="none"/>
          <w14:textFill>
            <w14:solidFill>
              <w14:schemeClr w14:val="tx1"/>
            </w14:solidFill>
          </w14:textFill>
        </w:rPr>
        <w:t>标准</w:t>
      </w:r>
    </w:p>
    <w:p w14:paraId="02FF864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1.3.1  本次招标采购内容：见供应商须知前附表。 </w:t>
      </w:r>
    </w:p>
    <w:p w14:paraId="3C69F55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1.3.2  本次招标的合同履行期限（供货及安装期）：见供应商须知前附表。 </w:t>
      </w:r>
    </w:p>
    <w:p w14:paraId="5399601B">
      <w:pPr>
        <w:tabs>
          <w:tab w:val="right" w:pos="90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1.3.3  本次招标的质量要求：见供应商须知前附表。 </w:t>
      </w:r>
    </w:p>
    <w:p w14:paraId="1F361FF3">
      <w:pPr>
        <w:tabs>
          <w:tab w:val="right" w:pos="904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1.3.4  本次招标的质保期要求：见供应商须知前附表。 </w:t>
      </w:r>
      <w:r>
        <w:rPr>
          <w:rFonts w:hint="eastAsia" w:ascii="宋体" w:hAnsi="宋体" w:cs="宋体"/>
          <w:color w:val="000000" w:themeColor="text1"/>
          <w:szCs w:val="21"/>
          <w:highlight w:val="none"/>
          <w14:textFill>
            <w14:solidFill>
              <w14:schemeClr w14:val="tx1"/>
            </w14:solidFill>
          </w14:textFill>
        </w:rPr>
        <w:tab/>
      </w:r>
    </w:p>
    <w:p w14:paraId="7B9D410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34" w:name="_Toc426369483"/>
      <w:bookmarkStart w:id="35" w:name="_Toc279599774"/>
      <w:bookmarkStart w:id="36" w:name="_Toc403122495"/>
      <w:bookmarkStart w:id="37" w:name="_Toc274249578"/>
      <w:r>
        <w:rPr>
          <w:rFonts w:hint="eastAsia" w:ascii="宋体" w:hAnsi="宋体" w:cs="宋体"/>
          <w:b/>
          <w:bCs/>
          <w:color w:val="000000" w:themeColor="text1"/>
          <w:szCs w:val="21"/>
          <w:highlight w:val="none"/>
          <w14:textFill>
            <w14:solidFill>
              <w14:schemeClr w14:val="tx1"/>
            </w14:solidFill>
          </w14:textFill>
        </w:rPr>
        <w:t>1.4 供应商资格要求</w:t>
      </w:r>
      <w:bookmarkEnd w:id="34"/>
      <w:bookmarkEnd w:id="35"/>
      <w:bookmarkEnd w:id="36"/>
      <w:bookmarkEnd w:id="37"/>
    </w:p>
    <w:p w14:paraId="3B1D75C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1.4.1 供应商应具备承担本招标项目的资格条件。 </w:t>
      </w:r>
    </w:p>
    <w:p w14:paraId="7B5219F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（1）供应商资格条件：见供应商须知前附表； </w:t>
      </w:r>
    </w:p>
    <w:p w14:paraId="08AA84B0">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38" w:name="_Toc279599775"/>
      <w:bookmarkStart w:id="39" w:name="_Toc274249579"/>
      <w:bookmarkStart w:id="40" w:name="_Toc403122496"/>
      <w:r>
        <w:rPr>
          <w:rFonts w:hint="eastAsia" w:ascii="宋体" w:hAnsi="宋体" w:cs="宋体"/>
          <w:color w:val="000000" w:themeColor="text1"/>
          <w:szCs w:val="21"/>
          <w:highlight w:val="none"/>
          <w14:textFill>
            <w14:solidFill>
              <w14:schemeClr w14:val="tx1"/>
            </w14:solidFill>
          </w14:textFill>
        </w:rPr>
        <w:t>1.4.2 本次招标不接受联合体投标。</w:t>
      </w:r>
    </w:p>
    <w:p w14:paraId="62E4D71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1" w:name="_Toc426369484"/>
      <w:r>
        <w:rPr>
          <w:rFonts w:hint="eastAsia" w:ascii="宋体" w:hAnsi="宋体" w:cs="宋体"/>
          <w:b/>
          <w:bCs/>
          <w:color w:val="000000" w:themeColor="text1"/>
          <w:szCs w:val="21"/>
          <w:highlight w:val="none"/>
          <w14:textFill>
            <w14:solidFill>
              <w14:schemeClr w14:val="tx1"/>
            </w14:solidFill>
          </w14:textFill>
        </w:rPr>
        <w:t>1.5 费用承担</w:t>
      </w:r>
      <w:bookmarkEnd w:id="38"/>
      <w:bookmarkEnd w:id="39"/>
      <w:bookmarkEnd w:id="40"/>
      <w:bookmarkEnd w:id="41"/>
    </w:p>
    <w:p w14:paraId="478A324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供应商准备和参加投标活动发生的费用自理。 </w:t>
      </w:r>
    </w:p>
    <w:p w14:paraId="037B0C7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2" w:name="_Toc426369485"/>
      <w:bookmarkStart w:id="43" w:name="_Toc403122497"/>
      <w:r>
        <w:rPr>
          <w:rFonts w:hint="eastAsia" w:ascii="宋体" w:hAnsi="宋体" w:cs="宋体"/>
          <w:b/>
          <w:bCs/>
          <w:color w:val="000000" w:themeColor="text1"/>
          <w:szCs w:val="21"/>
          <w:highlight w:val="none"/>
          <w14:textFill>
            <w14:solidFill>
              <w14:schemeClr w14:val="tx1"/>
            </w14:solidFill>
          </w14:textFill>
        </w:rPr>
        <w:t>1.6 保密</w:t>
      </w:r>
      <w:bookmarkEnd w:id="42"/>
      <w:bookmarkEnd w:id="43"/>
    </w:p>
    <w:p w14:paraId="75C3778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参与招标投标活动的各方应对招标文件和投标文件中的商业和技术等秘密保密，违者应对由此造成的后果承担法律责任。</w:t>
      </w:r>
    </w:p>
    <w:p w14:paraId="378E2741">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44" w:name="_Toc403122498"/>
      <w:bookmarkStart w:id="45" w:name="_Toc274249581"/>
      <w:bookmarkStart w:id="46" w:name="_Toc426369486"/>
      <w:bookmarkStart w:id="47" w:name="_Toc279599777"/>
      <w:r>
        <w:rPr>
          <w:rFonts w:hint="eastAsia" w:ascii="宋体" w:hAnsi="宋体" w:cs="宋体"/>
          <w:b/>
          <w:bCs/>
          <w:color w:val="000000" w:themeColor="text1"/>
          <w:szCs w:val="21"/>
          <w:highlight w:val="none"/>
          <w14:textFill>
            <w14:solidFill>
              <w14:schemeClr w14:val="tx1"/>
            </w14:solidFill>
          </w14:textFill>
        </w:rPr>
        <w:t>1.7 语言文字</w:t>
      </w:r>
      <w:bookmarkEnd w:id="44"/>
      <w:bookmarkEnd w:id="45"/>
      <w:bookmarkEnd w:id="46"/>
      <w:bookmarkEnd w:id="47"/>
      <w:r>
        <w:rPr>
          <w:rFonts w:hint="eastAsia" w:ascii="宋体" w:hAnsi="宋体" w:cs="宋体"/>
          <w:b/>
          <w:bCs/>
          <w:color w:val="000000" w:themeColor="text1"/>
          <w:szCs w:val="21"/>
          <w:highlight w:val="none"/>
          <w14:textFill>
            <w14:solidFill>
              <w14:schemeClr w14:val="tx1"/>
            </w14:solidFill>
          </w14:textFill>
        </w:rPr>
        <w:t xml:space="preserve"> </w:t>
      </w:r>
    </w:p>
    <w:p w14:paraId="10C5564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1.7.1 采购文件以及投标人与采购人、采购代理机构就有关投标事宜的所有来往函电均应使用简体中文书写。</w:t>
      </w:r>
    </w:p>
    <w:p w14:paraId="187BF9B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1.7.2原版为外文的证书类文件，以及由外国人做出的本人签名、外国公司的名称或外国印章等可以是外文，但应当提供中文翻译文件并加盖投标人公章。必要时评标委员会可以要求投标人提供附有公证书的中文翻译文件或者与原版文件签章相一致的中文翻译文件</w:t>
      </w:r>
      <w:bookmarkStart w:id="48" w:name="_Toc426369487"/>
      <w:bookmarkStart w:id="49" w:name="_Toc403122499"/>
    </w:p>
    <w:p w14:paraId="7802D93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1.8 计量单位</w:t>
      </w:r>
      <w:bookmarkEnd w:id="48"/>
      <w:bookmarkEnd w:id="49"/>
    </w:p>
    <w:p w14:paraId="4852870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1.8.1关于投标计量单位，采购文件已有明确规定的，使用采购文件规定的计量单位；采购文件没有规定的，应采用中华人民共和国法定计量单位。 </w:t>
      </w:r>
    </w:p>
    <w:p w14:paraId="614CC8C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1.8.2本响应性文件所表述的时间均为北京时间。</w:t>
      </w:r>
    </w:p>
    <w:p w14:paraId="58A06C0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50" w:name="_Toc426369488"/>
      <w:bookmarkStart w:id="51" w:name="_Toc403122500"/>
      <w:bookmarkStart w:id="52" w:name="_Toc274249583"/>
      <w:bookmarkStart w:id="53" w:name="_Toc279599779"/>
      <w:r>
        <w:rPr>
          <w:rFonts w:hint="eastAsia" w:ascii="宋体" w:hAnsi="宋体" w:cs="宋体"/>
          <w:b/>
          <w:bCs/>
          <w:color w:val="000000" w:themeColor="text1"/>
          <w:szCs w:val="21"/>
          <w:highlight w:val="none"/>
          <w14:textFill>
            <w14:solidFill>
              <w14:schemeClr w14:val="tx1"/>
            </w14:solidFill>
          </w14:textFill>
        </w:rPr>
        <w:t>1.9 踏勘现场</w:t>
      </w:r>
      <w:bookmarkEnd w:id="50"/>
      <w:bookmarkEnd w:id="51"/>
      <w:bookmarkEnd w:id="52"/>
      <w:bookmarkEnd w:id="53"/>
    </w:p>
    <w:p w14:paraId="74D6C87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1.9.1  由于项目特殊性，本次招标需供应商自行勘查。 </w:t>
      </w:r>
    </w:p>
    <w:p w14:paraId="4B02376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54" w:name="_Toc426369489"/>
      <w:bookmarkStart w:id="55" w:name="_Toc279599780"/>
      <w:bookmarkStart w:id="56" w:name="_Toc274249584"/>
      <w:bookmarkStart w:id="57" w:name="_Toc403122501"/>
      <w:r>
        <w:rPr>
          <w:rFonts w:hint="eastAsia" w:ascii="宋体" w:hAnsi="宋体" w:cs="宋体"/>
          <w:b/>
          <w:bCs/>
          <w:color w:val="000000" w:themeColor="text1"/>
          <w:szCs w:val="21"/>
          <w:highlight w:val="none"/>
          <w14:textFill>
            <w14:solidFill>
              <w14:schemeClr w14:val="tx1"/>
            </w14:solidFill>
          </w14:textFill>
        </w:rPr>
        <w:t>1.10 投标预备会</w:t>
      </w:r>
      <w:bookmarkEnd w:id="54"/>
      <w:bookmarkEnd w:id="55"/>
      <w:bookmarkEnd w:id="56"/>
      <w:bookmarkEnd w:id="57"/>
    </w:p>
    <w:p w14:paraId="6E2095F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1.10.1 本次招标不召开投标预备会。 </w:t>
      </w:r>
    </w:p>
    <w:p w14:paraId="2B5E203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1.10.2 供应商应在供应商须知前附表规定的时间前，以书面形式将提出的问题送达招标代理人。 </w:t>
      </w:r>
    </w:p>
    <w:p w14:paraId="5058E86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1.10.3 采购人在供应商须知前附表规定的时间内，将对供应商所提问题的澄清，以书面方式通知所有已领取招标文件的供应商。该澄清内容为招标文件的组成部分。 </w:t>
      </w:r>
    </w:p>
    <w:p w14:paraId="4A7ECFFF">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58" w:name="_Toc426369490"/>
      <w:bookmarkStart w:id="59" w:name="_Toc279599781"/>
      <w:bookmarkStart w:id="60" w:name="_Toc403122502"/>
      <w:bookmarkStart w:id="61" w:name="_Toc274249585"/>
      <w:r>
        <w:rPr>
          <w:rFonts w:hint="eastAsia" w:ascii="宋体" w:hAnsi="宋体" w:cs="宋体"/>
          <w:b/>
          <w:bCs/>
          <w:color w:val="000000" w:themeColor="text1"/>
          <w:szCs w:val="21"/>
          <w:highlight w:val="none"/>
          <w14:textFill>
            <w14:solidFill>
              <w14:schemeClr w14:val="tx1"/>
            </w14:solidFill>
          </w14:textFill>
        </w:rPr>
        <w:t>1.11 分包</w:t>
      </w:r>
      <w:bookmarkEnd w:id="58"/>
      <w:bookmarkEnd w:id="59"/>
      <w:bookmarkEnd w:id="60"/>
      <w:bookmarkEnd w:id="61"/>
    </w:p>
    <w:p w14:paraId="464AC6E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本次招标项目不允许分包。 </w:t>
      </w:r>
    </w:p>
    <w:p w14:paraId="7F414A95">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62" w:name="_Toc28663"/>
      <w:bookmarkStart w:id="63" w:name="_Toc22882"/>
      <w:bookmarkStart w:id="64" w:name="_Toc730"/>
      <w:bookmarkStart w:id="65" w:name="_Toc9121"/>
      <w:r>
        <w:rPr>
          <w:rFonts w:hint="eastAsia" w:ascii="宋体" w:hAnsi="宋体" w:cs="宋体"/>
          <w:b/>
          <w:bCs/>
          <w:color w:val="000000" w:themeColor="text1"/>
          <w:szCs w:val="21"/>
          <w:highlight w:val="none"/>
          <w14:textFill>
            <w14:solidFill>
              <w14:schemeClr w14:val="tx1"/>
            </w14:solidFill>
          </w14:textFill>
        </w:rPr>
        <w:t>2. 招标文件</w:t>
      </w:r>
      <w:bookmarkEnd w:id="17"/>
      <w:bookmarkEnd w:id="18"/>
      <w:bookmarkEnd w:id="19"/>
      <w:bookmarkEnd w:id="62"/>
      <w:bookmarkEnd w:id="63"/>
      <w:bookmarkEnd w:id="64"/>
      <w:bookmarkEnd w:id="65"/>
    </w:p>
    <w:p w14:paraId="671680D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66" w:name="_Toc403122504"/>
      <w:bookmarkStart w:id="67" w:name="_Toc426369492"/>
      <w:bookmarkStart w:id="68" w:name="_Toc279599783"/>
      <w:bookmarkStart w:id="69" w:name="_Toc274249587"/>
      <w:r>
        <w:rPr>
          <w:rFonts w:hint="eastAsia" w:ascii="宋体" w:hAnsi="宋体" w:cs="宋体"/>
          <w:b/>
          <w:bCs/>
          <w:color w:val="000000" w:themeColor="text1"/>
          <w:szCs w:val="21"/>
          <w:highlight w:val="none"/>
          <w14:textFill>
            <w14:solidFill>
              <w14:schemeClr w14:val="tx1"/>
            </w14:solidFill>
          </w14:textFill>
        </w:rPr>
        <w:t>2.1 招标文件的组成</w:t>
      </w:r>
      <w:bookmarkEnd w:id="66"/>
      <w:bookmarkEnd w:id="67"/>
      <w:bookmarkEnd w:id="68"/>
      <w:bookmarkEnd w:id="69"/>
    </w:p>
    <w:p w14:paraId="3C5D905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本招标文件包括： </w:t>
      </w:r>
    </w:p>
    <w:p w14:paraId="43ABBB56">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（1）招标公告；</w:t>
      </w:r>
    </w:p>
    <w:p w14:paraId="2855543F">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（2）供应商须知； </w:t>
      </w:r>
    </w:p>
    <w:p w14:paraId="3201EB34">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（3）评标办法（综合评分法）； </w:t>
      </w:r>
    </w:p>
    <w:p w14:paraId="197AFCAC">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（4）合同条款及格式； </w:t>
      </w:r>
    </w:p>
    <w:p w14:paraId="1F37C3FE">
      <w:pPr>
        <w:tabs>
          <w:tab w:val="left" w:pos="525"/>
          <w:tab w:val="left" w:pos="630"/>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eastAsia="宋体" w:cs="宋体"/>
          <w:color w:val="000000" w:themeColor="text1"/>
          <w:szCs w:val="21"/>
          <w:highlight w:val="none"/>
          <w:lang w:val="en-US" w:eastAsia="zh-CN"/>
          <w14:textFill>
            <w14:solidFill>
              <w14:schemeClr w14:val="tx1"/>
            </w14:solidFill>
          </w14:textFill>
        </w:rPr>
        <w:t xml:space="preserve">（5）采购内容及技术要求； </w:t>
      </w:r>
    </w:p>
    <w:p w14:paraId="0C5AA755">
      <w:pPr>
        <w:tabs>
          <w:tab w:val="left" w:pos="525"/>
          <w:tab w:val="left" w:pos="630"/>
        </w:tabs>
        <w:spacing w:line="360" w:lineRule="auto"/>
        <w:ind w:firstLine="420" w:firstLineChars="200"/>
        <w:rPr>
          <w:rFonts w:hint="eastAsia"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eastAsia="宋体" w:cs="宋体"/>
          <w:color w:val="000000" w:themeColor="text1"/>
          <w:szCs w:val="21"/>
          <w:highlight w:val="none"/>
          <w:lang w:val="en-US" w:eastAsia="zh-CN"/>
          <w14:textFill>
            <w14:solidFill>
              <w14:schemeClr w14:val="tx1"/>
            </w14:solidFill>
          </w14:textFill>
        </w:rPr>
        <w:t>质疑与投诉；</w:t>
      </w:r>
    </w:p>
    <w:p w14:paraId="3E02A705">
      <w:pPr>
        <w:tabs>
          <w:tab w:val="left" w:pos="525"/>
          <w:tab w:val="left" w:pos="630"/>
        </w:tabs>
        <w:spacing w:line="360" w:lineRule="auto"/>
        <w:ind w:firstLine="420" w:firstLineChars="200"/>
        <w:rPr>
          <w:rFonts w:hint="default" w:ascii="宋体" w:hAnsi="宋体" w:eastAsia="宋体" w:cs="宋体"/>
          <w:color w:val="000000" w:themeColor="text1"/>
          <w:szCs w:val="21"/>
          <w:highlight w:val="non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7</w:t>
      </w:r>
      <w:r>
        <w:rPr>
          <w:rFonts w:hint="eastAsia" w:ascii="宋体" w:hAnsi="宋体" w:cs="宋体"/>
          <w:color w:val="000000" w:themeColor="text1"/>
          <w:szCs w:val="21"/>
          <w:highlight w:val="none"/>
          <w14:textFill>
            <w14:solidFill>
              <w14:schemeClr w14:val="tx1"/>
            </w14:solidFill>
          </w14:textFill>
        </w:rPr>
        <w:t>）</w:t>
      </w:r>
      <w:r>
        <w:rPr>
          <w:rFonts w:hint="eastAsia" w:ascii="宋体" w:hAnsi="宋体" w:eastAsia="宋体" w:cs="宋体"/>
          <w:color w:val="000000" w:themeColor="text1"/>
          <w:szCs w:val="21"/>
          <w:highlight w:val="none"/>
          <w:lang w:val="en-US" w:eastAsia="zh-CN"/>
          <w14:textFill>
            <w14:solidFill>
              <w14:schemeClr w14:val="tx1"/>
            </w14:solidFill>
          </w14:textFill>
        </w:rPr>
        <w:t>履约验收；</w:t>
      </w:r>
    </w:p>
    <w:p w14:paraId="38261BE7">
      <w:pPr>
        <w:tabs>
          <w:tab w:val="left" w:pos="525"/>
          <w:tab w:val="left" w:pos="63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r>
        <w:rPr>
          <w:rFonts w:hint="eastAsia" w:ascii="宋体" w:hAnsi="宋体" w:cs="宋体"/>
          <w:color w:val="000000" w:themeColor="text1"/>
          <w:szCs w:val="21"/>
          <w:highlight w:val="none"/>
          <w:lang w:val="en-US" w:eastAsia="zh-CN"/>
          <w14:textFill>
            <w14:solidFill>
              <w14:schemeClr w14:val="tx1"/>
            </w14:solidFill>
          </w14:textFill>
        </w:rPr>
        <w:t>8</w:t>
      </w:r>
      <w:r>
        <w:rPr>
          <w:rFonts w:hint="eastAsia" w:ascii="宋体" w:hAnsi="宋体" w:cs="宋体"/>
          <w:color w:val="000000" w:themeColor="text1"/>
          <w:szCs w:val="21"/>
          <w:highlight w:val="none"/>
          <w14:textFill>
            <w14:solidFill>
              <w14:schemeClr w14:val="tx1"/>
            </w14:solidFill>
          </w14:textFill>
        </w:rPr>
        <w:t xml:space="preserve">）投标文件格式； </w:t>
      </w:r>
    </w:p>
    <w:p w14:paraId="3FAED5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根据本章第 1.10 款、第 2.2 款和第2.3款对招标文件所作的澄清、修改，构成招标文件的组成部分。 </w:t>
      </w:r>
    </w:p>
    <w:p w14:paraId="6444ECF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70" w:name="_Toc403122505"/>
      <w:bookmarkStart w:id="71" w:name="_Toc279599784"/>
      <w:bookmarkStart w:id="72" w:name="_Toc274249588"/>
      <w:bookmarkStart w:id="73" w:name="_Toc426369493"/>
      <w:r>
        <w:rPr>
          <w:rFonts w:hint="eastAsia" w:ascii="宋体" w:hAnsi="宋体" w:cs="宋体"/>
          <w:b/>
          <w:bCs/>
          <w:color w:val="000000" w:themeColor="text1"/>
          <w:szCs w:val="21"/>
          <w:highlight w:val="none"/>
          <w14:textFill>
            <w14:solidFill>
              <w14:schemeClr w14:val="tx1"/>
            </w14:solidFill>
          </w14:textFill>
        </w:rPr>
        <w:t>2.2 招标文件的澄清</w:t>
      </w:r>
      <w:bookmarkEnd w:id="70"/>
      <w:bookmarkEnd w:id="71"/>
      <w:bookmarkEnd w:id="72"/>
      <w:bookmarkEnd w:id="73"/>
    </w:p>
    <w:p w14:paraId="4AD3BBE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2.2.1 供应商应仔细阅读和检查招标文件的全部内容。如发现缺页或附件不全，应及时向采购人提出，以便补齐。如有疑问，应在供应商须知前附表规定的时间前以书面形式，要求采购人对招标文件予以澄清。 </w:t>
      </w:r>
    </w:p>
    <w:p w14:paraId="78E893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2.2.2 招标文件的澄清将在供应商须知前附表规定的投标截止时间15天前以书面形式发给所有购买招标文件的供应商，但不指明澄清问题的来源。如果澄清发出的时间距投标截止时间不足 15 天，相应延长投标截止时间。 </w:t>
      </w:r>
    </w:p>
    <w:p w14:paraId="7DA3DC5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2.2.3 供应商在收到澄清后，应在供应商须知前附表规定的时间内以书面形式通知采购人，确认已收到该澄清。 </w:t>
      </w:r>
    </w:p>
    <w:p w14:paraId="654EB00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74" w:name="_Toc403122506"/>
      <w:bookmarkStart w:id="75" w:name="_Toc279599785"/>
      <w:bookmarkStart w:id="76" w:name="_Toc274249589"/>
      <w:bookmarkStart w:id="77" w:name="_Toc426369494"/>
      <w:r>
        <w:rPr>
          <w:rFonts w:hint="eastAsia" w:ascii="宋体" w:hAnsi="宋体" w:cs="宋体"/>
          <w:b/>
          <w:bCs/>
          <w:color w:val="000000" w:themeColor="text1"/>
          <w:szCs w:val="21"/>
          <w:highlight w:val="none"/>
          <w14:textFill>
            <w14:solidFill>
              <w14:schemeClr w14:val="tx1"/>
            </w14:solidFill>
          </w14:textFill>
        </w:rPr>
        <w:t>2.3 招标文件的修改</w:t>
      </w:r>
      <w:bookmarkEnd w:id="74"/>
      <w:bookmarkEnd w:id="75"/>
      <w:bookmarkEnd w:id="76"/>
      <w:bookmarkEnd w:id="77"/>
    </w:p>
    <w:p w14:paraId="2CCF1CF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2.3.1  在投标截止时间 15天前，采购人可以书面形式修改招标文件，并通知所有已购买招标文件的供应商。如果修改招标文件的时间距投标截止时间不足 15 天，相应延长投标截止时间。  </w:t>
      </w:r>
    </w:p>
    <w:p w14:paraId="603F633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2.3.2  供应商收到修改内容后，应在供应商须知前附表规定的时间内以书面形式通知采购人，确认已收到该修改。 </w:t>
      </w:r>
      <w:bookmarkStart w:id="78" w:name="_Toc23265"/>
      <w:bookmarkStart w:id="79" w:name="_Toc403122507"/>
      <w:bookmarkStart w:id="80" w:name="_Toc426369495"/>
    </w:p>
    <w:p w14:paraId="46772BA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81" w:name="_Toc18859"/>
      <w:bookmarkStart w:id="82" w:name="_Toc8052"/>
      <w:bookmarkStart w:id="83" w:name="_Toc22914"/>
      <w:bookmarkStart w:id="84" w:name="_Toc13865"/>
      <w:r>
        <w:rPr>
          <w:rFonts w:hint="eastAsia" w:ascii="宋体" w:hAnsi="宋体" w:cs="宋体"/>
          <w:b/>
          <w:bCs/>
          <w:color w:val="000000" w:themeColor="text1"/>
          <w:szCs w:val="21"/>
          <w:highlight w:val="none"/>
          <w14:textFill>
            <w14:solidFill>
              <w14:schemeClr w14:val="tx1"/>
            </w14:solidFill>
          </w14:textFill>
        </w:rPr>
        <w:t>3. 投标文件</w:t>
      </w:r>
      <w:bookmarkEnd w:id="78"/>
      <w:bookmarkEnd w:id="79"/>
      <w:bookmarkEnd w:id="80"/>
      <w:bookmarkEnd w:id="81"/>
      <w:bookmarkEnd w:id="82"/>
      <w:bookmarkEnd w:id="83"/>
      <w:bookmarkEnd w:id="84"/>
    </w:p>
    <w:p w14:paraId="2508F2A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85" w:name="_Toc403122508"/>
      <w:bookmarkStart w:id="86" w:name="_Toc274249591"/>
      <w:bookmarkStart w:id="87" w:name="_Toc279599787"/>
      <w:bookmarkStart w:id="88" w:name="_Toc426369496"/>
      <w:r>
        <w:rPr>
          <w:rFonts w:hint="eastAsia" w:ascii="宋体" w:hAnsi="宋体" w:cs="宋体"/>
          <w:b/>
          <w:bCs/>
          <w:color w:val="000000" w:themeColor="text1"/>
          <w:szCs w:val="21"/>
          <w:highlight w:val="none"/>
          <w14:textFill>
            <w14:solidFill>
              <w14:schemeClr w14:val="tx1"/>
            </w14:solidFill>
          </w14:textFill>
        </w:rPr>
        <w:t>3.1 投标文件的组成</w:t>
      </w:r>
      <w:bookmarkEnd w:id="85"/>
      <w:bookmarkEnd w:id="86"/>
      <w:bookmarkEnd w:id="87"/>
      <w:bookmarkEnd w:id="88"/>
    </w:p>
    <w:p w14:paraId="5FB3810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3.1.1 投标文件应包括下列内容： </w:t>
      </w:r>
    </w:p>
    <w:p w14:paraId="6FC3D520">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89" w:name="_Toc279599788"/>
      <w:bookmarkStart w:id="90" w:name="_Toc274249592"/>
      <w:bookmarkStart w:id="91" w:name="_Toc426369497"/>
      <w:bookmarkStart w:id="92" w:name="_Toc403122509"/>
      <w:r>
        <w:rPr>
          <w:rFonts w:hint="eastAsia" w:ascii="宋体" w:hAnsi="宋体" w:cs="宋体"/>
          <w:color w:val="000000" w:themeColor="text1"/>
          <w:szCs w:val="21"/>
          <w:highlight w:val="none"/>
          <w14:textFill>
            <w14:solidFill>
              <w14:schemeClr w14:val="tx1"/>
            </w14:solidFill>
          </w14:textFill>
        </w:rPr>
        <w:t>一、投标函及开标一览表</w:t>
      </w:r>
    </w:p>
    <w:p w14:paraId="7A9F1D2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（一）投标函</w:t>
      </w:r>
    </w:p>
    <w:p w14:paraId="7CEEC49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（二）开标一览表</w:t>
      </w:r>
    </w:p>
    <w:p w14:paraId="35AB1A69">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（三）报价明细表</w:t>
      </w:r>
    </w:p>
    <w:p w14:paraId="4A9AF0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（四）技术偏离表</w:t>
      </w:r>
    </w:p>
    <w:p w14:paraId="475BC5D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二、法定代表人身份证明书</w:t>
      </w:r>
    </w:p>
    <w:p w14:paraId="72E80C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三、授权委托书</w:t>
      </w:r>
    </w:p>
    <w:p w14:paraId="59A3509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四、项目实施方案等</w:t>
      </w:r>
    </w:p>
    <w:p w14:paraId="0DB3F9A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五、供应商的资格证明承诺函；</w:t>
      </w:r>
    </w:p>
    <w:p w14:paraId="2D82F1DB">
      <w:pPr>
        <w:pStyle w:val="26"/>
        <w:spacing w:line="360" w:lineRule="auto"/>
        <w:ind w:firstLineChars="200"/>
        <w:rPr>
          <w:rFonts w:hint="eastAsia" w:ascii="宋体" w:hAnsi="宋体" w:eastAsia="宋体" w:cs="宋体"/>
          <w:color w:val="000000" w:themeColor="text1"/>
          <w:sz w:val="21"/>
          <w:szCs w:val="21"/>
          <w:highlight w:val="none"/>
          <w:lang w:eastAsia="zh-CN"/>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六、供应商服务承诺和优惠承诺</w:t>
      </w:r>
      <w:r>
        <w:rPr>
          <w:rFonts w:hint="eastAsia" w:ascii="宋体" w:hAnsi="宋体" w:eastAsia="宋体" w:cs="宋体"/>
          <w:color w:val="000000" w:themeColor="text1"/>
          <w:sz w:val="21"/>
          <w:szCs w:val="21"/>
          <w:highlight w:val="none"/>
          <w:lang w:eastAsia="zh-CN"/>
          <w14:textFill>
            <w14:solidFill>
              <w14:schemeClr w14:val="tx1"/>
            </w14:solidFill>
          </w14:textFill>
        </w:rPr>
        <w:t>；</w:t>
      </w:r>
    </w:p>
    <w:p w14:paraId="559C3C9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七、供应商所投产品属于当期政府采购清单规定的节能环保产品的证明材料</w:t>
      </w:r>
      <w:r>
        <w:rPr>
          <w:rFonts w:hint="eastAsia" w:ascii="宋体" w:hAnsi="宋体" w:cs="宋体"/>
          <w:color w:val="000000" w:themeColor="text1"/>
          <w:szCs w:val="21"/>
          <w:highlight w:val="none"/>
          <w:lang w:val="en-US" w:eastAsia="zh-CN"/>
          <w14:textFill>
            <w14:solidFill>
              <w14:schemeClr w14:val="tx1"/>
            </w14:solidFill>
          </w14:textFill>
        </w:rPr>
        <w:t>(如有)</w:t>
      </w:r>
      <w:r>
        <w:rPr>
          <w:rFonts w:hint="eastAsia" w:ascii="宋体" w:hAnsi="宋体" w:cs="宋体"/>
          <w:color w:val="000000" w:themeColor="text1"/>
          <w:szCs w:val="21"/>
          <w:highlight w:val="none"/>
          <w14:textFill>
            <w14:solidFill>
              <w14:schemeClr w14:val="tx1"/>
            </w14:solidFill>
          </w14:textFill>
        </w:rPr>
        <w:t>；</w:t>
      </w:r>
    </w:p>
    <w:p w14:paraId="0F3248D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八、中小企业声明函（如有）；</w:t>
      </w:r>
    </w:p>
    <w:p w14:paraId="7D60042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九、残疾人福利性单位声明函（如有）；</w:t>
      </w:r>
    </w:p>
    <w:p w14:paraId="6DFA33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十、招标文件要求的或投标人认为需要加以说明的其他内容。</w:t>
      </w:r>
    </w:p>
    <w:p w14:paraId="6D6CBA7D">
      <w:pPr>
        <w:widowControl/>
        <w:spacing w:line="360" w:lineRule="auto"/>
        <w:ind w:firstLine="422" w:firstLineChars="200"/>
        <w:jc w:val="left"/>
        <w:rPr>
          <w:rFonts w:ascii="宋体" w:hAnsi="宋体" w:cs="宋体"/>
          <w:b/>
          <w:bCs/>
          <w:color w:val="000000" w:themeColor="text1"/>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注：1、符合《政府采购法》第二十二条规定的资格条件，按照采购文件约定提供资格承诺，不再提供资质资料，主要包括投标人在响应文件中无需再提供营业执照、财务状况报告、依法缴纳税收和社会保障资金、具有履行合同所必须的设备和专业技术能力、参加政府采购活动前三年内在经营活动中没有重大违法记录相关证明材料。</w:t>
      </w:r>
    </w:p>
    <w:p w14:paraId="0F76D4C5">
      <w:pPr>
        <w:widowControl/>
        <w:spacing w:line="360" w:lineRule="auto"/>
        <w:ind w:firstLine="422" w:firstLineChars="200"/>
        <w:jc w:val="left"/>
        <w:rPr>
          <w:rFonts w:ascii="宋体" w:hAnsi="宋体" w:cs="宋体"/>
          <w:color w:val="000000" w:themeColor="text1"/>
          <w:kern w:val="0"/>
          <w:sz w:val="21"/>
          <w:szCs w:val="21"/>
          <w:highlight w:val="none"/>
          <w14:textFill>
            <w14:solidFill>
              <w14:schemeClr w14:val="tx1"/>
            </w14:solidFill>
          </w14:textFill>
        </w:rPr>
      </w:pPr>
      <w:r>
        <w:rPr>
          <w:rFonts w:hint="eastAsia" w:ascii="宋体" w:hAnsi="宋体" w:cs="宋体"/>
          <w:b/>
          <w:bCs/>
          <w:color w:val="000000" w:themeColor="text1"/>
          <w:sz w:val="21"/>
          <w:szCs w:val="21"/>
          <w:highlight w:val="none"/>
          <w14:textFill>
            <w14:solidFill>
              <w14:schemeClr w14:val="tx1"/>
            </w14:solidFill>
          </w14:textFill>
        </w:rPr>
        <w:t>2、投标人应当遵循诚实信用原则，不得作虚假承诺。投标人承诺不实的，属于提供虚假材料谋取中标、成交。按照《政府采购法》第七十七条规定，处以采购金额千分之五以上千分之十以下的罚款，列入不良行为记录名单，在一至三年内禁止参加政府采购活动；有违法所得的，并处没收违法所得，情节严重的，吊销营业执照；构成犯罪的，依法追究刑事责任</w:t>
      </w:r>
      <w:r>
        <w:rPr>
          <w:rFonts w:hint="eastAsia" w:ascii="宋体" w:hAnsi="宋体" w:cs="宋体"/>
          <w:color w:val="000000" w:themeColor="text1"/>
          <w:sz w:val="21"/>
          <w:szCs w:val="21"/>
          <w:highlight w:val="none"/>
          <w14:textFill>
            <w14:solidFill>
              <w14:schemeClr w14:val="tx1"/>
            </w14:solidFill>
          </w14:textFill>
        </w:rPr>
        <w:t>。</w:t>
      </w:r>
    </w:p>
    <w:p w14:paraId="772E1E9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3.2 投标报价</w:t>
      </w:r>
      <w:bookmarkEnd w:id="89"/>
      <w:bookmarkEnd w:id="90"/>
      <w:bookmarkEnd w:id="91"/>
      <w:bookmarkEnd w:id="92"/>
    </w:p>
    <w:p w14:paraId="58E1928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3.2.1投标报价包括：供应商的投标报价应包括货物本身的费用、包装费、运输费、装卸费、运输过程保险费、安装费、质量保证费、相关的伴随服务费、货物本身已支付或将支付的各种税费以及其它交付使用前的所有费用。投标价不是唯一的或不是固定不变的响应文件将被作为非响应性投标而予以拒绝。</w:t>
      </w:r>
    </w:p>
    <w:p w14:paraId="036E1C3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3.2.2投标报价在中标后不得修改。</w:t>
      </w:r>
    </w:p>
    <w:p w14:paraId="5166CA2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3.2.3供应商只能提出一个不变价格，采购人不接受任何选择价。</w:t>
      </w:r>
    </w:p>
    <w:p w14:paraId="68BD3CE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3.2.4供应商必须对招标范围内的所有货物投标，不允许只对其中一种或几种货物投标。</w:t>
      </w:r>
    </w:p>
    <w:p w14:paraId="2F81F66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3.2.5全部报价均应以人民币为计量币种，并以人民币进行结算。</w:t>
      </w:r>
    </w:p>
    <w:p w14:paraId="03B024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3.2.6投标报价原则是各供应商依据自身实力、管理水平，结合企业所在地区的人工工资标准，在确保项目质量，确保项目成本的基础上，自主报价、自负盈亏。</w:t>
      </w:r>
    </w:p>
    <w:p w14:paraId="3511454F">
      <w:pPr>
        <w:widowControl/>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3.2.7若投标函中的内容与投标一览表内容不一致时，以投标一览表内容为准。若投标一览表中的大写金额和小写金额不一致的，以大写金额为准；总价金额与单价金额不一致的，以单价金额为准，但单价金额小数点有明显错误的除外；对不同文字文本投标文件的解释发生异议的，以中文文本为准。</w:t>
      </w:r>
    </w:p>
    <w:p w14:paraId="6AEAAEC5">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93" w:name="_Toc426369498"/>
      <w:bookmarkStart w:id="94" w:name="_Toc274249593"/>
      <w:bookmarkStart w:id="95" w:name="_Toc279599789"/>
      <w:bookmarkStart w:id="96" w:name="_Toc403122510"/>
      <w:r>
        <w:rPr>
          <w:rFonts w:hint="eastAsia" w:ascii="宋体" w:hAnsi="宋体" w:cs="宋体"/>
          <w:b/>
          <w:bCs/>
          <w:color w:val="000000" w:themeColor="text1"/>
          <w:szCs w:val="21"/>
          <w:highlight w:val="none"/>
          <w14:textFill>
            <w14:solidFill>
              <w14:schemeClr w14:val="tx1"/>
            </w14:solidFill>
          </w14:textFill>
        </w:rPr>
        <w:t>3.3 投标有效期</w:t>
      </w:r>
      <w:bookmarkEnd w:id="93"/>
      <w:bookmarkEnd w:id="94"/>
      <w:bookmarkEnd w:id="95"/>
      <w:bookmarkEnd w:id="96"/>
    </w:p>
    <w:p w14:paraId="232C1F8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3.3.1在供应商须知前附表规定的投标有效期内，供应商不得要求撤销或修改其投标文件。 </w:t>
      </w:r>
    </w:p>
    <w:p w14:paraId="5E4B29F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97" w:name="_Toc279599791"/>
      <w:bookmarkStart w:id="98" w:name="_Toc426369501"/>
      <w:bookmarkStart w:id="99" w:name="_Toc274249595"/>
      <w:bookmarkStart w:id="100" w:name="_Toc403122512"/>
      <w:r>
        <w:rPr>
          <w:rFonts w:hint="eastAsia" w:ascii="宋体" w:hAnsi="宋体" w:cs="宋体"/>
          <w:b/>
          <w:bCs/>
          <w:color w:val="000000" w:themeColor="text1"/>
          <w:szCs w:val="21"/>
          <w:highlight w:val="none"/>
          <w14:textFill>
            <w14:solidFill>
              <w14:schemeClr w14:val="tx1"/>
            </w14:solidFill>
          </w14:textFill>
        </w:rPr>
        <w:t>3.5 资格审查资料</w:t>
      </w:r>
      <w:bookmarkEnd w:id="97"/>
      <w:bookmarkEnd w:id="98"/>
      <w:bookmarkEnd w:id="99"/>
      <w:bookmarkEnd w:id="100"/>
    </w:p>
    <w:p w14:paraId="7F0B02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3.5.1</w:t>
      </w:r>
      <w:r>
        <w:rPr>
          <w:rFonts w:hint="eastAsia" w:ascii="宋体" w:hAnsi="宋体" w:cs="宋体"/>
          <w:color w:val="000000" w:themeColor="text1"/>
          <w:kern w:val="0"/>
          <w:szCs w:val="21"/>
          <w:highlight w:val="none"/>
          <w14:textFill>
            <w14:solidFill>
              <w14:schemeClr w14:val="tx1"/>
            </w14:solidFill>
          </w14:textFill>
        </w:rPr>
        <w:t>依据“投标人须知前附表”中的要求提交相应的资格证明文件，作为投标文件的一部分，以证明其有资格进行投标和有能力履行合同</w:t>
      </w:r>
      <w:r>
        <w:rPr>
          <w:rFonts w:hint="eastAsia" w:ascii="宋体" w:hAnsi="宋体" w:cs="宋体"/>
          <w:color w:val="000000" w:themeColor="text1"/>
          <w:szCs w:val="21"/>
          <w:highlight w:val="none"/>
          <w14:textFill>
            <w14:solidFill>
              <w14:schemeClr w14:val="tx1"/>
            </w14:solidFill>
          </w14:textFill>
        </w:rPr>
        <w:t xml:space="preserve">。 </w:t>
      </w:r>
    </w:p>
    <w:p w14:paraId="17ED838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3.5.2招标文件规定的供应商资格条件。</w:t>
      </w:r>
    </w:p>
    <w:p w14:paraId="1C622C2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01" w:name="_Toc426369502"/>
      <w:bookmarkStart w:id="102" w:name="_Toc279599792"/>
      <w:bookmarkStart w:id="103" w:name="_Toc274249596"/>
      <w:bookmarkStart w:id="104" w:name="_Toc403122513"/>
      <w:r>
        <w:rPr>
          <w:rFonts w:hint="eastAsia" w:ascii="宋体" w:hAnsi="宋体" w:cs="宋体"/>
          <w:b/>
          <w:bCs/>
          <w:color w:val="000000" w:themeColor="text1"/>
          <w:szCs w:val="21"/>
          <w:highlight w:val="none"/>
          <w14:textFill>
            <w14:solidFill>
              <w14:schemeClr w14:val="tx1"/>
            </w14:solidFill>
          </w14:textFill>
        </w:rPr>
        <w:t>3.6 备选投标方案</w:t>
      </w:r>
      <w:bookmarkEnd w:id="101"/>
      <w:bookmarkEnd w:id="102"/>
      <w:bookmarkEnd w:id="103"/>
      <w:bookmarkEnd w:id="104"/>
    </w:p>
    <w:p w14:paraId="3F0FD141">
      <w:pPr>
        <w:tabs>
          <w:tab w:val="left" w:pos="3570"/>
        </w:tabs>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供应商不得递交备选投标方案。 </w:t>
      </w:r>
    </w:p>
    <w:p w14:paraId="49F70F8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05" w:name="_Toc279599793"/>
      <w:bookmarkStart w:id="106" w:name="_Toc426369503"/>
      <w:bookmarkStart w:id="107" w:name="_Toc403122514"/>
      <w:bookmarkStart w:id="108" w:name="_Toc274249597"/>
      <w:r>
        <w:rPr>
          <w:rFonts w:hint="eastAsia" w:ascii="宋体" w:hAnsi="宋体" w:cs="宋体"/>
          <w:b/>
          <w:bCs/>
          <w:color w:val="000000" w:themeColor="text1"/>
          <w:szCs w:val="21"/>
          <w:highlight w:val="none"/>
          <w14:textFill>
            <w14:solidFill>
              <w14:schemeClr w14:val="tx1"/>
            </w14:solidFill>
          </w14:textFill>
        </w:rPr>
        <w:t>3.7 投标文件的编制</w:t>
      </w:r>
      <w:bookmarkEnd w:id="105"/>
      <w:bookmarkEnd w:id="106"/>
      <w:bookmarkEnd w:id="107"/>
      <w:bookmarkEnd w:id="108"/>
    </w:p>
    <w:p w14:paraId="3018909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3.7.1 投标文件应按招标文件中要求</w:t>
      </w:r>
      <w:r>
        <w:rPr>
          <w:rFonts w:hint="eastAsia" w:ascii="宋体" w:hAnsi="宋体" w:cs="宋体"/>
          <w:color w:val="000000" w:themeColor="text1"/>
          <w:kern w:val="0"/>
          <w:szCs w:val="21"/>
          <w:highlight w:val="none"/>
          <w14:textFill>
            <w14:solidFill>
              <w14:schemeClr w14:val="tx1"/>
            </w14:solidFill>
          </w14:textFill>
        </w:rPr>
        <w:t>使用焦作市公共资源交易系统投标文件制作专用工具软件编制</w:t>
      </w:r>
      <w:r>
        <w:rPr>
          <w:rFonts w:hint="eastAsia" w:ascii="宋体" w:hAnsi="宋体" w:cs="宋体"/>
          <w:color w:val="000000" w:themeColor="text1"/>
          <w:szCs w:val="21"/>
          <w:highlight w:val="none"/>
          <w14:textFill>
            <w14:solidFill>
              <w14:schemeClr w14:val="tx1"/>
            </w14:solidFill>
          </w14:textFill>
        </w:rPr>
        <w:t xml:space="preserve">。 </w:t>
      </w:r>
    </w:p>
    <w:p w14:paraId="26C8AD7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3.7.2  投标文件应当对招标文件有关</w:t>
      </w:r>
      <w:r>
        <w:rPr>
          <w:rFonts w:hint="eastAsia"/>
          <w:color w:val="000000" w:themeColor="text1"/>
          <w:highlight w:val="none"/>
          <w14:textFill>
            <w14:solidFill>
              <w14:schemeClr w14:val="tx1"/>
            </w14:solidFill>
          </w14:textFill>
        </w:rPr>
        <w:t>投标报价、合同履行期限（供货及安装期）、质量标准</w:t>
      </w:r>
      <w:r>
        <w:rPr>
          <w:rFonts w:hint="eastAsia"/>
          <w:color w:val="000000" w:themeColor="text1"/>
          <w:highlight w:val="none"/>
          <w:lang w:eastAsia="zh-CN"/>
          <w14:textFill>
            <w14:solidFill>
              <w14:schemeClr w14:val="tx1"/>
            </w14:solidFill>
          </w14:textFill>
        </w:rPr>
        <w:t>、</w:t>
      </w:r>
      <w:r>
        <w:rPr>
          <w:rFonts w:hint="eastAsia"/>
          <w:color w:val="000000" w:themeColor="text1"/>
          <w:highlight w:val="none"/>
          <w:lang w:val="en-US" w:eastAsia="zh-CN"/>
          <w14:textFill>
            <w14:solidFill>
              <w14:schemeClr w14:val="tx1"/>
            </w14:solidFill>
          </w14:textFill>
        </w:rPr>
        <w:t>品牌、型号、投标有效期</w:t>
      </w:r>
      <w:r>
        <w:rPr>
          <w:rFonts w:hint="eastAsia"/>
          <w:color w:val="000000" w:themeColor="text1"/>
          <w:highlight w:val="none"/>
          <w14:textFill>
            <w14:solidFill>
              <w14:schemeClr w14:val="tx1"/>
            </w14:solidFill>
          </w14:textFill>
        </w:rPr>
        <w:t>等</w:t>
      </w:r>
      <w:r>
        <w:rPr>
          <w:rFonts w:hint="eastAsia" w:ascii="宋体" w:hAnsi="宋体" w:cs="宋体"/>
          <w:color w:val="000000" w:themeColor="text1"/>
          <w:szCs w:val="21"/>
          <w:highlight w:val="none"/>
          <w14:textFill>
            <w14:solidFill>
              <w14:schemeClr w14:val="tx1"/>
            </w14:solidFill>
          </w14:textFill>
        </w:rPr>
        <w:t>等实质性内容作出响应。</w:t>
      </w:r>
    </w:p>
    <w:p w14:paraId="04A25231">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3.7.3 </w:t>
      </w:r>
      <w:r>
        <w:rPr>
          <w:rFonts w:hint="eastAsia" w:ascii="宋体" w:hAnsi="宋体" w:cs="宋体"/>
          <w:color w:val="000000" w:themeColor="text1"/>
          <w:kern w:val="0"/>
          <w:szCs w:val="21"/>
          <w:highlight w:val="none"/>
          <w14:textFill>
            <w14:solidFill>
              <w14:schemeClr w14:val="tx1"/>
            </w14:solidFill>
          </w14:textFill>
        </w:rPr>
        <w:t>本项目采用电子开评标方式，潜在投标人可提前在焦作市交易中心官网首页---下载中心--下载《焦作市电子招投标系统操作手册》、《焦作市公共资源交易平台不见面开标操作手册》和《投标文件制作工作工具》等查看操作说明，按要求进行投标文件制作和上传等。为避免网络拥堵等不可控因素影响投标文件的上传，请提前上传投标文件，按要求解密投标文件。因文件未及时上传导致投标失败的责任由投标人自行承担。</w:t>
      </w:r>
    </w:p>
    <w:p w14:paraId="7D75AD7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09" w:name="_Toc26998"/>
      <w:bookmarkStart w:id="110" w:name="_Toc426369504"/>
      <w:bookmarkStart w:id="111" w:name="_Toc30100"/>
      <w:bookmarkStart w:id="112" w:name="_Toc25921"/>
      <w:bookmarkStart w:id="113" w:name="_Toc24133"/>
      <w:bookmarkStart w:id="114" w:name="_Toc403122515"/>
      <w:bookmarkStart w:id="115" w:name="_Toc31809"/>
      <w:r>
        <w:rPr>
          <w:rFonts w:hint="eastAsia" w:ascii="宋体" w:hAnsi="宋体" w:cs="宋体"/>
          <w:b/>
          <w:bCs/>
          <w:color w:val="000000" w:themeColor="text1"/>
          <w:szCs w:val="21"/>
          <w:highlight w:val="none"/>
          <w14:textFill>
            <w14:solidFill>
              <w14:schemeClr w14:val="tx1"/>
            </w14:solidFill>
          </w14:textFill>
        </w:rPr>
        <w:t>4. 投标</w:t>
      </w:r>
      <w:bookmarkEnd w:id="109"/>
      <w:bookmarkEnd w:id="110"/>
      <w:bookmarkEnd w:id="111"/>
      <w:bookmarkEnd w:id="112"/>
      <w:bookmarkEnd w:id="113"/>
      <w:bookmarkEnd w:id="114"/>
      <w:bookmarkEnd w:id="115"/>
    </w:p>
    <w:p w14:paraId="211410C1">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16" w:name="_Toc274249599"/>
      <w:bookmarkStart w:id="117" w:name="_Toc426369505"/>
      <w:bookmarkStart w:id="118" w:name="_Toc279599795"/>
      <w:bookmarkStart w:id="119" w:name="_Toc403122516"/>
      <w:r>
        <w:rPr>
          <w:rFonts w:hint="eastAsia" w:ascii="宋体" w:hAnsi="宋体" w:cs="宋体"/>
          <w:b/>
          <w:bCs/>
          <w:color w:val="000000" w:themeColor="text1"/>
          <w:szCs w:val="21"/>
          <w:highlight w:val="none"/>
          <w14:textFill>
            <w14:solidFill>
              <w14:schemeClr w14:val="tx1"/>
            </w14:solidFill>
          </w14:textFill>
        </w:rPr>
        <w:t>4.1 投标文件的密封和标记</w:t>
      </w:r>
      <w:bookmarkEnd w:id="116"/>
      <w:bookmarkEnd w:id="117"/>
      <w:bookmarkEnd w:id="118"/>
      <w:bookmarkEnd w:id="119"/>
    </w:p>
    <w:p w14:paraId="61982F2F">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4.1.1.本项目采用</w:t>
      </w:r>
      <w:r>
        <w:rPr>
          <w:rFonts w:hint="eastAsia" w:ascii="宋体" w:hAnsi="宋体" w:cs="宋体"/>
          <w:color w:val="000000" w:themeColor="text1"/>
          <w:kern w:val="0"/>
          <w:szCs w:val="21"/>
          <w:highlight w:val="none"/>
          <w:lang w:val="zh-CN"/>
          <w14:textFill>
            <w14:solidFill>
              <w14:schemeClr w14:val="tx1"/>
            </w14:solidFill>
          </w14:textFill>
        </w:rPr>
        <w:t>网上上传的电子投标文件</w:t>
      </w:r>
      <w:r>
        <w:rPr>
          <w:rFonts w:hint="eastAsia" w:ascii="宋体" w:hAnsi="宋体" w:cs="宋体"/>
          <w:color w:val="000000" w:themeColor="text1"/>
          <w:kern w:val="0"/>
          <w:szCs w:val="21"/>
          <w:highlight w:val="none"/>
          <w14:textFill>
            <w14:solidFill>
              <w14:schemeClr w14:val="tx1"/>
            </w14:solidFill>
          </w14:textFill>
        </w:rPr>
        <w:t>,</w:t>
      </w:r>
      <w:r>
        <w:rPr>
          <w:rFonts w:hint="eastAsia" w:ascii="宋体" w:hAnsi="宋体" w:cs="宋体"/>
          <w:color w:val="000000" w:themeColor="text1"/>
          <w:kern w:val="0"/>
          <w:szCs w:val="21"/>
          <w:highlight w:val="none"/>
          <w:lang w:val="zh-CN"/>
          <w14:textFill>
            <w14:solidFill>
              <w14:schemeClr w14:val="tx1"/>
            </w14:solidFill>
          </w14:textFill>
        </w:rPr>
        <w:t>应使用数字证书认证并加密。</w:t>
      </w:r>
    </w:p>
    <w:p w14:paraId="40C26964">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20" w:name="_Toc403122517"/>
      <w:bookmarkStart w:id="121" w:name="_Toc279599796"/>
      <w:bookmarkStart w:id="122" w:name="_Toc426369506"/>
      <w:bookmarkStart w:id="123" w:name="_Toc274249600"/>
      <w:r>
        <w:rPr>
          <w:rFonts w:hint="eastAsia" w:ascii="宋体" w:hAnsi="宋体" w:cs="宋体"/>
          <w:b/>
          <w:bCs/>
          <w:color w:val="000000" w:themeColor="text1"/>
          <w:szCs w:val="21"/>
          <w:highlight w:val="none"/>
          <w14:textFill>
            <w14:solidFill>
              <w14:schemeClr w14:val="tx1"/>
            </w14:solidFill>
          </w14:textFill>
        </w:rPr>
        <w:t>4.2 投标文件的递交</w:t>
      </w:r>
      <w:bookmarkEnd w:id="120"/>
      <w:bookmarkEnd w:id="121"/>
      <w:bookmarkEnd w:id="122"/>
      <w:bookmarkEnd w:id="123"/>
    </w:p>
    <w:p w14:paraId="25531F49">
      <w:pPr>
        <w:autoSpaceDE w:val="0"/>
        <w:autoSpaceDN w:val="0"/>
        <w:adjustRightInd w:val="0"/>
        <w:spacing w:line="360" w:lineRule="auto"/>
        <w:ind w:firstLine="420" w:firstLineChars="200"/>
        <w:jc w:val="left"/>
        <w:rPr>
          <w:rFonts w:ascii="宋体" w:hAnsi="宋体" w:cs="宋体"/>
          <w:color w:val="000000" w:themeColor="text1"/>
          <w:kern w:val="0"/>
          <w:szCs w:val="21"/>
          <w:highlight w:val="none"/>
          <w:lang w:val="zh-CN"/>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4.2.1</w:t>
      </w:r>
      <w:r>
        <w:rPr>
          <w:rFonts w:hint="eastAsia" w:ascii="宋体" w:hAnsi="宋体" w:cs="宋体"/>
          <w:color w:val="000000" w:themeColor="text1"/>
          <w:kern w:val="0"/>
          <w:szCs w:val="21"/>
          <w:highlight w:val="none"/>
          <w:lang w:val="zh-CN"/>
          <w14:textFill>
            <w14:solidFill>
              <w14:schemeClr w14:val="tx1"/>
            </w14:solidFill>
          </w14:textFill>
        </w:rPr>
        <w:t>所有投标文件必须在本招标文件中规定的投标截止时间之前</w:t>
      </w:r>
      <w:r>
        <w:rPr>
          <w:rFonts w:hint="eastAsia" w:ascii="宋体" w:hAnsi="宋体" w:cs="宋体"/>
          <w:color w:val="000000" w:themeColor="text1"/>
          <w:kern w:val="0"/>
          <w:szCs w:val="21"/>
          <w:highlight w:val="none"/>
          <w14:textFill>
            <w14:solidFill>
              <w14:schemeClr w14:val="tx1"/>
            </w14:solidFill>
          </w14:textFill>
        </w:rPr>
        <w:t>提前上传，按要求</w:t>
      </w:r>
      <w:r>
        <w:rPr>
          <w:rFonts w:hint="eastAsia" w:ascii="宋体" w:hAnsi="宋体" w:cs="宋体"/>
          <w:color w:val="000000" w:themeColor="text1"/>
          <w:szCs w:val="21"/>
          <w:highlight w:val="none"/>
          <w14:textFill>
            <w14:solidFill>
              <w14:schemeClr w14:val="tx1"/>
            </w14:solidFill>
          </w14:textFill>
        </w:rPr>
        <w:t>在线签到、解密文件等，解密时间为投标截止时后30分钟内，</w:t>
      </w:r>
      <w:r>
        <w:rPr>
          <w:rFonts w:hint="eastAsia" w:ascii="宋体" w:hAnsi="宋体" w:cs="宋体"/>
          <w:color w:val="000000" w:themeColor="text1"/>
          <w:kern w:val="0"/>
          <w:szCs w:val="21"/>
          <w:highlight w:val="none"/>
          <w14:textFill>
            <w14:solidFill>
              <w14:schemeClr w14:val="tx1"/>
            </w14:solidFill>
          </w14:textFill>
        </w:rPr>
        <w:t>不能按时上传、解密者视为自动放弃投标。</w:t>
      </w:r>
    </w:p>
    <w:p w14:paraId="6CC3DFCB">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14:textFill>
            <w14:solidFill>
              <w14:schemeClr w14:val="tx1"/>
            </w14:solidFill>
          </w14:textFill>
        </w:rPr>
        <w:t>4.2.</w:t>
      </w:r>
      <w:r>
        <w:rPr>
          <w:rFonts w:hint="eastAsia" w:ascii="宋体" w:hAnsi="宋体" w:cs="宋体"/>
          <w:color w:val="000000" w:themeColor="text1"/>
          <w:kern w:val="0"/>
          <w:szCs w:val="21"/>
          <w:highlight w:val="none"/>
          <w:lang w:val="zh-CN"/>
          <w14:textFill>
            <w14:solidFill>
              <w14:schemeClr w14:val="tx1"/>
            </w14:solidFill>
          </w14:textFill>
        </w:rPr>
        <w:t>2.采购人拒绝接收在投标文件递交截止时间后上传的投标文件。</w:t>
      </w:r>
      <w:bookmarkStart w:id="124" w:name="_Hlt26954862"/>
      <w:bookmarkEnd w:id="124"/>
      <w:bookmarkStart w:id="125" w:name="_Hlt26954754"/>
      <w:bookmarkEnd w:id="125"/>
    </w:p>
    <w:p w14:paraId="074E61F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26" w:name="_Toc403122518"/>
      <w:bookmarkStart w:id="127" w:name="_Toc274249601"/>
      <w:bookmarkStart w:id="128" w:name="_Toc279599797"/>
      <w:bookmarkStart w:id="129" w:name="_Toc426369507"/>
      <w:r>
        <w:rPr>
          <w:rFonts w:hint="eastAsia" w:ascii="宋体" w:hAnsi="宋体" w:cs="宋体"/>
          <w:b/>
          <w:bCs/>
          <w:color w:val="000000" w:themeColor="text1"/>
          <w:szCs w:val="21"/>
          <w:highlight w:val="none"/>
          <w14:textFill>
            <w14:solidFill>
              <w14:schemeClr w14:val="tx1"/>
            </w14:solidFill>
          </w14:textFill>
        </w:rPr>
        <w:t>4.3 投标文件的修改与撤回</w:t>
      </w:r>
      <w:bookmarkEnd w:id="126"/>
      <w:bookmarkEnd w:id="127"/>
      <w:bookmarkEnd w:id="128"/>
      <w:bookmarkEnd w:id="129"/>
    </w:p>
    <w:p w14:paraId="3A39176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4.3.1  在本章第 2.2.2 项规定的投标截止时间前，供应商可以修改或撤回已递交的投标文件。 </w:t>
      </w:r>
    </w:p>
    <w:p w14:paraId="44B2A2A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4.3.2  供应商修改或撤回已递交投标文件的书面通知应按照本章第 3.7.3 项的要求签字盖章。 </w:t>
      </w:r>
    </w:p>
    <w:p w14:paraId="0536B17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4.3.3  修改的内容为投标文件的组成部分。修改的投标文件应按照本章第 3 条、第 4 条规定进行编制、密封、标记和递交，并标明“修改”字样。 </w:t>
      </w:r>
    </w:p>
    <w:p w14:paraId="0A6BE45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30" w:name="_Toc9092"/>
      <w:bookmarkStart w:id="131" w:name="_Toc32449"/>
      <w:bookmarkStart w:id="132" w:name="_Toc18170"/>
      <w:bookmarkStart w:id="133" w:name="_Toc403122519"/>
      <w:bookmarkStart w:id="134" w:name="_Toc5457"/>
      <w:bookmarkStart w:id="135" w:name="_Toc426369508"/>
      <w:bookmarkStart w:id="136" w:name="_Toc14525"/>
      <w:r>
        <w:rPr>
          <w:rFonts w:hint="eastAsia" w:ascii="宋体" w:hAnsi="宋体" w:cs="宋体"/>
          <w:b/>
          <w:bCs/>
          <w:color w:val="000000" w:themeColor="text1"/>
          <w:szCs w:val="21"/>
          <w:highlight w:val="none"/>
          <w14:textFill>
            <w14:solidFill>
              <w14:schemeClr w14:val="tx1"/>
            </w14:solidFill>
          </w14:textFill>
        </w:rPr>
        <w:t>5. 开标</w:t>
      </w:r>
      <w:bookmarkEnd w:id="130"/>
      <w:bookmarkEnd w:id="131"/>
      <w:bookmarkEnd w:id="132"/>
      <w:bookmarkEnd w:id="133"/>
      <w:bookmarkEnd w:id="134"/>
      <w:bookmarkEnd w:id="135"/>
      <w:bookmarkEnd w:id="136"/>
    </w:p>
    <w:p w14:paraId="69B9202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5.1 .1采购人在规定的投标截止时间（开标时间）和投标人须知前附表规定的地点公开开标。本项目采用“远程不见面”的开标方式,载明远程开标大厅网址（http://122.112.246.33/BidOpening/bidopeninghallaction/hall/login ）。投标人无需到现场参加开标会议，无需到达现场提交原件资料。投标人应当在线准时参加开标活动并进行文件解密、答疑澄清等。在规定时间内投标文件未解密的投标人，视为放弃投标。</w:t>
      </w:r>
    </w:p>
    <w:p w14:paraId="13743D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所有投标文件必须在本招标文件中规定的投标截止时间之前提前上传投标文件，按要求解密投标文件，不能按时上传、解密者视为自动放弃投标。</w:t>
      </w:r>
    </w:p>
    <w:p w14:paraId="54C65E8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5.1.2投标人不足3家的，不得开标。  </w:t>
      </w:r>
    </w:p>
    <w:p w14:paraId="7CF3A55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37" w:name="_Toc426369509"/>
      <w:bookmarkStart w:id="138" w:name="_Toc279599799"/>
      <w:bookmarkStart w:id="139" w:name="_Toc403122520"/>
      <w:bookmarkStart w:id="140" w:name="_Toc274249603"/>
      <w:r>
        <w:rPr>
          <w:rFonts w:hint="eastAsia" w:ascii="宋体" w:hAnsi="宋体" w:cs="宋体"/>
          <w:b/>
          <w:bCs/>
          <w:color w:val="000000" w:themeColor="text1"/>
          <w:szCs w:val="21"/>
          <w:highlight w:val="none"/>
          <w14:textFill>
            <w14:solidFill>
              <w14:schemeClr w14:val="tx1"/>
            </w14:solidFill>
          </w14:textFill>
        </w:rPr>
        <w:t>5.2 开标时间和地点</w:t>
      </w:r>
      <w:bookmarkEnd w:id="137"/>
      <w:bookmarkEnd w:id="138"/>
      <w:bookmarkEnd w:id="139"/>
      <w:bookmarkEnd w:id="140"/>
    </w:p>
    <w:p w14:paraId="255592D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采购人在本章第 2.2.2 项规定的投标截止时间（开标时间）和供应商须知前附表规定的地点公开开标。</w:t>
      </w:r>
    </w:p>
    <w:p w14:paraId="56480C6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41" w:name="_Toc426369510"/>
      <w:bookmarkStart w:id="142" w:name="_Toc274249604"/>
      <w:bookmarkStart w:id="143" w:name="_Toc279599800"/>
      <w:bookmarkStart w:id="144" w:name="_Toc403122521"/>
      <w:r>
        <w:rPr>
          <w:rFonts w:hint="eastAsia" w:ascii="宋体" w:hAnsi="宋体" w:cs="宋体"/>
          <w:b/>
          <w:bCs/>
          <w:color w:val="000000" w:themeColor="text1"/>
          <w:szCs w:val="21"/>
          <w:highlight w:val="none"/>
          <w14:textFill>
            <w14:solidFill>
              <w14:schemeClr w14:val="tx1"/>
            </w14:solidFill>
          </w14:textFill>
        </w:rPr>
        <w:t>5.3开标程序</w:t>
      </w:r>
      <w:bookmarkEnd w:id="141"/>
      <w:bookmarkEnd w:id="142"/>
      <w:bookmarkEnd w:id="143"/>
      <w:bookmarkEnd w:id="144"/>
    </w:p>
    <w:p w14:paraId="031FB498">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bookmarkStart w:id="145" w:name="_Toc426369511"/>
      <w:r>
        <w:rPr>
          <w:rFonts w:hint="eastAsia" w:ascii="宋体" w:hAnsi="宋体" w:cs="宋体"/>
          <w:color w:val="000000" w:themeColor="text1"/>
          <w:szCs w:val="21"/>
          <w:highlight w:val="none"/>
          <w14:textFill>
            <w14:solidFill>
              <w14:schemeClr w14:val="tx1"/>
            </w14:solidFill>
          </w14:textFill>
        </w:rPr>
        <w:t>5.3</w:t>
      </w:r>
      <w:r>
        <w:rPr>
          <w:rFonts w:hint="eastAsia" w:ascii="宋体" w:hAnsi="宋体" w:cs="宋体"/>
          <w:color w:val="000000" w:themeColor="text1"/>
          <w:szCs w:val="21"/>
          <w:highlight w:val="none"/>
          <w:lang w:val="zh-CN"/>
          <w14:textFill>
            <w14:solidFill>
              <w14:schemeClr w14:val="tx1"/>
            </w14:solidFill>
          </w14:textFill>
        </w:rPr>
        <w:t>.1本</w:t>
      </w:r>
      <w:r>
        <w:rPr>
          <w:rFonts w:hint="eastAsia" w:ascii="宋体" w:hAnsi="宋体" w:cs="宋体"/>
          <w:color w:val="000000" w:themeColor="text1"/>
          <w:szCs w:val="21"/>
          <w:highlight w:val="none"/>
          <w14:textFill>
            <w14:solidFill>
              <w14:schemeClr w14:val="tx1"/>
            </w14:solidFill>
          </w14:textFill>
        </w:rPr>
        <w:t>项目</w:t>
      </w:r>
      <w:r>
        <w:rPr>
          <w:rFonts w:hint="eastAsia" w:ascii="宋体" w:hAnsi="宋体" w:cs="宋体"/>
          <w:color w:val="000000" w:themeColor="text1"/>
          <w:szCs w:val="21"/>
          <w:highlight w:val="none"/>
          <w:lang w:val="zh-CN"/>
          <w14:textFill>
            <w14:solidFill>
              <w14:schemeClr w14:val="tx1"/>
            </w14:solidFill>
          </w14:textFill>
        </w:rPr>
        <w:t>采用电子开标。投标截止时间到达后，各投标人对电子投标文件进行解密。解密完成后各投标人的电子投标文件的实质性内容将自动显示在网页中。投标人在投标截止时间前未上传电子投标文件的将被视为放弃投标。</w:t>
      </w:r>
    </w:p>
    <w:p w14:paraId="6E8BA660">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主持人按下列程序进行开标：</w:t>
      </w:r>
    </w:p>
    <w:p w14:paraId="5F54BD99">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(l）宣布投标截止时间已到，不再接收投标文件；</w:t>
      </w:r>
    </w:p>
    <w:p w14:paraId="1EE6B8C0">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）宣布开标人、唱标人、记录人、监标人等有关人员姓名；</w:t>
      </w:r>
    </w:p>
    <w:p w14:paraId="0B2C968A">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3</w:t>
      </w:r>
      <w:r>
        <w:rPr>
          <w:rFonts w:hint="eastAsia" w:ascii="宋体" w:hAnsi="宋体" w:cs="宋体"/>
          <w:color w:val="000000" w:themeColor="text1"/>
          <w:szCs w:val="21"/>
          <w:highlight w:val="none"/>
          <w:lang w:val="zh-CN"/>
          <w14:textFill>
            <w14:solidFill>
              <w14:schemeClr w14:val="tx1"/>
            </w14:solidFill>
          </w14:textFill>
        </w:rPr>
        <w:t>）电子投标文件解密；</w:t>
      </w:r>
    </w:p>
    <w:p w14:paraId="6D0C4F5E">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zh-CN"/>
          <w14:textFill>
            <w14:solidFill>
              <w14:schemeClr w14:val="tx1"/>
            </w14:solidFill>
          </w14:textFill>
        </w:rPr>
        <w:t>）宣布投标文件开标顺序，电子唱标并记录在案；</w:t>
      </w:r>
    </w:p>
    <w:p w14:paraId="2E449273">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zh-CN"/>
          <w14:textFill>
            <w14:solidFill>
              <w14:schemeClr w14:val="tx1"/>
            </w14:solidFill>
          </w14:textFill>
        </w:rPr>
        <w:t>）采购人、监标人等有关人员在开标记录上签字确认；</w:t>
      </w:r>
    </w:p>
    <w:p w14:paraId="78AFC86B">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6</w:t>
      </w:r>
      <w:r>
        <w:rPr>
          <w:rFonts w:hint="eastAsia" w:ascii="宋体" w:hAnsi="宋体" w:cs="宋体"/>
          <w:color w:val="000000" w:themeColor="text1"/>
          <w:szCs w:val="21"/>
          <w:highlight w:val="none"/>
          <w:lang w:val="zh-CN"/>
          <w14:textFill>
            <w14:solidFill>
              <w14:schemeClr w14:val="tx1"/>
            </w14:solidFill>
          </w14:textFill>
        </w:rPr>
        <w:t>）开标结束。</w:t>
      </w:r>
    </w:p>
    <w:p w14:paraId="613B5F7F">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5.3.</w:t>
      </w: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lang w:val="zh-CN"/>
          <w14:textFill>
            <w14:solidFill>
              <w14:schemeClr w14:val="tx1"/>
            </w14:solidFill>
          </w14:textFill>
        </w:rPr>
        <w:t>开标时出现下列情况的，采购人将拒绝其投标文件。</w:t>
      </w:r>
    </w:p>
    <w:p w14:paraId="683B889B">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投标人未按投标人须知前附表规定的时间内解密投标文件的；</w:t>
      </w:r>
    </w:p>
    <w:p w14:paraId="49C02A8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5.4开标异议</w:t>
      </w:r>
      <w:bookmarkEnd w:id="145"/>
    </w:p>
    <w:p w14:paraId="4AB677F4">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bookmarkStart w:id="146" w:name="_Toc426369512"/>
      <w:bookmarkStart w:id="147" w:name="_Toc21662"/>
      <w:bookmarkStart w:id="148" w:name="_Toc12881"/>
      <w:bookmarkStart w:id="149" w:name="_Toc403122522"/>
      <w:r>
        <w:rPr>
          <w:rFonts w:hint="eastAsia" w:ascii="宋体" w:hAnsi="宋体" w:cs="宋体"/>
          <w:color w:val="000000" w:themeColor="text1"/>
          <w:szCs w:val="21"/>
          <w:highlight w:val="none"/>
          <w14:textFill>
            <w14:solidFill>
              <w14:schemeClr w14:val="tx1"/>
            </w14:solidFill>
          </w14:textFill>
        </w:rPr>
        <w:t>5.4.1</w:t>
      </w:r>
      <w:r>
        <w:rPr>
          <w:rFonts w:hint="eastAsia" w:ascii="宋体" w:hAnsi="宋体" w:cs="宋体"/>
          <w:color w:val="000000" w:themeColor="text1"/>
          <w:szCs w:val="21"/>
          <w:highlight w:val="none"/>
          <w:lang w:val="zh-CN"/>
          <w14:textFill>
            <w14:solidFill>
              <w14:schemeClr w14:val="tx1"/>
            </w14:solidFill>
          </w14:textFill>
        </w:rPr>
        <w:t>投标人对开标有异议的，应当在开标现场提出（</w:t>
      </w:r>
      <w:bookmarkStart w:id="150" w:name="_Toc12998"/>
      <w:r>
        <w:rPr>
          <w:rFonts w:hint="eastAsia" w:ascii="宋体" w:hAnsi="宋体" w:cs="宋体"/>
          <w:color w:val="000000" w:themeColor="text1"/>
          <w:szCs w:val="21"/>
          <w:highlight w:val="none"/>
          <w:lang w:val="zh-CN"/>
          <w14:textFill>
            <w14:solidFill>
              <w14:schemeClr w14:val="tx1"/>
            </w14:solidFill>
          </w14:textFill>
        </w:rPr>
        <w:t>语音异议</w:t>
      </w:r>
      <w:bookmarkEnd w:id="150"/>
      <w:r>
        <w:rPr>
          <w:rFonts w:hint="eastAsia" w:ascii="宋体" w:hAnsi="宋体" w:cs="宋体"/>
          <w:color w:val="000000" w:themeColor="text1"/>
          <w:szCs w:val="21"/>
          <w:highlight w:val="none"/>
          <w:lang w:val="zh-CN"/>
          <w14:textFill>
            <w14:solidFill>
              <w14:schemeClr w14:val="tx1"/>
            </w14:solidFill>
          </w14:textFill>
        </w:rPr>
        <w:t>、</w:t>
      </w:r>
      <w:bookmarkStart w:id="151" w:name="_Toc20745"/>
      <w:r>
        <w:rPr>
          <w:rFonts w:hint="eastAsia" w:ascii="宋体" w:hAnsi="宋体" w:cs="宋体"/>
          <w:color w:val="000000" w:themeColor="text1"/>
          <w:szCs w:val="21"/>
          <w:highlight w:val="none"/>
          <w:lang w:val="zh-CN"/>
          <w14:textFill>
            <w14:solidFill>
              <w14:schemeClr w14:val="tx1"/>
            </w14:solidFill>
          </w14:textFill>
        </w:rPr>
        <w:t>文字异议</w:t>
      </w:r>
      <w:bookmarkEnd w:id="151"/>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采购</w:t>
      </w:r>
      <w:r>
        <w:rPr>
          <w:rFonts w:hint="eastAsia" w:ascii="宋体" w:hAnsi="宋体" w:cs="宋体"/>
          <w:color w:val="000000" w:themeColor="text1"/>
          <w:szCs w:val="21"/>
          <w:highlight w:val="none"/>
          <w:lang w:val="zh-CN"/>
          <w14:textFill>
            <w14:solidFill>
              <w14:schemeClr w14:val="tx1"/>
            </w14:solidFill>
          </w14:textFill>
        </w:rPr>
        <w:t>人当场作出答复，并制作记录。</w:t>
      </w:r>
    </w:p>
    <w:p w14:paraId="556F8A49">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5.4.2</w:t>
      </w:r>
      <w:r>
        <w:rPr>
          <w:rFonts w:hint="eastAsia" w:ascii="宋体" w:hAnsi="宋体" w:cs="宋体"/>
          <w:color w:val="000000" w:themeColor="text1"/>
          <w:szCs w:val="21"/>
          <w:highlight w:val="none"/>
          <w:lang w:val="zh-CN"/>
          <w14:textFill>
            <w14:solidFill>
              <w14:schemeClr w14:val="tx1"/>
            </w14:solidFill>
          </w14:textFill>
        </w:rPr>
        <w:t>开标异常处理</w:t>
      </w:r>
    </w:p>
    <w:p w14:paraId="3BD0DF1F">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当出现以下情况时，应对未开标的项目中止电子开标，对原有资料及信息作出妥善保密处理，并在恢复正常后及时安排时间开标：</w:t>
      </w:r>
    </w:p>
    <w:p w14:paraId="5721E5CA">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(l）系统服务器发生故障，无法访问或无法使用系统；</w:t>
      </w:r>
    </w:p>
    <w:p w14:paraId="4F0102F7">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(2）系统的软件或数据库出现错误，不能进行正常操作；</w:t>
      </w:r>
    </w:p>
    <w:p w14:paraId="0166076D">
      <w:pPr>
        <w:spacing w:line="360" w:lineRule="auto"/>
        <w:ind w:firstLine="420" w:firstLineChars="200"/>
        <w:rPr>
          <w:rFonts w:hint="eastAsia"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(3）系统发现有安全漏洞，有潜在的泄密危险；</w:t>
      </w:r>
    </w:p>
    <w:p w14:paraId="71342B0F">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4</w:t>
      </w:r>
      <w:r>
        <w:rPr>
          <w:rFonts w:hint="eastAsia" w:ascii="宋体" w:hAnsi="宋体" w:cs="宋体"/>
          <w:color w:val="000000" w:themeColor="text1"/>
          <w:szCs w:val="21"/>
          <w:highlight w:val="none"/>
          <w:lang w:val="zh-CN"/>
          <w14:textFill>
            <w14:solidFill>
              <w14:schemeClr w14:val="tx1"/>
            </w14:solidFill>
          </w14:textFill>
        </w:rPr>
        <w:t>）出现断电事故且短时间内无法恢复供电；</w:t>
      </w:r>
    </w:p>
    <w:p w14:paraId="696C00A8">
      <w:pPr>
        <w:spacing w:line="360" w:lineRule="auto"/>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w:t>
      </w:r>
      <w:r>
        <w:rPr>
          <w:rFonts w:hint="eastAsia" w:ascii="宋体" w:hAnsi="宋体" w:cs="宋体"/>
          <w:color w:val="000000" w:themeColor="text1"/>
          <w:szCs w:val="21"/>
          <w:highlight w:val="none"/>
          <w:lang w:val="zh-CN"/>
          <w14:textFill>
            <w14:solidFill>
              <w14:schemeClr w14:val="tx1"/>
            </w14:solidFill>
          </w14:textFill>
        </w:rPr>
        <w:t>其他无法保证招投标过程正常进行的情形；</w:t>
      </w:r>
    </w:p>
    <w:p w14:paraId="65CE35CB">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5.</w:t>
      </w:r>
      <w:bookmarkStart w:id="152" w:name="_Toc9927"/>
      <w:bookmarkStart w:id="153" w:name="_Toc13445"/>
      <w:r>
        <w:rPr>
          <w:rFonts w:hint="eastAsia" w:ascii="宋体" w:hAnsi="宋体" w:cs="宋体"/>
          <w:b/>
          <w:bCs/>
          <w:color w:val="000000" w:themeColor="text1"/>
          <w:szCs w:val="21"/>
          <w:highlight w:val="none"/>
          <w14:textFill>
            <w14:solidFill>
              <w14:schemeClr w14:val="tx1"/>
            </w14:solidFill>
          </w14:textFill>
        </w:rPr>
        <w:t>5.资格审查工作</w:t>
      </w:r>
      <w:bookmarkEnd w:id="152"/>
      <w:bookmarkEnd w:id="153"/>
    </w:p>
    <w:p w14:paraId="2B86674D">
      <w:pPr>
        <w:spacing w:line="360" w:lineRule="auto"/>
        <w:ind w:firstLine="420" w:firstLineChars="200"/>
        <w:rPr>
          <w:rFonts w:ascii="宋体" w:hAnsi="宋体" w:cs="宋体"/>
          <w:color w:val="000000" w:themeColor="text1"/>
          <w:szCs w:val="21"/>
          <w:highlight w:val="none"/>
          <w14:textFill>
            <w14:solidFill>
              <w14:schemeClr w14:val="tx1"/>
            </w14:solidFill>
          </w14:textFill>
        </w:rPr>
      </w:pPr>
      <w:bookmarkStart w:id="154" w:name="_Toc15919"/>
      <w:bookmarkStart w:id="155" w:name="_Toc25448"/>
      <w:bookmarkStart w:id="156" w:name="_Toc18888"/>
      <w:bookmarkStart w:id="157" w:name="_Toc22488"/>
      <w:bookmarkStart w:id="158" w:name="_Toc18806"/>
      <w:bookmarkStart w:id="159" w:name="_Toc25275"/>
      <w:bookmarkStart w:id="160" w:name="_Toc18803"/>
      <w:r>
        <w:rPr>
          <w:rFonts w:hint="eastAsia" w:ascii="宋体" w:hAnsi="宋体" w:cs="宋体"/>
          <w:color w:val="000000" w:themeColor="text1"/>
          <w:szCs w:val="21"/>
          <w:highlight w:val="none"/>
          <w:lang w:val="zh-CN"/>
          <w14:textFill>
            <w14:solidFill>
              <w14:schemeClr w14:val="tx1"/>
            </w14:solidFill>
          </w14:textFill>
        </w:rPr>
        <w:t>采购人或代理机构根据有关法律法规和招标文件的规定，对供应商的资格进行审查，审查每个供应商提交的资格证明材料是否齐全、完整、合法、有效。资格性审查通过不足3家的，将不再进行下一步评审。</w:t>
      </w:r>
      <w:bookmarkEnd w:id="154"/>
      <w:bookmarkEnd w:id="155"/>
      <w:bookmarkEnd w:id="156"/>
      <w:bookmarkEnd w:id="157"/>
      <w:bookmarkEnd w:id="158"/>
      <w:bookmarkEnd w:id="159"/>
      <w:bookmarkEnd w:id="160"/>
    </w:p>
    <w:p w14:paraId="3E9C31D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61" w:name="_Toc10388"/>
      <w:bookmarkStart w:id="162" w:name="_Toc6889"/>
      <w:bookmarkStart w:id="163" w:name="_Toc28750"/>
      <w:r>
        <w:rPr>
          <w:rFonts w:hint="eastAsia" w:ascii="宋体" w:hAnsi="宋体" w:cs="宋体"/>
          <w:b/>
          <w:bCs/>
          <w:color w:val="000000" w:themeColor="text1"/>
          <w:szCs w:val="21"/>
          <w:highlight w:val="none"/>
          <w14:textFill>
            <w14:solidFill>
              <w14:schemeClr w14:val="tx1"/>
            </w14:solidFill>
          </w14:textFill>
        </w:rPr>
        <w:t>6. 评标</w:t>
      </w:r>
      <w:bookmarkEnd w:id="146"/>
      <w:bookmarkEnd w:id="147"/>
      <w:bookmarkEnd w:id="148"/>
      <w:bookmarkEnd w:id="149"/>
      <w:bookmarkEnd w:id="161"/>
      <w:bookmarkEnd w:id="162"/>
      <w:bookmarkEnd w:id="163"/>
    </w:p>
    <w:p w14:paraId="4353701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64" w:name="_Toc274249606"/>
      <w:bookmarkStart w:id="165" w:name="_Toc403122523"/>
      <w:bookmarkStart w:id="166" w:name="_Toc279599802"/>
      <w:bookmarkStart w:id="167" w:name="_Toc426369513"/>
      <w:r>
        <w:rPr>
          <w:rFonts w:hint="eastAsia" w:ascii="宋体" w:hAnsi="宋体" w:cs="宋体"/>
          <w:b/>
          <w:bCs/>
          <w:color w:val="000000" w:themeColor="text1"/>
          <w:szCs w:val="21"/>
          <w:highlight w:val="none"/>
          <w14:textFill>
            <w14:solidFill>
              <w14:schemeClr w14:val="tx1"/>
            </w14:solidFill>
          </w14:textFill>
        </w:rPr>
        <w:t>6.1 评标委员会</w:t>
      </w:r>
      <w:bookmarkEnd w:id="164"/>
      <w:bookmarkEnd w:id="165"/>
      <w:bookmarkEnd w:id="166"/>
      <w:bookmarkEnd w:id="167"/>
    </w:p>
    <w:p w14:paraId="2C5418E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6.1.1  评标由采购人依法组建的评标委员会负责。评标委员会由采购人代表和评审专家组成。评标委员会成员人数以及评审专家的确定方式见供应商须知前附表。</w:t>
      </w:r>
    </w:p>
    <w:p w14:paraId="6E24C33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6.1.2  评标委员会成员有下列情形之一的，应当回避： </w:t>
      </w:r>
    </w:p>
    <w:p w14:paraId="144132D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（1）采购人或供应商的主要负责人的近亲属； </w:t>
      </w:r>
    </w:p>
    <w:p w14:paraId="3E769F7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（2）项目主管部门或者行政监督部门的人员； </w:t>
      </w:r>
    </w:p>
    <w:p w14:paraId="58D6115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（3）与供应商有经济利益关系，可能影响对投标公正评审的； </w:t>
      </w:r>
    </w:p>
    <w:p w14:paraId="3EB21220">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（4）曾因在招标、评标以及其他与招标投标有关活动中从事违法行为而受过行政处罚或刑事处罚的。 </w:t>
      </w:r>
    </w:p>
    <w:p w14:paraId="10AA40D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68" w:name="_Toc279599803"/>
      <w:bookmarkStart w:id="169" w:name="_Toc403122524"/>
      <w:bookmarkStart w:id="170" w:name="_Toc426369514"/>
      <w:bookmarkStart w:id="171" w:name="_Toc274249607"/>
      <w:r>
        <w:rPr>
          <w:rFonts w:hint="eastAsia" w:ascii="宋体" w:hAnsi="宋体" w:cs="宋体"/>
          <w:b/>
          <w:bCs/>
          <w:color w:val="000000" w:themeColor="text1"/>
          <w:szCs w:val="21"/>
          <w:highlight w:val="none"/>
          <w14:textFill>
            <w14:solidFill>
              <w14:schemeClr w14:val="tx1"/>
            </w14:solidFill>
          </w14:textFill>
        </w:rPr>
        <w:t>6.2 评标原则</w:t>
      </w:r>
      <w:bookmarkEnd w:id="168"/>
      <w:bookmarkEnd w:id="169"/>
      <w:bookmarkEnd w:id="170"/>
      <w:bookmarkEnd w:id="171"/>
    </w:p>
    <w:p w14:paraId="4FAAA63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评标活动遵循公平、公正、科学和择优的原则。 </w:t>
      </w:r>
    </w:p>
    <w:p w14:paraId="167750F9">
      <w:pPr>
        <w:spacing w:line="360" w:lineRule="auto"/>
        <w:ind w:firstLine="422" w:firstLineChars="200"/>
        <w:rPr>
          <w:rFonts w:ascii="宋体" w:hAnsi="宋体" w:cs="宋体"/>
          <w:color w:val="000000" w:themeColor="text1"/>
          <w:szCs w:val="21"/>
          <w:highlight w:val="none"/>
          <w14:textFill>
            <w14:solidFill>
              <w14:schemeClr w14:val="tx1"/>
            </w14:solidFill>
          </w14:textFill>
        </w:rPr>
      </w:pPr>
      <w:bookmarkStart w:id="172" w:name="_Toc403122525"/>
      <w:bookmarkStart w:id="173" w:name="_Toc426369515"/>
      <w:bookmarkStart w:id="174" w:name="_Toc274249608"/>
      <w:bookmarkStart w:id="175" w:name="_Toc279599804"/>
      <w:r>
        <w:rPr>
          <w:rFonts w:hint="eastAsia" w:ascii="宋体" w:hAnsi="宋体" w:cs="宋体"/>
          <w:b/>
          <w:bCs/>
          <w:color w:val="000000" w:themeColor="text1"/>
          <w:szCs w:val="21"/>
          <w:highlight w:val="none"/>
          <w14:textFill>
            <w14:solidFill>
              <w14:schemeClr w14:val="tx1"/>
            </w14:solidFill>
          </w14:textFill>
        </w:rPr>
        <w:t>6.3 评标</w:t>
      </w:r>
      <w:bookmarkEnd w:id="172"/>
      <w:bookmarkEnd w:id="173"/>
      <w:bookmarkEnd w:id="174"/>
      <w:bookmarkEnd w:id="175"/>
    </w:p>
    <w:p w14:paraId="10BEA90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6.3.1在评审过程中，评标委员会发现投标人有下列情形之一的，视为投标人相互串通投标，按照无效投标处理并依据法律、法规追究其相关责任。具体表现形式如下：</w:t>
      </w:r>
    </w:p>
    <w:p w14:paraId="3200FE6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 同投标人的投标文件由同一单位或者个人编制；</w:t>
      </w:r>
    </w:p>
    <w:p w14:paraId="5FFC0A7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（2）不同投标人委托同一单位或者个人办理投标事宜；</w:t>
      </w:r>
    </w:p>
    <w:p w14:paraId="0EED810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（3）不同投标人的投标文件载明的项目管理成员或者联系人员为同一人；</w:t>
      </w:r>
    </w:p>
    <w:p w14:paraId="2AB2AFB4">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（4）不同投标人的投标文件异常一致或者投标报价呈规律性差异；</w:t>
      </w:r>
    </w:p>
    <w:p w14:paraId="2769AB3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（5）不同投标人的投标文件相互混装；</w:t>
      </w:r>
    </w:p>
    <w:p w14:paraId="2348B4C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（6）有证据证明投标人与采购人、采购代理机构或者其他投标人串通的其他情形；</w:t>
      </w:r>
    </w:p>
    <w:p w14:paraId="25ACA9F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6.3.2评标委员会应当按照招标文件中规定的评标方法和标准，对符合性审查合格的投标文件进行商务和技术评估，综合比较与评价。招标文件没有规定的评标方法、评审因素和标准，不作为评标依据。</w:t>
      </w:r>
    </w:p>
    <w:p w14:paraId="7BB65E5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6.3.3评标时，评标委员会各成员应当独立对每个投标人的投标文件进行评价，并汇总每个投标人的得分。</w:t>
      </w:r>
    </w:p>
    <w:p w14:paraId="201ACF5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评标完成后，评标委员会应当向采购人提交书面评标报告和中标候选人名单。评标委员会推荐中标候选人的人数见投标人须知前附表。</w:t>
      </w:r>
    </w:p>
    <w:p w14:paraId="4E44933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6.3.3 评标委员会负责具体评标事务，并独立履行下列职责：</w:t>
      </w:r>
    </w:p>
    <w:p w14:paraId="4EBCBFA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（1）审查、评价投标文件是否符合招标文件的实质性要求；</w:t>
      </w:r>
    </w:p>
    <w:p w14:paraId="7C35980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（2）要求投标人对投标文件有关事项作出澄清或者说明；</w:t>
      </w:r>
    </w:p>
    <w:p w14:paraId="68BF8A7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（3）对投标文件进行比较和评价；</w:t>
      </w:r>
    </w:p>
    <w:p w14:paraId="4007F82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（4）确定中标候选人名单；</w:t>
      </w:r>
    </w:p>
    <w:p w14:paraId="0B6867E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（5）向采购人、采购代理机构或者有关部门报告评标中发现的违法行为。</w:t>
      </w:r>
    </w:p>
    <w:p w14:paraId="688E930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6.4  废标</w:t>
      </w:r>
    </w:p>
    <w:p w14:paraId="10A75FA2">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招标采购中，出现下列情形之一的，应予废标：</w:t>
      </w:r>
    </w:p>
    <w:p w14:paraId="332DC4B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（1）符合专业条件的投标人或者对招标文件作实质响应的投标人不足三家的；</w:t>
      </w:r>
    </w:p>
    <w:p w14:paraId="52B0589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（2）出现影响采购公正的违法、违规行为的；</w:t>
      </w:r>
    </w:p>
    <w:p w14:paraId="629124A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（3）投标人的报价均超过了采购预算，采购人不能支付的；</w:t>
      </w:r>
    </w:p>
    <w:p w14:paraId="571B7C0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（4）因重大变故，采购任务取消的。废标后，采购人应当将废标理由通知所有投标人。</w:t>
      </w:r>
    </w:p>
    <w:p w14:paraId="5264B97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76" w:name="_Toc17811"/>
      <w:bookmarkStart w:id="177" w:name="_Toc22968"/>
      <w:bookmarkStart w:id="178" w:name="_Toc26569"/>
      <w:bookmarkStart w:id="179" w:name="_Toc844"/>
      <w:bookmarkStart w:id="180" w:name="_Toc403122526"/>
      <w:bookmarkStart w:id="181" w:name="_Toc20316"/>
      <w:bookmarkStart w:id="182" w:name="_Toc426369516"/>
      <w:r>
        <w:rPr>
          <w:rFonts w:hint="eastAsia" w:ascii="宋体" w:hAnsi="宋体" w:cs="宋体"/>
          <w:b/>
          <w:bCs/>
          <w:color w:val="000000" w:themeColor="text1"/>
          <w:szCs w:val="21"/>
          <w:highlight w:val="none"/>
          <w14:textFill>
            <w14:solidFill>
              <w14:schemeClr w14:val="tx1"/>
            </w14:solidFill>
          </w14:textFill>
        </w:rPr>
        <w:t>7. 合同授予</w:t>
      </w:r>
      <w:bookmarkEnd w:id="176"/>
      <w:bookmarkEnd w:id="177"/>
      <w:bookmarkEnd w:id="178"/>
      <w:bookmarkEnd w:id="179"/>
      <w:bookmarkEnd w:id="180"/>
      <w:bookmarkEnd w:id="181"/>
      <w:bookmarkEnd w:id="182"/>
    </w:p>
    <w:p w14:paraId="15AF7EF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83" w:name="_Toc279599806"/>
      <w:bookmarkStart w:id="184" w:name="_Toc274249610"/>
      <w:bookmarkStart w:id="185" w:name="_Toc403122527"/>
      <w:bookmarkStart w:id="186" w:name="_Toc426369517"/>
      <w:r>
        <w:rPr>
          <w:rFonts w:hint="eastAsia" w:ascii="宋体" w:hAnsi="宋体" w:cs="宋体"/>
          <w:b/>
          <w:bCs/>
          <w:color w:val="000000" w:themeColor="text1"/>
          <w:szCs w:val="21"/>
          <w:highlight w:val="none"/>
          <w14:textFill>
            <w14:solidFill>
              <w14:schemeClr w14:val="tx1"/>
            </w14:solidFill>
          </w14:textFill>
        </w:rPr>
        <w:t>7.1 定标方式</w:t>
      </w:r>
      <w:bookmarkEnd w:id="183"/>
      <w:bookmarkEnd w:id="184"/>
      <w:bookmarkEnd w:id="185"/>
      <w:bookmarkEnd w:id="186"/>
    </w:p>
    <w:p w14:paraId="36626E4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7.1.1采购人依据评标委员会推荐的中标候选人确定中标人，评标委员会推荐中标人候选人的人数见供应商须知前附表。</w:t>
      </w:r>
    </w:p>
    <w:p w14:paraId="7FDEE69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7.1.2 中标或者成交投标人拒绝与采购人签订合同的，采购人可以按照评审报告推荐的中标或者成交候选人名单排序，确定下一候选人为中标或者成交投标人，也可以重新开展政府采购活动。</w:t>
      </w:r>
    </w:p>
    <w:p w14:paraId="6CBB2C4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87" w:name="_Toc274249611"/>
      <w:bookmarkStart w:id="188" w:name="_Toc403122528"/>
      <w:bookmarkStart w:id="189" w:name="_Toc426369518"/>
      <w:bookmarkStart w:id="190" w:name="_Toc279599807"/>
      <w:r>
        <w:rPr>
          <w:rFonts w:hint="eastAsia" w:ascii="宋体" w:hAnsi="宋体" w:cs="宋体"/>
          <w:b/>
          <w:bCs/>
          <w:color w:val="000000" w:themeColor="text1"/>
          <w:szCs w:val="21"/>
          <w:highlight w:val="none"/>
          <w14:textFill>
            <w14:solidFill>
              <w14:schemeClr w14:val="tx1"/>
            </w14:solidFill>
          </w14:textFill>
        </w:rPr>
        <w:t>7.2 中标通知</w:t>
      </w:r>
      <w:bookmarkEnd w:id="187"/>
      <w:bookmarkEnd w:id="188"/>
      <w:bookmarkEnd w:id="189"/>
      <w:bookmarkEnd w:id="190"/>
    </w:p>
    <w:p w14:paraId="0213DB3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7.2.1 在本章第3.3款规定的投标有效期内，采购人以书面形式向中标人发出中标通知书，同时将中标结果通知未中标的投标人。 </w:t>
      </w:r>
    </w:p>
    <w:p w14:paraId="0606BD6E">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7.2.2中标人在领取中标通知书后应及时到相关部门办理中标后的备案手续。</w:t>
      </w:r>
    </w:p>
    <w:p w14:paraId="77B79353">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91" w:name="_Toc274249612"/>
      <w:bookmarkStart w:id="192" w:name="_Toc279599808"/>
      <w:bookmarkStart w:id="193" w:name="_Toc311550376"/>
      <w:bookmarkStart w:id="194" w:name="_Toc426369519"/>
      <w:bookmarkStart w:id="195" w:name="_Toc403122529"/>
      <w:r>
        <w:rPr>
          <w:rFonts w:hint="eastAsia" w:ascii="宋体" w:hAnsi="宋体" w:cs="宋体"/>
          <w:b/>
          <w:bCs/>
          <w:color w:val="000000" w:themeColor="text1"/>
          <w:szCs w:val="21"/>
          <w:highlight w:val="none"/>
          <w14:textFill>
            <w14:solidFill>
              <w14:schemeClr w14:val="tx1"/>
            </w14:solidFill>
          </w14:textFill>
        </w:rPr>
        <w:t>7.3履约</w:t>
      </w:r>
      <w:bookmarkEnd w:id="191"/>
      <w:bookmarkEnd w:id="192"/>
      <w:bookmarkEnd w:id="193"/>
      <w:r>
        <w:rPr>
          <w:rFonts w:hint="eastAsia" w:ascii="宋体" w:hAnsi="宋体" w:cs="宋体"/>
          <w:b/>
          <w:bCs/>
          <w:color w:val="000000" w:themeColor="text1"/>
          <w:szCs w:val="21"/>
          <w:highlight w:val="none"/>
          <w14:textFill>
            <w14:solidFill>
              <w14:schemeClr w14:val="tx1"/>
            </w14:solidFill>
          </w14:textFill>
        </w:rPr>
        <w:t>保证金</w:t>
      </w:r>
      <w:bookmarkEnd w:id="194"/>
      <w:bookmarkEnd w:id="195"/>
    </w:p>
    <w:p w14:paraId="57D06B9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7.3.1履约保证金：无</w:t>
      </w:r>
    </w:p>
    <w:p w14:paraId="763CB7BB">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7.3.2投标保证金：无</w:t>
      </w:r>
    </w:p>
    <w:p w14:paraId="37F7E38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196" w:name="_Toc274249613"/>
      <w:bookmarkStart w:id="197" w:name="_Toc403122530"/>
      <w:bookmarkStart w:id="198" w:name="_Toc279599809"/>
      <w:bookmarkStart w:id="199" w:name="_Toc426369520"/>
      <w:r>
        <w:rPr>
          <w:rFonts w:hint="eastAsia" w:ascii="宋体" w:hAnsi="宋体" w:cs="宋体"/>
          <w:b/>
          <w:bCs/>
          <w:color w:val="000000" w:themeColor="text1"/>
          <w:szCs w:val="21"/>
          <w:highlight w:val="none"/>
          <w14:textFill>
            <w14:solidFill>
              <w14:schemeClr w14:val="tx1"/>
            </w14:solidFill>
          </w14:textFill>
        </w:rPr>
        <w:t>7.4 签订合同</w:t>
      </w:r>
      <w:bookmarkEnd w:id="196"/>
      <w:bookmarkEnd w:id="197"/>
      <w:bookmarkEnd w:id="198"/>
      <w:bookmarkEnd w:id="199"/>
    </w:p>
    <w:p w14:paraId="7653CD4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7.4.1  中标人的投标报价为中标价，中标价即为合同价。采购人和中标人应当自中标通知书发出之日起15日内，根据招标文件和中标人的投标文件订立书面合同。非因不可抗力因素放弃中标的，或排名第一的中标候选人未按规定期限与采购人签订合同的，应赔偿采购人由此造成的损失，损失费的计算方法为该中标候选人的投标价与重新确定的中标人中标价的差额，并处以采购金额千分之五以上千分之十以下罚款，将其列入不良行为记录名单，在1至3年内禁止参加政府采购活动，并予以通报。</w:t>
      </w:r>
    </w:p>
    <w:p w14:paraId="1D55C73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7.4.2  发出中标通知书后，采购人无正当理由拒签合同的，给中标人造成损失的，还应当赔偿损失。</w:t>
      </w:r>
    </w:p>
    <w:p w14:paraId="433F471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00" w:name="_Toc426369521"/>
      <w:bookmarkStart w:id="201" w:name="_Toc12657"/>
      <w:bookmarkStart w:id="202" w:name="_Toc10541"/>
      <w:bookmarkStart w:id="203" w:name="_Toc30009"/>
      <w:bookmarkStart w:id="204" w:name="_Toc403122531"/>
      <w:bookmarkStart w:id="205" w:name="_Toc6284"/>
      <w:bookmarkStart w:id="206" w:name="_Toc10417"/>
      <w:r>
        <w:rPr>
          <w:rFonts w:hint="eastAsia" w:ascii="宋体" w:hAnsi="宋体" w:cs="宋体"/>
          <w:b/>
          <w:bCs/>
          <w:color w:val="000000" w:themeColor="text1"/>
          <w:szCs w:val="21"/>
          <w:highlight w:val="none"/>
          <w14:textFill>
            <w14:solidFill>
              <w14:schemeClr w14:val="tx1"/>
            </w14:solidFill>
          </w14:textFill>
        </w:rPr>
        <w:t>8. 重新招标</w:t>
      </w:r>
      <w:bookmarkEnd w:id="200"/>
      <w:bookmarkEnd w:id="201"/>
      <w:bookmarkEnd w:id="202"/>
      <w:bookmarkEnd w:id="203"/>
      <w:bookmarkEnd w:id="204"/>
      <w:bookmarkEnd w:id="205"/>
      <w:bookmarkEnd w:id="206"/>
    </w:p>
    <w:p w14:paraId="4327D87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07" w:name="_Toc403122532"/>
      <w:bookmarkStart w:id="208" w:name="_Toc279599811"/>
      <w:bookmarkStart w:id="209" w:name="_Toc274249615"/>
      <w:bookmarkStart w:id="210" w:name="_Toc426369522"/>
      <w:r>
        <w:rPr>
          <w:rFonts w:hint="eastAsia" w:ascii="宋体" w:hAnsi="宋体" w:cs="宋体"/>
          <w:b/>
          <w:bCs/>
          <w:color w:val="000000" w:themeColor="text1"/>
          <w:szCs w:val="21"/>
          <w:highlight w:val="none"/>
          <w14:textFill>
            <w14:solidFill>
              <w14:schemeClr w14:val="tx1"/>
            </w14:solidFill>
          </w14:textFill>
        </w:rPr>
        <w:t>8.1 重新招标</w:t>
      </w:r>
      <w:bookmarkEnd w:id="207"/>
      <w:bookmarkEnd w:id="208"/>
      <w:bookmarkEnd w:id="209"/>
      <w:bookmarkEnd w:id="210"/>
    </w:p>
    <w:p w14:paraId="6CBDFAF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有下列情形之一的，采购人将重新招标： </w:t>
      </w:r>
    </w:p>
    <w:p w14:paraId="662F1E59">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（1）投标截止时间止，供应商少于3个的； </w:t>
      </w:r>
    </w:p>
    <w:p w14:paraId="2554AB8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（2）经评标委员会评审后否决所有投标的。 </w:t>
      </w:r>
    </w:p>
    <w:p w14:paraId="78034239">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11" w:name="_Toc10372"/>
      <w:bookmarkStart w:id="212" w:name="_Toc27398"/>
      <w:bookmarkStart w:id="213" w:name="_Toc25365"/>
      <w:bookmarkStart w:id="214" w:name="_Toc3760"/>
      <w:bookmarkStart w:id="215" w:name="_Toc403122533"/>
      <w:bookmarkStart w:id="216" w:name="_Toc426369523"/>
      <w:bookmarkStart w:id="217" w:name="_Toc14359"/>
      <w:r>
        <w:rPr>
          <w:rFonts w:hint="eastAsia" w:ascii="宋体" w:hAnsi="宋体" w:cs="宋体"/>
          <w:b/>
          <w:bCs/>
          <w:color w:val="000000" w:themeColor="text1"/>
          <w:szCs w:val="21"/>
          <w:highlight w:val="none"/>
          <w14:textFill>
            <w14:solidFill>
              <w14:schemeClr w14:val="tx1"/>
            </w14:solidFill>
          </w14:textFill>
        </w:rPr>
        <w:t>9. 纪律和监督</w:t>
      </w:r>
      <w:bookmarkEnd w:id="211"/>
      <w:bookmarkEnd w:id="212"/>
      <w:bookmarkEnd w:id="213"/>
      <w:bookmarkEnd w:id="214"/>
      <w:bookmarkEnd w:id="215"/>
      <w:bookmarkEnd w:id="216"/>
      <w:bookmarkEnd w:id="217"/>
    </w:p>
    <w:p w14:paraId="396D5410">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18" w:name="_Toc279599814"/>
      <w:bookmarkStart w:id="219" w:name="_Toc274249618"/>
      <w:bookmarkStart w:id="220" w:name="_Toc403122534"/>
      <w:bookmarkStart w:id="221" w:name="_Toc426369524"/>
      <w:r>
        <w:rPr>
          <w:rFonts w:hint="eastAsia" w:ascii="宋体" w:hAnsi="宋体" w:cs="宋体"/>
          <w:b/>
          <w:bCs/>
          <w:color w:val="000000" w:themeColor="text1"/>
          <w:szCs w:val="21"/>
          <w:highlight w:val="none"/>
          <w14:textFill>
            <w14:solidFill>
              <w14:schemeClr w14:val="tx1"/>
            </w14:solidFill>
          </w14:textFill>
        </w:rPr>
        <w:t>9.1 对采购人的纪律要求</w:t>
      </w:r>
      <w:bookmarkEnd w:id="218"/>
      <w:bookmarkEnd w:id="219"/>
      <w:bookmarkEnd w:id="220"/>
      <w:bookmarkEnd w:id="221"/>
    </w:p>
    <w:p w14:paraId="61A73F3F">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采购人不得泄漏招标投标活动中应当保密的情况和资料，不得与供应商串通损害国家利益、社会公共利益或者他人合法权益。 </w:t>
      </w:r>
    </w:p>
    <w:p w14:paraId="71320D58">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22" w:name="_Toc279599815"/>
      <w:bookmarkStart w:id="223" w:name="_Toc403122535"/>
      <w:bookmarkStart w:id="224" w:name="_Toc274249619"/>
      <w:bookmarkStart w:id="225" w:name="_Toc426369525"/>
      <w:r>
        <w:rPr>
          <w:rFonts w:hint="eastAsia" w:ascii="宋体" w:hAnsi="宋体" w:cs="宋体"/>
          <w:b/>
          <w:bCs/>
          <w:color w:val="000000" w:themeColor="text1"/>
          <w:szCs w:val="21"/>
          <w:highlight w:val="none"/>
          <w14:textFill>
            <w14:solidFill>
              <w14:schemeClr w14:val="tx1"/>
            </w14:solidFill>
          </w14:textFill>
        </w:rPr>
        <w:t>9.2 对投标人的纪律要求</w:t>
      </w:r>
      <w:bookmarkEnd w:id="222"/>
      <w:bookmarkEnd w:id="223"/>
      <w:bookmarkEnd w:id="224"/>
      <w:bookmarkEnd w:id="225"/>
    </w:p>
    <w:p w14:paraId="34624BE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供应商不得相互串通投标或者与采购人串通投标，不得向采购人或者评标委员会成员行贿谋取中标，不得以他人名义投标或者以其他方式弄虚作假骗取中标；供应商不得以任何方式干扰、影响评标工作。</w:t>
      </w:r>
    </w:p>
    <w:p w14:paraId="234414FA">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26" w:name="_Toc426369526"/>
      <w:bookmarkStart w:id="227" w:name="_Toc274249620"/>
      <w:bookmarkStart w:id="228" w:name="_Toc403122536"/>
      <w:bookmarkStart w:id="229" w:name="_Toc279599816"/>
      <w:r>
        <w:rPr>
          <w:rFonts w:hint="eastAsia" w:ascii="宋体" w:hAnsi="宋体" w:cs="宋体"/>
          <w:b/>
          <w:bCs/>
          <w:color w:val="000000" w:themeColor="text1"/>
          <w:szCs w:val="21"/>
          <w:highlight w:val="none"/>
          <w14:textFill>
            <w14:solidFill>
              <w14:schemeClr w14:val="tx1"/>
            </w14:solidFill>
          </w14:textFill>
        </w:rPr>
        <w:t>9.3 对评标委员会成员的纪律要求</w:t>
      </w:r>
      <w:bookmarkEnd w:id="226"/>
      <w:bookmarkEnd w:id="227"/>
      <w:bookmarkEnd w:id="228"/>
      <w:bookmarkEnd w:id="229"/>
    </w:p>
    <w:p w14:paraId="568ACB3C">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评标委员会成员不得收受他人的财物或者其他好处，不得向他人透漏对投标文件的评审和比较、中标候选人的推荐情况以及评标有关的其他情况。在评标活动中，评标委员会成员不得擅离职守，影响评标程序正常进行，不得使用第三章“评标办法”没有规定的评审因素和标准进行评标。 </w:t>
      </w:r>
    </w:p>
    <w:p w14:paraId="61D4ED2D">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30" w:name="_Toc403122537"/>
      <w:bookmarkStart w:id="231" w:name="_Toc274249621"/>
      <w:bookmarkStart w:id="232" w:name="_Toc279599817"/>
      <w:bookmarkStart w:id="233" w:name="_Toc426369527"/>
      <w:r>
        <w:rPr>
          <w:rFonts w:hint="eastAsia" w:ascii="宋体" w:hAnsi="宋体" w:cs="宋体"/>
          <w:b/>
          <w:bCs/>
          <w:color w:val="000000" w:themeColor="text1"/>
          <w:szCs w:val="21"/>
          <w:highlight w:val="none"/>
          <w14:textFill>
            <w14:solidFill>
              <w14:schemeClr w14:val="tx1"/>
            </w14:solidFill>
          </w14:textFill>
        </w:rPr>
        <w:t>9.4 对与评标活动有关的工作人员的纪律要求</w:t>
      </w:r>
      <w:bookmarkEnd w:id="230"/>
      <w:bookmarkEnd w:id="231"/>
      <w:bookmarkEnd w:id="232"/>
      <w:bookmarkEnd w:id="233"/>
    </w:p>
    <w:p w14:paraId="7B8D8B53">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与评标活动有关的工作人员不得收受他人的财物或者其他好处，不得向他人透漏对投标文件的评审和比较、中标候选人的推荐情况以及评标有关的其他情况。在评标活动中，与评标活动有关的工作人员不得擅离职守，影响评标程序正常进行。 </w:t>
      </w:r>
    </w:p>
    <w:p w14:paraId="6AB82A42">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34" w:name="_Toc403122538"/>
      <w:bookmarkStart w:id="235" w:name="_Toc274249622"/>
      <w:bookmarkStart w:id="236" w:name="_Toc279599818"/>
      <w:bookmarkStart w:id="237" w:name="_Toc426369528"/>
      <w:r>
        <w:rPr>
          <w:rFonts w:hint="eastAsia" w:ascii="宋体" w:hAnsi="宋体" w:cs="宋体"/>
          <w:b/>
          <w:bCs/>
          <w:color w:val="000000" w:themeColor="text1"/>
          <w:szCs w:val="21"/>
          <w:highlight w:val="none"/>
          <w14:textFill>
            <w14:solidFill>
              <w14:schemeClr w14:val="tx1"/>
            </w14:solidFill>
          </w14:textFill>
        </w:rPr>
        <w:t>9.5 投诉</w:t>
      </w:r>
      <w:bookmarkEnd w:id="234"/>
      <w:bookmarkEnd w:id="235"/>
      <w:bookmarkEnd w:id="236"/>
      <w:bookmarkEnd w:id="237"/>
    </w:p>
    <w:p w14:paraId="472A426D">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供应商和其他利害关系人认为本次招标活动违反法律、法规和规章规定的，有权向有关行政监督部门投诉。 </w:t>
      </w:r>
    </w:p>
    <w:p w14:paraId="5F0A1596">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bookmarkStart w:id="238" w:name="_Toc23962"/>
      <w:bookmarkStart w:id="239" w:name="_Toc10880"/>
      <w:bookmarkStart w:id="240" w:name="_Toc13281"/>
      <w:bookmarkStart w:id="241" w:name="_Toc25080"/>
      <w:bookmarkStart w:id="242" w:name="_Toc403122539"/>
      <w:bookmarkStart w:id="243" w:name="_Toc13602"/>
      <w:bookmarkStart w:id="244" w:name="_Toc426369529"/>
      <w:r>
        <w:rPr>
          <w:rFonts w:hint="eastAsia" w:ascii="宋体" w:hAnsi="宋体" w:cs="宋体"/>
          <w:b/>
          <w:bCs/>
          <w:color w:val="000000" w:themeColor="text1"/>
          <w:szCs w:val="21"/>
          <w:highlight w:val="none"/>
          <w14:textFill>
            <w14:solidFill>
              <w14:schemeClr w14:val="tx1"/>
            </w14:solidFill>
          </w14:textFill>
        </w:rPr>
        <w:t>10. 需要补充的其他内容</w:t>
      </w:r>
      <w:bookmarkEnd w:id="238"/>
      <w:bookmarkEnd w:id="239"/>
      <w:bookmarkEnd w:id="240"/>
      <w:bookmarkEnd w:id="241"/>
      <w:bookmarkEnd w:id="242"/>
      <w:bookmarkEnd w:id="243"/>
      <w:bookmarkEnd w:id="244"/>
    </w:p>
    <w:p w14:paraId="6ECA9F5E">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10.1 费用承担</w:t>
      </w:r>
    </w:p>
    <w:p w14:paraId="245EECCB">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（1）无论投标结果如何，投标人应自行承担所有参与投标的全部费用，采购人和采购代理机构在任何情况下均无义务和责任承担上述费用。</w:t>
      </w:r>
    </w:p>
    <w:p w14:paraId="4FA185BF">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（2）招标代理服务费由中标人支付。</w:t>
      </w:r>
    </w:p>
    <w:p w14:paraId="448D161B">
      <w:pPr>
        <w:autoSpaceDE w:val="0"/>
        <w:autoSpaceDN w:val="0"/>
        <w:adjustRightInd w:val="0"/>
        <w:spacing w:line="360" w:lineRule="auto"/>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（3）供应商与采购人签订合同后，将合同报采购代理机构备案。</w:t>
      </w:r>
    </w:p>
    <w:p w14:paraId="79CAB7EC">
      <w:pPr>
        <w:spacing w:line="360" w:lineRule="auto"/>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10.2本招标文件未尽事宜，按《中华人民共和国政府采购法》等法律法规的有关规定执行。</w:t>
      </w:r>
    </w:p>
    <w:p w14:paraId="3A4095CA">
      <w:pPr>
        <w:pStyle w:val="6"/>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br w:type="page"/>
      </w:r>
    </w:p>
    <w:p w14:paraId="2848D85F">
      <w:pPr>
        <w:pStyle w:val="24"/>
        <w:numPr>
          <w:ilvl w:val="0"/>
          <w:numId w:val="3"/>
        </w:numPr>
        <w:spacing w:line="600" w:lineRule="exact"/>
        <w:ind w:right="-63" w:rightChars="-30"/>
        <w:rPr>
          <w:rFonts w:hint="eastAsia" w:ascii="宋体" w:hAnsi="宋体" w:eastAsia="宋体" w:cs="宋体"/>
          <w:color w:val="000000" w:themeColor="text1"/>
          <w:sz w:val="28"/>
          <w:szCs w:val="28"/>
          <w:highlight w:val="none"/>
          <w14:textFill>
            <w14:solidFill>
              <w14:schemeClr w14:val="tx1"/>
            </w14:solidFill>
          </w14:textFill>
        </w:rPr>
      </w:pPr>
      <w:bookmarkStart w:id="245" w:name="_Toc403122540"/>
      <w:bookmarkStart w:id="246" w:name="_Toc28433"/>
      <w:bookmarkStart w:id="247" w:name="_Toc426369530"/>
      <w:bookmarkStart w:id="248" w:name="_Toc15006"/>
      <w:r>
        <w:rPr>
          <w:rFonts w:hint="eastAsia" w:ascii="宋体" w:hAnsi="宋体" w:eastAsia="宋体" w:cs="宋体"/>
          <w:color w:val="000000" w:themeColor="text1"/>
          <w:sz w:val="28"/>
          <w:szCs w:val="28"/>
          <w:highlight w:val="none"/>
          <w14:textFill>
            <w14:solidFill>
              <w14:schemeClr w14:val="tx1"/>
            </w14:solidFill>
          </w14:textFill>
        </w:rPr>
        <w:t>评标办法</w:t>
      </w:r>
      <w:bookmarkEnd w:id="245"/>
      <w:bookmarkEnd w:id="246"/>
      <w:bookmarkEnd w:id="247"/>
      <w:r>
        <w:rPr>
          <w:rFonts w:hint="eastAsia" w:ascii="宋体" w:hAnsi="宋体" w:eastAsia="宋体" w:cs="宋体"/>
          <w:color w:val="000000" w:themeColor="text1"/>
          <w:sz w:val="28"/>
          <w:szCs w:val="28"/>
          <w:highlight w:val="none"/>
          <w14:textFill>
            <w14:solidFill>
              <w14:schemeClr w14:val="tx1"/>
            </w14:solidFill>
          </w14:textFill>
        </w:rPr>
        <w:t>（综合评分法）</w:t>
      </w:r>
      <w:bookmarkEnd w:id="248"/>
    </w:p>
    <w:p w14:paraId="26D659BF">
      <w:pPr>
        <w:pStyle w:val="47"/>
        <w:widowControl w:val="0"/>
        <w:spacing w:line="360" w:lineRule="auto"/>
        <w:jc w:val="center"/>
        <w:rPr>
          <w:rFonts w:hint="eastAsia" w:ascii="宋体" w:hAnsi="宋体" w:cs="宋体"/>
          <w:b/>
          <w:bCs/>
          <w:color w:val="000000" w:themeColor="text1"/>
          <w:sz w:val="28"/>
          <w:szCs w:val="28"/>
          <w:highlight w:val="none"/>
          <w:lang w:eastAsia="zh-CN"/>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t>评分办法前附表</w:t>
      </w:r>
    </w:p>
    <w:tbl>
      <w:tblPr>
        <w:tblStyle w:val="28"/>
        <w:tblpPr w:leftFromText="180" w:rightFromText="180" w:vertAnchor="text" w:horzAnchor="page" w:tblpXSpec="center" w:tblpY="363"/>
        <w:tblOverlap w:val="never"/>
        <w:tblW w:w="975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784"/>
        <w:gridCol w:w="872"/>
        <w:gridCol w:w="2560"/>
        <w:gridCol w:w="5543"/>
      </w:tblGrid>
      <w:tr w14:paraId="555306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Align w:val="center"/>
          </w:tcPr>
          <w:p w14:paraId="0C758495">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kern w:val="0"/>
                <w:sz w:val="21"/>
                <w:szCs w:val="21"/>
                <w:highlight w:val="none"/>
                <w14:textFill>
                  <w14:solidFill>
                    <w14:schemeClr w14:val="tx1"/>
                  </w14:solidFill>
                </w14:textFill>
              </w:rPr>
              <w:t>审查主体</w:t>
            </w:r>
          </w:p>
        </w:tc>
        <w:tc>
          <w:tcPr>
            <w:tcW w:w="3432" w:type="dxa"/>
            <w:gridSpan w:val="2"/>
            <w:vAlign w:val="center"/>
          </w:tcPr>
          <w:p w14:paraId="4CE8A7F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评审因素</w:t>
            </w:r>
          </w:p>
        </w:tc>
        <w:tc>
          <w:tcPr>
            <w:tcW w:w="5543" w:type="dxa"/>
            <w:vAlign w:val="center"/>
          </w:tcPr>
          <w:p w14:paraId="6AD29B85">
            <w:pPr>
              <w:keepNext w:val="0"/>
              <w:keepLines w:val="0"/>
              <w:pageBreakBefore w:val="0"/>
              <w:widowControl w:val="0"/>
              <w:tabs>
                <w:tab w:val="left" w:pos="417"/>
                <w:tab w:val="center" w:pos="2999"/>
              </w:tabs>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b w:val="0"/>
                <w:bCs w:val="0"/>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评审标准</w:t>
            </w:r>
          </w:p>
        </w:tc>
      </w:tr>
      <w:tr w14:paraId="5B159B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59" w:hRule="atLeast"/>
          <w:jc w:val="center"/>
        </w:trPr>
        <w:tc>
          <w:tcPr>
            <w:tcW w:w="784" w:type="dxa"/>
            <w:vMerge w:val="restart"/>
            <w:vAlign w:val="center"/>
          </w:tcPr>
          <w:p w14:paraId="14CAB6B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资格审查小组</w:t>
            </w:r>
          </w:p>
        </w:tc>
        <w:tc>
          <w:tcPr>
            <w:tcW w:w="872" w:type="dxa"/>
            <w:vMerge w:val="restart"/>
            <w:vAlign w:val="center"/>
          </w:tcPr>
          <w:p w14:paraId="5F2D4A0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一、资格评审标准</w:t>
            </w:r>
          </w:p>
        </w:tc>
        <w:tc>
          <w:tcPr>
            <w:tcW w:w="2560" w:type="dxa"/>
            <w:vAlign w:val="center"/>
          </w:tcPr>
          <w:p w14:paraId="373BDB7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营业执照、税务登记证、组织机构代码证</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或三证合一的营业执照</w:t>
            </w:r>
            <w:r>
              <w:rPr>
                <w:rFonts w:hint="eastAsia" w:ascii="宋体" w:hAnsi="宋体" w:eastAsia="宋体" w:cs="宋体"/>
                <w:color w:val="000000" w:themeColor="text1"/>
                <w:sz w:val="21"/>
                <w:szCs w:val="21"/>
                <w:highlight w:val="none"/>
                <w:lang w:eastAsia="zh-CN"/>
                <w14:textFill>
                  <w14:solidFill>
                    <w14:schemeClr w14:val="tx1"/>
                  </w14:solidFill>
                </w14:textFill>
              </w:rPr>
              <w:t>）</w:t>
            </w:r>
          </w:p>
        </w:tc>
        <w:tc>
          <w:tcPr>
            <w:tcW w:w="5543" w:type="dxa"/>
            <w:vAlign w:val="center"/>
          </w:tcPr>
          <w:p w14:paraId="75EB09B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提供资格承诺函</w:t>
            </w:r>
          </w:p>
        </w:tc>
      </w:tr>
      <w:tr w14:paraId="6689B3E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4" w:type="dxa"/>
            <w:vMerge w:val="continue"/>
            <w:vAlign w:val="center"/>
          </w:tcPr>
          <w:p w14:paraId="2F95981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vAlign w:val="center"/>
          </w:tcPr>
          <w:p w14:paraId="27DCB15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vAlign w:val="center"/>
          </w:tcPr>
          <w:p w14:paraId="3ABA7E0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符合《中华人民共和国政府采购法》第二十二条之规定</w:t>
            </w:r>
          </w:p>
        </w:tc>
        <w:tc>
          <w:tcPr>
            <w:tcW w:w="5543" w:type="dxa"/>
            <w:vAlign w:val="center"/>
          </w:tcPr>
          <w:p w14:paraId="3B8D2F2E">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提供资格承诺函</w:t>
            </w:r>
          </w:p>
        </w:tc>
      </w:tr>
      <w:tr w14:paraId="426A66E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Merge w:val="continue"/>
            <w:vAlign w:val="center"/>
          </w:tcPr>
          <w:p w14:paraId="70068A3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vAlign w:val="center"/>
          </w:tcPr>
          <w:p w14:paraId="363AD46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vAlign w:val="center"/>
          </w:tcPr>
          <w:p w14:paraId="28DA951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法定代表人证明或法人授权委托书</w:t>
            </w:r>
          </w:p>
        </w:tc>
        <w:tc>
          <w:tcPr>
            <w:tcW w:w="5543" w:type="dxa"/>
            <w:vAlign w:val="center"/>
          </w:tcPr>
          <w:p w14:paraId="535FE3F4">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提供</w:t>
            </w:r>
            <w:r>
              <w:rPr>
                <w:rFonts w:hint="eastAsia" w:ascii="宋体" w:hAnsi="宋体" w:eastAsia="宋体" w:cs="宋体"/>
                <w:color w:val="000000" w:themeColor="text1"/>
                <w:sz w:val="21"/>
                <w:szCs w:val="21"/>
                <w:highlight w:val="none"/>
                <w14:textFill>
                  <w14:solidFill>
                    <w14:schemeClr w14:val="tx1"/>
                  </w14:solidFill>
                </w14:textFill>
              </w:rPr>
              <w:t>法定代表人（负责人）证明或法人授权委托书</w:t>
            </w:r>
          </w:p>
        </w:tc>
      </w:tr>
      <w:tr w14:paraId="22AF75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419" w:hRule="atLeast"/>
          <w:jc w:val="center"/>
        </w:trPr>
        <w:tc>
          <w:tcPr>
            <w:tcW w:w="784" w:type="dxa"/>
            <w:vMerge w:val="continue"/>
            <w:vAlign w:val="center"/>
          </w:tcPr>
          <w:p w14:paraId="4BAA310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vAlign w:val="center"/>
          </w:tcPr>
          <w:p w14:paraId="0B8172B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vAlign w:val="center"/>
          </w:tcPr>
          <w:p w14:paraId="1E3294B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信誉要求</w:t>
            </w:r>
          </w:p>
        </w:tc>
        <w:tc>
          <w:tcPr>
            <w:tcW w:w="5543" w:type="dxa"/>
            <w:vAlign w:val="center"/>
          </w:tcPr>
          <w:p w14:paraId="68EA7B36">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按照《财政部关于在政府采购活动中查询及使用信用记录有关问题的通知》（财库〔2016〕125号）的要求，根据开标当日“信用中国”网站（www.creditchina.gov.cn）、中国政府采购网（www.ccgp.gov.cn）的信息，对列入失信被执行人、重大税收违法失信主体、政府采购严重违法失信行为记录名单的供应商，拒绝参与政府采购活动，对信用信息查询记录和证据进行打印存档</w:t>
            </w:r>
          </w:p>
        </w:tc>
      </w:tr>
      <w:tr w14:paraId="43A6982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bottom w:val="single" w:color="auto" w:sz="4" w:space="0"/>
            </w:tcBorders>
            <w:vAlign w:val="center"/>
          </w:tcPr>
          <w:p w14:paraId="3DD5640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bottom w:val="single" w:color="auto" w:sz="4" w:space="0"/>
            </w:tcBorders>
            <w:vAlign w:val="center"/>
          </w:tcPr>
          <w:p w14:paraId="6CE3432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bottom w:val="single" w:color="auto" w:sz="4" w:space="0"/>
            </w:tcBorders>
            <w:vAlign w:val="center"/>
          </w:tcPr>
          <w:p w14:paraId="6ED3C82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其他要求</w:t>
            </w:r>
          </w:p>
        </w:tc>
        <w:tc>
          <w:tcPr>
            <w:tcW w:w="5543" w:type="dxa"/>
            <w:tcBorders>
              <w:bottom w:val="single" w:color="auto" w:sz="4" w:space="0"/>
            </w:tcBorders>
            <w:vAlign w:val="center"/>
          </w:tcPr>
          <w:p w14:paraId="3DF37FAD">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符合招标文件资格要求的其他要求</w:t>
            </w:r>
          </w:p>
        </w:tc>
      </w:tr>
      <w:tr w14:paraId="7E112B5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restart"/>
            <w:tcBorders>
              <w:top w:val="single" w:color="auto" w:sz="4" w:space="0"/>
              <w:left w:val="single" w:color="auto" w:sz="4" w:space="0"/>
              <w:bottom w:val="single" w:color="auto" w:sz="4" w:space="0"/>
              <w:right w:val="single" w:color="auto" w:sz="4" w:space="0"/>
            </w:tcBorders>
            <w:vAlign w:val="center"/>
          </w:tcPr>
          <w:p w14:paraId="3F0EC64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评标委员会</w:t>
            </w:r>
          </w:p>
        </w:tc>
        <w:tc>
          <w:tcPr>
            <w:tcW w:w="872" w:type="dxa"/>
            <w:vMerge w:val="restart"/>
            <w:tcBorders>
              <w:top w:val="single" w:color="auto" w:sz="4" w:space="0"/>
              <w:left w:val="single" w:color="auto" w:sz="4" w:space="0"/>
              <w:bottom w:val="single" w:color="auto" w:sz="4" w:space="0"/>
              <w:right w:val="single" w:color="auto" w:sz="4" w:space="0"/>
            </w:tcBorders>
            <w:vAlign w:val="center"/>
          </w:tcPr>
          <w:p w14:paraId="7CFF04A3">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二、形式评审标准</w:t>
            </w:r>
          </w:p>
        </w:tc>
        <w:tc>
          <w:tcPr>
            <w:tcW w:w="2560" w:type="dxa"/>
            <w:tcBorders>
              <w:top w:val="single" w:color="auto" w:sz="4" w:space="0"/>
              <w:left w:val="single" w:color="auto" w:sz="4" w:space="0"/>
              <w:bottom w:val="single" w:color="auto" w:sz="4" w:space="0"/>
              <w:right w:val="single" w:color="auto" w:sz="4" w:space="0"/>
            </w:tcBorders>
            <w:vAlign w:val="center"/>
          </w:tcPr>
          <w:p w14:paraId="14BB552A">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供应商名称</w:t>
            </w:r>
          </w:p>
        </w:tc>
        <w:tc>
          <w:tcPr>
            <w:tcW w:w="5543" w:type="dxa"/>
            <w:tcBorders>
              <w:top w:val="single" w:color="auto" w:sz="4" w:space="0"/>
              <w:left w:val="single" w:color="auto" w:sz="4" w:space="0"/>
              <w:bottom w:val="single" w:color="auto" w:sz="4" w:space="0"/>
              <w:right w:val="single" w:color="auto" w:sz="4" w:space="0"/>
            </w:tcBorders>
            <w:vAlign w:val="center"/>
          </w:tcPr>
          <w:p w14:paraId="38379C2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与营业执照等证件一致</w:t>
            </w:r>
          </w:p>
        </w:tc>
      </w:tr>
      <w:tr w14:paraId="37E5A7D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0E4236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063EF98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08C6CF56">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投标函签字盖章</w:t>
            </w:r>
          </w:p>
        </w:tc>
        <w:tc>
          <w:tcPr>
            <w:tcW w:w="5543" w:type="dxa"/>
            <w:tcBorders>
              <w:top w:val="single" w:color="auto" w:sz="4" w:space="0"/>
              <w:left w:val="single" w:color="auto" w:sz="4" w:space="0"/>
              <w:bottom w:val="single" w:color="auto" w:sz="4" w:space="0"/>
              <w:right w:val="single" w:color="auto" w:sz="4" w:space="0"/>
            </w:tcBorders>
            <w:vAlign w:val="center"/>
          </w:tcPr>
          <w:p w14:paraId="7C010458">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加盖企业电子签章并有法定代表人或其委托代理人签字或盖章</w:t>
            </w:r>
          </w:p>
        </w:tc>
      </w:tr>
      <w:tr w14:paraId="1831186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A409D6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4FB968E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33C94A0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投标文件格式</w:t>
            </w:r>
          </w:p>
        </w:tc>
        <w:tc>
          <w:tcPr>
            <w:tcW w:w="5543" w:type="dxa"/>
            <w:tcBorders>
              <w:top w:val="single" w:color="auto" w:sz="4" w:space="0"/>
              <w:left w:val="single" w:color="auto" w:sz="4" w:space="0"/>
              <w:bottom w:val="single" w:color="auto" w:sz="4" w:space="0"/>
              <w:right w:val="single" w:color="auto" w:sz="4" w:space="0"/>
            </w:tcBorders>
            <w:vAlign w:val="center"/>
          </w:tcPr>
          <w:p w14:paraId="3ED54122">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符合招标文件格式要求</w:t>
            </w:r>
          </w:p>
        </w:tc>
      </w:tr>
      <w:tr w14:paraId="0807187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71953A92">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top w:val="single" w:color="auto" w:sz="4" w:space="0"/>
              <w:left w:val="single" w:color="auto" w:sz="4" w:space="0"/>
              <w:bottom w:val="single" w:color="auto" w:sz="4" w:space="0"/>
              <w:right w:val="single" w:color="auto" w:sz="4" w:space="0"/>
            </w:tcBorders>
            <w:vAlign w:val="center"/>
          </w:tcPr>
          <w:p w14:paraId="79CE253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1DF4DBC8">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报价唯一</w:t>
            </w:r>
          </w:p>
        </w:tc>
        <w:tc>
          <w:tcPr>
            <w:tcW w:w="5543" w:type="dxa"/>
            <w:tcBorders>
              <w:top w:val="single" w:color="auto" w:sz="4" w:space="0"/>
              <w:left w:val="single" w:color="auto" w:sz="4" w:space="0"/>
              <w:bottom w:val="single" w:color="auto" w:sz="4" w:space="0"/>
              <w:right w:val="single" w:color="auto" w:sz="4" w:space="0"/>
            </w:tcBorders>
            <w:vAlign w:val="center"/>
          </w:tcPr>
          <w:p w14:paraId="1BFDA1E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w:t>
            </w:r>
          </w:p>
        </w:tc>
      </w:tr>
      <w:tr w14:paraId="443BF8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13"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57589EF6">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restart"/>
            <w:tcBorders>
              <w:top w:val="single" w:color="auto" w:sz="4" w:space="0"/>
              <w:left w:val="single" w:color="auto" w:sz="4" w:space="0"/>
              <w:right w:val="single" w:color="auto" w:sz="4" w:space="0"/>
            </w:tcBorders>
            <w:vAlign w:val="center"/>
          </w:tcPr>
          <w:p w14:paraId="556AD88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0C6CB0FF">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AB989C4">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三、响应性评审标准</w:t>
            </w:r>
          </w:p>
        </w:tc>
        <w:tc>
          <w:tcPr>
            <w:tcW w:w="2560" w:type="dxa"/>
            <w:tcBorders>
              <w:top w:val="single" w:color="auto" w:sz="4" w:space="0"/>
              <w:left w:val="single" w:color="auto" w:sz="4" w:space="0"/>
              <w:bottom w:val="single" w:color="auto" w:sz="4" w:space="0"/>
              <w:right w:val="single" w:color="auto" w:sz="4" w:space="0"/>
            </w:tcBorders>
            <w:vAlign w:val="center"/>
          </w:tcPr>
          <w:p w14:paraId="47CF9EF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合同履行期限</w:t>
            </w:r>
          </w:p>
          <w:p w14:paraId="2C492EC0">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（供货及安装期）</w:t>
            </w:r>
          </w:p>
        </w:tc>
        <w:tc>
          <w:tcPr>
            <w:tcW w:w="5543" w:type="dxa"/>
            <w:tcBorders>
              <w:top w:val="single" w:color="auto" w:sz="4" w:space="0"/>
              <w:left w:val="single" w:color="auto" w:sz="4" w:space="0"/>
              <w:bottom w:val="single" w:color="auto" w:sz="4" w:space="0"/>
              <w:right w:val="single" w:color="auto" w:sz="4" w:space="0"/>
            </w:tcBorders>
            <w:vAlign w:val="center"/>
          </w:tcPr>
          <w:p w14:paraId="5134043B">
            <w:pPr>
              <w:pStyle w:val="49"/>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30日历天</w:t>
            </w:r>
          </w:p>
        </w:tc>
      </w:tr>
      <w:tr w14:paraId="2FA96A8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5C811DBD">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619DFCE8">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121D7598">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质量标准</w:t>
            </w:r>
          </w:p>
        </w:tc>
        <w:tc>
          <w:tcPr>
            <w:tcW w:w="5543" w:type="dxa"/>
            <w:tcBorders>
              <w:top w:val="single" w:color="auto" w:sz="4" w:space="0"/>
              <w:left w:val="single" w:color="auto" w:sz="4" w:space="0"/>
              <w:bottom w:val="single" w:color="auto" w:sz="4" w:space="0"/>
              <w:right w:val="single" w:color="auto" w:sz="4" w:space="0"/>
            </w:tcBorders>
            <w:vAlign w:val="center"/>
          </w:tcPr>
          <w:p w14:paraId="3AAEA17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0"/>
                <w:sz w:val="21"/>
                <w:szCs w:val="21"/>
                <w:highlight w:val="none"/>
                <w14:textFill>
                  <w14:solidFill>
                    <w14:schemeClr w14:val="tx1"/>
                  </w14:solidFill>
                </w14:textFill>
              </w:rPr>
              <w:t>合格，符合国家、行业规范标准</w:t>
            </w:r>
          </w:p>
        </w:tc>
      </w:tr>
      <w:tr w14:paraId="176C589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5A5A7F27">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5DF43F91">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0735038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质保期</w:t>
            </w:r>
          </w:p>
        </w:tc>
        <w:tc>
          <w:tcPr>
            <w:tcW w:w="5543" w:type="dxa"/>
            <w:tcBorders>
              <w:top w:val="single" w:color="auto" w:sz="4" w:space="0"/>
              <w:left w:val="single" w:color="auto" w:sz="4" w:space="0"/>
              <w:bottom w:val="single" w:color="auto" w:sz="4" w:space="0"/>
              <w:right w:val="single" w:color="auto" w:sz="4" w:space="0"/>
            </w:tcBorders>
            <w:vAlign w:val="center"/>
          </w:tcPr>
          <w:p w14:paraId="5A07FA81">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三</w:t>
            </w:r>
            <w:r>
              <w:rPr>
                <w:rFonts w:hint="eastAsia" w:ascii="宋体" w:hAnsi="宋体" w:eastAsia="宋体" w:cs="宋体"/>
                <w:color w:val="000000" w:themeColor="text1"/>
                <w:sz w:val="21"/>
                <w:szCs w:val="21"/>
                <w:highlight w:val="none"/>
                <w14:textFill>
                  <w14:solidFill>
                    <w14:schemeClr w14:val="tx1"/>
                  </w14:solidFill>
                </w14:textFill>
              </w:rPr>
              <w:t>年</w:t>
            </w:r>
          </w:p>
        </w:tc>
      </w:tr>
      <w:tr w14:paraId="25D36E8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54B8140C">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01DF256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54B9DFE3">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商务报价</w:t>
            </w:r>
          </w:p>
        </w:tc>
        <w:tc>
          <w:tcPr>
            <w:tcW w:w="5543" w:type="dxa"/>
            <w:tcBorders>
              <w:top w:val="single" w:color="auto" w:sz="4" w:space="0"/>
              <w:left w:val="single" w:color="auto" w:sz="4" w:space="0"/>
              <w:bottom w:val="single" w:color="auto" w:sz="4" w:space="0"/>
              <w:right w:val="single" w:color="auto" w:sz="4" w:space="0"/>
            </w:tcBorders>
            <w:vAlign w:val="center"/>
          </w:tcPr>
          <w:p w14:paraId="03188DB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lang w:eastAsia="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只能有一个有效报价，且不能超过招标</w:t>
            </w:r>
            <w:r>
              <w:rPr>
                <w:rFonts w:hint="eastAsia" w:ascii="宋体" w:hAnsi="宋体" w:eastAsia="宋体" w:cs="宋体"/>
                <w:color w:val="000000" w:themeColor="text1"/>
                <w:sz w:val="21"/>
                <w:szCs w:val="21"/>
                <w:highlight w:val="none"/>
                <w:lang w:eastAsia="zh-CN"/>
                <w14:textFill>
                  <w14:solidFill>
                    <w14:schemeClr w14:val="tx1"/>
                  </w14:solidFill>
                </w14:textFill>
              </w:rPr>
              <w:t>最高限价</w:t>
            </w:r>
          </w:p>
        </w:tc>
      </w:tr>
      <w:tr w14:paraId="057737A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3E339B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7AB3D633">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789B4A0B">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投标有效期</w:t>
            </w:r>
          </w:p>
        </w:tc>
        <w:tc>
          <w:tcPr>
            <w:tcW w:w="5543" w:type="dxa"/>
            <w:tcBorders>
              <w:top w:val="single" w:color="auto" w:sz="4" w:space="0"/>
              <w:left w:val="single" w:color="auto" w:sz="4" w:space="0"/>
              <w:bottom w:val="single" w:color="auto" w:sz="4" w:space="0"/>
              <w:right w:val="single" w:color="auto" w:sz="4" w:space="0"/>
            </w:tcBorders>
            <w:vAlign w:val="center"/>
          </w:tcPr>
          <w:p w14:paraId="20193B2E">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60日历天（从投标截止之日算起）</w:t>
            </w:r>
          </w:p>
        </w:tc>
      </w:tr>
      <w:tr w14:paraId="5103B04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11"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1CAF57F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6360D25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2917D325">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权利义务</w:t>
            </w:r>
          </w:p>
        </w:tc>
        <w:tc>
          <w:tcPr>
            <w:tcW w:w="5543" w:type="dxa"/>
            <w:tcBorders>
              <w:top w:val="single" w:color="auto" w:sz="4" w:space="0"/>
              <w:left w:val="single" w:color="auto" w:sz="4" w:space="0"/>
              <w:bottom w:val="single" w:color="auto" w:sz="4" w:space="0"/>
              <w:right w:val="single" w:color="auto" w:sz="4" w:space="0"/>
            </w:tcBorders>
            <w:vAlign w:val="center"/>
          </w:tcPr>
          <w:p w14:paraId="52D95747">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符合第四章“合同条款及格式”规定</w:t>
            </w:r>
          </w:p>
        </w:tc>
      </w:tr>
      <w:tr w14:paraId="0E7CE06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14"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70EB15CA">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right w:val="single" w:color="auto" w:sz="4" w:space="0"/>
            </w:tcBorders>
            <w:vAlign w:val="center"/>
          </w:tcPr>
          <w:p w14:paraId="4576FDD4">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6023DDCF">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技术标准和要求</w:t>
            </w:r>
          </w:p>
        </w:tc>
        <w:tc>
          <w:tcPr>
            <w:tcW w:w="5543" w:type="dxa"/>
            <w:tcBorders>
              <w:top w:val="single" w:color="auto" w:sz="4" w:space="0"/>
              <w:left w:val="single" w:color="auto" w:sz="4" w:space="0"/>
              <w:bottom w:val="single" w:color="auto" w:sz="4" w:space="0"/>
              <w:right w:val="single" w:color="auto" w:sz="4" w:space="0"/>
            </w:tcBorders>
            <w:vAlign w:val="center"/>
          </w:tcPr>
          <w:p w14:paraId="1721DA9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符合第五章“采购内容及</w:t>
            </w:r>
            <w:r>
              <w:rPr>
                <w:rFonts w:hint="eastAsia" w:ascii="宋体" w:hAnsi="宋体" w:cs="宋体"/>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14:textFill>
                  <w14:solidFill>
                    <w14:schemeClr w14:val="tx1"/>
                  </w14:solidFill>
                </w14:textFill>
              </w:rPr>
              <w:t>要求”和“附件”规定，若不符合第五章“采购内容及</w:t>
            </w:r>
            <w:r>
              <w:rPr>
                <w:rFonts w:hint="eastAsia" w:ascii="宋体" w:hAnsi="宋体" w:cs="宋体"/>
                <w:color w:val="000000" w:themeColor="text1"/>
                <w:sz w:val="21"/>
                <w:szCs w:val="21"/>
                <w:highlight w:val="none"/>
                <w:lang w:val="en-US" w:eastAsia="zh-CN"/>
                <w14:textFill>
                  <w14:solidFill>
                    <w14:schemeClr w14:val="tx1"/>
                  </w14:solidFill>
                </w14:textFill>
              </w:rPr>
              <w:t>技术</w:t>
            </w:r>
            <w:r>
              <w:rPr>
                <w:rFonts w:hint="eastAsia" w:ascii="宋体" w:hAnsi="宋体" w:eastAsia="宋体" w:cs="宋体"/>
                <w:color w:val="000000" w:themeColor="text1"/>
                <w:sz w:val="21"/>
                <w:szCs w:val="21"/>
                <w:highlight w:val="none"/>
                <w14:textFill>
                  <w14:solidFill>
                    <w14:schemeClr w14:val="tx1"/>
                  </w14:solidFill>
                </w14:textFill>
              </w:rPr>
              <w:t>要求”和“附件”规定，将不再进行评审</w:t>
            </w:r>
          </w:p>
        </w:tc>
      </w:tr>
      <w:tr w14:paraId="2656B28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2" w:hRule="atLeast"/>
          <w:jc w:val="center"/>
        </w:trPr>
        <w:tc>
          <w:tcPr>
            <w:tcW w:w="784" w:type="dxa"/>
            <w:vMerge w:val="continue"/>
            <w:tcBorders>
              <w:top w:val="single" w:color="auto" w:sz="4" w:space="0"/>
              <w:left w:val="single" w:color="auto" w:sz="4" w:space="0"/>
              <w:bottom w:val="single" w:color="auto" w:sz="4" w:space="0"/>
              <w:right w:val="single" w:color="auto" w:sz="4" w:space="0"/>
            </w:tcBorders>
            <w:vAlign w:val="center"/>
          </w:tcPr>
          <w:p w14:paraId="3EC78B15">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872" w:type="dxa"/>
            <w:vMerge w:val="continue"/>
            <w:tcBorders>
              <w:left w:val="single" w:color="auto" w:sz="4" w:space="0"/>
              <w:bottom w:val="single" w:color="auto" w:sz="4" w:space="0"/>
              <w:right w:val="single" w:color="auto" w:sz="4" w:space="0"/>
            </w:tcBorders>
            <w:vAlign w:val="center"/>
          </w:tcPr>
          <w:p w14:paraId="0396B339">
            <w:pPr>
              <w:keepNext w:val="0"/>
              <w:keepLines w:val="0"/>
              <w:pageBreakBefore w:val="0"/>
              <w:widowControl w:val="0"/>
              <w:kinsoku/>
              <w:wordWrap/>
              <w:overflowPunct/>
              <w:topLinePunct w:val="0"/>
              <w:autoSpaceDE/>
              <w:autoSpaceDN/>
              <w:bidi w:val="0"/>
              <w:adjustRightInd/>
              <w:snapToGri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2560" w:type="dxa"/>
            <w:tcBorders>
              <w:top w:val="single" w:color="auto" w:sz="4" w:space="0"/>
              <w:left w:val="single" w:color="auto" w:sz="4" w:space="0"/>
              <w:bottom w:val="single" w:color="auto" w:sz="4" w:space="0"/>
              <w:right w:val="single" w:color="auto" w:sz="4" w:space="0"/>
            </w:tcBorders>
            <w:vAlign w:val="center"/>
          </w:tcPr>
          <w:p w14:paraId="2835BE67">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投标文件的其他响应</w:t>
            </w:r>
          </w:p>
        </w:tc>
        <w:tc>
          <w:tcPr>
            <w:tcW w:w="5543" w:type="dxa"/>
            <w:tcBorders>
              <w:top w:val="single" w:color="auto" w:sz="4" w:space="0"/>
              <w:left w:val="single" w:color="auto" w:sz="4" w:space="0"/>
              <w:bottom w:val="single" w:color="auto" w:sz="4" w:space="0"/>
              <w:right w:val="single" w:color="auto" w:sz="4" w:space="0"/>
            </w:tcBorders>
            <w:vAlign w:val="center"/>
          </w:tcPr>
          <w:p w14:paraId="05B2A1EC">
            <w:pPr>
              <w:keepNext w:val="0"/>
              <w:keepLines w:val="0"/>
              <w:pageBreakBefore w:val="0"/>
              <w:widowControl w:val="0"/>
              <w:kinsoku/>
              <w:wordWrap/>
              <w:overflowPunct/>
              <w:topLinePunct w:val="0"/>
              <w:autoSpaceDE/>
              <w:autoSpaceDN/>
              <w:bidi w:val="0"/>
              <w:adjustRightInd/>
              <w:snapToGri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符合法律、法规和招标文件中规定的其他实质性要求的</w:t>
            </w:r>
          </w:p>
        </w:tc>
      </w:tr>
    </w:tbl>
    <w:p w14:paraId="36EB8080">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DD3BA54">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1EE5307">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A3D9CA4">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AED3578">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7E290A4">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896B31F">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46143966">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A14875D">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C8CF5EC">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7485D8F">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9A86171">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AE61A60">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54AEFB05">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2F09D5F5">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7B924595">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067F7D41">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62CCE94D">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p>
    <w:p w14:paraId="3DC07E8A">
      <w:pPr>
        <w:pStyle w:val="47"/>
        <w:keepNext w:val="0"/>
        <w:keepLines w:val="0"/>
        <w:pageBreakBefore w:val="0"/>
        <w:widowControl w:val="0"/>
        <w:overflowPunct/>
        <w:topLinePunct w:val="0"/>
        <w:bidi w:val="0"/>
        <w:spacing w:line="600" w:lineRule="exact"/>
        <w:ind w:left="0" w:leftChars="0" w:right="0" w:rightChars="0" w:firstLine="0" w:firstLineChars="0"/>
        <w:jc w:val="center"/>
        <w:rPr>
          <w:rFonts w:hint="eastAsia" w:ascii="宋体" w:hAnsi="宋体" w:eastAsia="宋体" w:cs="宋体"/>
          <w:b/>
          <w:bCs/>
          <w:color w:val="000000" w:themeColor="text1"/>
          <w:sz w:val="24"/>
          <w:szCs w:val="24"/>
          <w:highlight w:val="none"/>
          <w14:textFill>
            <w14:solidFill>
              <w14:schemeClr w14:val="tx1"/>
            </w14:solidFill>
          </w14:textFill>
        </w:rPr>
      </w:pPr>
      <w:r>
        <w:rPr>
          <w:rFonts w:hint="eastAsia" w:ascii="宋体" w:hAnsi="宋体" w:eastAsia="宋体" w:cs="宋体"/>
          <w:b/>
          <w:bCs/>
          <w:color w:val="000000" w:themeColor="text1"/>
          <w:sz w:val="24"/>
          <w:szCs w:val="24"/>
          <w:highlight w:val="none"/>
          <w14:textFill>
            <w14:solidFill>
              <w14:schemeClr w14:val="tx1"/>
            </w14:solidFill>
          </w14:textFill>
        </w:rPr>
        <w:t>评分办法</w:t>
      </w:r>
    </w:p>
    <w:tbl>
      <w:tblPr>
        <w:tblStyle w:val="28"/>
        <w:tblW w:w="9966"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15" w:type="dxa"/>
          <w:left w:w="15" w:type="dxa"/>
          <w:bottom w:w="15" w:type="dxa"/>
          <w:right w:w="15" w:type="dxa"/>
        </w:tblCellMar>
      </w:tblPr>
      <w:tblGrid>
        <w:gridCol w:w="1175"/>
        <w:gridCol w:w="1545"/>
        <w:gridCol w:w="7246"/>
      </w:tblGrid>
      <w:tr w14:paraId="627FBF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759" w:hRule="atLeast"/>
          <w:jc w:val="center"/>
        </w:trPr>
        <w:tc>
          <w:tcPr>
            <w:tcW w:w="1175" w:type="dxa"/>
            <w:vAlign w:val="center"/>
          </w:tcPr>
          <w:p w14:paraId="0C6C4B69">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评标指标</w:t>
            </w:r>
          </w:p>
        </w:tc>
        <w:tc>
          <w:tcPr>
            <w:tcW w:w="8791" w:type="dxa"/>
            <w:gridSpan w:val="2"/>
            <w:vAlign w:val="center"/>
          </w:tcPr>
          <w:p w14:paraId="6A317FD7">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b w:val="0"/>
                <w:bCs w:val="0"/>
                <w:color w:val="000000" w:themeColor="text1"/>
                <w:sz w:val="21"/>
                <w:szCs w:val="21"/>
                <w:highlight w:val="none"/>
                <w:lang w:val="zh-CN"/>
                <w14:textFill>
                  <w14:solidFill>
                    <w14:schemeClr w14:val="tx1"/>
                  </w14:solidFill>
                </w14:textFill>
              </w:rPr>
            </w:pPr>
            <w:r>
              <w:rPr>
                <w:rFonts w:hint="eastAsia" w:ascii="宋体" w:hAnsi="宋体" w:eastAsia="宋体" w:cs="宋体"/>
                <w:b w:val="0"/>
                <w:bCs w:val="0"/>
                <w:color w:val="000000" w:themeColor="text1"/>
                <w:sz w:val="21"/>
                <w:szCs w:val="21"/>
                <w:highlight w:val="none"/>
                <w:lang w:val="zh-CN"/>
                <w14:textFill>
                  <w14:solidFill>
                    <w14:schemeClr w14:val="tx1"/>
                  </w14:solidFill>
                </w14:textFill>
              </w:rPr>
              <w:t>评分内容</w:t>
            </w:r>
          </w:p>
        </w:tc>
      </w:tr>
      <w:tr w14:paraId="51E1A91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820" w:hRule="atLeast"/>
          <w:jc w:val="center"/>
        </w:trPr>
        <w:tc>
          <w:tcPr>
            <w:tcW w:w="1175" w:type="dxa"/>
            <w:vAlign w:val="center"/>
          </w:tcPr>
          <w:p w14:paraId="6D21CB2C">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报价部分</w:t>
            </w:r>
          </w:p>
          <w:p w14:paraId="5AA973B0">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（30分）</w:t>
            </w:r>
          </w:p>
        </w:tc>
        <w:tc>
          <w:tcPr>
            <w:tcW w:w="1545" w:type="dxa"/>
            <w:vAlign w:val="center"/>
          </w:tcPr>
          <w:p w14:paraId="3C27C0F8">
            <w:pPr>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报价部分</w:t>
            </w:r>
          </w:p>
          <w:p w14:paraId="246F3104">
            <w:pPr>
              <w:keepNext w:val="0"/>
              <w:keepLines w:val="0"/>
              <w:pageBreakBefore w:val="0"/>
              <w:widowControl w:val="0"/>
              <w:kinsoku/>
              <w:wordWrap/>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（30分）</w:t>
            </w:r>
          </w:p>
        </w:tc>
        <w:tc>
          <w:tcPr>
            <w:tcW w:w="7246" w:type="dxa"/>
            <w:vAlign w:val="center"/>
          </w:tcPr>
          <w:p w14:paraId="740D2238">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投标报价分采用低价优先法计算，即满足招标文件要求且投标报价</w:t>
            </w:r>
          </w:p>
          <w:p w14:paraId="0303132A">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最低的为评审基准价，其价格分为满分（即30分）。其他投标人的价格分统一按照下列公式计算：</w:t>
            </w:r>
          </w:p>
          <w:p w14:paraId="54C1339A">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报价得分=(评标基准价／投标报价)×价格权值（30分）。</w:t>
            </w:r>
          </w:p>
          <w:p w14:paraId="1997D526">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注：以上计算过程中按四舍五入保留两位小数。</w:t>
            </w:r>
          </w:p>
          <w:p w14:paraId="5190D9DD">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评标委员会认为投标人的报价明显低于其他通过符合性审查投标人的报价，有可能影响产品质量或者不能诚信履约的，应当要求其在合理的时间内提供书面说明，必要时提交相关证明材料；投标人不能证明其报价合理性的，评标委员会应当将其作为无效投标处理。</w:t>
            </w:r>
          </w:p>
          <w:p w14:paraId="2BD26DD9">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2对小型或微型企业投标的扶持：（如有）</w:t>
            </w:r>
          </w:p>
          <w:p w14:paraId="10233861">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2.1投标供应商为小型或微型企业时，报价给予C1的价格扣除（C1的取值为20%），即：评标价＝投标报价（最后报价）×(1－C1）；小微企业应当提供《中小企业声明函》（见格式）。</w:t>
            </w:r>
          </w:p>
          <w:p w14:paraId="0705852D">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2.2按照《政府采购促进中小企业发展管理办法》有关规定，中小企业的标准为：</w:t>
            </w:r>
          </w:p>
          <w:p w14:paraId="2EEB06E3">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2.2.1提供本企业制造的货物、承担的工程或者服务，或者提供其他中小企业制造的货物，不包括提供或使用大型企业注册商标的货物；</w:t>
            </w:r>
          </w:p>
          <w:p w14:paraId="5F75C1B7">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2.2.2本规定所称中小企业划分标准，是指国务院有关部门根据企业从业人员、营业收入、资产总额等指标制定的中小企业划型标准（工信部联企业[2011]300号）；</w:t>
            </w:r>
          </w:p>
          <w:p w14:paraId="1B7ABE57">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2.2.3小型、微型企业提供有中型企业制造的货物的，视同为中型企业；小型、微型、中型企业提供有大型企业制造的货物的，视同为大型企业。</w:t>
            </w:r>
          </w:p>
          <w:p w14:paraId="74565342">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根据财政部司法部《关于政府采购支持监狱企业发展有关问题的通知》（财库〔2014〕68号）和财政部民政部中国残疾人联合会《关于促进残疾人就业政府采购政策的通知》（财库〔2017〕141号）规定，本项目对监狱企业、残疾人福利性企业作为投标人所提供的本企业生产的产品的价格给予20%的扣除。</w:t>
            </w:r>
          </w:p>
          <w:p w14:paraId="3F161C28">
            <w:pPr>
              <w:keepNext w:val="0"/>
              <w:keepLines w:val="0"/>
              <w:pageBreakBefore w:val="0"/>
              <w:widowControl w:val="0"/>
              <w:kinsoku/>
              <w:wordWrap/>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同一投标人，小微企业、监狱、残疾人福利性企业同一产品价格扣除优惠只享受一次，不得重复享受。</w:t>
            </w:r>
          </w:p>
        </w:tc>
      </w:tr>
      <w:tr w14:paraId="367926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restart"/>
            <w:vAlign w:val="center"/>
          </w:tcPr>
          <w:p w14:paraId="5BD26B41">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6566BAAF">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7CBE0CAB">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p w14:paraId="2C7B55D3">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技术部分</w:t>
            </w:r>
          </w:p>
          <w:p w14:paraId="6E85DE78">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43</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545" w:type="dxa"/>
            <w:vAlign w:val="center"/>
          </w:tcPr>
          <w:p w14:paraId="07A062FA">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技术参数响应性</w:t>
            </w:r>
          </w:p>
          <w:p w14:paraId="7E0AD335">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sz w:val="21"/>
                <w:szCs w:val="21"/>
                <w:highlight w:val="none"/>
                <w:lang w:val="zh-CN"/>
                <w14:textFill>
                  <w14:solidFill>
                    <w14:schemeClr w14:val="tx1"/>
                  </w14:solidFill>
                </w14:textFill>
              </w:rPr>
              <w:t>分）</w:t>
            </w:r>
          </w:p>
        </w:tc>
        <w:tc>
          <w:tcPr>
            <w:tcW w:w="7246" w:type="dxa"/>
            <w:vAlign w:val="center"/>
          </w:tcPr>
          <w:p w14:paraId="7C2DA477">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 xml:space="preserve">评标委员会根据招标文件要求投标人提供的主要设备技术证明等文件，判断所投设备是否满足招标文件要求。技术参数不允许有负偏差（负偏差者按无效标处理）。完全满足招标文件要求的得 </w:t>
            </w:r>
            <w:r>
              <w:rPr>
                <w:rFonts w:hint="eastAsia" w:ascii="宋体" w:hAnsi="宋体" w:eastAsia="宋体" w:cs="宋体"/>
                <w:color w:val="000000" w:themeColor="text1"/>
                <w:sz w:val="21"/>
                <w:szCs w:val="21"/>
                <w:highlight w:val="none"/>
                <w14:textFill>
                  <w14:solidFill>
                    <w14:schemeClr w14:val="tx1"/>
                  </w14:solidFill>
                </w14:textFill>
              </w:rPr>
              <w:t>25</w:t>
            </w:r>
            <w:r>
              <w:rPr>
                <w:rFonts w:hint="eastAsia" w:ascii="宋体" w:hAnsi="宋体" w:eastAsia="宋体" w:cs="宋体"/>
                <w:color w:val="000000" w:themeColor="text1"/>
                <w:sz w:val="21"/>
                <w:szCs w:val="21"/>
                <w:highlight w:val="none"/>
                <w:lang w:val="zh-CN"/>
                <w14:textFill>
                  <w14:solidFill>
                    <w14:schemeClr w14:val="tx1"/>
                  </w14:solidFill>
                </w14:textFill>
              </w:rPr>
              <w:t>分。</w:t>
            </w:r>
          </w:p>
        </w:tc>
      </w:tr>
      <w:tr w14:paraId="26D0E01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988" w:hRule="atLeast"/>
          <w:jc w:val="center"/>
        </w:trPr>
        <w:tc>
          <w:tcPr>
            <w:tcW w:w="1175" w:type="dxa"/>
            <w:vMerge w:val="continue"/>
            <w:vAlign w:val="center"/>
          </w:tcPr>
          <w:p w14:paraId="67058552">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p>
        </w:tc>
        <w:tc>
          <w:tcPr>
            <w:tcW w:w="1545" w:type="dxa"/>
            <w:vAlign w:val="center"/>
          </w:tcPr>
          <w:p w14:paraId="5EA91F8A">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需求理解与总体方案</w:t>
            </w:r>
          </w:p>
          <w:p w14:paraId="3AC24CA7">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（5分）</w:t>
            </w:r>
          </w:p>
        </w:tc>
        <w:tc>
          <w:tcPr>
            <w:tcW w:w="7246" w:type="dxa"/>
            <w:vAlign w:val="center"/>
          </w:tcPr>
          <w:p w14:paraId="16893FD3">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供应商结合本项目现状，分析重点难点，准确理解客户需求，在此基础上，提出结构完整且合理的项目总体方案，内容包括但不限于架构设置、技术路线等。客户需求理解准确：</w:t>
            </w:r>
          </w:p>
          <w:p w14:paraId="4D5ACB91">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eastAsia="zh-CN" w:bidi="hi-IN"/>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总体方案思路清晰、架构完整、技术先进、符合项目实际需求的，得</w:t>
            </w:r>
            <w:r>
              <w:rPr>
                <w:rFonts w:hint="eastAsia" w:ascii="宋体" w:hAnsi="宋体" w:eastAsia="宋体" w:cs="宋体"/>
                <w:color w:val="000000" w:themeColor="text1"/>
                <w:sz w:val="21"/>
                <w:szCs w:val="21"/>
                <w:highlight w:val="none"/>
                <w14:textFill>
                  <w14:solidFill>
                    <w14:schemeClr w14:val="tx1"/>
                  </w14:solidFill>
                </w14:textFill>
              </w:rPr>
              <w:t>5</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1C0C5BAE">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客户需求理解较为准确、总体方案思路相对清晰、内容比较全面的，得</w:t>
            </w:r>
            <w:r>
              <w:rPr>
                <w:rFonts w:hint="eastAsia" w:ascii="宋体" w:hAnsi="宋体" w:eastAsia="宋体" w:cs="宋体"/>
                <w:color w:val="000000" w:themeColor="text1"/>
                <w:sz w:val="21"/>
                <w:szCs w:val="21"/>
                <w:highlight w:val="none"/>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1C592A9E">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客户需求理解及总体方案整体质量一般的，得</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5013CE06">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bidi="hi-IN"/>
                <w14:textFill>
                  <w14:solidFill>
                    <w14:schemeClr w14:val="tx1"/>
                  </w14:solidFill>
                </w14:textFill>
              </w:rPr>
              <w:t>（4）</w:t>
            </w:r>
            <w:r>
              <w:rPr>
                <w:rFonts w:hint="eastAsia" w:ascii="宋体" w:hAnsi="宋体" w:eastAsia="宋体" w:cs="宋体"/>
                <w:color w:val="000000" w:themeColor="text1"/>
                <w:sz w:val="21"/>
                <w:szCs w:val="21"/>
                <w:highlight w:val="none"/>
                <w:lang w:val="zh-CN"/>
                <w14:textFill>
                  <w14:solidFill>
                    <w14:schemeClr w14:val="tx1"/>
                  </w14:solidFill>
                </w14:textFill>
              </w:rPr>
              <w:t>客户需求理解及总体方案整体较差的，不得分；其他或未详细说明的不得分。</w:t>
            </w:r>
          </w:p>
        </w:tc>
      </w:tr>
      <w:tr w14:paraId="5A49F02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1B226FB2">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655BBEA0">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供货方案</w:t>
            </w:r>
          </w:p>
          <w:p w14:paraId="484B8721">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（5分）</w:t>
            </w:r>
          </w:p>
        </w:tc>
        <w:tc>
          <w:tcPr>
            <w:tcW w:w="7246" w:type="dxa"/>
            <w:vAlign w:val="center"/>
          </w:tcPr>
          <w:p w14:paraId="1027C8A0">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供货方案及措施：</w:t>
            </w:r>
          </w:p>
          <w:p w14:paraId="4EEC8EC0">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（1）供货时间计划安排科学合理，措施切实可行，方案对项目实施的准备工作、材料和质量保障措施等内容做出详细、合理的阐述的得5</w:t>
            </w:r>
            <w:r>
              <w:rPr>
                <w:rFonts w:hint="eastAsia" w:ascii="宋体" w:hAnsi="宋体" w:eastAsia="宋体" w:cs="宋体"/>
                <w:color w:val="000000" w:themeColor="text1"/>
                <w:sz w:val="21"/>
                <w:szCs w:val="21"/>
                <w:highlight w:val="none"/>
                <w:lang w:val="zh-CN"/>
                <w14:textFill>
                  <w14:solidFill>
                    <w14:schemeClr w14:val="tx1"/>
                  </w14:solidFill>
                </w14:textFill>
              </w:rPr>
              <w:t>分</w:t>
            </w:r>
            <w:r>
              <w:rPr>
                <w:rFonts w:hint="eastAsia" w:ascii="宋体" w:hAnsi="宋体" w:eastAsia="宋体" w:cs="宋体"/>
                <w:color w:val="000000" w:themeColor="text1"/>
                <w:sz w:val="21"/>
                <w:szCs w:val="21"/>
                <w:highlight w:val="none"/>
                <w14:textFill>
                  <w14:solidFill>
                    <w14:schemeClr w14:val="tx1"/>
                  </w14:solidFill>
                </w14:textFill>
              </w:rPr>
              <w:t>；</w:t>
            </w:r>
          </w:p>
          <w:p w14:paraId="07FAE787">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 xml:space="preserve">（2）供货时间计划基本符合本项目需求，方案对项目实施的准备工作、材料和质量保障措施等内容做出基本描述的得3分； </w:t>
            </w:r>
          </w:p>
          <w:p w14:paraId="3F1D6396">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（3）供货时间计划有瑕疵，方案对项目实施的准备工作、材料和质量保障措施等内容描述缺乏合理性，保证措施有瑕疵，缺乏针对性，执行性差，需进一步完善得1分；</w:t>
            </w:r>
          </w:p>
          <w:p w14:paraId="104428A2">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（4）供货时间计划不合理，方案对项目实施的准备工作、材料和质量保障措施等内容描述不合理性，保证措施不完善得0分；此项未提供不得分。</w:t>
            </w:r>
          </w:p>
        </w:tc>
      </w:tr>
      <w:tr w14:paraId="1B614A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525EA012">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5D5BEE17">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安装调试方案</w:t>
            </w:r>
          </w:p>
          <w:p w14:paraId="5C3790FB">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（5分）</w:t>
            </w:r>
          </w:p>
        </w:tc>
        <w:tc>
          <w:tcPr>
            <w:tcW w:w="7246" w:type="dxa"/>
            <w:vAlign w:val="center"/>
          </w:tcPr>
          <w:p w14:paraId="1D3D1D2E">
            <w:pPr>
              <w:pStyle w:val="33"/>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根据采购人实际需求，针对项目实际情况，供应商对所供货品安装调试制定详细计划方案和措施，根据供应商提供的方案进行打分：</w:t>
            </w:r>
          </w:p>
          <w:p w14:paraId="0B404A8D">
            <w:pPr>
              <w:pStyle w:val="33"/>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方案全面、详尽、合理、措施有保障，技术质量有保障、完全满足项目需求的得5分；</w:t>
            </w:r>
          </w:p>
          <w:p w14:paraId="3B44E7B3">
            <w:pPr>
              <w:pStyle w:val="33"/>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方案基本满足招标要求的，得3分；</w:t>
            </w:r>
          </w:p>
          <w:p w14:paraId="0AB5046F">
            <w:pPr>
              <w:pStyle w:val="33"/>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方案较差，不能满足需求的得1分；</w:t>
            </w:r>
          </w:p>
          <w:p w14:paraId="6EBE24BF">
            <w:pPr>
              <w:pStyle w:val="33"/>
              <w:keepNext w:val="0"/>
              <w:keepLines w:val="0"/>
              <w:pageBreakBefore w:val="0"/>
              <w:widowControl w:val="0"/>
              <w:kinsoku/>
              <w:wordWrap w:val="0"/>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缺项得0分。</w:t>
            </w:r>
          </w:p>
        </w:tc>
      </w:tr>
      <w:tr w14:paraId="1656829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452" w:hRule="atLeast"/>
          <w:jc w:val="center"/>
        </w:trPr>
        <w:tc>
          <w:tcPr>
            <w:tcW w:w="1175" w:type="dxa"/>
            <w:vMerge w:val="continue"/>
            <w:vAlign w:val="center"/>
          </w:tcPr>
          <w:p w14:paraId="78B8B9E0">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78EDFDCC">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质量保障措施</w:t>
            </w:r>
          </w:p>
          <w:p w14:paraId="2AF94741">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snapToGrid w:val="0"/>
                <w:color w:val="000000" w:themeColor="text1"/>
                <w:kern w:val="0"/>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tc>
        <w:tc>
          <w:tcPr>
            <w:tcW w:w="7246" w:type="dxa"/>
            <w:vAlign w:val="center"/>
          </w:tcPr>
          <w:p w14:paraId="19B2D239">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供应商针对本项目提供的质量保障措施完全满足项目需求得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6823F2E0">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质量保障措施满足项目需求得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1D0B59CE">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质量保障不完全满足项目需求得</w:t>
            </w:r>
            <w:r>
              <w:rPr>
                <w:rFonts w:hint="eastAsia" w:ascii="宋体" w:hAnsi="宋体" w:eastAsia="宋体" w:cs="宋体"/>
                <w:color w:val="000000" w:themeColor="text1"/>
                <w:sz w:val="21"/>
                <w:szCs w:val="21"/>
                <w:highlight w:val="none"/>
                <w14:textFill>
                  <w14:solidFill>
                    <w14:schemeClr w14:val="tx1"/>
                  </w14:solidFill>
                </w14:textFill>
              </w:rPr>
              <w:t>1</w:t>
            </w:r>
            <w:r>
              <w:rPr>
                <w:rFonts w:hint="eastAsia" w:ascii="宋体" w:hAnsi="宋体" w:eastAsia="宋体" w:cs="宋体"/>
                <w:color w:val="000000" w:themeColor="text1"/>
                <w:sz w:val="21"/>
                <w:szCs w:val="21"/>
                <w:highlight w:val="none"/>
                <w:lang w:val="zh-CN"/>
                <w14:textFill>
                  <w14:solidFill>
                    <w14:schemeClr w14:val="tx1"/>
                  </w14:solidFill>
                </w14:textFill>
              </w:rPr>
              <w:t>分；</w:t>
            </w:r>
          </w:p>
          <w:p w14:paraId="79031FD3">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质量保障措施不满足项目需求得0分。</w:t>
            </w:r>
          </w:p>
        </w:tc>
      </w:tr>
      <w:tr w14:paraId="680370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8" w:hRule="atLeast"/>
          <w:jc w:val="center"/>
        </w:trPr>
        <w:tc>
          <w:tcPr>
            <w:tcW w:w="1175" w:type="dxa"/>
            <w:vMerge w:val="restart"/>
            <w:vAlign w:val="center"/>
          </w:tcPr>
          <w:p w14:paraId="3C1DBF4F">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eastAsia="zh-CN"/>
                <w14:textFill>
                  <w14:solidFill>
                    <w14:schemeClr w14:val="tx1"/>
                  </w14:solidFill>
                </w14:textFill>
              </w:rPr>
              <w:t>综合</w:t>
            </w:r>
            <w:r>
              <w:rPr>
                <w:rFonts w:hint="eastAsia" w:ascii="宋体" w:hAnsi="宋体" w:eastAsia="宋体" w:cs="宋体"/>
                <w:color w:val="000000" w:themeColor="text1"/>
                <w:sz w:val="21"/>
                <w:szCs w:val="21"/>
                <w:highlight w:val="none"/>
                <w14:textFill>
                  <w14:solidFill>
                    <w14:schemeClr w14:val="tx1"/>
                  </w14:solidFill>
                </w14:textFill>
              </w:rPr>
              <w:t>部分</w:t>
            </w:r>
          </w:p>
          <w:p w14:paraId="4F543CBE">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27</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1545" w:type="dxa"/>
            <w:vAlign w:val="center"/>
          </w:tcPr>
          <w:p w14:paraId="3D408665">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业绩</w:t>
            </w:r>
          </w:p>
          <w:p w14:paraId="6AAD71DA">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46" w:type="dxa"/>
            <w:vAlign w:val="center"/>
          </w:tcPr>
          <w:p w14:paraId="4BD29B9E">
            <w:pPr>
              <w:keepNext w:val="0"/>
              <w:keepLines w:val="0"/>
              <w:pageBreakBefore w:val="0"/>
              <w:widowControl w:val="0"/>
              <w:kinsoku/>
              <w:overflowPunct/>
              <w:topLinePunct w:val="0"/>
              <w:autoSpaceDE/>
              <w:autoSpaceDN/>
              <w:bidi w:val="0"/>
              <w:adjustRightInd/>
              <w:spacing w:line="440" w:lineRule="exact"/>
              <w:ind w:right="0" w:rightChars="0"/>
              <w:jc w:val="left"/>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供应商应提供2020年1月1日（含）以来类似业绩：每提供一个得</w:t>
            </w:r>
            <w:r>
              <w:rPr>
                <w:rFonts w:hint="eastAsia" w:ascii="宋体" w:hAnsi="宋体" w:eastAsia="宋体" w:cs="宋体"/>
                <w:color w:val="000000" w:themeColor="text1"/>
                <w:sz w:val="21"/>
                <w:szCs w:val="21"/>
                <w:highlight w:val="none"/>
                <w:lang w:val="en-US" w:eastAsia="zh-CN"/>
                <w14:textFill>
                  <w14:solidFill>
                    <w14:schemeClr w14:val="tx1"/>
                  </w14:solidFill>
                </w14:textFill>
              </w:rPr>
              <w:t>6</w:t>
            </w:r>
            <w:r>
              <w:rPr>
                <w:rFonts w:hint="eastAsia" w:ascii="宋体" w:hAnsi="宋体" w:eastAsia="宋体" w:cs="宋体"/>
                <w:color w:val="000000" w:themeColor="text1"/>
                <w:sz w:val="21"/>
                <w:szCs w:val="21"/>
                <w:highlight w:val="none"/>
                <w14:textFill>
                  <w14:solidFill>
                    <w14:schemeClr w14:val="tx1"/>
                  </w14:solidFill>
                </w14:textFill>
              </w:rPr>
              <w:t>分，本项最多得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12</w:t>
            </w:r>
            <w:r>
              <w:rPr>
                <w:rFonts w:hint="eastAsia" w:ascii="宋体" w:hAnsi="宋体" w:eastAsia="宋体" w:cs="宋体"/>
                <w:color w:val="000000" w:themeColor="text1"/>
                <w:sz w:val="21"/>
                <w:szCs w:val="21"/>
                <w:highlight w:val="none"/>
                <w14:textFill>
                  <w14:solidFill>
                    <w14:schemeClr w14:val="tx1"/>
                  </w14:solidFill>
                </w14:textFill>
              </w:rPr>
              <w:t>分。 每一个业绩证明以合同原件扫描件为准。不提供或不按要求提供或缺项提供不得分。时间以合同签订时间为准。</w:t>
            </w:r>
          </w:p>
        </w:tc>
      </w:tr>
      <w:tr w14:paraId="53EC6D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1318" w:hRule="atLeast"/>
          <w:jc w:val="center"/>
        </w:trPr>
        <w:tc>
          <w:tcPr>
            <w:tcW w:w="1175" w:type="dxa"/>
            <w:vMerge w:val="continue"/>
            <w:vAlign w:val="center"/>
          </w:tcPr>
          <w:p w14:paraId="09B42B0C">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6A26EF6E">
            <w:pPr>
              <w:keepNext w:val="0"/>
              <w:keepLines w:val="0"/>
              <w:pageBreakBefore w:val="0"/>
              <w:widowControl w:val="0"/>
              <w:numPr>
                <w:ilvl w:val="0"/>
                <w:numId w:val="0"/>
              </w:numPr>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优先采购节能、环保产品（2分）</w:t>
            </w:r>
          </w:p>
        </w:tc>
        <w:tc>
          <w:tcPr>
            <w:tcW w:w="7246" w:type="dxa"/>
            <w:vAlign w:val="center"/>
          </w:tcPr>
          <w:p w14:paraId="1B553F3A">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（1）节能产品（政府强制采购的节能产品除外）：对供应商所投报产品有属于节能产品的且具备国家确定的认证机构出具的、处于有效期之内节能产品认证证书的产品，每有一项得的0.5分；最多得1分。</w:t>
            </w:r>
          </w:p>
          <w:p w14:paraId="69008F17">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（2）环保产品：对供应商所投报产品有属于环境标志产品的且具备国家确定的认证机构出具的、处于有效期之内环境标志产品认证证书的，每有一项得的0.5分；最多得1分。</w:t>
            </w:r>
          </w:p>
          <w:p w14:paraId="6FED1F88">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b w:val="0"/>
                <w:bCs w:val="0"/>
                <w:color w:val="000000" w:themeColor="text1"/>
                <w:sz w:val="21"/>
                <w:szCs w:val="21"/>
                <w:highlight w:val="none"/>
                <w14:textFill>
                  <w14:solidFill>
                    <w14:schemeClr w14:val="tx1"/>
                  </w14:solidFill>
                </w14:textFill>
              </w:rPr>
              <w:t>注：投标文件中附证书复印件加盖</w:t>
            </w:r>
            <w:r>
              <w:rPr>
                <w:rFonts w:hint="eastAsia" w:ascii="宋体" w:hAnsi="宋体" w:eastAsia="宋体" w:cs="宋体"/>
                <w:b w:val="0"/>
                <w:bCs w:val="0"/>
                <w:color w:val="000000" w:themeColor="text1"/>
                <w:sz w:val="21"/>
                <w:szCs w:val="21"/>
                <w:highlight w:val="none"/>
                <w:lang w:eastAsia="zh-CN"/>
                <w14:textFill>
                  <w14:solidFill>
                    <w14:schemeClr w14:val="tx1"/>
                  </w14:solidFill>
                </w14:textFill>
              </w:rPr>
              <w:t>供应商</w:t>
            </w:r>
            <w:r>
              <w:rPr>
                <w:rFonts w:hint="eastAsia" w:ascii="宋体" w:hAnsi="宋体" w:eastAsia="宋体" w:cs="宋体"/>
                <w:b w:val="0"/>
                <w:bCs w:val="0"/>
                <w:color w:val="000000" w:themeColor="text1"/>
                <w:sz w:val="21"/>
                <w:szCs w:val="21"/>
                <w:highlight w:val="none"/>
                <w14:textFill>
                  <w14:solidFill>
                    <w14:schemeClr w14:val="tx1"/>
                  </w14:solidFill>
                </w14:textFill>
              </w:rPr>
              <w:t>供应商公章，否则不予承认。</w:t>
            </w:r>
          </w:p>
        </w:tc>
      </w:tr>
      <w:tr w14:paraId="7CE05F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627" w:hRule="atLeast"/>
          <w:jc w:val="center"/>
        </w:trPr>
        <w:tc>
          <w:tcPr>
            <w:tcW w:w="1175" w:type="dxa"/>
            <w:vMerge w:val="continue"/>
            <w:vAlign w:val="center"/>
          </w:tcPr>
          <w:p w14:paraId="15BAA6C1">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Align w:val="center"/>
          </w:tcPr>
          <w:p w14:paraId="4BE27AFA">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kern w:val="10"/>
                <w:sz w:val="21"/>
                <w:szCs w:val="21"/>
                <w:highlight w:val="none"/>
                <w14:textFill>
                  <w14:solidFill>
                    <w14:schemeClr w14:val="tx1"/>
                  </w14:solidFill>
                </w14:textFill>
              </w:rPr>
            </w:pPr>
            <w:r>
              <w:rPr>
                <w:rFonts w:hint="eastAsia" w:ascii="宋体" w:hAnsi="宋体" w:eastAsia="宋体" w:cs="宋体"/>
                <w:color w:val="000000" w:themeColor="text1"/>
                <w:kern w:val="10"/>
                <w:sz w:val="21"/>
                <w:szCs w:val="21"/>
                <w:highlight w:val="none"/>
                <w14:textFill>
                  <w14:solidFill>
                    <w14:schemeClr w14:val="tx1"/>
                  </w14:solidFill>
                </w14:textFill>
              </w:rPr>
              <w:t>质保期</w:t>
            </w:r>
          </w:p>
          <w:p w14:paraId="0D061077">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kern w:val="10"/>
                <w:sz w:val="21"/>
                <w:szCs w:val="21"/>
                <w:highlight w:val="none"/>
                <w14:textFill>
                  <w14:solidFill>
                    <w14:schemeClr w14:val="tx1"/>
                  </w14:solidFill>
                </w14:textFill>
              </w:rPr>
              <w:t>（</w:t>
            </w:r>
            <w:r>
              <w:rPr>
                <w:rFonts w:hint="eastAsia" w:ascii="宋体" w:hAnsi="宋体" w:eastAsia="宋体" w:cs="宋体"/>
                <w:color w:val="000000" w:themeColor="text1"/>
                <w:kern w:val="10"/>
                <w:sz w:val="21"/>
                <w:szCs w:val="21"/>
                <w:highlight w:val="none"/>
                <w:lang w:val="en-US" w:eastAsia="zh-CN"/>
                <w14:textFill>
                  <w14:solidFill>
                    <w14:schemeClr w14:val="tx1"/>
                  </w14:solidFill>
                </w14:textFill>
              </w:rPr>
              <w:t>3</w:t>
            </w:r>
            <w:r>
              <w:rPr>
                <w:rFonts w:hint="eastAsia" w:ascii="宋体" w:hAnsi="宋体" w:eastAsia="宋体" w:cs="宋体"/>
                <w:color w:val="000000" w:themeColor="text1"/>
                <w:kern w:val="10"/>
                <w:sz w:val="21"/>
                <w:szCs w:val="21"/>
                <w:highlight w:val="none"/>
                <w14:textFill>
                  <w14:solidFill>
                    <w14:schemeClr w14:val="tx1"/>
                  </w14:solidFill>
                </w14:textFill>
              </w:rPr>
              <w:t>分）</w:t>
            </w:r>
          </w:p>
        </w:tc>
        <w:tc>
          <w:tcPr>
            <w:tcW w:w="7246" w:type="dxa"/>
            <w:vAlign w:val="center"/>
          </w:tcPr>
          <w:p w14:paraId="0F71E7BD">
            <w:pPr>
              <w:keepNext w:val="0"/>
              <w:keepLines w:val="0"/>
              <w:pageBreakBefore w:val="0"/>
              <w:widowControl w:val="0"/>
              <w:kinsoku/>
              <w:overflowPunct/>
              <w:topLinePunct w:val="0"/>
              <w:autoSpaceDE/>
              <w:autoSpaceDN/>
              <w:bidi w:val="0"/>
              <w:adjustRightInd/>
              <w:snapToGrid w:val="0"/>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供应商需要针对本项目提供明确的质保期，在满足招标文件要求的基础上，质保期每增加1年得1分（不足1年不加分）此项最多加</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 xml:space="preserve"> 分。</w:t>
            </w:r>
          </w:p>
        </w:tc>
      </w:tr>
      <w:tr w14:paraId="20B1CA3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5E45D335">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Merge w:val="restart"/>
            <w:vAlign w:val="center"/>
          </w:tcPr>
          <w:p w14:paraId="27EB636D">
            <w:pPr>
              <w:keepNext w:val="0"/>
              <w:keepLines w:val="0"/>
              <w:pageBreakBefore w:val="0"/>
              <w:widowControl w:val="0"/>
              <w:kinsoku/>
              <w:overflowPunct/>
              <w:topLinePunct w:val="0"/>
              <w:autoSpaceDE/>
              <w:autoSpaceDN/>
              <w:bidi w:val="0"/>
              <w:adjustRightInd/>
              <w:spacing w:line="440" w:lineRule="exact"/>
              <w:ind w:right="0" w:rightChars="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售后服务方案（1</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分）</w:t>
            </w:r>
          </w:p>
        </w:tc>
        <w:tc>
          <w:tcPr>
            <w:tcW w:w="7246" w:type="dxa"/>
            <w:vAlign w:val="center"/>
          </w:tcPr>
          <w:p w14:paraId="130F1BEB">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质保期内售后服务：质保期内售后服务有明确服务内容，服务计划，有详细的服务承诺书、故障响应计划、应急处理方案及维修保养方案、措施、技术支持。服务内容完善、服务计划合理，得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7BAF32E6">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服务内容基本完善、服务计划基本合理得2分，</w:t>
            </w:r>
          </w:p>
          <w:p w14:paraId="5F7D69F2">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服务内容不完善、服务计划不合理得1分，</w:t>
            </w:r>
          </w:p>
          <w:p w14:paraId="39EADAA5">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缺项得0分。</w:t>
            </w:r>
          </w:p>
        </w:tc>
      </w:tr>
      <w:tr w14:paraId="5F541D6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0768AF81">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Merge w:val="continue"/>
            <w:vAlign w:val="center"/>
          </w:tcPr>
          <w:p w14:paraId="1D8746A7">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46" w:type="dxa"/>
            <w:vAlign w:val="center"/>
          </w:tcPr>
          <w:p w14:paraId="7DFAA3CC">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质保期外售后服务：服务全面优惠得</w:t>
            </w: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分，</w:t>
            </w:r>
          </w:p>
          <w:p w14:paraId="59C840D3">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服务基本全面得2分，</w:t>
            </w:r>
          </w:p>
          <w:p w14:paraId="489AC94C">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zh-CN" w:eastAsia="zh-CN" w:bidi="ar-SA"/>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服务内容不完善，不优惠得1分，缺项得0分。</w:t>
            </w:r>
          </w:p>
        </w:tc>
      </w:tr>
      <w:tr w14:paraId="58EBF80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482D0187">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Merge w:val="continue"/>
            <w:vAlign w:val="center"/>
          </w:tcPr>
          <w:p w14:paraId="52A02F08">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46" w:type="dxa"/>
            <w:vAlign w:val="center"/>
          </w:tcPr>
          <w:p w14:paraId="328B6A87">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en-US" w:eastAsia="zh-CN"/>
                <w14:textFill>
                  <w14:solidFill>
                    <w14:schemeClr w14:val="tx1"/>
                  </w14:solidFill>
                </w14:textFill>
              </w:rPr>
              <w:t>3.</w:t>
            </w:r>
            <w:r>
              <w:rPr>
                <w:rFonts w:hint="eastAsia" w:ascii="宋体" w:hAnsi="宋体" w:eastAsia="宋体" w:cs="宋体"/>
                <w:color w:val="000000" w:themeColor="text1"/>
                <w:sz w:val="21"/>
                <w:szCs w:val="21"/>
                <w:highlight w:val="none"/>
                <w14:textFill>
                  <w14:solidFill>
                    <w14:schemeClr w14:val="tx1"/>
                  </w14:solidFill>
                </w14:textFill>
              </w:rPr>
              <w:t>响应时间承诺：供应商对于供货时间、供货过程中所产生的问题</w:t>
            </w:r>
            <w:r>
              <w:rPr>
                <w:rFonts w:hint="eastAsia" w:ascii="宋体" w:hAnsi="宋体" w:eastAsia="宋体" w:cs="宋体"/>
                <w:color w:val="000000" w:themeColor="text1"/>
                <w:sz w:val="21"/>
                <w:szCs w:val="21"/>
                <w:highlight w:val="none"/>
                <w:lang w:eastAsia="zh-CN"/>
                <w14:textFill>
                  <w14:solidFill>
                    <w14:schemeClr w14:val="tx1"/>
                  </w14:solidFill>
                </w14:textFill>
              </w:rPr>
              <w:t>，</w:t>
            </w:r>
            <w:r>
              <w:rPr>
                <w:rFonts w:hint="eastAsia" w:ascii="宋体" w:hAnsi="宋体" w:eastAsia="宋体" w:cs="宋体"/>
                <w:color w:val="000000" w:themeColor="text1"/>
                <w:sz w:val="21"/>
                <w:szCs w:val="21"/>
                <w:highlight w:val="none"/>
                <w14:textFill>
                  <w14:solidFill>
                    <w14:schemeClr w14:val="tx1"/>
                  </w14:solidFill>
                </w14:textFill>
              </w:rPr>
              <w:t>积极响应处理的承诺及方案，承诺并提供完善具体方案的，得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w:t>
            </w:r>
          </w:p>
          <w:p w14:paraId="018B97F3">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承诺并提供基本不够具体方案的，得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w:t>
            </w:r>
          </w:p>
          <w:p w14:paraId="6DEF49E6">
            <w:pPr>
              <w:keepNext w:val="0"/>
              <w:keepLines w:val="0"/>
              <w:pageBreakBefore w:val="0"/>
              <w:widowControl w:val="0"/>
              <w:numPr>
                <w:ilvl w:val="0"/>
                <w:numId w:val="0"/>
              </w:numPr>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缺项得0分。</w:t>
            </w:r>
          </w:p>
        </w:tc>
      </w:tr>
      <w:tr w14:paraId="6C78A48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90" w:hRule="atLeast"/>
          <w:jc w:val="center"/>
        </w:trPr>
        <w:tc>
          <w:tcPr>
            <w:tcW w:w="1175" w:type="dxa"/>
            <w:vMerge w:val="continue"/>
            <w:vAlign w:val="center"/>
          </w:tcPr>
          <w:p w14:paraId="24CE5C8F">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1545" w:type="dxa"/>
            <w:vMerge w:val="continue"/>
            <w:vAlign w:val="center"/>
          </w:tcPr>
          <w:p w14:paraId="747B1858">
            <w:pPr>
              <w:keepNext w:val="0"/>
              <w:keepLines w:val="0"/>
              <w:pageBreakBefore w:val="0"/>
              <w:widowControl w:val="0"/>
              <w:kinsoku/>
              <w:overflowPunct/>
              <w:topLinePunct w:val="0"/>
              <w:autoSpaceDE/>
              <w:autoSpaceDN/>
              <w:bidi w:val="0"/>
              <w:adjustRightInd/>
              <w:spacing w:line="440" w:lineRule="exact"/>
              <w:ind w:left="0" w:leftChars="0" w:right="0" w:rightChars="0" w:firstLine="420" w:firstLineChars="200"/>
              <w:jc w:val="center"/>
              <w:textAlignment w:val="auto"/>
              <w:rPr>
                <w:rFonts w:hint="eastAsia" w:ascii="宋体" w:hAnsi="宋体" w:eastAsia="宋体" w:cs="宋体"/>
                <w:color w:val="000000" w:themeColor="text1"/>
                <w:sz w:val="21"/>
                <w:szCs w:val="21"/>
                <w:highlight w:val="none"/>
                <w14:textFill>
                  <w14:solidFill>
                    <w14:schemeClr w14:val="tx1"/>
                  </w14:solidFill>
                </w14:textFill>
              </w:rPr>
            </w:pPr>
          </w:p>
        </w:tc>
        <w:tc>
          <w:tcPr>
            <w:tcW w:w="7246" w:type="dxa"/>
            <w:vAlign w:val="center"/>
          </w:tcPr>
          <w:p w14:paraId="62674E11">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4.其他：供应商提供的其他实质性优惠条件。</w:t>
            </w:r>
          </w:p>
          <w:p w14:paraId="1C7D11CF">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kern w:val="2"/>
                <w:sz w:val="21"/>
                <w:szCs w:val="21"/>
                <w:highlight w:val="none"/>
                <w:lang w:val="en-US" w:eastAsia="zh-CN" w:bidi="ar"/>
                <w14:textFill>
                  <w14:solidFill>
                    <w14:schemeClr w14:val="tx1"/>
                  </w14:solidFill>
                </w14:textFill>
              </w:rPr>
            </w:pPr>
            <w:r>
              <w:rPr>
                <w:rFonts w:hint="eastAsia" w:ascii="宋体" w:hAnsi="宋体" w:eastAsia="宋体" w:cs="宋体"/>
                <w:color w:val="000000" w:themeColor="text1"/>
                <w:sz w:val="21"/>
                <w:szCs w:val="21"/>
                <w:highlight w:val="none"/>
                <w14:textFill>
                  <w14:solidFill>
                    <w14:schemeClr w14:val="tx1"/>
                  </w14:solidFill>
                </w14:textFill>
              </w:rPr>
              <w:t>实质性优惠条件全面，能落到实处得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2</w:t>
            </w:r>
            <w:r>
              <w:rPr>
                <w:rFonts w:hint="eastAsia" w:ascii="宋体" w:hAnsi="宋体" w:eastAsia="宋体" w:cs="宋体"/>
                <w:color w:val="000000" w:themeColor="text1"/>
                <w:sz w:val="21"/>
                <w:szCs w:val="21"/>
                <w:highlight w:val="none"/>
                <w14:textFill>
                  <w14:solidFill>
                    <w14:schemeClr w14:val="tx1"/>
                  </w14:solidFill>
                </w14:textFill>
              </w:rPr>
              <w:t>分，实质性优惠条件基本全面，能基本落到实处得</w:t>
            </w:r>
            <w:r>
              <w:rPr>
                <w:rFonts w:hint="eastAsia" w:ascii="宋体" w:hAnsi="宋体" w:eastAsia="宋体" w:cs="宋体"/>
                <w:color w:val="000000" w:themeColor="text1"/>
                <w:sz w:val="21"/>
                <w:szCs w:val="21"/>
                <w:highlight w:val="none"/>
                <w:lang w:val="en-US" w:eastAsia="zh-CN"/>
                <w14:textFill>
                  <w14:solidFill>
                    <w14:schemeClr w14:val="tx1"/>
                  </w14:solidFill>
                </w14:textFill>
              </w:rPr>
              <w:t>1</w:t>
            </w:r>
            <w:r>
              <w:rPr>
                <w:rFonts w:hint="eastAsia" w:ascii="宋体" w:hAnsi="宋体" w:eastAsia="宋体" w:cs="宋体"/>
                <w:color w:val="000000" w:themeColor="text1"/>
                <w:sz w:val="21"/>
                <w:szCs w:val="21"/>
                <w:highlight w:val="none"/>
                <w14:textFill>
                  <w14:solidFill>
                    <w14:schemeClr w14:val="tx1"/>
                  </w14:solidFill>
                </w14:textFill>
              </w:rPr>
              <w:t>分，实质性优惠条件不全面，不能落到实处</w:t>
            </w:r>
            <w:r>
              <w:rPr>
                <w:rFonts w:hint="eastAsia" w:ascii="宋体" w:hAnsi="宋体" w:eastAsia="宋体" w:cs="宋体"/>
                <w:color w:val="000000" w:themeColor="text1"/>
                <w:sz w:val="21"/>
                <w:szCs w:val="21"/>
                <w:highlight w:val="none"/>
                <w:lang w:eastAsia="zh-CN"/>
                <w14:textFill>
                  <w14:solidFill>
                    <w14:schemeClr w14:val="tx1"/>
                  </w14:solidFill>
                </w14:textFill>
              </w:rPr>
              <w:t>或缺项者</w:t>
            </w:r>
            <w:r>
              <w:rPr>
                <w:rFonts w:hint="eastAsia" w:ascii="宋体" w:hAnsi="宋体" w:eastAsia="宋体" w:cs="宋体"/>
                <w:color w:val="000000" w:themeColor="text1"/>
                <w:sz w:val="21"/>
                <w:szCs w:val="21"/>
                <w:highlight w:val="none"/>
                <w14:textFill>
                  <w14:solidFill>
                    <w14:schemeClr w14:val="tx1"/>
                  </w14:solidFill>
                </w14:textFill>
              </w:rPr>
              <w:t>得</w:t>
            </w:r>
            <w:r>
              <w:rPr>
                <w:rFonts w:hint="eastAsia" w:ascii="宋体" w:hAnsi="宋体" w:eastAsia="宋体" w:cs="宋体"/>
                <w:color w:val="000000" w:themeColor="text1"/>
                <w:sz w:val="21"/>
                <w:szCs w:val="21"/>
                <w:highlight w:val="none"/>
                <w:lang w:val="en-US" w:eastAsia="zh-CN"/>
                <w14:textFill>
                  <w14:solidFill>
                    <w14:schemeClr w14:val="tx1"/>
                  </w14:solidFill>
                </w14:textFill>
              </w:rPr>
              <w:t>0</w:t>
            </w:r>
            <w:r>
              <w:rPr>
                <w:rFonts w:hint="eastAsia" w:ascii="宋体" w:hAnsi="宋体" w:eastAsia="宋体" w:cs="宋体"/>
                <w:color w:val="000000" w:themeColor="text1"/>
                <w:sz w:val="21"/>
                <w:szCs w:val="21"/>
                <w:highlight w:val="none"/>
                <w14:textFill>
                  <w14:solidFill>
                    <w14:schemeClr w14:val="tx1"/>
                  </w14:solidFill>
                </w14:textFill>
              </w:rPr>
              <w:t>分。</w:t>
            </w:r>
          </w:p>
        </w:tc>
      </w:tr>
      <w:tr w14:paraId="3836F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15" w:type="dxa"/>
            <w:left w:w="15" w:type="dxa"/>
            <w:bottom w:w="15" w:type="dxa"/>
            <w:right w:w="15" w:type="dxa"/>
          </w:tblCellMar>
        </w:tblPrEx>
        <w:trPr>
          <w:trHeight w:val="586" w:hRule="atLeast"/>
          <w:jc w:val="center"/>
        </w:trPr>
        <w:tc>
          <w:tcPr>
            <w:tcW w:w="9966" w:type="dxa"/>
            <w:gridSpan w:val="3"/>
            <w:vAlign w:val="center"/>
          </w:tcPr>
          <w:p w14:paraId="6EF836C4">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最终得分＝报价部分+技术部分+商务</w:t>
            </w:r>
            <w:r>
              <w:rPr>
                <w:rFonts w:hint="eastAsia" w:ascii="宋体" w:hAnsi="宋体" w:eastAsia="宋体" w:cs="宋体"/>
                <w:color w:val="000000" w:themeColor="text1"/>
                <w:sz w:val="21"/>
                <w:szCs w:val="21"/>
                <w:highlight w:val="none"/>
                <w14:textFill>
                  <w14:solidFill>
                    <w14:schemeClr w14:val="tx1"/>
                  </w14:solidFill>
                </w14:textFill>
              </w:rPr>
              <w:t>部分+售后部分。</w:t>
            </w:r>
          </w:p>
          <w:p w14:paraId="4E365E7B">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最终得分为评委的评分结果取平均值后作为该供应商的最终得分。</w:t>
            </w:r>
          </w:p>
          <w:p w14:paraId="5E98EEFA">
            <w:pPr>
              <w:keepNext w:val="0"/>
              <w:keepLines w:val="0"/>
              <w:pageBreakBefore w:val="0"/>
              <w:widowControl w:val="0"/>
              <w:kinsoku/>
              <w:overflowPunct/>
              <w:topLinePunct w:val="0"/>
              <w:autoSpaceDE/>
              <w:autoSpaceDN/>
              <w:bidi w:val="0"/>
              <w:adjustRightInd/>
              <w:spacing w:line="440" w:lineRule="exact"/>
              <w:ind w:right="0" w:rightChars="0"/>
              <w:textAlignment w:val="auto"/>
              <w:rPr>
                <w:rFonts w:hint="eastAsia" w:ascii="宋体" w:hAnsi="宋体" w:eastAsia="宋体" w:cs="宋体"/>
                <w:color w:val="000000" w:themeColor="text1"/>
                <w:sz w:val="21"/>
                <w:szCs w:val="21"/>
                <w:highlight w:val="none"/>
                <w:lang w:val="zh-CN"/>
                <w14:textFill>
                  <w14:solidFill>
                    <w14:schemeClr w14:val="tx1"/>
                  </w14:solidFill>
                </w14:textFill>
              </w:rPr>
            </w:pPr>
            <w:r>
              <w:rPr>
                <w:rFonts w:hint="eastAsia" w:ascii="宋体" w:hAnsi="宋体" w:eastAsia="宋体" w:cs="宋体"/>
                <w:color w:val="000000" w:themeColor="text1"/>
                <w:sz w:val="21"/>
                <w:szCs w:val="21"/>
                <w:highlight w:val="none"/>
                <w:lang w:val="zh-CN"/>
                <w14:textFill>
                  <w14:solidFill>
                    <w14:schemeClr w14:val="tx1"/>
                  </w14:solidFill>
                </w14:textFill>
              </w:rPr>
              <w:t>本评标办法在</w:t>
            </w:r>
            <w:r>
              <w:rPr>
                <w:rFonts w:hint="eastAsia" w:ascii="宋体" w:hAnsi="宋体" w:eastAsia="宋体" w:cs="宋体"/>
                <w:color w:val="000000" w:themeColor="text1"/>
                <w:sz w:val="21"/>
                <w:szCs w:val="21"/>
                <w:highlight w:val="none"/>
                <w14:textFill>
                  <w14:solidFill>
                    <w14:schemeClr w14:val="tx1"/>
                  </w14:solidFill>
                </w14:textFill>
              </w:rPr>
              <w:t>本办法计算过程中分值按四舍五入保留二位小数。</w:t>
            </w:r>
          </w:p>
        </w:tc>
      </w:tr>
    </w:tbl>
    <w:p w14:paraId="3B09F1C8">
      <w:pPr>
        <w:tabs>
          <w:tab w:val="left" w:pos="170"/>
          <w:tab w:val="left" w:pos="303"/>
          <w:tab w:val="left" w:pos="420"/>
        </w:tabs>
        <w:adjustRightInd w:val="0"/>
        <w:snapToGrid w:val="0"/>
        <w:spacing w:line="560" w:lineRule="exact"/>
        <w:outlineLvl w:val="1"/>
        <w:rPr>
          <w:rFonts w:ascii="宋体" w:hAnsi="宋体" w:cs="宋体"/>
          <w:b/>
          <w:color w:val="000000" w:themeColor="text1"/>
          <w:szCs w:val="21"/>
          <w:highlight w:val="none"/>
          <w14:textFill>
            <w14:solidFill>
              <w14:schemeClr w14:val="tx1"/>
            </w14:solidFill>
          </w14:textFill>
        </w:rPr>
      </w:pPr>
      <w:bookmarkStart w:id="249" w:name="_Toc454147538"/>
      <w:bookmarkStart w:id="250" w:name="_Toc466017207"/>
      <w:bookmarkStart w:id="251" w:name="_Toc465502579"/>
      <w:bookmarkStart w:id="252" w:name="_Toc21064"/>
      <w:bookmarkStart w:id="253" w:name="_Toc19403"/>
      <w:bookmarkStart w:id="254" w:name="_Toc426369531"/>
      <w:bookmarkStart w:id="255" w:name="_Toc31084"/>
      <w:bookmarkStart w:id="256" w:name="_Toc403122541"/>
      <w:bookmarkStart w:id="257" w:name="_Toc2761070"/>
      <w:r>
        <w:rPr>
          <w:rFonts w:ascii="宋体" w:hAnsi="宋体" w:cs="宋体"/>
          <w:b/>
          <w:color w:val="000000" w:themeColor="text1"/>
          <w:szCs w:val="21"/>
          <w:highlight w:val="none"/>
          <w14:textFill>
            <w14:solidFill>
              <w14:schemeClr w14:val="tx1"/>
            </w14:solidFill>
          </w14:textFill>
        </w:rPr>
        <w:t>1.</w:t>
      </w:r>
      <w:r>
        <w:rPr>
          <w:rFonts w:hint="eastAsia" w:ascii="宋体" w:hAnsi="宋体" w:cs="宋体"/>
          <w:b/>
          <w:color w:val="000000" w:themeColor="text1"/>
          <w:szCs w:val="21"/>
          <w:highlight w:val="none"/>
          <w14:textFill>
            <w14:solidFill>
              <w14:schemeClr w14:val="tx1"/>
            </w14:solidFill>
          </w14:textFill>
        </w:rPr>
        <w:t xml:space="preserve"> </w:t>
      </w:r>
      <w:bookmarkStart w:id="258" w:name="_Toc10429"/>
      <w:bookmarkStart w:id="259" w:name="_Toc6843"/>
      <w:bookmarkStart w:id="260" w:name="_Toc3350"/>
      <w:r>
        <w:rPr>
          <w:rFonts w:hint="eastAsia" w:ascii="宋体" w:hAnsi="宋体" w:cs="宋体"/>
          <w:b/>
          <w:color w:val="000000" w:themeColor="text1"/>
          <w:szCs w:val="21"/>
          <w:highlight w:val="none"/>
          <w14:textFill>
            <w14:solidFill>
              <w14:schemeClr w14:val="tx1"/>
            </w14:solidFill>
          </w14:textFill>
        </w:rPr>
        <w:t>评标准则和评标方法</w:t>
      </w:r>
      <w:bookmarkEnd w:id="249"/>
      <w:bookmarkEnd w:id="250"/>
      <w:bookmarkEnd w:id="251"/>
      <w:bookmarkEnd w:id="252"/>
      <w:bookmarkEnd w:id="253"/>
      <w:bookmarkEnd w:id="258"/>
      <w:bookmarkEnd w:id="259"/>
      <w:bookmarkEnd w:id="260"/>
    </w:p>
    <w:p w14:paraId="1F8EA1DF">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1.1 评标过程将遵循“公平、公正、科学、择优”的原则进行。</w:t>
      </w:r>
    </w:p>
    <w:p w14:paraId="6FB99950">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1.2 评标将严格按照招标文件的要求和条件进行。</w:t>
      </w:r>
    </w:p>
    <w:p w14:paraId="411AF38F">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1.3 本次评标采用综合评分法。</w:t>
      </w:r>
    </w:p>
    <w:p w14:paraId="624581AF">
      <w:pPr>
        <w:tabs>
          <w:tab w:val="left" w:pos="170"/>
          <w:tab w:val="left" w:pos="303"/>
          <w:tab w:val="left" w:pos="420"/>
        </w:tabs>
        <w:adjustRightInd w:val="0"/>
        <w:snapToGrid w:val="0"/>
        <w:spacing w:line="560" w:lineRule="exact"/>
        <w:outlineLvl w:val="1"/>
        <w:rPr>
          <w:rFonts w:ascii="宋体" w:hAnsi="宋体" w:cs="宋体"/>
          <w:b/>
          <w:color w:val="000000" w:themeColor="text1"/>
          <w:szCs w:val="21"/>
          <w:highlight w:val="none"/>
          <w14:textFill>
            <w14:solidFill>
              <w14:schemeClr w14:val="tx1"/>
            </w14:solidFill>
          </w14:textFill>
        </w:rPr>
      </w:pPr>
      <w:bookmarkStart w:id="261" w:name="_Toc465502580"/>
      <w:bookmarkStart w:id="262" w:name="_Toc7951"/>
      <w:bookmarkStart w:id="263" w:name="_Toc3472"/>
      <w:bookmarkStart w:id="264" w:name="_Toc15449"/>
      <w:bookmarkStart w:id="265" w:name="_Toc8852"/>
      <w:bookmarkStart w:id="266" w:name="_Toc466017208"/>
      <w:bookmarkStart w:id="267" w:name="_Toc13195"/>
      <w:bookmarkStart w:id="268" w:name="_Toc454147539"/>
      <w:r>
        <w:rPr>
          <w:rFonts w:ascii="宋体" w:hAnsi="宋体" w:cs="宋体"/>
          <w:b/>
          <w:color w:val="000000" w:themeColor="text1"/>
          <w:szCs w:val="21"/>
          <w:highlight w:val="none"/>
          <w14:textFill>
            <w14:solidFill>
              <w14:schemeClr w14:val="tx1"/>
            </w14:solidFill>
          </w14:textFill>
        </w:rPr>
        <w:t>2.</w:t>
      </w:r>
      <w:r>
        <w:rPr>
          <w:rFonts w:hint="eastAsia" w:ascii="宋体" w:hAnsi="宋体" w:cs="宋体"/>
          <w:b/>
          <w:color w:val="000000" w:themeColor="text1"/>
          <w:szCs w:val="21"/>
          <w:highlight w:val="none"/>
          <w14:textFill>
            <w14:solidFill>
              <w14:schemeClr w14:val="tx1"/>
            </w14:solidFill>
          </w14:textFill>
        </w:rPr>
        <w:t>评审标准</w:t>
      </w:r>
      <w:bookmarkEnd w:id="261"/>
      <w:bookmarkEnd w:id="262"/>
      <w:bookmarkEnd w:id="263"/>
      <w:bookmarkEnd w:id="264"/>
      <w:bookmarkEnd w:id="265"/>
      <w:bookmarkEnd w:id="266"/>
      <w:bookmarkEnd w:id="267"/>
      <w:bookmarkEnd w:id="268"/>
    </w:p>
    <w:p w14:paraId="0A46EEA7">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2.1 资格评审标准：详见《评分办法前附表》中资格评审标准。</w:t>
      </w:r>
    </w:p>
    <w:p w14:paraId="21094B66">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bookmarkStart w:id="269" w:name="_Toc4292"/>
      <w:bookmarkStart w:id="270" w:name="_Toc11065"/>
      <w:bookmarkStart w:id="271" w:name="_Toc7963"/>
      <w:bookmarkStart w:id="272" w:name="_Toc19609"/>
      <w:r>
        <w:rPr>
          <w:rFonts w:hint="eastAsia" w:ascii="宋体" w:hAnsi="宋体" w:cs="宋体"/>
          <w:color w:val="000000" w:themeColor="text1"/>
          <w:szCs w:val="21"/>
          <w:highlight w:val="none"/>
          <w14:textFill>
            <w14:solidFill>
              <w14:schemeClr w14:val="tx1"/>
            </w14:solidFill>
          </w14:textFill>
        </w:rPr>
        <w:t>2.2 评分标准：详见《评分办法前附表》商务部分、技术部分、</w:t>
      </w:r>
      <w:r>
        <w:rPr>
          <w:rFonts w:hint="eastAsia" w:ascii="宋体" w:hAnsi="宋体" w:cs="宋体"/>
          <w:color w:val="000000" w:themeColor="text1"/>
          <w:szCs w:val="21"/>
          <w:highlight w:val="none"/>
          <w:lang w:val="en-US" w:eastAsia="zh-CN"/>
          <w14:textFill>
            <w14:solidFill>
              <w14:schemeClr w14:val="tx1"/>
            </w14:solidFill>
          </w14:textFill>
        </w:rPr>
        <w:t>综合</w:t>
      </w:r>
      <w:r>
        <w:rPr>
          <w:rFonts w:hint="eastAsia" w:ascii="宋体" w:hAnsi="宋体" w:cs="宋体"/>
          <w:color w:val="000000" w:themeColor="text1"/>
          <w:szCs w:val="21"/>
          <w:highlight w:val="none"/>
          <w14:textFill>
            <w14:solidFill>
              <w14:schemeClr w14:val="tx1"/>
            </w14:solidFill>
          </w14:textFill>
        </w:rPr>
        <w:t>部分评审因素。</w:t>
      </w:r>
    </w:p>
    <w:p w14:paraId="111192B0">
      <w:pPr>
        <w:tabs>
          <w:tab w:val="left" w:pos="170"/>
          <w:tab w:val="left" w:pos="303"/>
          <w:tab w:val="left" w:pos="420"/>
        </w:tabs>
        <w:adjustRightInd w:val="0"/>
        <w:snapToGrid w:val="0"/>
        <w:spacing w:line="560" w:lineRule="exact"/>
        <w:outlineLvl w:val="1"/>
        <w:rPr>
          <w:rFonts w:ascii="宋体" w:hAnsi="宋体" w:cs="宋体"/>
          <w:b/>
          <w:color w:val="000000" w:themeColor="text1"/>
          <w:szCs w:val="21"/>
          <w:highlight w:val="none"/>
          <w14:textFill>
            <w14:solidFill>
              <w14:schemeClr w14:val="tx1"/>
            </w14:solidFill>
          </w14:textFill>
        </w:rPr>
      </w:pPr>
      <w:r>
        <w:rPr>
          <w:rFonts w:ascii="宋体" w:hAnsi="宋体" w:cs="宋体"/>
          <w:b/>
          <w:color w:val="000000" w:themeColor="text1"/>
          <w:szCs w:val="21"/>
          <w:highlight w:val="none"/>
          <w14:textFill>
            <w14:solidFill>
              <w14:schemeClr w14:val="tx1"/>
            </w14:solidFill>
          </w14:textFill>
        </w:rPr>
        <w:t>3.</w:t>
      </w:r>
      <w:r>
        <w:rPr>
          <w:rFonts w:hint="eastAsia" w:ascii="宋体" w:hAnsi="宋体" w:cs="宋体"/>
          <w:b/>
          <w:color w:val="000000" w:themeColor="text1"/>
          <w:szCs w:val="21"/>
          <w:highlight w:val="none"/>
          <w14:textFill>
            <w14:solidFill>
              <w14:schemeClr w14:val="tx1"/>
            </w14:solidFill>
          </w14:textFill>
        </w:rPr>
        <w:t>评标程序</w:t>
      </w:r>
      <w:bookmarkEnd w:id="269"/>
      <w:bookmarkEnd w:id="270"/>
      <w:bookmarkEnd w:id="271"/>
      <w:bookmarkEnd w:id="272"/>
    </w:p>
    <w:p w14:paraId="0D5744D9">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3.1初步评审</w:t>
      </w:r>
    </w:p>
    <w:p w14:paraId="108CDA1D">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3.11 </w:t>
      </w:r>
      <w:r>
        <w:rPr>
          <w:rFonts w:hint="eastAsia" w:ascii="宋体" w:hAnsi="宋体" w:cs="宋体"/>
          <w:color w:val="000000" w:themeColor="text1"/>
          <w:szCs w:val="21"/>
          <w:highlight w:val="none"/>
          <w:lang w:val="zh-CN"/>
          <w14:textFill>
            <w14:solidFill>
              <w14:schemeClr w14:val="tx1"/>
            </w14:solidFill>
          </w14:textFill>
        </w:rPr>
        <w:t>采购人或代理机构可以要求投标人提交第二章“投标人须知”规定的有关证明。</w:t>
      </w:r>
      <w:r>
        <w:rPr>
          <w:rFonts w:hint="eastAsia" w:ascii="宋体" w:hAnsi="宋体" w:cs="宋体"/>
          <w:b/>
          <w:bCs/>
          <w:color w:val="000000" w:themeColor="text1"/>
          <w:szCs w:val="21"/>
          <w:highlight w:val="none"/>
          <w:lang w:val="zh-CN"/>
          <w14:textFill>
            <w14:solidFill>
              <w14:schemeClr w14:val="tx1"/>
            </w14:solidFill>
          </w14:textFill>
        </w:rPr>
        <w:t>采购人或代理机构依据本章第2.1款规定的标准对投标文件进行资格评审</w:t>
      </w:r>
      <w:r>
        <w:rPr>
          <w:rFonts w:hint="eastAsia" w:ascii="宋体" w:hAnsi="宋体" w:cs="宋体"/>
          <w:color w:val="000000" w:themeColor="text1"/>
          <w:szCs w:val="21"/>
          <w:highlight w:val="none"/>
          <w:lang w:val="zh-CN"/>
          <w14:textFill>
            <w14:solidFill>
              <w14:schemeClr w14:val="tx1"/>
            </w14:solidFill>
          </w14:textFill>
        </w:rPr>
        <w:t>。有一项不符合资格评审标准的，作无效投标处理。</w:t>
      </w:r>
    </w:p>
    <w:p w14:paraId="2CE05EF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3.12 </w:t>
      </w:r>
      <w:r>
        <w:rPr>
          <w:rFonts w:hint="eastAsia" w:ascii="宋体" w:hAnsi="宋体" w:cs="宋体"/>
          <w:color w:val="000000" w:themeColor="text1"/>
          <w:szCs w:val="21"/>
          <w:highlight w:val="none"/>
          <w:lang w:val="zh-CN"/>
          <w14:textFill>
            <w14:solidFill>
              <w14:schemeClr w14:val="tx1"/>
            </w14:solidFill>
          </w14:textFill>
        </w:rPr>
        <w:t>投标文件属下列情况之一的，应当在资格性、符合性检查时按照无效投标处理：</w:t>
      </w:r>
    </w:p>
    <w:p w14:paraId="38679650">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（1）未按照招标文件规定要求签署、盖章的；</w:t>
      </w:r>
    </w:p>
    <w:p w14:paraId="7DBF6521">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（2）不具备招标文件中规定资格要求的；</w:t>
      </w:r>
    </w:p>
    <w:p w14:paraId="5C8A0ED0">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（3）不符合法律、法规和招标文件中规定的其他实质性要求的。</w:t>
      </w:r>
    </w:p>
    <w:p w14:paraId="359C33CF">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3.13 </w:t>
      </w:r>
      <w:r>
        <w:rPr>
          <w:rFonts w:hint="eastAsia" w:ascii="宋体" w:hAnsi="宋体" w:cs="宋体"/>
          <w:color w:val="000000" w:themeColor="text1"/>
          <w:szCs w:val="21"/>
          <w:highlight w:val="none"/>
          <w:lang w:val="zh-CN"/>
          <w14:textFill>
            <w14:solidFill>
              <w14:schemeClr w14:val="tx1"/>
            </w14:solidFill>
          </w14:textFill>
        </w:rPr>
        <w:t>投标报价有算数错误的，评标委员会按以下原则对投标报价进行修正，修正的价格经投标人书面确认后具有约束力。投标人不接受修正价格的，其投标作无效投标处理。</w:t>
      </w:r>
    </w:p>
    <w:p w14:paraId="77F7B215">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（1）投标文件中的大写金额与小写金额不一致的，以大写金额为准；</w:t>
      </w:r>
    </w:p>
    <w:p w14:paraId="0FB103EC">
      <w:pPr>
        <w:autoSpaceDE w:val="0"/>
        <w:autoSpaceDN w:val="0"/>
        <w:adjustRightInd w:val="0"/>
        <w:snapToGrid w:val="0"/>
        <w:spacing w:line="560" w:lineRule="exact"/>
        <w:ind w:firstLine="420" w:firstLineChars="200"/>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（2）投标文件中开标一览表内容与投标文件中明细表内容不一致的，以开标一览表为准。</w:t>
      </w:r>
    </w:p>
    <w:p w14:paraId="5DA8601C">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3.2 详细评审</w:t>
      </w:r>
    </w:p>
    <w:p w14:paraId="27CD7DFC">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3.2.1 </w:t>
      </w:r>
      <w:r>
        <w:rPr>
          <w:rFonts w:hint="eastAsia" w:ascii="宋体" w:hAnsi="宋体" w:cs="宋体"/>
          <w:color w:val="000000" w:themeColor="text1"/>
          <w:szCs w:val="21"/>
          <w:highlight w:val="none"/>
          <w:lang w:val="zh-CN"/>
          <w14:textFill>
            <w14:solidFill>
              <w14:schemeClr w14:val="tx1"/>
            </w14:solidFill>
          </w14:textFill>
        </w:rPr>
        <w:t>评标委员会按本章第2.2款的评分标准进行打分，并计算出综合评审得分。</w:t>
      </w:r>
    </w:p>
    <w:p w14:paraId="4F3050F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3.2.2 </w:t>
      </w:r>
      <w:r>
        <w:rPr>
          <w:rFonts w:hint="eastAsia" w:ascii="宋体" w:hAnsi="宋体" w:cs="宋体"/>
          <w:color w:val="000000" w:themeColor="text1"/>
          <w:szCs w:val="21"/>
          <w:highlight w:val="none"/>
          <w:lang w:val="zh-CN"/>
          <w14:textFill>
            <w14:solidFill>
              <w14:schemeClr w14:val="tx1"/>
            </w14:solidFill>
          </w14:textFill>
        </w:rPr>
        <w:t>评标委员会发现投标人的投标总报价</w:t>
      </w:r>
      <w:r>
        <w:rPr>
          <w:rFonts w:hint="eastAsia" w:ascii="宋体" w:hAnsi="宋体" w:cs="宋体"/>
          <w:color w:val="000000" w:themeColor="text1"/>
          <w:szCs w:val="21"/>
          <w:highlight w:val="none"/>
          <w14:textFill>
            <w14:solidFill>
              <w14:schemeClr w14:val="tx1"/>
            </w14:solidFill>
          </w14:textFill>
        </w:rPr>
        <w:t>高</w:t>
      </w:r>
      <w:r>
        <w:rPr>
          <w:rFonts w:hint="eastAsia" w:ascii="宋体" w:hAnsi="宋体" w:cs="宋体"/>
          <w:color w:val="000000" w:themeColor="text1"/>
          <w:szCs w:val="21"/>
          <w:highlight w:val="none"/>
          <w:lang w:val="zh-CN"/>
          <w14:textFill>
            <w14:solidFill>
              <w14:schemeClr w14:val="tx1"/>
            </w14:solidFill>
          </w14:textFill>
        </w:rPr>
        <w:t>于</w:t>
      </w:r>
      <w:r>
        <w:rPr>
          <w:rFonts w:hint="eastAsia" w:ascii="宋体" w:hAnsi="宋体" w:cs="宋体"/>
          <w:color w:val="000000" w:themeColor="text1"/>
          <w:szCs w:val="21"/>
          <w:highlight w:val="none"/>
          <w14:textFill>
            <w14:solidFill>
              <w14:schemeClr w14:val="tx1"/>
            </w14:solidFill>
          </w14:textFill>
        </w:rPr>
        <w:t>招标文件规定的</w:t>
      </w:r>
      <w:r>
        <w:rPr>
          <w:rFonts w:hint="eastAsia" w:ascii="宋体" w:hAnsi="宋体" w:cs="宋体"/>
          <w:color w:val="000000" w:themeColor="text1"/>
          <w:szCs w:val="21"/>
          <w:highlight w:val="none"/>
          <w:lang w:eastAsia="zh-CN"/>
          <w14:textFill>
            <w14:solidFill>
              <w14:schemeClr w14:val="tx1"/>
            </w14:solidFill>
          </w14:textFill>
        </w:rPr>
        <w:t>最高限价</w:t>
      </w:r>
      <w:r>
        <w:rPr>
          <w:rFonts w:hint="eastAsia" w:ascii="宋体" w:hAnsi="宋体" w:cs="宋体"/>
          <w:color w:val="000000" w:themeColor="text1"/>
          <w:szCs w:val="21"/>
          <w:highlight w:val="none"/>
          <w:lang w:val="zh-CN"/>
          <w14:textFill>
            <w14:solidFill>
              <w14:schemeClr w14:val="tx1"/>
            </w14:solidFill>
          </w14:textFill>
        </w:rPr>
        <w:t>，评标委员会应按无效投标处理。</w:t>
      </w:r>
    </w:p>
    <w:p w14:paraId="50464AFE">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3.3 投标文件的澄清和补正</w:t>
      </w:r>
    </w:p>
    <w:p w14:paraId="3F664B32">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3.3.1 </w:t>
      </w:r>
      <w:r>
        <w:rPr>
          <w:rFonts w:hint="eastAsia" w:ascii="宋体" w:hAnsi="宋体" w:cs="宋体"/>
          <w:color w:val="000000" w:themeColor="text1"/>
          <w:szCs w:val="21"/>
          <w:highlight w:val="none"/>
          <w:lang w:val="zh-CN"/>
          <w14:textFill>
            <w14:solidFill>
              <w14:schemeClr w14:val="tx1"/>
            </w14:solidFill>
          </w14:textFill>
        </w:rPr>
        <w:t>在评标过程中，评标委员会可以书面形式要求投标人对所提交投标文件中不明确的内容进行书面澄清或说明，或者对细微偏差进行补正。</w:t>
      </w:r>
    </w:p>
    <w:p w14:paraId="585CCF6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3.3.2 </w:t>
      </w:r>
      <w:r>
        <w:rPr>
          <w:rFonts w:hint="eastAsia" w:ascii="宋体" w:hAnsi="宋体" w:cs="宋体"/>
          <w:color w:val="000000" w:themeColor="text1"/>
          <w:szCs w:val="21"/>
          <w:highlight w:val="none"/>
          <w:lang w:val="zh-CN"/>
          <w14:textFill>
            <w14:solidFill>
              <w14:schemeClr w14:val="tx1"/>
            </w14:solidFill>
          </w14:textFill>
        </w:rPr>
        <w:t>澄清、说明和补正不得改变投标文件的实质性内容（算术性错误修正的除外）。投标人的书面澄清、说明和补正属于投标文件的组成部分。</w:t>
      </w:r>
    </w:p>
    <w:p w14:paraId="51CB4B5B">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3.4 评标结果</w:t>
      </w:r>
    </w:p>
    <w:p w14:paraId="2B95F2EE">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3.4.1 </w:t>
      </w:r>
      <w:r>
        <w:rPr>
          <w:rFonts w:hint="eastAsia" w:ascii="宋体" w:hAnsi="宋体" w:cs="宋体"/>
          <w:color w:val="000000" w:themeColor="text1"/>
          <w:szCs w:val="21"/>
          <w:highlight w:val="none"/>
          <w:lang w:val="zh-CN"/>
          <w14:textFill>
            <w14:solidFill>
              <w14:schemeClr w14:val="tx1"/>
            </w14:solidFill>
          </w14:textFill>
        </w:rPr>
        <w:t>投标人得分=</w:t>
      </w:r>
      <w:r>
        <w:rPr>
          <w:rFonts w:hint="eastAsia" w:ascii="宋体" w:hAnsi="宋体" w:cs="宋体"/>
          <w:color w:val="000000" w:themeColor="text1"/>
          <w:szCs w:val="21"/>
          <w:highlight w:val="none"/>
          <w14:textFill>
            <w14:solidFill>
              <w14:schemeClr w14:val="tx1"/>
            </w14:solidFill>
          </w14:textFill>
        </w:rPr>
        <w:t>商务部分得分+技术部分得分</w:t>
      </w:r>
      <w:r>
        <w:rPr>
          <w:rFonts w:hint="eastAsia" w:ascii="宋体" w:hAnsi="宋体" w:cs="宋体"/>
          <w:color w:val="000000" w:themeColor="text1"/>
          <w:szCs w:val="21"/>
          <w:highlight w:val="none"/>
          <w:lang w:val="en-US" w:eastAsia="zh-CN"/>
          <w14:textFill>
            <w14:solidFill>
              <w14:schemeClr w14:val="tx1"/>
            </w14:solidFill>
          </w14:textFill>
        </w:rPr>
        <w:t>+综合</w:t>
      </w:r>
      <w:r>
        <w:rPr>
          <w:rFonts w:hint="eastAsia" w:ascii="宋体" w:hAnsi="宋体" w:cs="宋体"/>
          <w:color w:val="000000" w:themeColor="text1"/>
          <w:szCs w:val="21"/>
          <w:highlight w:val="none"/>
          <w14:textFill>
            <w14:solidFill>
              <w14:schemeClr w14:val="tx1"/>
            </w14:solidFill>
          </w14:textFill>
        </w:rPr>
        <w:t>部分得分</w:t>
      </w:r>
    </w:p>
    <w:p w14:paraId="4DD26657">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3.4.2</w:t>
      </w:r>
      <w:r>
        <w:rPr>
          <w:rFonts w:hint="eastAsia" w:ascii="宋体" w:hAnsi="宋体" w:cs="宋体"/>
          <w:color w:val="000000" w:themeColor="text1"/>
          <w:szCs w:val="21"/>
          <w:highlight w:val="none"/>
          <w:lang w:val="zh-CN"/>
          <w14:textFill>
            <w14:solidFill>
              <w14:schemeClr w14:val="tx1"/>
            </w14:solidFill>
          </w14:textFill>
        </w:rPr>
        <w:t>投标人最终得分为评标委员会完成评审后所有评分的算术平均值，作为该投标人最终得分。</w:t>
      </w:r>
    </w:p>
    <w:p w14:paraId="696827E4">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3.4.3 </w:t>
      </w:r>
      <w:r>
        <w:rPr>
          <w:rFonts w:hint="eastAsia" w:ascii="宋体" w:hAnsi="宋体" w:cs="宋体"/>
          <w:b/>
          <w:bCs/>
          <w:color w:val="000000" w:themeColor="text1"/>
          <w:szCs w:val="21"/>
          <w:highlight w:val="none"/>
          <w14:textFill>
            <w14:solidFill>
              <w14:schemeClr w14:val="tx1"/>
            </w14:solidFill>
          </w14:textFill>
        </w:rPr>
        <w:t>评标委员会将按照评标最后得分由高到低的顺序对所有投标文件实质上响应采购文件要求的供应商进行排序；得分相同的，按投标报价由低到高顺序排列；得分和投标报价均相同的，按技术指标优劣（技术及服务部分得分由高到低）顺序排列。</w:t>
      </w:r>
    </w:p>
    <w:p w14:paraId="4F1F54C5">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3.4.4 </w:t>
      </w:r>
      <w:r>
        <w:rPr>
          <w:rFonts w:hint="eastAsia" w:ascii="宋体" w:hAnsi="宋体" w:cs="宋体"/>
          <w:color w:val="000000" w:themeColor="text1"/>
          <w:szCs w:val="21"/>
          <w:highlight w:val="none"/>
          <w:lang w:val="zh-CN"/>
          <w14:textFill>
            <w14:solidFill>
              <w14:schemeClr w14:val="tx1"/>
            </w14:solidFill>
          </w14:textFill>
        </w:rPr>
        <w:t>计分过程中按四舍五入的法则，最终结果取至小数点后两位。</w:t>
      </w:r>
    </w:p>
    <w:p w14:paraId="156AB4E4">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3.4.5 </w:t>
      </w:r>
      <w:r>
        <w:rPr>
          <w:rFonts w:hint="eastAsia" w:ascii="宋体" w:hAnsi="宋体" w:cs="宋体"/>
          <w:color w:val="000000" w:themeColor="text1"/>
          <w:szCs w:val="21"/>
          <w:highlight w:val="none"/>
          <w:lang w:val="zh-CN"/>
          <w14:textFill>
            <w14:solidFill>
              <w14:schemeClr w14:val="tx1"/>
            </w14:solidFill>
          </w14:textFill>
        </w:rPr>
        <w:t>评标委员会按照得分由高到低的顺序推荐</w:t>
      </w:r>
      <w:r>
        <w:rPr>
          <w:rFonts w:hint="eastAsia" w:ascii="宋体" w:hAnsi="宋体" w:cs="宋体"/>
          <w:color w:val="000000" w:themeColor="text1"/>
          <w:szCs w:val="21"/>
          <w:highlight w:val="none"/>
          <w14:textFill>
            <w14:solidFill>
              <w14:schemeClr w14:val="tx1"/>
            </w14:solidFill>
          </w14:textFill>
        </w:rPr>
        <w:t>3名</w:t>
      </w:r>
      <w:r>
        <w:rPr>
          <w:rFonts w:hint="eastAsia" w:ascii="宋体" w:hAnsi="宋体" w:cs="宋体"/>
          <w:color w:val="000000" w:themeColor="text1"/>
          <w:szCs w:val="21"/>
          <w:highlight w:val="none"/>
          <w:lang w:val="zh-CN"/>
          <w14:textFill>
            <w14:solidFill>
              <w14:schemeClr w14:val="tx1"/>
            </w14:solidFill>
          </w14:textFill>
        </w:rPr>
        <w:t>中标候选人。</w:t>
      </w:r>
    </w:p>
    <w:p w14:paraId="1808F0E1">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3.4.6 </w:t>
      </w:r>
      <w:r>
        <w:rPr>
          <w:rFonts w:hint="eastAsia" w:ascii="宋体" w:hAnsi="宋体" w:cs="宋体"/>
          <w:color w:val="000000" w:themeColor="text1"/>
          <w:szCs w:val="21"/>
          <w:highlight w:val="none"/>
          <w:lang w:val="zh-CN"/>
          <w14:textFill>
            <w14:solidFill>
              <w14:schemeClr w14:val="tx1"/>
            </w14:solidFill>
          </w14:textFill>
        </w:rPr>
        <w:t>评标委员会完成评标后，应当向采购人提交书面评标报告。</w:t>
      </w:r>
    </w:p>
    <w:p w14:paraId="40AC2007">
      <w:pPr>
        <w:adjustRightInd w:val="0"/>
        <w:snapToGrid w:val="0"/>
        <w:spacing w:line="560" w:lineRule="exact"/>
        <w:ind w:firstLine="422" w:firstLineChars="200"/>
        <w:rPr>
          <w:rFonts w:ascii="宋体" w:hAnsi="宋体" w:cs="宋体"/>
          <w:b/>
          <w:bCs/>
          <w:color w:val="000000" w:themeColor="text1"/>
          <w:szCs w:val="21"/>
          <w:highlight w:val="none"/>
          <w:lang w:val="zh-CN"/>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 xml:space="preserve">3.5 </w:t>
      </w:r>
      <w:r>
        <w:rPr>
          <w:rFonts w:hint="eastAsia" w:ascii="宋体" w:hAnsi="宋体" w:cs="宋体"/>
          <w:b/>
          <w:bCs/>
          <w:color w:val="000000" w:themeColor="text1"/>
          <w:szCs w:val="21"/>
          <w:highlight w:val="none"/>
          <w:lang w:val="zh-CN"/>
          <w14:textFill>
            <w14:solidFill>
              <w14:schemeClr w14:val="tx1"/>
            </w14:solidFill>
          </w14:textFill>
        </w:rPr>
        <w:t>顺延中标人或重新招标</w:t>
      </w:r>
    </w:p>
    <w:p w14:paraId="1553C3A0">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lang w:val="zh-CN"/>
          <w14:textFill>
            <w14:solidFill>
              <w14:schemeClr w14:val="tx1"/>
            </w14:solidFill>
          </w14:textFill>
        </w:rPr>
        <w:t>中标人因不可抗力不能履行政府采购合同的，采购人可以与排位在中标人之后第一位的中标候选人签订政府采购合同，或者重新采购。</w:t>
      </w:r>
    </w:p>
    <w:p w14:paraId="67726ABA">
      <w:pPr>
        <w:adjustRightInd w:val="0"/>
        <w:snapToGrid w:val="0"/>
        <w:spacing w:line="560" w:lineRule="exact"/>
        <w:ind w:firstLine="422" w:firstLineChars="200"/>
        <w:rPr>
          <w:rFonts w:ascii="宋体" w:hAnsi="宋体" w:cs="宋体"/>
          <w:b/>
          <w:bCs/>
          <w:color w:val="000000" w:themeColor="text1"/>
          <w:szCs w:val="21"/>
          <w:highlight w:val="none"/>
          <w14:textFill>
            <w14:solidFill>
              <w14:schemeClr w14:val="tx1"/>
            </w14:solidFill>
          </w14:textFill>
        </w:rPr>
      </w:pPr>
      <w:bookmarkStart w:id="273" w:name="_Toc28863"/>
      <w:bookmarkStart w:id="274" w:name="_Toc16293"/>
      <w:bookmarkStart w:id="275" w:name="_Toc11630"/>
      <w:bookmarkStart w:id="276" w:name="_Toc7468"/>
      <w:bookmarkStart w:id="277" w:name="_Toc17922"/>
      <w:bookmarkStart w:id="278" w:name="_Toc19590"/>
      <w:bookmarkStart w:id="279" w:name="_Toc54"/>
      <w:r>
        <w:rPr>
          <w:rFonts w:hint="eastAsia" w:ascii="宋体" w:hAnsi="宋体" w:cs="宋体"/>
          <w:b/>
          <w:bCs/>
          <w:color w:val="000000" w:themeColor="text1"/>
          <w:szCs w:val="21"/>
          <w:highlight w:val="none"/>
          <w14:textFill>
            <w14:solidFill>
              <w14:schemeClr w14:val="tx1"/>
            </w14:solidFill>
          </w14:textFill>
        </w:rPr>
        <w:t>3.6 保密及其他注意事项</w:t>
      </w:r>
      <w:bookmarkEnd w:id="273"/>
      <w:bookmarkEnd w:id="274"/>
      <w:bookmarkEnd w:id="275"/>
      <w:bookmarkEnd w:id="276"/>
      <w:bookmarkEnd w:id="277"/>
      <w:bookmarkEnd w:id="278"/>
      <w:bookmarkEnd w:id="279"/>
    </w:p>
    <w:p w14:paraId="77289F51">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3.6.1 </w:t>
      </w:r>
      <w:r>
        <w:rPr>
          <w:rFonts w:hint="eastAsia" w:ascii="宋体" w:hAnsi="宋体" w:cs="宋体"/>
          <w:color w:val="000000" w:themeColor="text1"/>
          <w:szCs w:val="21"/>
          <w:highlight w:val="none"/>
          <w:lang w:val="zh-CN"/>
          <w14:textFill>
            <w14:solidFill>
              <w14:schemeClr w14:val="tx1"/>
            </w14:solidFill>
          </w14:textFill>
        </w:rPr>
        <w:t>在评标期间，投标企业不得向评标委员会成员询问评标情况，不得进行旨在影响中标结果的活动。</w:t>
      </w:r>
    </w:p>
    <w:p w14:paraId="225928C3">
      <w:pPr>
        <w:adjustRightInd w:val="0"/>
        <w:snapToGrid w:val="0"/>
        <w:spacing w:line="560" w:lineRule="exact"/>
        <w:ind w:firstLine="420" w:firstLineChars="200"/>
        <w:rPr>
          <w:rFonts w:ascii="宋体" w:hAnsi="宋体" w:cs="宋体"/>
          <w:color w:val="000000" w:themeColor="text1"/>
          <w:szCs w:val="21"/>
          <w:highlight w:val="none"/>
          <w:lang w:val="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3.6.2 </w:t>
      </w:r>
      <w:r>
        <w:rPr>
          <w:rFonts w:hint="eastAsia" w:ascii="宋体" w:hAnsi="宋体" w:cs="宋体"/>
          <w:color w:val="000000" w:themeColor="text1"/>
          <w:szCs w:val="21"/>
          <w:highlight w:val="none"/>
          <w:lang w:val="zh-CN"/>
          <w14:textFill>
            <w14:solidFill>
              <w14:schemeClr w14:val="tx1"/>
            </w14:solidFill>
          </w14:textFill>
        </w:rPr>
        <w:t>在评标结束后，凡与评标情况有接触的任何人不得也不应将评标情况扩散出评标委员会成员之外。</w:t>
      </w:r>
    </w:p>
    <w:p w14:paraId="164E5D2F">
      <w:pPr>
        <w:adjustRightInd w:val="0"/>
        <w:snapToGrid w:val="0"/>
        <w:spacing w:line="56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3.6.3</w:t>
      </w:r>
      <w:r>
        <w:rPr>
          <w:rFonts w:hint="eastAsia" w:ascii="宋体" w:hAnsi="宋体" w:cs="宋体"/>
          <w:color w:val="000000" w:themeColor="text1"/>
          <w:szCs w:val="21"/>
          <w:highlight w:val="none"/>
          <w:lang w:val="zh-CN"/>
          <w14:textFill>
            <w14:solidFill>
              <w14:schemeClr w14:val="tx1"/>
            </w14:solidFill>
          </w14:textFill>
        </w:rPr>
        <w:t>招标代理机构不向落标方解释落标原因，不退还投标文件。</w:t>
      </w:r>
    </w:p>
    <w:p w14:paraId="28BA3B2C">
      <w:pPr>
        <w:tabs>
          <w:tab w:val="left" w:pos="720"/>
        </w:tabs>
        <w:spacing w:line="440" w:lineRule="exact"/>
        <w:ind w:firstLine="420" w:firstLineChars="200"/>
        <w:rPr>
          <w:rFonts w:ascii="宋体" w:hAnsi="宋体" w:cs="宋体"/>
          <w:color w:val="000000" w:themeColor="text1"/>
          <w:szCs w:val="28"/>
          <w:highlight w:val="none"/>
          <w14:textFill>
            <w14:solidFill>
              <w14:schemeClr w14:val="tx1"/>
            </w14:solidFill>
          </w14:textFill>
        </w:rPr>
      </w:pPr>
      <w:r>
        <w:rPr>
          <w:rFonts w:hint="eastAsia" w:ascii="宋体" w:hAnsi="宋体" w:cs="宋体"/>
          <w:bCs/>
          <w:color w:val="000000" w:themeColor="text1"/>
          <w:kern w:val="0"/>
          <w:szCs w:val="21"/>
          <w:highlight w:val="none"/>
          <w14:textFill>
            <w14:solidFill>
              <w14:schemeClr w14:val="tx1"/>
            </w14:solidFill>
          </w14:textFill>
        </w:rPr>
        <w:br w:type="page"/>
      </w:r>
    </w:p>
    <w:p w14:paraId="7F112896">
      <w:pPr>
        <w:pStyle w:val="24"/>
        <w:spacing w:line="600" w:lineRule="exact"/>
        <w:ind w:right="-63" w:rightChars="-30"/>
        <w:rPr>
          <w:rFonts w:ascii="宋体" w:hAnsi="宋体" w:eastAsia="宋体" w:cs="宋体"/>
          <w:color w:val="000000" w:themeColor="text1"/>
          <w:sz w:val="28"/>
          <w:szCs w:val="28"/>
          <w:highlight w:val="none"/>
          <w14:textFill>
            <w14:solidFill>
              <w14:schemeClr w14:val="tx1"/>
            </w14:solidFill>
          </w14:textFill>
        </w:rPr>
      </w:pPr>
      <w:bookmarkStart w:id="280" w:name="_Toc1909"/>
      <w:r>
        <w:rPr>
          <w:rFonts w:hint="eastAsia" w:ascii="宋体" w:hAnsi="宋体" w:eastAsia="宋体" w:cs="宋体"/>
          <w:color w:val="000000" w:themeColor="text1"/>
          <w:sz w:val="28"/>
          <w:szCs w:val="28"/>
          <w:highlight w:val="none"/>
          <w14:textFill>
            <w14:solidFill>
              <w14:schemeClr w14:val="tx1"/>
            </w14:solidFill>
          </w14:textFill>
        </w:rPr>
        <w:t>第四章 合同条款及格式</w:t>
      </w:r>
      <w:bookmarkEnd w:id="254"/>
      <w:bookmarkEnd w:id="255"/>
      <w:bookmarkEnd w:id="256"/>
      <w:bookmarkEnd w:id="280"/>
    </w:p>
    <w:p w14:paraId="1D53A4BB">
      <w:pPr>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（仅供参考）</w:t>
      </w:r>
    </w:p>
    <w:p w14:paraId="24CE0F82">
      <w:pPr>
        <w:spacing w:line="520" w:lineRule="exact"/>
        <w:rPr>
          <w:rFonts w:ascii="宋体" w:hAnsi="宋体" w:cs="宋体"/>
          <w:color w:val="000000" w:themeColor="text1"/>
          <w:szCs w:val="21"/>
          <w:highlight w:val="none"/>
          <w14:textFill>
            <w14:solidFill>
              <w14:schemeClr w14:val="tx1"/>
            </w14:solidFill>
          </w14:textFill>
        </w:rPr>
      </w:pPr>
      <w:bookmarkStart w:id="281" w:name="_Toc12807"/>
      <w:r>
        <w:rPr>
          <w:rFonts w:hint="eastAsia" w:ascii="宋体" w:hAnsi="宋体" w:cs="宋体"/>
          <w:color w:val="000000" w:themeColor="text1"/>
          <w:szCs w:val="21"/>
          <w:highlight w:val="none"/>
          <w14:textFill>
            <w14:solidFill>
              <w14:schemeClr w14:val="tx1"/>
            </w14:solidFill>
          </w14:textFill>
        </w:rPr>
        <w:t>甲方：博爱县教育体育局</w:t>
      </w:r>
    </w:p>
    <w:p w14:paraId="5A58A8DA">
      <w:pPr>
        <w:spacing w:line="520" w:lineRule="exac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乙方： </w:t>
      </w:r>
      <w:r>
        <w:rPr>
          <w:rFonts w:hint="eastAsia" w:ascii="宋体" w:hAnsi="宋体" w:cs="宋体"/>
          <w:color w:val="000000" w:themeColor="text1"/>
          <w:szCs w:val="21"/>
          <w:highlight w:val="none"/>
          <w:u w:val="single"/>
          <w14:textFill>
            <w14:solidFill>
              <w14:schemeClr w14:val="tx1"/>
            </w14:solidFill>
          </w14:textFill>
        </w:rPr>
        <w:t xml:space="preserve">               </w:t>
      </w:r>
    </w:p>
    <w:p w14:paraId="22991342">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甲、乙双方持</w:t>
      </w:r>
      <w:r>
        <w:rPr>
          <w:rFonts w:hint="eastAsia" w:ascii="宋体" w:hAnsi="宋体" w:cs="宋体"/>
          <w:color w:val="000000" w:themeColor="text1"/>
          <w:szCs w:val="21"/>
          <w:highlight w:val="none"/>
          <w:u w:val="single"/>
          <w14:textFill>
            <w14:solidFill>
              <w14:schemeClr w14:val="tx1"/>
            </w14:solidFill>
          </w14:textFill>
        </w:rPr>
        <w:t>智博国际工程咨询有限公司</w:t>
      </w:r>
      <w:r>
        <w:rPr>
          <w:rFonts w:hint="eastAsia" w:ascii="宋体" w:hAnsi="宋体" w:cs="宋体"/>
          <w:color w:val="000000" w:themeColor="text1"/>
          <w:szCs w:val="21"/>
          <w:highlight w:val="none"/>
          <w:u w:val="none"/>
          <w:lang w:val="en-US" w:eastAsia="zh-CN"/>
          <w14:textFill>
            <w14:solidFill>
              <w14:schemeClr w14:val="tx1"/>
            </w14:solidFill>
          </w14:textFill>
        </w:rPr>
        <w:t>于</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年</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月</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u w:val="single"/>
          <w:lang w:val="en-US" w:eastAsia="zh-CN"/>
          <w14:textFill>
            <w14:solidFill>
              <w14:schemeClr w14:val="tx1"/>
            </w14:solidFill>
          </w14:textFill>
        </w:rPr>
        <w:t xml:space="preserve"> </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日签发的</w:t>
      </w:r>
      <w:r>
        <w:rPr>
          <w:rFonts w:hint="eastAsia" w:ascii="宋体" w:hAnsi="宋体" w:cs="宋体"/>
          <w:color w:val="000000" w:themeColor="text1"/>
          <w:szCs w:val="21"/>
          <w:highlight w:val="none"/>
          <w:lang w:eastAsia="zh-CN"/>
          <w14:textFill>
            <w14:solidFill>
              <w14:schemeClr w14:val="tx1"/>
            </w14:solidFill>
          </w14:textFill>
        </w:rPr>
        <w:t>博爱县教育体育局焦作新材料职业学院图书、教学设备、实验设备等采购项目</w:t>
      </w:r>
      <w:r>
        <w:rPr>
          <w:rFonts w:hint="eastAsia" w:ascii="宋体" w:hAnsi="宋体" w:cs="宋体"/>
          <w:color w:val="000000" w:themeColor="text1"/>
          <w:szCs w:val="21"/>
          <w:highlight w:val="none"/>
          <w14:textFill>
            <w14:solidFill>
              <w14:schemeClr w14:val="tx1"/>
            </w14:solidFill>
          </w14:textFill>
        </w:rPr>
        <w:t>中标通知书，根据招标文件、投标文件的内容，并经双方协商一致，达成以下合同条款：</w:t>
      </w:r>
    </w:p>
    <w:p w14:paraId="70507CC0">
      <w:pPr>
        <w:pStyle w:val="11"/>
        <w:spacing w:line="520" w:lineRule="exact"/>
        <w:ind w:firstLine="42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一、本合同项目</w:t>
      </w:r>
      <w:r>
        <w:rPr>
          <w:rFonts w:hint="eastAsia" w:ascii="宋体" w:hAnsi="宋体" w:cs="宋体"/>
          <w:color w:val="000000" w:themeColor="text1"/>
          <w:szCs w:val="21"/>
          <w:highlight w:val="none"/>
          <w:lang w:val="en-US" w:eastAsia="zh-CN"/>
          <w14:textFill>
            <w14:solidFill>
              <w14:schemeClr w14:val="tx1"/>
            </w14:solidFill>
          </w14:textFill>
        </w:rPr>
        <w:t>为</w:t>
      </w:r>
      <w:r>
        <w:rPr>
          <w:rFonts w:hint="eastAsia" w:ascii="宋体" w:hAnsi="宋体" w:eastAsia="宋体" w:cs="宋体"/>
          <w:color w:val="000000" w:themeColor="text1"/>
          <w:szCs w:val="21"/>
          <w:highlight w:val="none"/>
          <w:lang w:val="en-US" w:eastAsia="zh-CN"/>
          <w14:textFill>
            <w14:solidFill>
              <w14:schemeClr w14:val="tx1"/>
            </w14:solidFill>
          </w14:textFill>
        </w:rPr>
        <w:t>采购</w:t>
      </w:r>
      <w:r>
        <w:rPr>
          <w:rFonts w:hint="eastAsia" w:ascii="宋体" w:hAnsi="宋体" w:cs="宋体"/>
          <w:color w:val="000000" w:themeColor="text1"/>
          <w:szCs w:val="21"/>
          <w:highlight w:val="none"/>
          <w:lang w:val="en-US" w:eastAsia="zh-CN"/>
          <w14:textFill>
            <w14:solidFill>
              <w14:schemeClr w14:val="tx1"/>
            </w14:solidFill>
          </w14:textFill>
        </w:rPr>
        <w:t>机房类实训室设备</w:t>
      </w:r>
      <w:r>
        <w:rPr>
          <w:rFonts w:hint="eastAsia" w:ascii="宋体" w:hAnsi="宋体" w:eastAsia="宋体" w:cs="宋体"/>
          <w:color w:val="000000" w:themeColor="text1"/>
          <w:szCs w:val="21"/>
          <w:highlight w:val="none"/>
          <w14:textFill>
            <w14:solidFill>
              <w14:schemeClr w14:val="tx1"/>
            </w14:solidFill>
          </w14:textFill>
        </w:rPr>
        <w:t>等</w:t>
      </w:r>
      <w:r>
        <w:rPr>
          <w:rFonts w:hint="eastAsia" w:ascii="宋体" w:hAnsi="宋体" w:cs="宋体"/>
          <w:color w:val="000000" w:themeColor="text1"/>
          <w:szCs w:val="21"/>
          <w:highlight w:val="none"/>
          <w14:textFill>
            <w14:solidFill>
              <w14:schemeClr w14:val="tx1"/>
            </w14:solidFill>
          </w14:textFill>
        </w:rPr>
        <w:t>，合同总价款为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元（大写）</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（产品清单详见附表）</w:t>
      </w:r>
    </w:p>
    <w:p w14:paraId="51F83166">
      <w:pPr>
        <w:pStyle w:val="11"/>
        <w:spacing w:line="5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二、货物质量要求：</w:t>
      </w:r>
    </w:p>
    <w:p w14:paraId="2ED3C674">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乙方提供的货物是全新的货物，符合国家有关标准，达到</w:t>
      </w:r>
      <w:r>
        <w:rPr>
          <w:rFonts w:hint="eastAsia" w:ascii="宋体" w:hAnsi="宋体" w:cs="宋体"/>
          <w:color w:val="000000" w:themeColor="text1"/>
          <w:szCs w:val="21"/>
          <w:highlight w:val="none"/>
          <w:lang w:val="en-US" w:eastAsia="zh-CN"/>
          <w14:textFill>
            <w14:solidFill>
              <w14:schemeClr w14:val="tx1"/>
            </w14:solidFill>
          </w14:textFill>
        </w:rPr>
        <w:t>本项目</w:t>
      </w:r>
      <w:r>
        <w:rPr>
          <w:rFonts w:hint="eastAsia" w:ascii="宋体" w:hAnsi="宋体" w:cs="宋体"/>
          <w:color w:val="000000" w:themeColor="text1"/>
          <w:szCs w:val="21"/>
          <w:highlight w:val="none"/>
          <w14:textFill>
            <w14:solidFill>
              <w14:schemeClr w14:val="tx1"/>
            </w14:solidFill>
          </w14:textFill>
        </w:rPr>
        <w:t>招标文件中的技术标准</w:t>
      </w:r>
      <w:r>
        <w:rPr>
          <w:rFonts w:hint="eastAsia" w:ascii="宋体" w:hAnsi="宋体" w:cs="宋体"/>
          <w:color w:val="000000" w:themeColor="text1"/>
          <w:szCs w:val="21"/>
          <w:highlight w:val="none"/>
          <w:lang w:val="en-US" w:eastAsia="zh-CN"/>
          <w14:textFill>
            <w14:solidFill>
              <w14:schemeClr w14:val="tx1"/>
            </w14:solidFill>
          </w14:textFill>
        </w:rPr>
        <w:t>及要求</w:t>
      </w:r>
      <w:r>
        <w:rPr>
          <w:rFonts w:hint="eastAsia" w:ascii="宋体" w:hAnsi="宋体" w:cs="宋体"/>
          <w:color w:val="000000" w:themeColor="text1"/>
          <w:szCs w:val="21"/>
          <w:highlight w:val="none"/>
          <w14:textFill>
            <w14:solidFill>
              <w14:schemeClr w14:val="tx1"/>
            </w14:solidFill>
          </w14:textFill>
        </w:rPr>
        <w:t>，且与投标文件保持一致。</w:t>
      </w:r>
    </w:p>
    <w:p w14:paraId="0D52B8A8">
      <w:pPr>
        <w:pStyle w:val="11"/>
        <w:spacing w:line="520" w:lineRule="exact"/>
        <w:ind w:firstLine="42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三、交货时间、地点、方式：</w:t>
      </w:r>
    </w:p>
    <w:p w14:paraId="105D2072">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合同生效后，乙方应于合同签订</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天内按甲方要求在指定地点将货物交货完毕，并具备验收使用条件。货物运送、装卸、安装和验收等产生的费用由乙方负责。</w:t>
      </w:r>
    </w:p>
    <w:p w14:paraId="37C0AA4B">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四、乙方在交付货物时应向甲方提供所供货物的相关的资料。</w:t>
      </w:r>
    </w:p>
    <w:p w14:paraId="3567475F">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五、验收：所供货物结束由乙方提供其供应货物满足招标文件所规定技术参数相关证明文件，和具体使用学校提供的能正常使用相关证明后，由甲方组织相关人员进行验收、出具检测验收报告。</w:t>
      </w:r>
    </w:p>
    <w:p w14:paraId="64FEC58C">
      <w:pPr>
        <w:pStyle w:val="47"/>
        <w:keepNext w:val="0"/>
        <w:keepLines w:val="0"/>
        <w:pageBreakBefore w:val="0"/>
        <w:kinsoku/>
        <w:wordWrap/>
        <w:overflowPunct/>
        <w:topLinePunct w:val="0"/>
        <w:autoSpaceDE/>
        <w:autoSpaceDN/>
        <w:bidi w:val="0"/>
        <w:adjustRightInd/>
        <w:snapToGrid/>
        <w:spacing w:line="600" w:lineRule="exact"/>
        <w:ind w:left="0" w:firstLine="624"/>
        <w:textAlignment w:val="auto"/>
        <w:rPr>
          <w:rFonts w:hint="eastAsia" w:ascii="宋体" w:hAnsi="宋体" w:eastAsia="宋体" w:cs="宋体"/>
          <w:color w:val="000000" w:themeColor="text1"/>
          <w:szCs w:val="21"/>
          <w:highlight w:val="none"/>
          <w:u w:val="single"/>
          <w:lang w:val="en-US" w:eastAsia="zh-CN"/>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六、付款方式：</w:t>
      </w:r>
      <w:r>
        <w:rPr>
          <w:rFonts w:hint="default" w:ascii="宋体" w:hAnsi="宋体" w:eastAsia="宋体" w:cs="宋体"/>
          <w:color w:val="000000" w:themeColor="text1"/>
          <w:szCs w:val="21"/>
          <w:highlight w:val="none"/>
          <w:u w:val="single"/>
          <w:lang w:val="en-US" w:eastAsia="zh-CN"/>
          <w14:textFill>
            <w14:solidFill>
              <w14:schemeClr w14:val="tx1"/>
            </w14:solidFill>
          </w14:textFill>
        </w:rPr>
        <w:t>合同签订后，本项目分二批次供货，</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全部</w:t>
      </w:r>
      <w:r>
        <w:rPr>
          <w:rFonts w:hint="default" w:ascii="宋体" w:hAnsi="宋体" w:eastAsia="宋体" w:cs="宋体"/>
          <w:color w:val="000000" w:themeColor="text1"/>
          <w:szCs w:val="21"/>
          <w:highlight w:val="none"/>
          <w:u w:val="single"/>
          <w:lang w:val="en-US" w:eastAsia="zh-CN"/>
          <w14:textFill>
            <w14:solidFill>
              <w14:schemeClr w14:val="tx1"/>
            </w14:solidFill>
          </w14:textFill>
        </w:rPr>
        <w:t>供货安装</w:t>
      </w:r>
      <w:r>
        <w:rPr>
          <w:rFonts w:hint="eastAsia" w:ascii="宋体" w:hAnsi="宋体" w:eastAsia="宋体" w:cs="宋体"/>
          <w:color w:val="000000" w:themeColor="text1"/>
          <w:szCs w:val="21"/>
          <w:highlight w:val="none"/>
          <w:u w:val="single"/>
          <w:lang w:val="en-US" w:eastAsia="zh-CN"/>
          <w14:textFill>
            <w14:solidFill>
              <w14:schemeClr w14:val="tx1"/>
            </w14:solidFill>
          </w14:textFill>
        </w:rPr>
        <w:t>结束，该项目经过国家认可的第三方质量检测机构验收和检测合格后，</w:t>
      </w:r>
      <w:r>
        <w:rPr>
          <w:rFonts w:hint="default" w:ascii="宋体" w:hAnsi="宋体" w:eastAsia="宋体" w:cs="宋体"/>
          <w:color w:val="000000" w:themeColor="text1"/>
          <w:szCs w:val="21"/>
          <w:highlight w:val="none"/>
          <w:u w:val="single"/>
          <w:lang w:val="en-US" w:eastAsia="zh-CN"/>
          <w14:textFill>
            <w14:solidFill>
              <w14:schemeClr w14:val="tx1"/>
            </w14:solidFill>
          </w14:textFill>
        </w:rPr>
        <w:t>据实支付</w:t>
      </w:r>
      <w:r>
        <w:rPr>
          <w:rFonts w:hint="eastAsia" w:ascii="宋体" w:hAnsi="宋体" w:eastAsia="宋体" w:cs="宋体"/>
          <w:color w:val="000000" w:themeColor="text1"/>
          <w:szCs w:val="21"/>
          <w:highlight w:val="none"/>
          <w:u w:val="single"/>
          <w:lang w:val="en-US" w:eastAsia="zh-CN"/>
          <w14:textFill>
            <w14:solidFill>
              <w14:schemeClr w14:val="tx1"/>
            </w14:solidFill>
          </w14:textFill>
        </w:rPr>
        <w:t>合同总额的100％</w:t>
      </w:r>
      <w:r>
        <w:rPr>
          <w:rFonts w:hint="default" w:ascii="宋体" w:hAnsi="宋体" w:eastAsia="宋体" w:cs="宋体"/>
          <w:color w:val="000000" w:themeColor="text1"/>
          <w:szCs w:val="21"/>
          <w:highlight w:val="none"/>
          <w:u w:val="single"/>
          <w:lang w:val="en-US" w:eastAsia="zh-CN"/>
          <w14:textFill>
            <w14:solidFill>
              <w14:schemeClr w14:val="tx1"/>
            </w14:solidFill>
          </w14:textFill>
        </w:rPr>
        <w:t>。</w:t>
      </w:r>
    </w:p>
    <w:p w14:paraId="17E4F259">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七、违约责任：</w:t>
      </w:r>
    </w:p>
    <w:p w14:paraId="5578B051">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甲方无正当理由拒收货物、拒付货款的，向乙方偿付拒收拒付部分货物款总额0.1℅的违约金。</w:t>
      </w:r>
    </w:p>
    <w:p w14:paraId="3F968A71">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乙方所交货物的规格型号、技术要求、质量品质等不符合合同规定，甲方有权拒收货物，乙方应负责更换并承担因更换而支付的全部实际费用。因更换而逾期交货，则按逾期交货处理。</w:t>
      </w:r>
    </w:p>
    <w:p w14:paraId="5691BB77">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乙方逾期交付货物，乙方向甲方每日偿付逾期交货部分总值0.1℅赔偿费。</w:t>
      </w:r>
    </w:p>
    <w:p w14:paraId="2278ADDF">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八、因货物的质量问题发生争议，由甲方所在地市级技术监督单位进行质量鉴定。</w:t>
      </w:r>
    </w:p>
    <w:p w14:paraId="2EFEA403">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九、甲乙双方应严格遵守投标要求和投标单位须知，如有违反，按投标要求和投标单位须知规定予以处理。</w:t>
      </w:r>
    </w:p>
    <w:p w14:paraId="27AD9028">
      <w:pPr>
        <w:spacing w:line="520" w:lineRule="exact"/>
        <w:ind w:firstLine="472" w:firstLineChars="225"/>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十、招标文件及其修改补充、投标文件及其修改澄清均为本合同的组成部分。优先支配地位的次序为：本合同、招标文件和投标文件。</w:t>
      </w:r>
    </w:p>
    <w:p w14:paraId="69A692EA">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十一、本合同发生争议时双方应按合同条款协商解决。双方协商不成，可以向当地人民法院起诉。</w:t>
      </w:r>
    </w:p>
    <w:p w14:paraId="19DFEB8A">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十二、合同生效及其它：</w:t>
      </w:r>
    </w:p>
    <w:p w14:paraId="0A16FA25">
      <w:pPr>
        <w:spacing w:line="520" w:lineRule="exact"/>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本合同经甲乙双方法定代表人签字、加盖公章和骑缝章后生效。本合同一式四份，甲乙双方各持两份。</w:t>
      </w:r>
    </w:p>
    <w:p w14:paraId="311D791C">
      <w:pPr>
        <w:pStyle w:val="6"/>
        <w:spacing w:line="520" w:lineRule="exact"/>
        <w:rPr>
          <w:rFonts w:ascii="宋体" w:hAnsi="宋体" w:cs="宋体"/>
          <w:color w:val="000000" w:themeColor="text1"/>
          <w:szCs w:val="21"/>
          <w:highlight w:val="none"/>
          <w14:textFill>
            <w14:solidFill>
              <w14:schemeClr w14:val="tx1"/>
            </w14:solidFill>
          </w14:textFill>
        </w:rPr>
      </w:pPr>
    </w:p>
    <w:p w14:paraId="1B49F86B">
      <w:pPr>
        <w:spacing w:line="520" w:lineRule="exact"/>
        <w:rPr>
          <w:rFonts w:ascii="宋体" w:hAnsi="宋体" w:cs="宋体"/>
          <w:b/>
          <w:color w:val="000000" w:themeColor="text1"/>
          <w:szCs w:val="21"/>
          <w:highlight w:val="none"/>
          <w14:textFill>
            <w14:solidFill>
              <w14:schemeClr w14:val="tx1"/>
            </w14:solidFill>
          </w14:textFill>
        </w:rPr>
      </w:pPr>
    </w:p>
    <w:p w14:paraId="144C9ADF">
      <w:pPr>
        <w:spacing w:line="520" w:lineRule="exact"/>
        <w:ind w:left="4019" w:leftChars="207" w:hanging="3584" w:hangingChars="17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甲方：博爱县教育体育局                       乙方： </w:t>
      </w:r>
    </w:p>
    <w:p w14:paraId="4EE44206">
      <w:pPr>
        <w:spacing w:line="520" w:lineRule="exact"/>
        <w:ind w:left="3592" w:leftChars="205" w:hanging="3162" w:hangingChars="15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地址：</w:t>
      </w:r>
      <w:r>
        <w:rPr>
          <w:rFonts w:hint="eastAsia" w:ascii="宋体" w:hAnsi="宋体" w:cs="宋体"/>
          <w:b/>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地址： </w:t>
      </w:r>
    </w:p>
    <w:p w14:paraId="4178B249">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 xml:space="preserve">法定代表人：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法人（授权委托人）：</w:t>
      </w:r>
    </w:p>
    <w:p w14:paraId="5F481ACB">
      <w:pPr>
        <w:spacing w:line="520" w:lineRule="exact"/>
        <w:rPr>
          <w:rFonts w:hint="eastAsia" w:ascii="宋体" w:hAnsi="宋体" w:eastAsia="宋体" w:cs="宋体"/>
          <w:b/>
          <w:color w:val="000000" w:themeColor="text1"/>
          <w:szCs w:val="21"/>
          <w:highlight w:val="none"/>
          <w:lang w:val="en-US" w:eastAsia="zh-CN"/>
          <w14:textFill>
            <w14:solidFill>
              <w14:schemeClr w14:val="tx1"/>
            </w14:solidFill>
          </w14:textFill>
        </w:rPr>
      </w:pPr>
      <w:r>
        <w:rPr>
          <w:rFonts w:hint="eastAsia" w:ascii="宋体" w:hAnsi="宋体" w:cs="宋体"/>
          <w:b/>
          <w:color w:val="000000" w:themeColor="text1"/>
          <w:szCs w:val="21"/>
          <w:highlight w:val="none"/>
          <w:lang w:val="en-US" w:eastAsia="zh-CN"/>
          <w14:textFill>
            <w14:solidFill>
              <w14:schemeClr w14:val="tx1"/>
            </w14:solidFill>
          </w14:textFill>
        </w:rPr>
        <w:t xml:space="preserve"> </w:t>
      </w:r>
    </w:p>
    <w:p w14:paraId="3F0FC1EE">
      <w:pPr>
        <w:spacing w:line="520" w:lineRule="exact"/>
        <w:rPr>
          <w:rFonts w:ascii="宋体" w:hAnsi="宋体" w:cs="宋体"/>
          <w:b/>
          <w:color w:val="000000" w:themeColor="text1"/>
          <w:szCs w:val="21"/>
          <w:highlight w:val="none"/>
          <w14:textFill>
            <w14:solidFill>
              <w14:schemeClr w14:val="tx1"/>
            </w14:solidFill>
          </w14:textFill>
        </w:rPr>
      </w:pPr>
    </w:p>
    <w:p w14:paraId="72A49240">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电　　话：</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 xml:space="preserve">电　　话： </w:t>
      </w:r>
    </w:p>
    <w:p w14:paraId="4F0FE46A">
      <w:pPr>
        <w:spacing w:line="520" w:lineRule="exact"/>
        <w:ind w:left="3592" w:leftChars="205" w:hanging="3162" w:hangingChars="15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开户银行：</w:t>
      </w:r>
      <w:r>
        <w:rPr>
          <w:rFonts w:hint="eastAsia" w:ascii="宋体" w:hAnsi="宋体" w:cs="宋体"/>
          <w:color w:val="000000" w:themeColor="text1"/>
          <w:szCs w:val="21"/>
          <w:highlight w:val="none"/>
          <w14:textFill>
            <w14:solidFill>
              <w14:schemeClr w14:val="tx1"/>
            </w14:solidFill>
          </w14:textFill>
        </w:rPr>
        <w:t xml:space="preserve"> </w:t>
      </w:r>
    </w:p>
    <w:p w14:paraId="4AA1FA83">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银行账号：</w:t>
      </w:r>
      <w:r>
        <w:rPr>
          <w:rFonts w:hint="eastAsia" w:ascii="宋体" w:hAnsi="宋体" w:cs="宋体"/>
          <w:color w:val="000000" w:themeColor="text1"/>
          <w:szCs w:val="21"/>
          <w:highlight w:val="none"/>
          <w14:textFill>
            <w14:solidFill>
              <w14:schemeClr w14:val="tx1"/>
            </w14:solidFill>
          </w14:textFill>
        </w:rPr>
        <w:t xml:space="preserve"> </w:t>
      </w:r>
    </w:p>
    <w:p w14:paraId="3E1396A3">
      <w:pPr>
        <w:spacing w:line="520" w:lineRule="exact"/>
        <w:ind w:firstLine="422" w:firstLineChars="200"/>
        <w:rPr>
          <w:rFonts w:ascii="宋体" w:hAnsi="宋体" w:cs="宋体"/>
          <w:b/>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开户名:</w:t>
      </w:r>
      <w:r>
        <w:rPr>
          <w:rFonts w:hint="eastAsia" w:ascii="宋体" w:hAnsi="宋体" w:cs="宋体"/>
          <w:color w:val="000000" w:themeColor="text1"/>
          <w:szCs w:val="21"/>
          <w:highlight w:val="none"/>
          <w14:textFill>
            <w14:solidFill>
              <w14:schemeClr w14:val="tx1"/>
            </w14:solidFill>
          </w14:textFill>
        </w:rPr>
        <w:t xml:space="preserve">博爱县非税收入资金                    </w:t>
      </w:r>
      <w:r>
        <w:rPr>
          <w:rFonts w:hint="eastAsia" w:ascii="宋体" w:hAnsi="宋体" w:cs="宋体"/>
          <w:b/>
          <w:color w:val="000000" w:themeColor="text1"/>
          <w:szCs w:val="21"/>
          <w:highlight w:val="none"/>
          <w14:textFill>
            <w14:solidFill>
              <w14:schemeClr w14:val="tx1"/>
            </w14:solidFill>
          </w14:textFill>
        </w:rPr>
        <w:t>开户名:</w:t>
      </w:r>
    </w:p>
    <w:p w14:paraId="3B5E1908">
      <w:pPr>
        <w:spacing w:line="520" w:lineRule="exact"/>
        <w:ind w:firstLine="1260" w:firstLineChars="6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财政专户                         </w:t>
      </w:r>
    </w:p>
    <w:p w14:paraId="53572C34">
      <w:pPr>
        <w:spacing w:line="520" w:lineRule="exact"/>
        <w:ind w:firstLine="422"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b/>
          <w:color w:val="000000" w:themeColor="text1"/>
          <w:szCs w:val="21"/>
          <w:highlight w:val="none"/>
          <w14:textFill>
            <w14:solidFill>
              <w14:schemeClr w14:val="tx1"/>
            </w14:solidFill>
          </w14:textFill>
        </w:rPr>
        <w:t>签约时间：</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lang w:eastAsia="zh-CN"/>
          <w14:textFill>
            <w14:solidFill>
              <w14:schemeClr w14:val="tx1"/>
            </w14:solidFill>
          </w14:textFill>
        </w:rPr>
        <w:t>年</w:t>
      </w:r>
      <w:r>
        <w:rPr>
          <w:rFonts w:hint="eastAsia" w:ascii="宋体" w:hAnsi="宋体" w:cs="宋体"/>
          <w:color w:val="000000" w:themeColor="text1"/>
          <w:szCs w:val="21"/>
          <w:highlight w:val="none"/>
          <w14:textFill>
            <w14:solidFill>
              <w14:schemeClr w14:val="tx1"/>
            </w14:solidFill>
          </w14:textFill>
        </w:rPr>
        <w:t xml:space="preserve">   月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日      </w:t>
      </w:r>
      <w:r>
        <w:rPr>
          <w:rFonts w:hint="eastAsia" w:ascii="宋体" w:hAnsi="宋体" w:cs="宋体"/>
          <w:color w:val="000000" w:themeColor="text1"/>
          <w:szCs w:val="21"/>
          <w:highlight w:val="none"/>
          <w:lang w:val="en-US" w:eastAsia="zh-CN"/>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 xml:space="preserve">         </w:t>
      </w:r>
      <w:r>
        <w:rPr>
          <w:rFonts w:hint="eastAsia" w:ascii="宋体" w:hAnsi="宋体" w:cs="宋体"/>
          <w:b/>
          <w:color w:val="000000" w:themeColor="text1"/>
          <w:szCs w:val="21"/>
          <w:highlight w:val="none"/>
          <w14:textFill>
            <w14:solidFill>
              <w14:schemeClr w14:val="tx1"/>
            </w14:solidFill>
          </w14:textFill>
        </w:rPr>
        <w:t>签约地点：</w:t>
      </w:r>
      <w:r>
        <w:rPr>
          <w:rFonts w:hint="eastAsia" w:ascii="宋体" w:hAnsi="宋体" w:cs="宋体"/>
          <w:color w:val="000000" w:themeColor="text1"/>
          <w:szCs w:val="21"/>
          <w:highlight w:val="none"/>
          <w14:textFill>
            <w14:solidFill>
              <w14:schemeClr w14:val="tx1"/>
            </w14:solidFill>
          </w14:textFill>
        </w:rPr>
        <w:t>博爱县教育体育局</w:t>
      </w:r>
    </w:p>
    <w:p w14:paraId="5E437D3A">
      <w:pPr>
        <w:spacing w:line="520" w:lineRule="exact"/>
        <w:ind w:left="4410" w:hanging="4410" w:hangingChars="2100"/>
        <w:rPr>
          <w:rFonts w:ascii="宋体" w:hAnsi="宋体" w:cs="宋体"/>
          <w:color w:val="000000" w:themeColor="text1"/>
          <w:szCs w:val="21"/>
          <w:highlight w:val="none"/>
          <w14:textFill>
            <w14:solidFill>
              <w14:schemeClr w14:val="tx1"/>
            </w14:solidFill>
          </w14:textFill>
        </w:rPr>
      </w:pPr>
    </w:p>
    <w:p w14:paraId="4E8279FA">
      <w:pPr>
        <w:spacing w:line="520" w:lineRule="exact"/>
        <w:rPr>
          <w:rFonts w:ascii="宋体" w:hAnsi="宋体" w:cs="宋体"/>
          <w:b/>
          <w:bCs/>
          <w:color w:val="000000" w:themeColor="text1"/>
          <w:szCs w:val="21"/>
          <w:highlight w:val="none"/>
          <w14:textFill>
            <w14:solidFill>
              <w14:schemeClr w14:val="tx1"/>
            </w14:solidFill>
          </w14:textFill>
        </w:rPr>
      </w:pPr>
    </w:p>
    <w:p w14:paraId="0BD72C78">
      <w:pPr>
        <w:spacing w:line="520" w:lineRule="exact"/>
        <w:ind w:firstLine="422" w:firstLineChars="200"/>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附：采购货物表</w:t>
      </w:r>
    </w:p>
    <w:p w14:paraId="537327B1">
      <w:pPr>
        <w:bidi w:val="0"/>
      </w:pPr>
    </w:p>
    <w:p w14:paraId="5DEBC802">
      <w:pPr>
        <w:bidi w:val="0"/>
      </w:pPr>
    </w:p>
    <w:p w14:paraId="43E72EB9">
      <w:pPr>
        <w:bidi w:val="0"/>
      </w:pPr>
    </w:p>
    <w:p w14:paraId="4213C6D9">
      <w:pPr>
        <w:bidi w:val="0"/>
      </w:pPr>
    </w:p>
    <w:p w14:paraId="6723E19B">
      <w:pPr>
        <w:bidi w:val="0"/>
      </w:pPr>
    </w:p>
    <w:p w14:paraId="53C88273">
      <w:pPr>
        <w:bidi w:val="0"/>
      </w:pPr>
    </w:p>
    <w:p w14:paraId="0632C70B">
      <w:pPr>
        <w:pStyle w:val="10"/>
        <w:spacing w:after="0" w:line="360" w:lineRule="auto"/>
        <w:jc w:val="center"/>
        <w:outlineLvl w:val="0"/>
        <w:rPr>
          <w:rFonts w:ascii="宋体" w:hAnsi="宋体" w:cs="宋体"/>
          <w:b/>
          <w:bCs/>
          <w:color w:val="000000" w:themeColor="text1"/>
          <w:sz w:val="32"/>
          <w:szCs w:val="32"/>
          <w:highlight w:val="none"/>
          <w14:textFill>
            <w14:solidFill>
              <w14:schemeClr w14:val="tx1"/>
            </w14:solidFill>
          </w14:textFill>
        </w:rPr>
      </w:pPr>
      <w:bookmarkStart w:id="282" w:name="_Toc13770"/>
      <w:r>
        <w:rPr>
          <w:rFonts w:hint="eastAsia" w:ascii="宋体" w:hAnsi="宋体" w:cs="宋体"/>
          <w:b/>
          <w:bCs/>
          <w:color w:val="000000" w:themeColor="text1"/>
          <w:sz w:val="32"/>
          <w:szCs w:val="32"/>
          <w:highlight w:val="none"/>
          <w14:textFill>
            <w14:solidFill>
              <w14:schemeClr w14:val="tx1"/>
            </w14:solidFill>
          </w14:textFill>
        </w:rPr>
        <w:t>第五章 采购内容及技术要求</w:t>
      </w:r>
      <w:bookmarkEnd w:id="282"/>
    </w:p>
    <w:bookmarkEnd w:id="281"/>
    <w:p w14:paraId="41DAFC9C">
      <w:pPr>
        <w:pageBreakBefore w:val="0"/>
        <w:numPr>
          <w:ilvl w:val="0"/>
          <w:numId w:val="0"/>
        </w:numPr>
        <w:overflowPunct/>
        <w:topLinePunct w:val="0"/>
        <w:bidi w:val="0"/>
        <w:spacing w:before="153" w:line="440" w:lineRule="exact"/>
        <w:outlineLvl w:val="1"/>
        <w:rPr>
          <w:rFonts w:hint="eastAsia" w:ascii="宋体" w:hAnsi="宋体" w:eastAsia="宋体" w:cs="宋体"/>
          <w:b/>
          <w:bCs/>
          <w:color w:val="auto"/>
          <w:spacing w:val="3"/>
          <w:sz w:val="24"/>
          <w:szCs w:val="24"/>
          <w:highlight w:val="none"/>
          <w:lang w:val="en-US" w:eastAsia="zh-CN"/>
        </w:rPr>
      </w:pPr>
      <w:bookmarkStart w:id="283" w:name="_Toc426369533"/>
      <w:bookmarkStart w:id="284" w:name="_Toc403122572"/>
      <w:bookmarkStart w:id="285" w:name="_Toc7906"/>
      <w:r>
        <w:rPr>
          <w:rFonts w:hint="eastAsia" w:ascii="宋体" w:hAnsi="宋体" w:eastAsia="宋体" w:cs="宋体"/>
          <w:b/>
          <w:bCs/>
          <w:color w:val="auto"/>
          <w:spacing w:val="3"/>
          <w:sz w:val="24"/>
          <w:szCs w:val="24"/>
          <w:highlight w:val="none"/>
          <w:lang w:val="en-US" w:eastAsia="zh-CN"/>
        </w:rPr>
        <w:t>1、机械零件及测绘实训室</w:t>
      </w:r>
    </w:p>
    <w:tbl>
      <w:tblPr>
        <w:tblStyle w:val="28"/>
        <w:tblW w:w="9587"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080"/>
        <w:gridCol w:w="7151"/>
        <w:gridCol w:w="834"/>
      </w:tblGrid>
      <w:tr w14:paraId="1D52D0B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22" w:type="dxa"/>
            <w:noWrap w:val="0"/>
            <w:textDirection w:val="tbRlV"/>
            <w:vAlign w:val="top"/>
          </w:tcPr>
          <w:p w14:paraId="26B9C291">
            <w:pPr>
              <w:pStyle w:val="65"/>
              <w:pageBreakBefore w:val="0"/>
              <w:overflowPunct/>
              <w:topLinePunct w:val="0"/>
              <w:bidi w:val="0"/>
              <w:spacing w:before="119" w:line="440" w:lineRule="exact"/>
              <w:ind w:left="8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序</w:t>
            </w:r>
            <w:r>
              <w:rPr>
                <w:rFonts w:hint="eastAsia" w:ascii="宋体" w:hAnsi="宋体" w:eastAsia="宋体" w:cs="宋体"/>
                <w:color w:val="auto"/>
                <w:spacing w:val="10"/>
                <w:sz w:val="24"/>
                <w:szCs w:val="24"/>
                <w:highlight w:val="none"/>
              </w:rPr>
              <w:t xml:space="preserve"> </w:t>
            </w:r>
            <w:r>
              <w:rPr>
                <w:rFonts w:hint="eastAsia" w:ascii="宋体" w:hAnsi="宋体" w:eastAsia="宋体" w:cs="宋体"/>
                <w:b/>
                <w:bCs/>
                <w:color w:val="auto"/>
                <w:spacing w:val="6"/>
                <w:sz w:val="24"/>
                <w:szCs w:val="24"/>
                <w:highlight w:val="none"/>
              </w:rPr>
              <w:t>号</w:t>
            </w:r>
          </w:p>
        </w:tc>
        <w:tc>
          <w:tcPr>
            <w:tcW w:w="1080" w:type="dxa"/>
            <w:noWrap w:val="0"/>
            <w:vAlign w:val="top"/>
          </w:tcPr>
          <w:p w14:paraId="73B48854">
            <w:pPr>
              <w:pStyle w:val="65"/>
              <w:pageBreakBefore w:val="0"/>
              <w:overflowPunct/>
              <w:topLinePunct w:val="0"/>
              <w:bidi w:val="0"/>
              <w:spacing w:before="82" w:line="440" w:lineRule="exact"/>
              <w:ind w:left="125" w:right="12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设备</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名称</w:t>
            </w:r>
          </w:p>
        </w:tc>
        <w:tc>
          <w:tcPr>
            <w:tcW w:w="7151" w:type="dxa"/>
            <w:noWrap w:val="0"/>
            <w:vAlign w:val="top"/>
          </w:tcPr>
          <w:p w14:paraId="64790685">
            <w:pPr>
              <w:pStyle w:val="65"/>
              <w:pageBreakBefore w:val="0"/>
              <w:overflowPunct/>
              <w:topLinePunct w:val="0"/>
              <w:bidi w:val="0"/>
              <w:spacing w:before="241" w:line="440" w:lineRule="exact"/>
              <w:ind w:left="35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详细参数</w:t>
            </w:r>
          </w:p>
        </w:tc>
        <w:tc>
          <w:tcPr>
            <w:tcW w:w="834" w:type="dxa"/>
            <w:noWrap w:val="0"/>
            <w:vAlign w:val="top"/>
          </w:tcPr>
          <w:p w14:paraId="0D1FFAAE">
            <w:pPr>
              <w:pStyle w:val="65"/>
              <w:pageBreakBefore w:val="0"/>
              <w:overflowPunct/>
              <w:topLinePunct w:val="0"/>
              <w:bidi w:val="0"/>
              <w:spacing w:before="241" w:line="440" w:lineRule="exact"/>
              <w:ind w:left="15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数量</w:t>
            </w:r>
          </w:p>
        </w:tc>
      </w:tr>
      <w:tr w14:paraId="34C5558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0" w:hRule="atLeast"/>
        </w:trPr>
        <w:tc>
          <w:tcPr>
            <w:tcW w:w="522" w:type="dxa"/>
            <w:noWrap w:val="0"/>
            <w:vAlign w:val="top"/>
          </w:tcPr>
          <w:p w14:paraId="305C9607">
            <w:pPr>
              <w:pStyle w:val="65"/>
              <w:pageBreakBefore w:val="0"/>
              <w:overflowPunct/>
              <w:topLinePunct w:val="0"/>
              <w:bidi w:val="0"/>
              <w:spacing w:before="65" w:line="440" w:lineRule="exact"/>
              <w:ind w:left="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noWrap w:val="0"/>
            <w:vAlign w:val="top"/>
          </w:tcPr>
          <w:p w14:paraId="549A420E">
            <w:pPr>
              <w:pStyle w:val="65"/>
              <w:pageBreakBefore w:val="0"/>
              <w:overflowPunct/>
              <w:topLinePunct w:val="0"/>
              <w:bidi w:val="0"/>
              <w:spacing w:before="65" w:line="440" w:lineRule="exact"/>
              <w:ind w:left="124" w:right="121" w:firstLine="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计算机</w:t>
            </w:r>
          </w:p>
        </w:tc>
        <w:tc>
          <w:tcPr>
            <w:tcW w:w="7151" w:type="dxa"/>
            <w:noWrap w:val="0"/>
            <w:vAlign w:val="top"/>
          </w:tcPr>
          <w:p w14:paraId="25DBA337">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1.CPU：不低于Intel i5-</w:t>
            </w:r>
            <w:r>
              <w:rPr>
                <w:rFonts w:hint="eastAsia" w:cs="宋体"/>
                <w:color w:val="auto"/>
                <w:sz w:val="24"/>
                <w:szCs w:val="24"/>
                <w:highlight w:val="none"/>
                <w:lang w:val="en-US" w:eastAsia="zh-CN"/>
              </w:rPr>
              <w:t>12400</w:t>
            </w:r>
            <w:r>
              <w:rPr>
                <w:rFonts w:hint="eastAsia" w:ascii="宋体" w:hAnsi="宋体" w:eastAsia="宋体" w:cs="宋体"/>
                <w:color w:val="auto"/>
                <w:sz w:val="24"/>
                <w:szCs w:val="24"/>
                <w:highlight w:val="none"/>
                <w:lang w:eastAsia="zh-CN"/>
              </w:rPr>
              <w:t>，主频≥2.5GHz；</w:t>
            </w:r>
          </w:p>
          <w:p w14:paraId="372E3FE5">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2.主板：Intel Q670系列芯片组及以上；</w:t>
            </w:r>
          </w:p>
          <w:p w14:paraId="78CB46C7">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3.内存：≥16G DDR4 3200MHz内存，不少于4个内存插槽；</w:t>
            </w:r>
          </w:p>
          <w:p w14:paraId="7DF8A0DF">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4.*硬盘：≥512G固态硬盘；</w:t>
            </w:r>
          </w:p>
          <w:p w14:paraId="3ADA3EDB">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5.声卡：集成5.1声道声卡，提供后置3个立体声输出接口；</w:t>
            </w:r>
          </w:p>
          <w:p w14:paraId="0451D08A">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6.显卡：≥GTX1660</w:t>
            </w:r>
            <w:r>
              <w:rPr>
                <w:rFonts w:hint="eastAsia" w:cs="宋体"/>
                <w:color w:val="auto"/>
                <w:sz w:val="24"/>
                <w:szCs w:val="24"/>
                <w:highlight w:val="none"/>
                <w:lang w:val="en-US" w:eastAsia="zh-CN"/>
              </w:rPr>
              <w:t>Ti或Radeon RX590</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6G独立显存；</w:t>
            </w:r>
          </w:p>
          <w:p w14:paraId="4C7F4FDF">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7.网卡：千兆自适应以太网卡；</w:t>
            </w:r>
          </w:p>
          <w:p w14:paraId="5E7D322F">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8.键鼠：防水键盘、抗菌鼠标；</w:t>
            </w:r>
          </w:p>
          <w:p w14:paraId="35B453A6">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9.机箱：标准立式机箱，体积≤17L，顶置提手，顶置电源开关，免工具维护；</w:t>
            </w:r>
          </w:p>
          <w:p w14:paraId="7A3921D6">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10.显示器：≥27英寸，分辨率1920x1080,带低蓝光护眼功能；</w:t>
            </w:r>
          </w:p>
          <w:p w14:paraId="149A73F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11.电源：500W高效电源；</w:t>
            </w:r>
          </w:p>
          <w:p w14:paraId="48755A95">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12.标配接口：USB接口≥8个，至少前置4个USB3.2，1个Type-C；DP*1个，HDMI*1个，（原厂接口非转接）；</w:t>
            </w:r>
          </w:p>
          <w:p w14:paraId="21FBB513">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13.*安全性：USB屏蔽技术，仅识别USB键盘、鼠标，无法识别USB读取设备，有效防止数据泄露；</w:t>
            </w:r>
          </w:p>
          <w:p w14:paraId="0A123C95">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14.功能：具备开机还原功能；</w:t>
            </w:r>
          </w:p>
        </w:tc>
        <w:tc>
          <w:tcPr>
            <w:tcW w:w="834" w:type="dxa"/>
            <w:noWrap w:val="0"/>
            <w:vAlign w:val="top"/>
          </w:tcPr>
          <w:p w14:paraId="6A2B27E8">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w:t>
            </w:r>
            <w:r>
              <w:rPr>
                <w:rFonts w:hint="eastAsia" w:ascii="宋体" w:hAnsi="宋体" w:eastAsia="宋体" w:cs="宋体"/>
                <w:b w:val="0"/>
                <w:bCs w:val="0"/>
                <w:color w:val="auto"/>
                <w:sz w:val="24"/>
                <w:szCs w:val="24"/>
                <w:highlight w:val="none"/>
                <w:lang w:val="en-US" w:eastAsia="zh-CN"/>
              </w:rPr>
              <w:t>台</w:t>
            </w:r>
          </w:p>
        </w:tc>
      </w:tr>
      <w:tr w14:paraId="5F07417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522" w:type="dxa"/>
            <w:noWrap w:val="0"/>
            <w:vAlign w:val="top"/>
          </w:tcPr>
          <w:p w14:paraId="6A6D6EF3">
            <w:pPr>
              <w:pStyle w:val="65"/>
              <w:pageBreakBefore w:val="0"/>
              <w:overflowPunct/>
              <w:topLinePunct w:val="0"/>
              <w:bidi w:val="0"/>
              <w:spacing w:before="65" w:line="440" w:lineRule="exact"/>
              <w:ind w:left="19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080" w:type="dxa"/>
            <w:noWrap w:val="0"/>
            <w:vAlign w:val="top"/>
          </w:tcPr>
          <w:p w14:paraId="1F9DEB59">
            <w:pPr>
              <w:pStyle w:val="65"/>
              <w:pageBreakBefore w:val="0"/>
              <w:overflowPunct/>
              <w:topLinePunct w:val="0"/>
              <w:bidi w:val="0"/>
              <w:spacing w:before="65" w:line="440" w:lineRule="exact"/>
              <w:ind w:left="124" w:right="121" w:firstLine="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电子教室软件</w:t>
            </w:r>
          </w:p>
        </w:tc>
        <w:tc>
          <w:tcPr>
            <w:tcW w:w="7151" w:type="dxa"/>
            <w:noWrap w:val="0"/>
            <w:vAlign w:val="top"/>
          </w:tcPr>
          <w:p w14:paraId="2DF1F501">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需支持 Windows 系列操作系统，包括但不限于 Windows7、Windows 10、Windows 11 等的操作系统。</w:t>
            </w:r>
          </w:p>
          <w:p w14:paraId="2F69E98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需具备屏幕广播、学生演示、屏幕录制、语音广播、语音对讲、电子点名、远程开关机、远程命令、屏幕监看、远程设置、远程登录、登录 windows 前接受广播、请求帮助、举手、发言、自动锁屏、防杀进程、黑屏肃静、文件分发、文件收集等功能；</w:t>
            </w:r>
          </w:p>
          <w:p w14:paraId="6002DC93">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共享白板：系统需支持导入 bmp、jpg、gif、tif、png、ico、emf、word、ppt、excel、pdf、txt 等格式文件创建白板内容，将白板内容共享给学生，教师可以选择单名或多名学生同时共享写画老师的白板内容进行教学。教师也可以允许学生个人绘画模式在老师导入的素材白板内容基础上独立完成学习任务，教师可以监看所有学生的完成情况，并把指定学生完成的学习任务分享给其他同学演示；</w:t>
            </w:r>
          </w:p>
          <w:p w14:paraId="45F72E6B">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答题卡考试：系统需支持导入 word、ppt、excel、pdf、图片、txt 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w:t>
            </w:r>
          </w:p>
          <w:p w14:paraId="369C5795">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抢答竞赛：可组织全体或分组学生参加课堂竞赛答题，需至少包含抢答口述答题、抢答输入答案、抢答演示屏幕答题三种方式，通过竞赛机制可配置答题的对、错让学生奖章增加或减少，也可配置排除已参与答题的学生，让没参与过答题的学生加入和老师的互动中，或排除答错的学生，让答对的学生进行竞争互动；</w:t>
            </w:r>
          </w:p>
          <w:p w14:paraId="09CE7AC8">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教师机程序重启时，需能记忆禁止举手、禁止发消息、上网限制、U 盘限制、程序限制等老师的设置；</w:t>
            </w:r>
          </w:p>
          <w:p w14:paraId="3CD365CC">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网络快照：教师可以在监控学生的时候，对学生画面拍快照或者录制，保存学生画面的截图或桌面视频；</w:t>
            </w:r>
          </w:p>
          <w:p w14:paraId="6F837F62">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学生限制：可对学生机设置上网策略、应用程序策略、USB 口、网络打印机和光驱使用策略，并支持对不同学生设置单独策略；</w:t>
            </w:r>
          </w:p>
          <w:p w14:paraId="16ECD5C8">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签到：具有学生名单管理工具，为软件和考试模块实现实名验证。具有点名功能，支持保留学生多次登录记录、考勤统计、签到信息的导出与对比，支持 csv 格式的导出；</w:t>
            </w:r>
          </w:p>
          <w:p w14:paraId="4C99115E">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分组讨论：需能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14:paraId="34994E7F">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屏幕监看：教师机器可以显示学生机桌面的缩图，缩图显示大小也可自由设定；</w:t>
            </w:r>
          </w:p>
          <w:p w14:paraId="09FF2688">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文件分发：需能允许教师将教师机不同盘符中的目录或文件一起发送至生机的某目录下。若文件已存在可选择自动覆盖或保留原始文件；</w:t>
            </w:r>
          </w:p>
          <w:p w14:paraId="0F452D48">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作业提交：学生需能把做好的作业直接提交到教师机。学生提交作业时必需经过教师审批通过后才可提交，教师可以选择接收和拒绝学生提交的文件。并且教师可以限制学生提交文件的数目和大小；</w:t>
            </w:r>
          </w:p>
          <w:p w14:paraId="504750CF">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集控管理：需支持本地服务器通过主控端对多个教室的电脑进行远程管控、合班授课、分发文件、监控、广播等功能，实现和机房教学同样的管理；</w:t>
            </w:r>
          </w:p>
        </w:tc>
        <w:tc>
          <w:tcPr>
            <w:tcW w:w="834" w:type="dxa"/>
            <w:noWrap w:val="0"/>
            <w:vAlign w:val="top"/>
          </w:tcPr>
          <w:p w14:paraId="0BE6C85F">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b w:val="0"/>
                <w:bCs w:val="0"/>
                <w:color w:val="auto"/>
                <w:sz w:val="24"/>
                <w:szCs w:val="24"/>
                <w:highlight w:val="none"/>
                <w:lang w:eastAsia="zh-CN"/>
              </w:rPr>
              <w:t>套</w:t>
            </w:r>
          </w:p>
        </w:tc>
      </w:tr>
    </w:tbl>
    <w:p w14:paraId="3D917109">
      <w:pPr>
        <w:pageBreakBefore w:val="0"/>
        <w:numPr>
          <w:ilvl w:val="0"/>
          <w:numId w:val="0"/>
        </w:numPr>
        <w:overflowPunct/>
        <w:topLinePunct w:val="0"/>
        <w:bidi w:val="0"/>
        <w:spacing w:before="153" w:line="440" w:lineRule="exact"/>
        <w:outlineLvl w:val="1"/>
        <w:rPr>
          <w:rFonts w:hint="default" w:ascii="宋体" w:hAnsi="宋体" w:eastAsia="宋体" w:cs="宋体"/>
          <w:b/>
          <w:bCs/>
          <w:color w:val="auto"/>
          <w:spacing w:val="3"/>
          <w:sz w:val="24"/>
          <w:szCs w:val="24"/>
          <w:highlight w:val="none"/>
          <w:lang w:val="en-US" w:eastAsia="zh-CN"/>
        </w:rPr>
      </w:pPr>
      <w:r>
        <w:rPr>
          <w:rFonts w:hint="eastAsia" w:ascii="宋体" w:hAnsi="宋体" w:eastAsia="宋体" w:cs="宋体"/>
          <w:b/>
          <w:bCs/>
          <w:color w:val="auto"/>
          <w:spacing w:val="3"/>
          <w:sz w:val="24"/>
          <w:szCs w:val="24"/>
          <w:highlight w:val="none"/>
          <w:lang w:val="en-US" w:eastAsia="zh-CN"/>
        </w:rPr>
        <w:t>2、电机及其控制实训室</w:t>
      </w:r>
    </w:p>
    <w:tbl>
      <w:tblPr>
        <w:tblStyle w:val="28"/>
        <w:tblW w:w="9639" w:type="dxa"/>
        <w:tblInd w:w="2"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080"/>
        <w:gridCol w:w="7151"/>
        <w:gridCol w:w="886"/>
      </w:tblGrid>
      <w:tr w14:paraId="1A44D691">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trPr>
        <w:tc>
          <w:tcPr>
            <w:tcW w:w="522" w:type="dxa"/>
            <w:noWrap w:val="0"/>
            <w:textDirection w:val="tbRlV"/>
            <w:vAlign w:val="top"/>
          </w:tcPr>
          <w:p w14:paraId="60295670">
            <w:pPr>
              <w:pStyle w:val="65"/>
              <w:pageBreakBefore w:val="0"/>
              <w:overflowPunct/>
              <w:topLinePunct w:val="0"/>
              <w:bidi w:val="0"/>
              <w:spacing w:before="119" w:line="440" w:lineRule="exact"/>
              <w:ind w:left="8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序</w:t>
            </w:r>
            <w:r>
              <w:rPr>
                <w:rFonts w:hint="eastAsia" w:ascii="宋体" w:hAnsi="宋体" w:eastAsia="宋体" w:cs="宋体"/>
                <w:color w:val="auto"/>
                <w:spacing w:val="10"/>
                <w:sz w:val="24"/>
                <w:szCs w:val="24"/>
                <w:highlight w:val="none"/>
              </w:rPr>
              <w:t xml:space="preserve"> </w:t>
            </w:r>
            <w:r>
              <w:rPr>
                <w:rFonts w:hint="eastAsia" w:ascii="宋体" w:hAnsi="宋体" w:eastAsia="宋体" w:cs="宋体"/>
                <w:b/>
                <w:bCs/>
                <w:color w:val="auto"/>
                <w:spacing w:val="6"/>
                <w:sz w:val="24"/>
                <w:szCs w:val="24"/>
                <w:highlight w:val="none"/>
              </w:rPr>
              <w:t>号</w:t>
            </w:r>
          </w:p>
        </w:tc>
        <w:tc>
          <w:tcPr>
            <w:tcW w:w="1080" w:type="dxa"/>
            <w:noWrap w:val="0"/>
            <w:vAlign w:val="top"/>
          </w:tcPr>
          <w:p w14:paraId="08B30C94">
            <w:pPr>
              <w:pStyle w:val="65"/>
              <w:pageBreakBefore w:val="0"/>
              <w:overflowPunct/>
              <w:topLinePunct w:val="0"/>
              <w:bidi w:val="0"/>
              <w:spacing w:before="82" w:line="440" w:lineRule="exact"/>
              <w:ind w:left="125" w:right="12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设备</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名称</w:t>
            </w:r>
          </w:p>
        </w:tc>
        <w:tc>
          <w:tcPr>
            <w:tcW w:w="7151" w:type="dxa"/>
            <w:noWrap w:val="0"/>
            <w:vAlign w:val="top"/>
          </w:tcPr>
          <w:p w14:paraId="2430F1A5">
            <w:pPr>
              <w:pStyle w:val="65"/>
              <w:pageBreakBefore w:val="0"/>
              <w:overflowPunct/>
              <w:topLinePunct w:val="0"/>
              <w:bidi w:val="0"/>
              <w:spacing w:before="241" w:line="440" w:lineRule="exact"/>
              <w:ind w:left="35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详细参数</w:t>
            </w:r>
          </w:p>
        </w:tc>
        <w:tc>
          <w:tcPr>
            <w:tcW w:w="886" w:type="dxa"/>
            <w:noWrap w:val="0"/>
            <w:vAlign w:val="top"/>
          </w:tcPr>
          <w:p w14:paraId="24F5CCC1">
            <w:pPr>
              <w:pStyle w:val="65"/>
              <w:pageBreakBefore w:val="0"/>
              <w:overflowPunct/>
              <w:topLinePunct w:val="0"/>
              <w:bidi w:val="0"/>
              <w:spacing w:before="241" w:line="440" w:lineRule="exact"/>
              <w:ind w:left="15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数量</w:t>
            </w:r>
          </w:p>
        </w:tc>
      </w:tr>
      <w:tr w14:paraId="47273804">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0" w:hRule="atLeast"/>
        </w:trPr>
        <w:tc>
          <w:tcPr>
            <w:tcW w:w="522" w:type="dxa"/>
            <w:noWrap w:val="0"/>
            <w:vAlign w:val="top"/>
          </w:tcPr>
          <w:p w14:paraId="6CAD2ECC">
            <w:pPr>
              <w:pStyle w:val="65"/>
              <w:pageBreakBefore w:val="0"/>
              <w:overflowPunct/>
              <w:topLinePunct w:val="0"/>
              <w:bidi w:val="0"/>
              <w:spacing w:before="65" w:line="440" w:lineRule="exact"/>
              <w:ind w:left="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noWrap w:val="0"/>
            <w:vAlign w:val="top"/>
          </w:tcPr>
          <w:p w14:paraId="2A5A6D4B">
            <w:pPr>
              <w:pStyle w:val="65"/>
              <w:pageBreakBefore w:val="0"/>
              <w:overflowPunct/>
              <w:topLinePunct w:val="0"/>
              <w:bidi w:val="0"/>
              <w:spacing w:before="65" w:line="440" w:lineRule="exact"/>
              <w:ind w:left="124" w:right="121" w:firstLine="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计算机</w:t>
            </w:r>
          </w:p>
        </w:tc>
        <w:tc>
          <w:tcPr>
            <w:tcW w:w="7151" w:type="dxa"/>
            <w:noWrap w:val="0"/>
            <w:vAlign w:val="top"/>
          </w:tcPr>
          <w:p w14:paraId="60276CF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1.CPU：不低于Intel i5-</w:t>
            </w:r>
            <w:r>
              <w:rPr>
                <w:rFonts w:hint="eastAsia" w:cs="宋体"/>
                <w:color w:val="auto"/>
                <w:sz w:val="24"/>
                <w:szCs w:val="24"/>
                <w:highlight w:val="none"/>
                <w:lang w:val="en-US" w:eastAsia="zh-CN"/>
              </w:rPr>
              <w:t>12400</w:t>
            </w:r>
            <w:r>
              <w:rPr>
                <w:rFonts w:hint="eastAsia" w:ascii="宋体" w:hAnsi="宋体" w:eastAsia="宋体" w:cs="宋体"/>
                <w:color w:val="auto"/>
                <w:sz w:val="24"/>
                <w:szCs w:val="24"/>
                <w:highlight w:val="none"/>
                <w:lang w:eastAsia="zh-CN"/>
              </w:rPr>
              <w:t>，主频≥2.5GHz；</w:t>
            </w:r>
          </w:p>
          <w:p w14:paraId="7F32E2C3">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2.主板：Intel Q670系列芯片组及以上；</w:t>
            </w:r>
          </w:p>
          <w:p w14:paraId="60B43AA1">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3.内存：≥16G DDR4 3200MHz内存，不少于4个内存插槽；</w:t>
            </w:r>
          </w:p>
          <w:p w14:paraId="216AC43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4.*硬盘：≥512G固态硬盘；</w:t>
            </w:r>
          </w:p>
          <w:p w14:paraId="219622BE">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5.声卡：集成5.1声道声卡，提供后置3个立体声输出接口；</w:t>
            </w:r>
          </w:p>
          <w:p w14:paraId="32E12777">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6.显卡：≥GTX1660</w:t>
            </w:r>
            <w:r>
              <w:rPr>
                <w:rFonts w:hint="eastAsia" w:cs="宋体"/>
                <w:color w:val="auto"/>
                <w:sz w:val="24"/>
                <w:szCs w:val="24"/>
                <w:highlight w:val="none"/>
                <w:lang w:val="en-US" w:eastAsia="zh-CN"/>
              </w:rPr>
              <w:t>Ti或Radeon RX590</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6G独立显存；</w:t>
            </w:r>
          </w:p>
          <w:p w14:paraId="53E3965E">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7.网卡：千兆自适应以太网卡；</w:t>
            </w:r>
          </w:p>
          <w:p w14:paraId="7E8230CB">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8.键鼠：防水键盘、抗菌鼠标；</w:t>
            </w:r>
          </w:p>
          <w:p w14:paraId="401B0DC4">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9.机箱：标准立式机箱，体积≤17L，顶置提手，顶置电源开关，免工具维护；</w:t>
            </w:r>
          </w:p>
          <w:p w14:paraId="09C5B19F">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10.显示器：≥27英寸，分辨率1920x1080,带低蓝光护眼功能；</w:t>
            </w:r>
          </w:p>
          <w:p w14:paraId="6793314C">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11.电源：500W高效电源；</w:t>
            </w:r>
          </w:p>
          <w:p w14:paraId="5C9D9439">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12.标配接口：USB接口≥8个，至少前置4个USB3.2，1个Type-C；DP*1个，HDMI*1个，（原厂接口非转接）；</w:t>
            </w:r>
          </w:p>
          <w:p w14:paraId="6F86D32B">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13.*安全性：USB屏蔽技术，仅识别USB键盘、鼠标，无法识别USB读取设备，有效防止数据泄露；</w:t>
            </w:r>
          </w:p>
          <w:p w14:paraId="50AFB02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14.功能：具备开机还原功能；</w:t>
            </w:r>
          </w:p>
        </w:tc>
        <w:tc>
          <w:tcPr>
            <w:tcW w:w="886" w:type="dxa"/>
            <w:noWrap w:val="0"/>
            <w:vAlign w:val="top"/>
          </w:tcPr>
          <w:p w14:paraId="52CC0640">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0</w:t>
            </w:r>
            <w:r>
              <w:rPr>
                <w:rFonts w:hint="eastAsia" w:ascii="宋体" w:hAnsi="宋体" w:eastAsia="宋体" w:cs="宋体"/>
                <w:b w:val="0"/>
                <w:bCs w:val="0"/>
                <w:color w:val="auto"/>
                <w:sz w:val="24"/>
                <w:szCs w:val="24"/>
                <w:highlight w:val="none"/>
                <w:lang w:val="en-US" w:eastAsia="zh-CN"/>
              </w:rPr>
              <w:t>台</w:t>
            </w:r>
          </w:p>
        </w:tc>
      </w:tr>
      <w:tr w14:paraId="2D27A977">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trPr>
        <w:tc>
          <w:tcPr>
            <w:tcW w:w="522" w:type="dxa"/>
            <w:noWrap w:val="0"/>
            <w:vAlign w:val="top"/>
          </w:tcPr>
          <w:p w14:paraId="7D1D367B">
            <w:pPr>
              <w:pStyle w:val="65"/>
              <w:pageBreakBefore w:val="0"/>
              <w:overflowPunct/>
              <w:topLinePunct w:val="0"/>
              <w:bidi w:val="0"/>
              <w:spacing w:before="65" w:line="440" w:lineRule="exact"/>
              <w:ind w:left="19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080" w:type="dxa"/>
            <w:noWrap w:val="0"/>
            <w:vAlign w:val="top"/>
          </w:tcPr>
          <w:p w14:paraId="43FAF39E">
            <w:pPr>
              <w:pStyle w:val="65"/>
              <w:pageBreakBefore w:val="0"/>
              <w:overflowPunct/>
              <w:topLinePunct w:val="0"/>
              <w:bidi w:val="0"/>
              <w:spacing w:before="65" w:line="440" w:lineRule="exact"/>
              <w:ind w:left="124" w:right="121" w:firstLine="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电子教室软件</w:t>
            </w:r>
          </w:p>
        </w:tc>
        <w:tc>
          <w:tcPr>
            <w:tcW w:w="7151" w:type="dxa"/>
            <w:noWrap w:val="0"/>
            <w:vAlign w:val="top"/>
          </w:tcPr>
          <w:p w14:paraId="7570B48E">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需支持 Windows 系列操作系统，包括但不限于 Windows7、Windows 10、Windows 11 等的操作系统。</w:t>
            </w:r>
          </w:p>
          <w:p w14:paraId="66F40D4C">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需具备屏幕广播、学生演示、屏幕录制、语音广播、语音对讲、电子点名、远程开关机、远程命令、屏幕监看、远程设置、远程登录、登录 windows 前接受广播、请求帮助、举手、发言、自动锁屏、防杀进程、黑屏肃静、文件分发、文件收集等功能；</w:t>
            </w:r>
          </w:p>
          <w:p w14:paraId="106AE4EA">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共享白板：系统需支持导入 bmp、jpg、gif、tif、png、ico、emf、word、ppt、excel、pdf、txt 等格式文件创建白板内容，将白板内容共享给学生，教师可以选择单名或多名学生同时共享写画老师的白板内容进行教学。教师也可以允许学生个人绘画模式在老师导入的素材白板内容基础上独立完成学习任务，教师可以监看所有学生的完成情况，并把指定学生完成的学习任务分享给其他同学演示；</w:t>
            </w:r>
          </w:p>
          <w:p w14:paraId="3683295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答题卡考试：系统需支持导入 word、ppt、excel、pdf、图片、txt 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w:t>
            </w:r>
          </w:p>
          <w:p w14:paraId="135B33C2">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抢答竞赛：可组织全体或分组学生参加课堂竞赛答题，需至少包含抢答口述答题、抢答输入答案、抢答演示屏幕答题三种方式，通过竞赛机制可配置答题的对、错让学生奖章增加或减少，也可配置排除已参与答题的学生，让没参与过答题的学生加入和老师的互动中，或排除答错的学生，让答对的学生进行竞争互动；</w:t>
            </w:r>
          </w:p>
          <w:p w14:paraId="7E9DA371">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教师机程序重启时，需能记忆禁止举手、禁止发消息、上网限制、U 盘限制、程序限制等老师的设置；</w:t>
            </w:r>
          </w:p>
          <w:p w14:paraId="5654B083">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网络快照：教师可以在监控学生的时候，对学生画面拍快照或者录制，保存学生画面的截图或桌面视频；</w:t>
            </w:r>
          </w:p>
          <w:p w14:paraId="009F9AF1">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学生限制：可对学生机设置上网策略、应用程序策略、USB 口、网络打印机和光驱使用策略，并支持对不同学生设置单独策略；</w:t>
            </w:r>
          </w:p>
          <w:p w14:paraId="7933CA7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签到：具有学生名单管理工具，为软件和考试模块实现实名验证。具有点名功能，支持保留学生多次登录记录、考勤统计、签到信息的导出与对比，支持 csv 格式的导出；</w:t>
            </w:r>
          </w:p>
          <w:p w14:paraId="23EBBBED">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分组讨论：需能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14:paraId="7F8B8019">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屏幕监看：教师机器可以显示学生机桌面的缩图，缩图显示大小也可自由设定；</w:t>
            </w:r>
          </w:p>
          <w:p w14:paraId="6E5A628F">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文件分发：需能允许教师将教师机不同盘符中的目录或文件一起发送至生机的某目录下。若文件已存在可选择自动覆盖或保留原始文件；</w:t>
            </w:r>
          </w:p>
          <w:p w14:paraId="22E43F6F">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作业提交：学生需能把做好的作业直接提交到教师机。学生提交作业时必需经过教师审批通过后才可提交，教师可以选择接收和拒绝学生提交的文件。并且教师可以限制学生提交文件的数目和大小；</w:t>
            </w:r>
          </w:p>
          <w:p w14:paraId="2F7E4BB8">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集控管理：需支持本地服务器通过主控端对多个教室的电脑进行远程管控、合班授课、分发文件、监控、广播等功能，实现和机房教学同样的管理；</w:t>
            </w:r>
          </w:p>
        </w:tc>
        <w:tc>
          <w:tcPr>
            <w:tcW w:w="886" w:type="dxa"/>
            <w:noWrap w:val="0"/>
            <w:vAlign w:val="top"/>
          </w:tcPr>
          <w:p w14:paraId="411BC44B">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b w:val="0"/>
                <w:bCs w:val="0"/>
                <w:color w:val="auto"/>
                <w:sz w:val="24"/>
                <w:szCs w:val="24"/>
                <w:highlight w:val="none"/>
                <w:lang w:eastAsia="zh-CN"/>
              </w:rPr>
              <w:t>套</w:t>
            </w:r>
          </w:p>
        </w:tc>
      </w:tr>
    </w:tbl>
    <w:p w14:paraId="28C78EC4">
      <w:pPr>
        <w:pStyle w:val="6"/>
        <w:pageBreakBefore w:val="0"/>
        <w:overflowPunct/>
        <w:topLinePunct w:val="0"/>
        <w:bidi w:val="0"/>
        <w:spacing w:line="440" w:lineRule="exact"/>
        <w:rPr>
          <w:rFonts w:hint="eastAsia" w:ascii="宋体" w:hAnsi="宋体" w:eastAsia="宋体" w:cs="宋体"/>
          <w:color w:val="auto"/>
          <w:sz w:val="24"/>
          <w:szCs w:val="24"/>
          <w:highlight w:val="none"/>
        </w:rPr>
      </w:pPr>
      <w:r>
        <w:rPr>
          <w:rFonts w:hint="eastAsia" w:ascii="宋体" w:hAnsi="宋体" w:cs="宋体"/>
          <w:b/>
          <w:bCs/>
          <w:color w:val="auto"/>
          <w:spacing w:val="3"/>
          <w:sz w:val="24"/>
          <w:szCs w:val="24"/>
          <w:highlight w:val="none"/>
          <w:lang w:val="en-US" w:eastAsia="zh-CN"/>
        </w:rPr>
        <w:t>3</w:t>
      </w:r>
      <w:r>
        <w:rPr>
          <w:rFonts w:hint="eastAsia" w:ascii="宋体" w:hAnsi="宋体" w:eastAsia="宋体" w:cs="宋体"/>
          <w:b/>
          <w:bCs/>
          <w:color w:val="auto"/>
          <w:spacing w:val="3"/>
          <w:sz w:val="24"/>
          <w:szCs w:val="24"/>
          <w:highlight w:val="none"/>
        </w:rPr>
        <w:t>、计算机绘图及程序设计机房（共需要2个机房，下表为1个机房所需配置及参数）</w:t>
      </w:r>
      <w:bookmarkStart w:id="286" w:name="bookmark56"/>
      <w:bookmarkEnd w:id="286"/>
      <w:bookmarkStart w:id="287" w:name="bookmark55"/>
      <w:bookmarkEnd w:id="287"/>
    </w:p>
    <w:tbl>
      <w:tblPr>
        <w:tblStyle w:val="28"/>
        <w:tblW w:w="9938" w:type="dxa"/>
        <w:tblInd w:w="-86" w:type="dxa"/>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41"/>
        <w:gridCol w:w="937"/>
        <w:gridCol w:w="7539"/>
        <w:gridCol w:w="921"/>
      </w:tblGrid>
      <w:tr w14:paraId="596D319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9" w:hRule="atLeast"/>
        </w:trPr>
        <w:tc>
          <w:tcPr>
            <w:tcW w:w="541" w:type="dxa"/>
            <w:noWrap w:val="0"/>
            <w:textDirection w:val="tbRlV"/>
            <w:vAlign w:val="top"/>
          </w:tcPr>
          <w:p w14:paraId="1D09A6CB">
            <w:pPr>
              <w:pStyle w:val="65"/>
              <w:pageBreakBefore w:val="0"/>
              <w:overflowPunct/>
              <w:topLinePunct w:val="0"/>
              <w:bidi w:val="0"/>
              <w:spacing w:before="119" w:line="440" w:lineRule="exact"/>
              <w:ind w:left="81"/>
              <w:jc w:val="both"/>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序</w:t>
            </w:r>
            <w:r>
              <w:rPr>
                <w:rFonts w:hint="eastAsia" w:ascii="宋体" w:hAnsi="宋体" w:eastAsia="宋体" w:cs="宋体"/>
                <w:color w:val="auto"/>
                <w:spacing w:val="10"/>
                <w:sz w:val="24"/>
                <w:szCs w:val="24"/>
                <w:highlight w:val="none"/>
              </w:rPr>
              <w:t xml:space="preserve"> </w:t>
            </w:r>
            <w:r>
              <w:rPr>
                <w:rFonts w:hint="eastAsia" w:ascii="宋体" w:hAnsi="宋体" w:eastAsia="宋体" w:cs="宋体"/>
                <w:b/>
                <w:bCs/>
                <w:color w:val="auto"/>
                <w:spacing w:val="6"/>
                <w:sz w:val="24"/>
                <w:szCs w:val="24"/>
                <w:highlight w:val="none"/>
              </w:rPr>
              <w:t>号</w:t>
            </w:r>
          </w:p>
        </w:tc>
        <w:tc>
          <w:tcPr>
            <w:tcW w:w="937" w:type="dxa"/>
            <w:noWrap w:val="0"/>
            <w:vAlign w:val="top"/>
          </w:tcPr>
          <w:p w14:paraId="485D1F20">
            <w:pPr>
              <w:pStyle w:val="65"/>
              <w:pageBreakBefore w:val="0"/>
              <w:overflowPunct/>
              <w:topLinePunct w:val="0"/>
              <w:bidi w:val="0"/>
              <w:spacing w:before="82" w:line="440" w:lineRule="exact"/>
              <w:ind w:left="125" w:right="12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设备</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名称</w:t>
            </w:r>
          </w:p>
        </w:tc>
        <w:tc>
          <w:tcPr>
            <w:tcW w:w="7539" w:type="dxa"/>
            <w:noWrap w:val="0"/>
            <w:vAlign w:val="top"/>
          </w:tcPr>
          <w:p w14:paraId="75626A44">
            <w:pPr>
              <w:pStyle w:val="65"/>
              <w:pageBreakBefore w:val="0"/>
              <w:overflowPunct/>
              <w:topLinePunct w:val="0"/>
              <w:bidi w:val="0"/>
              <w:spacing w:before="241" w:line="440" w:lineRule="exact"/>
              <w:ind w:left="35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详细参数</w:t>
            </w:r>
          </w:p>
        </w:tc>
        <w:tc>
          <w:tcPr>
            <w:tcW w:w="921" w:type="dxa"/>
            <w:noWrap w:val="0"/>
            <w:vAlign w:val="top"/>
          </w:tcPr>
          <w:p w14:paraId="4B326D15">
            <w:pPr>
              <w:pStyle w:val="65"/>
              <w:pageBreakBefore w:val="0"/>
              <w:overflowPunct/>
              <w:topLinePunct w:val="0"/>
              <w:bidi w:val="0"/>
              <w:spacing w:before="241" w:line="440" w:lineRule="exact"/>
              <w:ind w:left="15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数量</w:t>
            </w:r>
          </w:p>
        </w:tc>
      </w:tr>
      <w:tr w14:paraId="05F7636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19" w:hRule="atLeast"/>
        </w:trPr>
        <w:tc>
          <w:tcPr>
            <w:tcW w:w="541" w:type="dxa"/>
            <w:noWrap w:val="0"/>
            <w:vAlign w:val="top"/>
          </w:tcPr>
          <w:p w14:paraId="550908A3">
            <w:pPr>
              <w:pStyle w:val="65"/>
              <w:pageBreakBefore w:val="0"/>
              <w:overflowPunct/>
              <w:topLinePunct w:val="0"/>
              <w:bidi w:val="0"/>
              <w:spacing w:before="65" w:line="440" w:lineRule="exact"/>
              <w:ind w:left="195"/>
              <w:jc w:val="both"/>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937" w:type="dxa"/>
            <w:noWrap w:val="0"/>
            <w:vAlign w:val="top"/>
          </w:tcPr>
          <w:p w14:paraId="36482598">
            <w:pPr>
              <w:pStyle w:val="65"/>
              <w:pageBreakBefore w:val="0"/>
              <w:overflowPunct/>
              <w:topLinePunct w:val="0"/>
              <w:bidi w:val="0"/>
              <w:spacing w:before="65" w:line="440" w:lineRule="exact"/>
              <w:ind w:left="124" w:right="121" w:firstLine="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学生计算机</w:t>
            </w:r>
          </w:p>
        </w:tc>
        <w:tc>
          <w:tcPr>
            <w:tcW w:w="7539" w:type="dxa"/>
            <w:noWrap w:val="0"/>
            <w:vAlign w:val="top"/>
          </w:tcPr>
          <w:p w14:paraId="5091BC39">
            <w:pPr>
              <w:pStyle w:val="65"/>
              <w:pageBreakBefore w:val="0"/>
              <w:numPr>
                <w:ilvl w:val="0"/>
                <w:numId w:val="4"/>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cpu:Intel i5 1</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400以上；</w:t>
            </w:r>
          </w:p>
          <w:p w14:paraId="597F90C9">
            <w:pPr>
              <w:pStyle w:val="65"/>
              <w:pageBreakBefore w:val="0"/>
              <w:numPr>
                <w:ilvl w:val="0"/>
                <w:numId w:val="4"/>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内存：16G DDR4 3200MHz以上；</w:t>
            </w:r>
          </w:p>
          <w:p w14:paraId="6E6A6372">
            <w:pPr>
              <w:pStyle w:val="65"/>
              <w:pageBreakBefore w:val="0"/>
              <w:numPr>
                <w:ilvl w:val="0"/>
                <w:numId w:val="4"/>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硬盘：1T固态 读写速度500MB/s以上；</w:t>
            </w:r>
          </w:p>
          <w:p w14:paraId="2A1AB54F">
            <w:pPr>
              <w:pStyle w:val="65"/>
              <w:pageBreakBefore w:val="0"/>
              <w:numPr>
                <w:ilvl w:val="0"/>
                <w:numId w:val="4"/>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显示器：液晶27寸以上；</w:t>
            </w:r>
          </w:p>
          <w:p w14:paraId="28722C49">
            <w:pPr>
              <w:pStyle w:val="65"/>
              <w:pageBreakBefore w:val="0"/>
              <w:numPr>
                <w:ilvl w:val="0"/>
                <w:numId w:val="4"/>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具有开机还原功能；</w:t>
            </w:r>
          </w:p>
        </w:tc>
        <w:tc>
          <w:tcPr>
            <w:tcW w:w="921" w:type="dxa"/>
            <w:noWrap w:val="0"/>
            <w:vAlign w:val="top"/>
          </w:tcPr>
          <w:p w14:paraId="5C07E198">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60套</w:t>
            </w:r>
          </w:p>
        </w:tc>
      </w:tr>
      <w:tr w14:paraId="464D033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37" w:hRule="atLeast"/>
        </w:trPr>
        <w:tc>
          <w:tcPr>
            <w:tcW w:w="541" w:type="dxa"/>
            <w:noWrap w:val="0"/>
            <w:vAlign w:val="top"/>
          </w:tcPr>
          <w:p w14:paraId="2F0AD831">
            <w:pPr>
              <w:pStyle w:val="65"/>
              <w:pageBreakBefore w:val="0"/>
              <w:overflowPunct/>
              <w:topLinePunct w:val="0"/>
              <w:bidi w:val="0"/>
              <w:spacing w:before="65" w:line="440" w:lineRule="exact"/>
              <w:ind w:left="1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937" w:type="dxa"/>
            <w:noWrap w:val="0"/>
            <w:vAlign w:val="top"/>
          </w:tcPr>
          <w:p w14:paraId="14AC4FE8">
            <w:pPr>
              <w:pStyle w:val="65"/>
              <w:pageBreakBefore w:val="0"/>
              <w:overflowPunct/>
              <w:topLinePunct w:val="0"/>
              <w:bidi w:val="0"/>
              <w:spacing w:before="65" w:line="440" w:lineRule="exact"/>
              <w:ind w:left="149" w:right="121" w:hanging="1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教师计算机</w:t>
            </w:r>
          </w:p>
        </w:tc>
        <w:tc>
          <w:tcPr>
            <w:tcW w:w="7539" w:type="dxa"/>
            <w:noWrap w:val="0"/>
            <w:vAlign w:val="top"/>
          </w:tcPr>
          <w:p w14:paraId="39494215">
            <w:pPr>
              <w:pStyle w:val="65"/>
              <w:pageBreakBefore w:val="0"/>
              <w:numPr>
                <w:ilvl w:val="0"/>
                <w:numId w:val="5"/>
              </w:numPr>
              <w:overflowPunct/>
              <w:topLinePunct w:val="0"/>
              <w:bidi w:val="0"/>
              <w:spacing w:before="77"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cpu：Intel i5 1</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400以上；</w:t>
            </w:r>
          </w:p>
          <w:p w14:paraId="245DF437">
            <w:pPr>
              <w:pStyle w:val="65"/>
              <w:pageBreakBefore w:val="0"/>
              <w:numPr>
                <w:ilvl w:val="0"/>
                <w:numId w:val="5"/>
              </w:numPr>
              <w:overflowPunct/>
              <w:topLinePunct w:val="0"/>
              <w:bidi w:val="0"/>
              <w:spacing w:before="77"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内存：32G DDR4 3200MHz以上；</w:t>
            </w:r>
          </w:p>
          <w:p w14:paraId="3AEBF75A">
            <w:pPr>
              <w:pStyle w:val="65"/>
              <w:pageBreakBefore w:val="0"/>
              <w:numPr>
                <w:ilvl w:val="0"/>
                <w:numId w:val="5"/>
              </w:numPr>
              <w:overflowPunct/>
              <w:topLinePunct w:val="0"/>
              <w:bidi w:val="0"/>
              <w:spacing w:before="77"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硬盘：1T固态 读写速度500MB/s以上；机械硬盘：12t硬盘以上；</w:t>
            </w:r>
          </w:p>
          <w:p w14:paraId="624449BF">
            <w:pPr>
              <w:pStyle w:val="65"/>
              <w:pageBreakBefore w:val="0"/>
              <w:numPr>
                <w:ilvl w:val="0"/>
                <w:numId w:val="5"/>
              </w:numPr>
              <w:overflowPunct/>
              <w:topLinePunct w:val="0"/>
              <w:bidi w:val="0"/>
              <w:spacing w:before="77"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显示器：液晶27寸以上；</w:t>
            </w:r>
          </w:p>
        </w:tc>
        <w:tc>
          <w:tcPr>
            <w:tcW w:w="921" w:type="dxa"/>
            <w:noWrap w:val="0"/>
            <w:vAlign w:val="top"/>
          </w:tcPr>
          <w:p w14:paraId="4D681787">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1套</w:t>
            </w:r>
          </w:p>
        </w:tc>
      </w:tr>
      <w:tr w14:paraId="0552858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0" w:hRule="atLeast"/>
        </w:trPr>
        <w:tc>
          <w:tcPr>
            <w:tcW w:w="541" w:type="dxa"/>
            <w:noWrap w:val="0"/>
            <w:vAlign w:val="top"/>
          </w:tcPr>
          <w:p w14:paraId="25212464">
            <w:pPr>
              <w:pStyle w:val="65"/>
              <w:pageBreakBefore w:val="0"/>
              <w:overflowPunct/>
              <w:topLinePunct w:val="0"/>
              <w:bidi w:val="0"/>
              <w:spacing w:before="65" w:line="440" w:lineRule="exact"/>
              <w:ind w:left="1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937" w:type="dxa"/>
            <w:noWrap w:val="0"/>
            <w:vAlign w:val="top"/>
          </w:tcPr>
          <w:p w14:paraId="0E7416C2">
            <w:pPr>
              <w:pStyle w:val="65"/>
              <w:pageBreakBefore w:val="0"/>
              <w:overflowPunct/>
              <w:topLinePunct w:val="0"/>
              <w:bidi w:val="0"/>
              <w:spacing w:before="65" w:line="440" w:lineRule="exact"/>
              <w:ind w:left="130" w:right="121" w:hanging="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交换机</w:t>
            </w:r>
          </w:p>
        </w:tc>
        <w:tc>
          <w:tcPr>
            <w:tcW w:w="7539" w:type="dxa"/>
            <w:noWrap w:val="0"/>
            <w:vAlign w:val="top"/>
          </w:tcPr>
          <w:p w14:paraId="6DF87F13">
            <w:pPr>
              <w:pStyle w:val="65"/>
              <w:pageBreakBefore w:val="0"/>
              <w:overflowPunct/>
              <w:topLinePunct w:val="0"/>
              <w:bidi w:val="0"/>
              <w:spacing w:before="78" w:line="440" w:lineRule="exact"/>
              <w:ind w:left="110" w:right="104" w:firstLine="10"/>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7"/>
                <w:sz w:val="24"/>
                <w:szCs w:val="24"/>
                <w:highlight w:val="none"/>
                <w:lang w:eastAsia="zh-CN"/>
              </w:rPr>
              <w:t>每台交换机可提供24个1000M RJ45端口。</w:t>
            </w:r>
          </w:p>
        </w:tc>
        <w:tc>
          <w:tcPr>
            <w:tcW w:w="921" w:type="dxa"/>
            <w:noWrap w:val="0"/>
            <w:vAlign w:val="top"/>
          </w:tcPr>
          <w:p w14:paraId="577C4E7D">
            <w:pPr>
              <w:pStyle w:val="65"/>
              <w:pageBreakBefore w:val="0"/>
              <w:overflowPunct/>
              <w:topLinePunct w:val="0"/>
              <w:bidi w:val="0"/>
              <w:spacing w:before="65" w:line="440" w:lineRule="exact"/>
              <w:ind w:left="327"/>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3</w:t>
            </w:r>
            <w:r>
              <w:rPr>
                <w:rFonts w:hint="eastAsia" w:ascii="宋体" w:hAnsi="宋体" w:eastAsia="宋体" w:cs="宋体"/>
                <w:color w:val="auto"/>
                <w:sz w:val="24"/>
                <w:szCs w:val="24"/>
                <w:highlight w:val="none"/>
                <w:lang w:eastAsia="zh-CN"/>
              </w:rPr>
              <w:t>套</w:t>
            </w:r>
          </w:p>
        </w:tc>
      </w:tr>
      <w:tr w14:paraId="4673098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41" w:type="dxa"/>
            <w:noWrap w:val="0"/>
            <w:vAlign w:val="top"/>
          </w:tcPr>
          <w:p w14:paraId="0E081A17">
            <w:pPr>
              <w:pStyle w:val="65"/>
              <w:pageBreakBefore w:val="0"/>
              <w:overflowPunct/>
              <w:topLinePunct w:val="0"/>
              <w:bidi w:val="0"/>
              <w:spacing w:before="200" w:line="440" w:lineRule="exact"/>
              <w:ind w:left="1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937" w:type="dxa"/>
            <w:noWrap w:val="0"/>
            <w:vAlign w:val="top"/>
          </w:tcPr>
          <w:p w14:paraId="4AC4CFC3">
            <w:pPr>
              <w:pStyle w:val="65"/>
              <w:pageBreakBefore w:val="0"/>
              <w:overflowPunct/>
              <w:topLinePunct w:val="0"/>
              <w:bidi w:val="0"/>
              <w:spacing w:before="168" w:line="440" w:lineRule="exact"/>
              <w:ind w:left="13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电子教室软件</w:t>
            </w:r>
          </w:p>
        </w:tc>
        <w:tc>
          <w:tcPr>
            <w:tcW w:w="7539" w:type="dxa"/>
            <w:noWrap w:val="0"/>
            <w:vAlign w:val="top"/>
          </w:tcPr>
          <w:p w14:paraId="3DAF603B">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需支持 Windows 系列操作系统，包括但不限于 Windows7、Windows 10、Windows 11 等的操作系统。</w:t>
            </w:r>
          </w:p>
          <w:p w14:paraId="24E920CD">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需具备屏幕广播、学生演示、屏幕录制、语音广播、语音对讲、电子点名、远程开关机、远程命令、屏幕监看、远程设置、远程登录、登录 windows 前接受广播、请求帮助、举手、发言、自动锁屏、防杀进程、黑屏肃静、文件分发、文件收集等功能；</w:t>
            </w:r>
          </w:p>
          <w:p w14:paraId="6A887BFB">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共享白板：系统需支持导入 bmp、jpg、gif、tif、png、ico、emf、word、ppt、excel、pdf、txt 等格式文件创建白板内容，将白板内容共享给学生，教师可以选择单名或多名学生同时共享写画老师的白板内容进行教学。教师也可以允许学生个人绘画模式在老师导入的素材白板内容基础上独立完成学习任务，教师可以监看所有学生的完成情况，并把指定学生完成的学习任务分享给其他同学演示；</w:t>
            </w:r>
          </w:p>
          <w:p w14:paraId="01AE2C7C">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答题卡考试：系统需支持导入 word、ppt、excel、pdf、图片、txt 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w:t>
            </w:r>
          </w:p>
          <w:p w14:paraId="29E192FB">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抢答竞赛：可组织全体或分组学生参加课堂竞赛答题，需至少包含抢答口述答题、抢答输入答案、抢答演示屏幕答题三种方式，通过竞赛机制可配置答题的对、错让学生奖章增加或减少，也可配置排除已参与答题的学生，让没参与过答题的学生加入和老师的互动中，或排除答错的学生，让答对的学生进行竞争互动；</w:t>
            </w:r>
          </w:p>
          <w:p w14:paraId="2FCF888D">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教师机程序重启时，需能记忆禁止举手、禁止发消息、上网限制、U 盘限制、程序限制等老师的设置；</w:t>
            </w:r>
          </w:p>
          <w:p w14:paraId="1F7EAF24">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网络快照：教师可以在监控学生的时候，对学生画面拍快照或者录制，保存学生画面的截图或桌面视频；</w:t>
            </w:r>
          </w:p>
          <w:p w14:paraId="4B8AEE73">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学生限制：可对学生机设置上网策略、应用程序策略、USB 口、网络打印机和光驱使用策略，并支持对不同学生设置单独策略；</w:t>
            </w:r>
          </w:p>
          <w:p w14:paraId="3DD8D1EA">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签到：具有学生名单管理工具，为软件和考试模块实现实名验证。具有点名功能，支持保留学生多次登录记录、考勤统计、签到信息的导出与对比，支持 csv 格式的导出；</w:t>
            </w:r>
          </w:p>
          <w:p w14:paraId="38C1CC3F">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组讨论：需能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14:paraId="0F989C19">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屏幕监看：教师机器可以显示学生机桌面的缩图，缩图显示大小也可自由设定；</w:t>
            </w:r>
          </w:p>
          <w:p w14:paraId="24053D90">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文件分发：需能允许教师将教师机不同盘符中的目录或文件一起发送至生机的某目录下。若文件已存在可选择自动覆盖或保留原始文件；</w:t>
            </w:r>
          </w:p>
          <w:p w14:paraId="5C8FD1D6">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作业提交：学生需能把做好的作业直接提交到教师机。学生提交作业时必需经过教师审批通过后才可提交，教师可以选择接收和拒绝学生提交的文件。并且教师可以限制学生提交文件的数目和大小；</w:t>
            </w:r>
          </w:p>
          <w:p w14:paraId="5CA1007A">
            <w:pPr>
              <w:pStyle w:val="65"/>
              <w:pageBreakBefore w:val="0"/>
              <w:numPr>
                <w:ilvl w:val="0"/>
                <w:numId w:val="6"/>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集控管理：需支持本地服务器通过主控端对多个教室的电脑进行远程管控、合班授课、分发文件、监控、广播等功能，实现和机房教学同样的管理；</w:t>
            </w:r>
          </w:p>
        </w:tc>
        <w:tc>
          <w:tcPr>
            <w:tcW w:w="921" w:type="dxa"/>
            <w:noWrap w:val="0"/>
            <w:vAlign w:val="top"/>
          </w:tcPr>
          <w:p w14:paraId="7FA15287">
            <w:pPr>
              <w:pStyle w:val="65"/>
              <w:pageBreakBefore w:val="0"/>
              <w:overflowPunct/>
              <w:topLinePunct w:val="0"/>
              <w:bidi w:val="0"/>
              <w:spacing w:before="179" w:line="440" w:lineRule="exact"/>
              <w:ind w:left="3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color w:val="auto"/>
                <w:spacing w:val="-2"/>
                <w:sz w:val="24"/>
                <w:szCs w:val="24"/>
                <w:highlight w:val="none"/>
                <w:lang w:eastAsia="zh-CN"/>
              </w:rPr>
              <w:t>套</w:t>
            </w:r>
          </w:p>
        </w:tc>
      </w:tr>
      <w:tr w14:paraId="41387776">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41" w:type="dxa"/>
            <w:noWrap w:val="0"/>
            <w:vAlign w:val="top"/>
          </w:tcPr>
          <w:p w14:paraId="65F0C509">
            <w:pPr>
              <w:pStyle w:val="65"/>
              <w:pageBreakBefore w:val="0"/>
              <w:overflowPunct/>
              <w:topLinePunct w:val="0"/>
              <w:bidi w:val="0"/>
              <w:spacing w:before="200" w:line="440" w:lineRule="exact"/>
              <w:ind w:left="17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937" w:type="dxa"/>
            <w:noWrap w:val="0"/>
            <w:vAlign w:val="top"/>
          </w:tcPr>
          <w:p w14:paraId="07BBC0BC">
            <w:pPr>
              <w:pStyle w:val="65"/>
              <w:pageBreakBefore w:val="0"/>
              <w:overflowPunct/>
              <w:topLinePunct w:val="0"/>
              <w:bidi w:val="0"/>
              <w:spacing w:before="168" w:line="440" w:lineRule="exact"/>
              <w:ind w:left="13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网线</w:t>
            </w:r>
          </w:p>
        </w:tc>
        <w:tc>
          <w:tcPr>
            <w:tcW w:w="7539" w:type="dxa"/>
            <w:noWrap w:val="0"/>
            <w:vAlign w:val="top"/>
          </w:tcPr>
          <w:p w14:paraId="450DC351">
            <w:pPr>
              <w:pStyle w:val="65"/>
              <w:pageBreakBefore w:val="0"/>
              <w:overflowPunct/>
              <w:topLinePunct w:val="0"/>
              <w:bidi w:val="0"/>
              <w:spacing w:before="81" w:line="440" w:lineRule="exact"/>
              <w:ind w:left="121"/>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满足综合布线系统设计</w:t>
            </w:r>
            <w:r>
              <w:rPr>
                <w:rFonts w:hint="eastAsia" w:cs="宋体"/>
                <w:color w:val="auto"/>
                <w:spacing w:val="6"/>
                <w:sz w:val="24"/>
                <w:szCs w:val="24"/>
                <w:highlight w:val="none"/>
                <w:lang w:val="en-US" w:eastAsia="zh-CN"/>
              </w:rPr>
              <w:t>要求</w:t>
            </w:r>
            <w:r>
              <w:rPr>
                <w:rFonts w:hint="eastAsia" w:ascii="宋体" w:hAnsi="宋体" w:eastAsia="宋体" w:cs="宋体"/>
                <w:color w:val="auto"/>
                <w:spacing w:val="6"/>
                <w:sz w:val="24"/>
                <w:szCs w:val="24"/>
                <w:highlight w:val="none"/>
                <w:lang w:eastAsia="zh-CN"/>
              </w:rPr>
              <w:t>。</w:t>
            </w:r>
          </w:p>
        </w:tc>
        <w:tc>
          <w:tcPr>
            <w:tcW w:w="921" w:type="dxa"/>
            <w:noWrap w:val="0"/>
            <w:vAlign w:val="top"/>
          </w:tcPr>
          <w:p w14:paraId="76E4F279">
            <w:pPr>
              <w:pStyle w:val="65"/>
              <w:pageBreakBefore w:val="0"/>
              <w:overflowPunct/>
              <w:topLinePunct w:val="0"/>
              <w:bidi w:val="0"/>
              <w:spacing w:before="179" w:line="440" w:lineRule="exact"/>
              <w:ind w:left="327"/>
              <w:rPr>
                <w:rFonts w:hint="default" w:ascii="宋体" w:hAnsi="宋体" w:eastAsia="宋体" w:cs="宋体"/>
                <w:color w:val="auto"/>
                <w:sz w:val="24"/>
                <w:szCs w:val="24"/>
                <w:highlight w:val="none"/>
                <w:lang w:val="en-US" w:eastAsia="zh-CN"/>
              </w:rPr>
            </w:pPr>
            <w:r>
              <w:rPr>
                <w:rFonts w:hint="eastAsia" w:cs="宋体"/>
                <w:color w:val="auto"/>
                <w:sz w:val="24"/>
                <w:szCs w:val="24"/>
                <w:highlight w:val="none"/>
                <w:lang w:val="en-US" w:eastAsia="zh-CN"/>
              </w:rPr>
              <w:t>1项</w:t>
            </w:r>
          </w:p>
        </w:tc>
      </w:tr>
      <w:tr w14:paraId="62711FB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41" w:type="dxa"/>
            <w:noWrap w:val="0"/>
            <w:vAlign w:val="top"/>
          </w:tcPr>
          <w:p w14:paraId="6E7B8FDE">
            <w:pPr>
              <w:pStyle w:val="65"/>
              <w:pageBreakBefore w:val="0"/>
              <w:overflowPunct/>
              <w:topLinePunct w:val="0"/>
              <w:bidi w:val="0"/>
              <w:spacing w:before="200" w:line="440" w:lineRule="exact"/>
              <w:ind w:left="17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937" w:type="dxa"/>
            <w:noWrap w:val="0"/>
            <w:vAlign w:val="top"/>
          </w:tcPr>
          <w:p w14:paraId="697681DD">
            <w:pPr>
              <w:pStyle w:val="65"/>
              <w:pageBreakBefore w:val="0"/>
              <w:overflowPunct/>
              <w:topLinePunct w:val="0"/>
              <w:bidi w:val="0"/>
              <w:spacing w:before="168" w:line="440" w:lineRule="exact"/>
              <w:ind w:left="135"/>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桌椅</w:t>
            </w:r>
          </w:p>
        </w:tc>
        <w:tc>
          <w:tcPr>
            <w:tcW w:w="7539" w:type="dxa"/>
            <w:noWrap w:val="0"/>
            <w:vAlign w:val="top"/>
          </w:tcPr>
          <w:p w14:paraId="088C5999">
            <w:pPr>
              <w:pStyle w:val="65"/>
              <w:pageBreakBefore w:val="0"/>
              <w:overflowPunct/>
              <w:topLinePunct w:val="0"/>
              <w:bidi w:val="0"/>
              <w:spacing w:before="81" w:line="440" w:lineRule="exact"/>
              <w:ind w:left="121"/>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60套通用电脑机房桌椅，桌子700*600*750，带主机固定位置。一张教师用大桌和座椅，1400*600*750</w:t>
            </w:r>
          </w:p>
        </w:tc>
        <w:tc>
          <w:tcPr>
            <w:tcW w:w="921" w:type="dxa"/>
            <w:noWrap w:val="0"/>
            <w:vAlign w:val="top"/>
          </w:tcPr>
          <w:p w14:paraId="6ED7BB9D">
            <w:pPr>
              <w:pStyle w:val="65"/>
              <w:pageBreakBefore w:val="0"/>
              <w:overflowPunct/>
              <w:topLinePunct w:val="0"/>
              <w:bidi w:val="0"/>
              <w:spacing w:before="179" w:line="440" w:lineRule="exact"/>
              <w:ind w:left="327"/>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套</w:t>
            </w:r>
          </w:p>
        </w:tc>
      </w:tr>
      <w:tr w14:paraId="3F5C1882">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499" w:hRule="atLeast"/>
        </w:trPr>
        <w:tc>
          <w:tcPr>
            <w:tcW w:w="541" w:type="dxa"/>
            <w:noWrap w:val="0"/>
            <w:vAlign w:val="top"/>
          </w:tcPr>
          <w:p w14:paraId="1ABCAB14">
            <w:pPr>
              <w:pStyle w:val="65"/>
              <w:pageBreakBefore w:val="0"/>
              <w:overflowPunct/>
              <w:topLinePunct w:val="0"/>
              <w:bidi w:val="0"/>
              <w:spacing w:before="200" w:line="440" w:lineRule="exact"/>
              <w:ind w:left="17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p>
        </w:tc>
        <w:tc>
          <w:tcPr>
            <w:tcW w:w="937" w:type="dxa"/>
            <w:noWrap w:val="0"/>
            <w:vAlign w:val="top"/>
          </w:tcPr>
          <w:p w14:paraId="701DC3C3">
            <w:pPr>
              <w:pStyle w:val="65"/>
              <w:pageBreakBefore w:val="0"/>
              <w:overflowPunct/>
              <w:topLinePunct w:val="0"/>
              <w:bidi w:val="0"/>
              <w:spacing w:before="168" w:line="440" w:lineRule="exact"/>
              <w:ind w:left="13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空调</w:t>
            </w:r>
          </w:p>
        </w:tc>
        <w:tc>
          <w:tcPr>
            <w:tcW w:w="7539" w:type="dxa"/>
            <w:noWrap w:val="0"/>
            <w:vAlign w:val="top"/>
          </w:tcPr>
          <w:p w14:paraId="5EAC3F85">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5匹柜机</w:t>
            </w:r>
          </w:p>
          <w:p w14:paraId="692471EC">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能效等级：≥新3级</w:t>
            </w:r>
          </w:p>
          <w:p w14:paraId="2D12EB13">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制冷量：≥12000W</w:t>
            </w:r>
          </w:p>
          <w:p w14:paraId="0971B844">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制热量：≥12300W</w:t>
            </w:r>
          </w:p>
          <w:p w14:paraId="41A93FD3">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电辅热：≥3500W</w:t>
            </w:r>
          </w:p>
          <w:p w14:paraId="00841CFF">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制冷功率：≤3860W</w:t>
            </w:r>
          </w:p>
          <w:p w14:paraId="6360B9B2">
            <w:pPr>
              <w:pStyle w:val="65"/>
              <w:pageBreakBefore w:val="0"/>
              <w:overflowPunct/>
              <w:topLinePunct w:val="0"/>
              <w:bidi w:val="0"/>
              <w:spacing w:before="81"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制热功率：≤3830W</w:t>
            </w:r>
          </w:p>
          <w:p w14:paraId="13E8328F">
            <w:pPr>
              <w:pStyle w:val="65"/>
              <w:pageBreakBefore w:val="0"/>
              <w:overflowPunct/>
              <w:topLinePunct w:val="0"/>
              <w:bidi w:val="0"/>
              <w:spacing w:before="81"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噪声：≤48dB</w:t>
            </w:r>
          </w:p>
        </w:tc>
        <w:tc>
          <w:tcPr>
            <w:tcW w:w="921" w:type="dxa"/>
            <w:noWrap w:val="0"/>
            <w:vAlign w:val="top"/>
          </w:tcPr>
          <w:p w14:paraId="6004A9BB">
            <w:pPr>
              <w:pStyle w:val="65"/>
              <w:pageBreakBefore w:val="0"/>
              <w:overflowPunct/>
              <w:topLinePunct w:val="0"/>
              <w:bidi w:val="0"/>
              <w:spacing w:before="179" w:line="440" w:lineRule="exact"/>
              <w:ind w:left="327"/>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2套</w:t>
            </w:r>
          </w:p>
        </w:tc>
      </w:tr>
    </w:tbl>
    <w:p w14:paraId="5D1C5A0C">
      <w:pPr>
        <w:pStyle w:val="6"/>
        <w:pageBreakBefore w:val="0"/>
        <w:overflowPunct/>
        <w:topLinePunct w:val="0"/>
        <w:bidi w:val="0"/>
        <w:spacing w:line="440" w:lineRule="exact"/>
        <w:rPr>
          <w:rFonts w:hint="eastAsia" w:ascii="宋体" w:hAnsi="宋体" w:eastAsia="宋体" w:cs="宋体"/>
          <w:color w:val="auto"/>
          <w:sz w:val="24"/>
          <w:szCs w:val="24"/>
          <w:highlight w:val="none"/>
        </w:rPr>
      </w:pPr>
    </w:p>
    <w:p w14:paraId="16398417">
      <w:pPr>
        <w:pageBreakBefore w:val="0"/>
        <w:overflowPunct/>
        <w:topLinePunct w:val="0"/>
        <w:bidi w:val="0"/>
        <w:spacing w:line="440" w:lineRule="exact"/>
        <w:rPr>
          <w:rFonts w:hint="eastAsia" w:ascii="宋体" w:hAnsi="宋体" w:eastAsia="宋体" w:cs="宋体"/>
          <w:color w:val="auto"/>
          <w:sz w:val="24"/>
          <w:szCs w:val="24"/>
          <w:highlight w:val="none"/>
        </w:rPr>
        <w:sectPr>
          <w:footerReference r:id="rId6" w:type="default"/>
          <w:pgSz w:w="11905" w:h="16838"/>
          <w:pgMar w:top="1304" w:right="1304" w:bottom="1304" w:left="1304" w:header="0" w:footer="737" w:gutter="0"/>
          <w:cols w:space="0" w:num="1"/>
          <w:rtlGutter w:val="0"/>
          <w:docGrid w:linePitch="0" w:charSpace="0"/>
        </w:sectPr>
      </w:pPr>
    </w:p>
    <w:p w14:paraId="52E197C8">
      <w:pPr>
        <w:pageBreakBefore w:val="0"/>
        <w:overflowPunct/>
        <w:topLinePunct w:val="0"/>
        <w:bidi w:val="0"/>
        <w:spacing w:before="153" w:line="440" w:lineRule="exact"/>
        <w:outlineLvl w:val="1"/>
        <w:rPr>
          <w:rFonts w:hint="eastAsia" w:ascii="宋体" w:hAnsi="宋体" w:eastAsia="宋体" w:cs="宋体"/>
          <w:color w:val="auto"/>
          <w:sz w:val="24"/>
          <w:szCs w:val="24"/>
          <w:highlight w:val="none"/>
        </w:rPr>
      </w:pPr>
      <w:r>
        <w:rPr>
          <w:rFonts w:hint="eastAsia" w:ascii="宋体" w:hAnsi="宋体" w:cs="宋体"/>
          <w:b/>
          <w:bCs/>
          <w:color w:val="auto"/>
          <w:spacing w:val="3"/>
          <w:sz w:val="24"/>
          <w:szCs w:val="24"/>
          <w:highlight w:val="none"/>
          <w:lang w:val="en-US" w:eastAsia="zh-CN"/>
        </w:rPr>
        <w:t>4</w:t>
      </w:r>
      <w:r>
        <w:rPr>
          <w:rFonts w:hint="eastAsia" w:ascii="宋体" w:hAnsi="宋体" w:eastAsia="宋体" w:cs="宋体"/>
          <w:b/>
          <w:bCs/>
          <w:color w:val="auto"/>
          <w:spacing w:val="3"/>
          <w:sz w:val="24"/>
          <w:szCs w:val="24"/>
          <w:highlight w:val="none"/>
        </w:rPr>
        <w:t>、计算机程序设计机房（共需要3个机房，以下表为1个机房所需配置及参数）</w:t>
      </w:r>
    </w:p>
    <w:tbl>
      <w:tblPr>
        <w:tblStyle w:val="28"/>
        <w:tblW w:w="9758"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8"/>
        <w:gridCol w:w="1093"/>
        <w:gridCol w:w="7240"/>
        <w:gridCol w:w="897"/>
      </w:tblGrid>
      <w:tr w14:paraId="5E2E7A7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28" w:type="dxa"/>
            <w:noWrap w:val="0"/>
            <w:textDirection w:val="tbRlV"/>
            <w:vAlign w:val="top"/>
          </w:tcPr>
          <w:p w14:paraId="33031441">
            <w:pPr>
              <w:pStyle w:val="65"/>
              <w:pageBreakBefore w:val="0"/>
              <w:overflowPunct/>
              <w:topLinePunct w:val="0"/>
              <w:bidi w:val="0"/>
              <w:spacing w:before="119" w:line="440" w:lineRule="exact"/>
              <w:ind w:left="8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序</w:t>
            </w:r>
            <w:r>
              <w:rPr>
                <w:rFonts w:hint="eastAsia" w:ascii="宋体" w:hAnsi="宋体" w:eastAsia="宋体" w:cs="宋体"/>
                <w:color w:val="auto"/>
                <w:spacing w:val="10"/>
                <w:sz w:val="24"/>
                <w:szCs w:val="24"/>
                <w:highlight w:val="none"/>
              </w:rPr>
              <w:t xml:space="preserve"> </w:t>
            </w:r>
            <w:r>
              <w:rPr>
                <w:rFonts w:hint="eastAsia" w:ascii="宋体" w:hAnsi="宋体" w:eastAsia="宋体" w:cs="宋体"/>
                <w:b/>
                <w:bCs/>
                <w:color w:val="auto"/>
                <w:spacing w:val="6"/>
                <w:sz w:val="24"/>
                <w:szCs w:val="24"/>
                <w:highlight w:val="none"/>
              </w:rPr>
              <w:t>号</w:t>
            </w:r>
          </w:p>
        </w:tc>
        <w:tc>
          <w:tcPr>
            <w:tcW w:w="1093" w:type="dxa"/>
            <w:noWrap w:val="0"/>
            <w:vAlign w:val="top"/>
          </w:tcPr>
          <w:p w14:paraId="4B64F25E">
            <w:pPr>
              <w:pStyle w:val="65"/>
              <w:pageBreakBefore w:val="0"/>
              <w:overflowPunct/>
              <w:topLinePunct w:val="0"/>
              <w:bidi w:val="0"/>
              <w:spacing w:before="82" w:line="440" w:lineRule="exact"/>
              <w:ind w:left="125" w:right="12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设备</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名称</w:t>
            </w:r>
          </w:p>
        </w:tc>
        <w:tc>
          <w:tcPr>
            <w:tcW w:w="7240" w:type="dxa"/>
            <w:noWrap w:val="0"/>
            <w:vAlign w:val="top"/>
          </w:tcPr>
          <w:p w14:paraId="5EE869A2">
            <w:pPr>
              <w:pStyle w:val="65"/>
              <w:pageBreakBefore w:val="0"/>
              <w:overflowPunct/>
              <w:topLinePunct w:val="0"/>
              <w:bidi w:val="0"/>
              <w:spacing w:before="241" w:line="440" w:lineRule="exact"/>
              <w:ind w:left="35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详细参数</w:t>
            </w:r>
          </w:p>
        </w:tc>
        <w:tc>
          <w:tcPr>
            <w:tcW w:w="897" w:type="dxa"/>
            <w:noWrap w:val="0"/>
            <w:vAlign w:val="top"/>
          </w:tcPr>
          <w:p w14:paraId="225D1974">
            <w:pPr>
              <w:pStyle w:val="65"/>
              <w:pageBreakBefore w:val="0"/>
              <w:overflowPunct/>
              <w:topLinePunct w:val="0"/>
              <w:bidi w:val="0"/>
              <w:spacing w:before="241" w:line="440" w:lineRule="exact"/>
              <w:ind w:left="15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数量</w:t>
            </w:r>
          </w:p>
        </w:tc>
      </w:tr>
      <w:tr w14:paraId="3171E2FE">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28" w:type="dxa"/>
            <w:noWrap w:val="0"/>
            <w:vAlign w:val="top"/>
          </w:tcPr>
          <w:p w14:paraId="3329FABD">
            <w:pPr>
              <w:pStyle w:val="65"/>
              <w:pageBreakBefore w:val="0"/>
              <w:overflowPunct/>
              <w:topLinePunct w:val="0"/>
              <w:bidi w:val="0"/>
              <w:spacing w:before="65" w:line="440" w:lineRule="exact"/>
              <w:ind w:left="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93" w:type="dxa"/>
            <w:noWrap w:val="0"/>
            <w:vAlign w:val="top"/>
          </w:tcPr>
          <w:p w14:paraId="36A61207">
            <w:pPr>
              <w:pStyle w:val="65"/>
              <w:pageBreakBefore w:val="0"/>
              <w:overflowPunct/>
              <w:topLinePunct w:val="0"/>
              <w:bidi w:val="0"/>
              <w:spacing w:before="65" w:line="440" w:lineRule="exact"/>
              <w:ind w:left="124" w:right="121" w:firstLine="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3"/>
                <w:sz w:val="24"/>
                <w:szCs w:val="24"/>
                <w:highlight w:val="none"/>
                <w:lang w:eastAsia="zh-CN"/>
              </w:rPr>
              <w:t>学生计算机</w:t>
            </w:r>
          </w:p>
        </w:tc>
        <w:tc>
          <w:tcPr>
            <w:tcW w:w="7240" w:type="dxa"/>
            <w:noWrap w:val="0"/>
            <w:vAlign w:val="top"/>
          </w:tcPr>
          <w:p w14:paraId="4D3F598A">
            <w:pPr>
              <w:pStyle w:val="65"/>
              <w:pageBreakBefore w:val="0"/>
              <w:numPr>
                <w:ilvl w:val="0"/>
                <w:numId w:val="7"/>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cpu:Intel i5 1</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400以上；</w:t>
            </w:r>
          </w:p>
          <w:p w14:paraId="3BB6F6AF">
            <w:pPr>
              <w:pStyle w:val="65"/>
              <w:pageBreakBefore w:val="0"/>
              <w:numPr>
                <w:ilvl w:val="0"/>
                <w:numId w:val="7"/>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内存：16G DDR4 3200MHz以上；</w:t>
            </w:r>
          </w:p>
          <w:p w14:paraId="0581D9E9">
            <w:pPr>
              <w:pStyle w:val="65"/>
              <w:pageBreakBefore w:val="0"/>
              <w:numPr>
                <w:ilvl w:val="0"/>
                <w:numId w:val="7"/>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硬盘：1T固态 读写速度500MB/s以上；</w:t>
            </w:r>
          </w:p>
          <w:p w14:paraId="3BAB8D47">
            <w:pPr>
              <w:pStyle w:val="65"/>
              <w:pageBreakBefore w:val="0"/>
              <w:numPr>
                <w:ilvl w:val="0"/>
                <w:numId w:val="7"/>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显示器：液晶27寸以上；</w:t>
            </w:r>
          </w:p>
          <w:p w14:paraId="03B9A1DC">
            <w:pPr>
              <w:pStyle w:val="65"/>
              <w:pageBreakBefore w:val="0"/>
              <w:numPr>
                <w:ilvl w:val="0"/>
                <w:numId w:val="7"/>
              </w:numPr>
              <w:overflowPunct/>
              <w:topLinePunct w:val="0"/>
              <w:bidi w:val="0"/>
              <w:spacing w:before="73"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具有开机还原功能；</w:t>
            </w:r>
          </w:p>
        </w:tc>
        <w:tc>
          <w:tcPr>
            <w:tcW w:w="897" w:type="dxa"/>
            <w:noWrap w:val="0"/>
            <w:vAlign w:val="top"/>
          </w:tcPr>
          <w:p w14:paraId="1AB14E4D">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60</w:t>
            </w:r>
            <w:r>
              <w:rPr>
                <w:rFonts w:hint="eastAsia" w:ascii="宋体" w:hAnsi="宋体" w:eastAsia="宋体" w:cs="宋体"/>
                <w:b w:val="0"/>
                <w:bCs w:val="0"/>
                <w:color w:val="auto"/>
                <w:sz w:val="24"/>
                <w:szCs w:val="24"/>
                <w:highlight w:val="none"/>
                <w:lang w:eastAsia="zh-CN"/>
              </w:rPr>
              <w:t>套</w:t>
            </w:r>
          </w:p>
        </w:tc>
      </w:tr>
      <w:tr w14:paraId="5F25F0AF">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28" w:type="dxa"/>
            <w:noWrap w:val="0"/>
            <w:vAlign w:val="top"/>
          </w:tcPr>
          <w:p w14:paraId="59372EF7">
            <w:pPr>
              <w:pStyle w:val="65"/>
              <w:pageBreakBefore w:val="0"/>
              <w:overflowPunct/>
              <w:topLinePunct w:val="0"/>
              <w:bidi w:val="0"/>
              <w:spacing w:before="65" w:line="440" w:lineRule="exact"/>
              <w:ind w:left="182"/>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2</w:t>
            </w:r>
          </w:p>
        </w:tc>
        <w:tc>
          <w:tcPr>
            <w:tcW w:w="1093" w:type="dxa"/>
            <w:noWrap w:val="0"/>
            <w:vAlign w:val="top"/>
          </w:tcPr>
          <w:p w14:paraId="426CDB46">
            <w:pPr>
              <w:pStyle w:val="65"/>
              <w:pageBreakBefore w:val="0"/>
              <w:overflowPunct/>
              <w:topLinePunct w:val="0"/>
              <w:bidi w:val="0"/>
              <w:spacing w:before="65" w:line="440" w:lineRule="exact"/>
              <w:ind w:left="149" w:right="121" w:hanging="19"/>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教师计算机</w:t>
            </w:r>
          </w:p>
        </w:tc>
        <w:tc>
          <w:tcPr>
            <w:tcW w:w="7240" w:type="dxa"/>
            <w:noWrap w:val="0"/>
            <w:vAlign w:val="top"/>
          </w:tcPr>
          <w:p w14:paraId="5402C7AC">
            <w:pPr>
              <w:pStyle w:val="65"/>
              <w:pageBreakBefore w:val="0"/>
              <w:numPr>
                <w:ilvl w:val="0"/>
                <w:numId w:val="8"/>
              </w:numPr>
              <w:overflowPunct/>
              <w:topLinePunct w:val="0"/>
              <w:bidi w:val="0"/>
              <w:spacing w:before="77"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cpu：Intel i5 1</w:t>
            </w:r>
            <w:r>
              <w:rPr>
                <w:rFonts w:hint="eastAsia" w:cs="宋体"/>
                <w:color w:val="000000" w:themeColor="text1"/>
                <w:sz w:val="24"/>
                <w:szCs w:val="24"/>
                <w:highlight w:val="none"/>
                <w:lang w:val="en-US" w:eastAsia="zh-CN"/>
                <w14:textFill>
                  <w14:solidFill>
                    <w14:schemeClr w14:val="tx1"/>
                  </w14:solidFill>
                </w14:textFill>
              </w:rPr>
              <w:t>2</w:t>
            </w:r>
            <w:r>
              <w:rPr>
                <w:rFonts w:hint="eastAsia" w:ascii="宋体" w:hAnsi="宋体" w:eastAsia="宋体" w:cs="宋体"/>
                <w:color w:val="000000" w:themeColor="text1"/>
                <w:sz w:val="24"/>
                <w:szCs w:val="24"/>
                <w:highlight w:val="none"/>
                <w:lang w:eastAsia="zh-CN"/>
                <w14:textFill>
                  <w14:solidFill>
                    <w14:schemeClr w14:val="tx1"/>
                  </w14:solidFill>
                </w14:textFill>
              </w:rPr>
              <w:t>400以上；</w:t>
            </w:r>
          </w:p>
          <w:p w14:paraId="537A4107">
            <w:pPr>
              <w:pStyle w:val="65"/>
              <w:pageBreakBefore w:val="0"/>
              <w:numPr>
                <w:ilvl w:val="0"/>
                <w:numId w:val="8"/>
              </w:numPr>
              <w:overflowPunct/>
              <w:topLinePunct w:val="0"/>
              <w:bidi w:val="0"/>
              <w:spacing w:before="77"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内存：32G DDR4 3200MHz以上；</w:t>
            </w:r>
          </w:p>
          <w:p w14:paraId="4960025B">
            <w:pPr>
              <w:pStyle w:val="65"/>
              <w:pageBreakBefore w:val="0"/>
              <w:numPr>
                <w:ilvl w:val="0"/>
                <w:numId w:val="8"/>
              </w:numPr>
              <w:overflowPunct/>
              <w:topLinePunct w:val="0"/>
              <w:bidi w:val="0"/>
              <w:spacing w:before="77"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硬盘：1T固态 读写速度500MB/s以上；机械硬盘：12t硬盘以上；</w:t>
            </w:r>
          </w:p>
          <w:p w14:paraId="7E2E14D6">
            <w:pPr>
              <w:pStyle w:val="65"/>
              <w:pageBreakBefore w:val="0"/>
              <w:numPr>
                <w:ilvl w:val="0"/>
                <w:numId w:val="8"/>
              </w:numPr>
              <w:overflowPunct/>
              <w:topLinePunct w:val="0"/>
              <w:bidi w:val="0"/>
              <w:spacing w:before="77" w:line="440" w:lineRule="exact"/>
              <w:rPr>
                <w:rFonts w:hint="eastAsia" w:ascii="宋体" w:hAnsi="宋体" w:eastAsia="宋体" w:cs="宋体"/>
                <w:color w:val="000000" w:themeColor="text1"/>
                <w:sz w:val="24"/>
                <w:szCs w:val="24"/>
                <w:highlight w:val="none"/>
                <w:lang w:eastAsia="zh-CN"/>
                <w14:textFill>
                  <w14:solidFill>
                    <w14:schemeClr w14:val="tx1"/>
                  </w14:solidFill>
                </w14:textFill>
              </w:rPr>
            </w:pPr>
            <w:r>
              <w:rPr>
                <w:rFonts w:hint="eastAsia" w:ascii="宋体" w:hAnsi="宋体" w:eastAsia="宋体" w:cs="宋体"/>
                <w:color w:val="000000" w:themeColor="text1"/>
                <w:sz w:val="24"/>
                <w:szCs w:val="24"/>
                <w:highlight w:val="none"/>
                <w:lang w:eastAsia="zh-CN"/>
                <w14:textFill>
                  <w14:solidFill>
                    <w14:schemeClr w14:val="tx1"/>
                  </w14:solidFill>
                </w14:textFill>
              </w:rPr>
              <w:t>显示器：液晶27寸以上；</w:t>
            </w:r>
          </w:p>
        </w:tc>
        <w:tc>
          <w:tcPr>
            <w:tcW w:w="897" w:type="dxa"/>
            <w:noWrap w:val="0"/>
            <w:vAlign w:val="top"/>
          </w:tcPr>
          <w:p w14:paraId="48DFED69">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lang w:eastAsia="zh-CN"/>
              </w:rPr>
              <w:t>1</w:t>
            </w:r>
            <w:r>
              <w:rPr>
                <w:rFonts w:hint="eastAsia" w:ascii="宋体" w:hAnsi="宋体" w:eastAsia="宋体" w:cs="宋体"/>
                <w:b w:val="0"/>
                <w:bCs w:val="0"/>
                <w:color w:val="auto"/>
                <w:sz w:val="24"/>
                <w:szCs w:val="24"/>
                <w:highlight w:val="none"/>
                <w:lang w:eastAsia="zh-CN"/>
              </w:rPr>
              <w:t>套</w:t>
            </w:r>
          </w:p>
        </w:tc>
      </w:tr>
      <w:tr w14:paraId="13482D7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28" w:type="dxa"/>
            <w:noWrap w:val="0"/>
            <w:vAlign w:val="top"/>
          </w:tcPr>
          <w:p w14:paraId="70E46512">
            <w:pPr>
              <w:pStyle w:val="65"/>
              <w:pageBreakBefore w:val="0"/>
              <w:overflowPunct/>
              <w:topLinePunct w:val="0"/>
              <w:bidi w:val="0"/>
              <w:spacing w:before="65" w:line="440" w:lineRule="exact"/>
              <w:ind w:left="184"/>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3</w:t>
            </w:r>
          </w:p>
        </w:tc>
        <w:tc>
          <w:tcPr>
            <w:tcW w:w="1093" w:type="dxa"/>
            <w:noWrap w:val="0"/>
            <w:vAlign w:val="top"/>
          </w:tcPr>
          <w:p w14:paraId="4B73EDD3">
            <w:pPr>
              <w:pStyle w:val="65"/>
              <w:pageBreakBefore w:val="0"/>
              <w:overflowPunct/>
              <w:topLinePunct w:val="0"/>
              <w:bidi w:val="0"/>
              <w:spacing w:before="65" w:line="440" w:lineRule="exact"/>
              <w:ind w:left="130" w:right="121" w:hanging="3"/>
              <w:rPr>
                <w:rFonts w:hint="eastAsia" w:ascii="宋体" w:hAnsi="宋体" w:eastAsia="宋体" w:cs="宋体"/>
                <w:color w:val="auto"/>
                <w:sz w:val="24"/>
                <w:szCs w:val="24"/>
                <w:highlight w:val="none"/>
              </w:rPr>
            </w:pPr>
            <w:r>
              <w:rPr>
                <w:rFonts w:hint="eastAsia" w:ascii="宋体" w:hAnsi="宋体" w:eastAsia="宋体" w:cs="宋体"/>
                <w:color w:val="auto"/>
                <w:spacing w:val="3"/>
                <w:sz w:val="24"/>
                <w:szCs w:val="24"/>
                <w:highlight w:val="none"/>
              </w:rPr>
              <w:t>交换机</w:t>
            </w:r>
          </w:p>
        </w:tc>
        <w:tc>
          <w:tcPr>
            <w:tcW w:w="7240" w:type="dxa"/>
            <w:noWrap w:val="0"/>
            <w:vAlign w:val="top"/>
          </w:tcPr>
          <w:p w14:paraId="4071071E">
            <w:pPr>
              <w:pStyle w:val="65"/>
              <w:pageBreakBefore w:val="0"/>
              <w:overflowPunct/>
              <w:topLinePunct w:val="0"/>
              <w:bidi w:val="0"/>
              <w:spacing w:before="78" w:line="440" w:lineRule="exact"/>
              <w:ind w:left="110" w:right="104" w:firstLine="10"/>
              <w:rPr>
                <w:rFonts w:hint="eastAsia" w:ascii="宋体" w:hAnsi="宋体" w:eastAsia="宋体" w:cs="宋体"/>
                <w:color w:val="auto"/>
                <w:spacing w:val="7"/>
                <w:sz w:val="24"/>
                <w:szCs w:val="24"/>
                <w:highlight w:val="none"/>
                <w:lang w:eastAsia="zh-CN"/>
              </w:rPr>
            </w:pPr>
            <w:r>
              <w:rPr>
                <w:rFonts w:hint="eastAsia" w:ascii="宋体" w:hAnsi="宋体" w:eastAsia="宋体" w:cs="宋体"/>
                <w:color w:val="auto"/>
                <w:spacing w:val="7"/>
                <w:sz w:val="24"/>
                <w:szCs w:val="24"/>
                <w:highlight w:val="none"/>
                <w:lang w:eastAsia="zh-CN"/>
              </w:rPr>
              <w:t>每台交换机可提供24个1000M RJ45端口。</w:t>
            </w:r>
          </w:p>
          <w:p w14:paraId="1E766A50">
            <w:pPr>
              <w:pStyle w:val="65"/>
              <w:pageBreakBefore w:val="0"/>
              <w:overflowPunct/>
              <w:topLinePunct w:val="0"/>
              <w:bidi w:val="0"/>
              <w:spacing w:before="75" w:line="440" w:lineRule="exact"/>
              <w:ind w:right="102"/>
              <w:rPr>
                <w:rFonts w:hint="eastAsia" w:ascii="宋体" w:hAnsi="宋体" w:eastAsia="宋体" w:cs="宋体"/>
                <w:color w:val="auto"/>
                <w:sz w:val="24"/>
                <w:szCs w:val="24"/>
                <w:highlight w:val="none"/>
                <w:lang w:eastAsia="zh-CN"/>
              </w:rPr>
            </w:pPr>
          </w:p>
        </w:tc>
        <w:tc>
          <w:tcPr>
            <w:tcW w:w="897" w:type="dxa"/>
            <w:noWrap w:val="0"/>
            <w:vAlign w:val="top"/>
          </w:tcPr>
          <w:p w14:paraId="6953DB26">
            <w:pPr>
              <w:pStyle w:val="65"/>
              <w:pageBreakBefore w:val="0"/>
              <w:overflowPunct/>
              <w:topLinePunct w:val="0"/>
              <w:bidi w:val="0"/>
              <w:spacing w:before="65" w:line="440" w:lineRule="exact"/>
              <w:ind w:left="327"/>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b w:val="0"/>
                <w:bCs w:val="0"/>
                <w:color w:val="auto"/>
                <w:sz w:val="24"/>
                <w:szCs w:val="24"/>
                <w:highlight w:val="none"/>
                <w:lang w:eastAsia="zh-CN"/>
              </w:rPr>
              <w:t>套</w:t>
            </w:r>
          </w:p>
        </w:tc>
      </w:tr>
      <w:tr w14:paraId="4C20EDE8">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28" w:type="dxa"/>
            <w:noWrap w:val="0"/>
            <w:vAlign w:val="top"/>
          </w:tcPr>
          <w:p w14:paraId="13E1BEF4">
            <w:pPr>
              <w:pStyle w:val="65"/>
              <w:pageBreakBefore w:val="0"/>
              <w:overflowPunct/>
              <w:topLinePunct w:val="0"/>
              <w:bidi w:val="0"/>
              <w:spacing w:before="200" w:line="440" w:lineRule="exact"/>
              <w:ind w:left="179"/>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4</w:t>
            </w:r>
          </w:p>
        </w:tc>
        <w:tc>
          <w:tcPr>
            <w:tcW w:w="1093" w:type="dxa"/>
            <w:noWrap w:val="0"/>
            <w:vAlign w:val="top"/>
          </w:tcPr>
          <w:p w14:paraId="4573B402">
            <w:pPr>
              <w:pStyle w:val="65"/>
              <w:pageBreakBefore w:val="0"/>
              <w:overflowPunct/>
              <w:topLinePunct w:val="0"/>
              <w:bidi w:val="0"/>
              <w:spacing w:before="168" w:line="440" w:lineRule="exact"/>
              <w:ind w:left="13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电子教室软件</w:t>
            </w:r>
          </w:p>
        </w:tc>
        <w:tc>
          <w:tcPr>
            <w:tcW w:w="7240" w:type="dxa"/>
            <w:noWrap w:val="0"/>
            <w:vAlign w:val="top"/>
          </w:tcPr>
          <w:p w14:paraId="6E8FF3B1">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需支持 Windows 系列操作系统，包括但不限于 Windows7、Windows 10、Windows 11 等的操作系统。</w:t>
            </w:r>
          </w:p>
          <w:p w14:paraId="5B52DA00">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需具备屏幕广播、学生演示、屏幕录制、语音广播、语音对讲、电子点名、远程开关机、远程命令、屏幕监看、远程设置、远程登录、登录 windows 前接受广播、请求帮助、举手、发言、自动锁屏、防杀进程、黑屏肃静、文件分发、文件收集等功能；</w:t>
            </w:r>
          </w:p>
          <w:p w14:paraId="5594E6ED">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共享白板：系统需支持导入 bmp、jpg、gif、tif、png、ico、emf、word、ppt、excel、pdf、txt 等格式文件创建白板内容，将白板内容共享给学生，教师可以选择单名或多名学生同时共享写画老师的白板内容进行教学。教师也可以允许学生个人绘画模式在老师导入的素材白板内容基础上独立完成学习任务，教师可以监看所有学生的完成情况，并把指定学生完成的学习任务分享给其他同学演示；</w:t>
            </w:r>
          </w:p>
          <w:p w14:paraId="1AE1E071">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答题卡考试：系统需支持导入 word、ppt、excel、pdf、图片、txt 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w:t>
            </w:r>
          </w:p>
          <w:p w14:paraId="04AC1DCB">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抢答竞赛：可组织全体或分组学生参加课堂竞赛答题，需至少包含抢答口述答题、抢答输入答案、抢答演示屏幕答题三种方式，通过竞赛机制可配置答题的对、错让学生奖章增加或减少，也可配置排除已参与答题的学生，让没参与过答题的学生加入和老师的互动中，或排除答错的学生，让答对的学生进行竞争互动；</w:t>
            </w:r>
          </w:p>
          <w:p w14:paraId="0F26297E">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教师机程序重启时，需能记忆禁止举手、禁止发消息、上网限制、U 盘限制、程序限制等老师的设置；</w:t>
            </w:r>
          </w:p>
          <w:p w14:paraId="168A37BB">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网络快照：教师可以在监控学生的时候，对学生画面拍快照或者录制，保存学生画面的截图或桌面视频；</w:t>
            </w:r>
          </w:p>
          <w:p w14:paraId="7D5E57FE">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学生限制：可对学生机设置上网策略、应用程序策略、USB 口、网络打印机和光驱使用策略，并支持对不同学生设置单独策略；</w:t>
            </w:r>
          </w:p>
          <w:p w14:paraId="428ED5DB">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签到：具有学生名单管理工具，为软件和考试模块实现实名验证。具有点名功能，支持保留学生多次登录记录、考勤统计、签到信息的导出与对比，支持 csv 格式的导出；</w:t>
            </w:r>
          </w:p>
          <w:p w14:paraId="2AA29E15">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分组讨论：需能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14:paraId="6D0B14E8">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屏幕监看：教师机器可以显示学生机桌面的缩图，缩图显示大小也可自由设定；</w:t>
            </w:r>
          </w:p>
          <w:p w14:paraId="5CC93C45">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文件分发：需能允许教师将教师机不同盘符中的目录或文件一起发送至生机的某目录下。若文件已存在可选择自动覆盖或保留原始文件；</w:t>
            </w:r>
          </w:p>
          <w:p w14:paraId="3C84B3F0">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作业提交：学生需能把做好的作业直接提交到教师机。学生提交作业时必需经过教师审批通过后才可提交，教师可以选择接收和拒绝学生提交的文件。并且教师可以限制学生提交文件的数目和大小；</w:t>
            </w:r>
          </w:p>
          <w:p w14:paraId="4B9C2C05">
            <w:pPr>
              <w:pStyle w:val="65"/>
              <w:pageBreakBefore w:val="0"/>
              <w:numPr>
                <w:ilvl w:val="0"/>
                <w:numId w:val="9"/>
              </w:numPr>
              <w:overflowPunct/>
              <w:topLinePunct w:val="0"/>
              <w:bidi w:val="0"/>
              <w:spacing w:before="73" w:line="440" w:lineRule="exact"/>
              <w:jc w:val="both"/>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z w:val="24"/>
                <w:szCs w:val="24"/>
                <w:highlight w:val="none"/>
                <w:lang w:eastAsia="zh-CN"/>
              </w:rPr>
              <w:t>集控管理：需支持本地服务器通过主控端对多个教室的电脑进行远程管控、合班授课、分发文件、监控、广播等功能，实现和机房教学同样的管理；</w:t>
            </w:r>
          </w:p>
        </w:tc>
        <w:tc>
          <w:tcPr>
            <w:tcW w:w="897" w:type="dxa"/>
            <w:noWrap w:val="0"/>
            <w:vAlign w:val="top"/>
          </w:tcPr>
          <w:p w14:paraId="2EF2006E">
            <w:pPr>
              <w:pStyle w:val="65"/>
              <w:pageBreakBefore w:val="0"/>
              <w:overflowPunct/>
              <w:topLinePunct w:val="0"/>
              <w:bidi w:val="0"/>
              <w:spacing w:before="179" w:line="440" w:lineRule="exact"/>
              <w:ind w:left="327"/>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r>
              <w:rPr>
                <w:rFonts w:hint="eastAsia" w:ascii="宋体" w:hAnsi="宋体" w:eastAsia="宋体" w:cs="宋体"/>
                <w:b w:val="0"/>
                <w:bCs w:val="0"/>
                <w:color w:val="auto"/>
                <w:sz w:val="24"/>
                <w:szCs w:val="24"/>
                <w:highlight w:val="none"/>
                <w:lang w:eastAsia="zh-CN"/>
              </w:rPr>
              <w:t>套</w:t>
            </w:r>
          </w:p>
        </w:tc>
      </w:tr>
      <w:tr w14:paraId="7C7CD2D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28" w:type="dxa"/>
            <w:noWrap w:val="0"/>
            <w:vAlign w:val="top"/>
          </w:tcPr>
          <w:p w14:paraId="1AA90754">
            <w:pPr>
              <w:pStyle w:val="65"/>
              <w:pageBreakBefore w:val="0"/>
              <w:overflowPunct/>
              <w:topLinePunct w:val="0"/>
              <w:bidi w:val="0"/>
              <w:spacing w:before="200" w:line="440" w:lineRule="exact"/>
              <w:ind w:left="17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p>
        </w:tc>
        <w:tc>
          <w:tcPr>
            <w:tcW w:w="1093" w:type="dxa"/>
            <w:noWrap w:val="0"/>
            <w:vAlign w:val="top"/>
          </w:tcPr>
          <w:p w14:paraId="116658CC">
            <w:pPr>
              <w:pStyle w:val="65"/>
              <w:pageBreakBefore w:val="0"/>
              <w:overflowPunct/>
              <w:topLinePunct w:val="0"/>
              <w:bidi w:val="0"/>
              <w:spacing w:before="168" w:line="440" w:lineRule="exact"/>
              <w:ind w:left="135"/>
              <w:rPr>
                <w:rFonts w:hint="eastAsia" w:ascii="宋体" w:hAnsi="宋体" w:eastAsia="宋体" w:cs="宋体"/>
                <w:color w:val="auto"/>
                <w:sz w:val="24"/>
                <w:szCs w:val="24"/>
                <w:highlight w:val="none"/>
                <w:lang w:eastAsia="zh-CN"/>
              </w:rPr>
            </w:pPr>
            <w:r>
              <w:rPr>
                <w:rFonts w:hint="eastAsia" w:ascii="宋体" w:hAnsi="宋体" w:eastAsia="宋体" w:cs="宋体"/>
                <w:color w:val="auto"/>
                <w:spacing w:val="2"/>
                <w:sz w:val="24"/>
                <w:szCs w:val="24"/>
                <w:highlight w:val="none"/>
              </w:rPr>
              <w:t>网线</w:t>
            </w:r>
          </w:p>
        </w:tc>
        <w:tc>
          <w:tcPr>
            <w:tcW w:w="7240" w:type="dxa"/>
            <w:noWrap w:val="0"/>
            <w:vAlign w:val="top"/>
          </w:tcPr>
          <w:p w14:paraId="50FE3746">
            <w:pPr>
              <w:pStyle w:val="65"/>
              <w:pageBreakBefore w:val="0"/>
              <w:overflowPunct/>
              <w:topLinePunct w:val="0"/>
              <w:bidi w:val="0"/>
              <w:spacing w:before="81" w:line="440" w:lineRule="exact"/>
              <w:ind w:left="121" w:leftChars="0"/>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满足综合布线系统设计</w:t>
            </w:r>
            <w:r>
              <w:rPr>
                <w:rFonts w:hint="eastAsia" w:cs="宋体"/>
                <w:color w:val="auto"/>
                <w:spacing w:val="6"/>
                <w:sz w:val="24"/>
                <w:szCs w:val="24"/>
                <w:highlight w:val="none"/>
                <w:lang w:val="en-US" w:eastAsia="zh-CN"/>
              </w:rPr>
              <w:t>要求</w:t>
            </w:r>
            <w:r>
              <w:rPr>
                <w:rFonts w:hint="eastAsia" w:ascii="宋体" w:hAnsi="宋体" w:eastAsia="宋体" w:cs="宋体"/>
                <w:color w:val="auto"/>
                <w:spacing w:val="6"/>
                <w:sz w:val="24"/>
                <w:szCs w:val="24"/>
                <w:highlight w:val="none"/>
                <w:lang w:eastAsia="zh-CN"/>
              </w:rPr>
              <w:t>。</w:t>
            </w:r>
          </w:p>
        </w:tc>
        <w:tc>
          <w:tcPr>
            <w:tcW w:w="897" w:type="dxa"/>
            <w:noWrap w:val="0"/>
            <w:vAlign w:val="top"/>
          </w:tcPr>
          <w:p w14:paraId="13F05466">
            <w:pPr>
              <w:pStyle w:val="65"/>
              <w:pageBreakBefore w:val="0"/>
              <w:overflowPunct/>
              <w:topLinePunct w:val="0"/>
              <w:bidi w:val="0"/>
              <w:spacing w:before="179" w:line="440" w:lineRule="exact"/>
              <w:ind w:left="327" w:leftChars="0"/>
              <w:rPr>
                <w:rFonts w:hint="eastAsia" w:ascii="宋体" w:hAnsi="宋体" w:eastAsia="宋体" w:cs="宋体"/>
                <w:color w:val="auto"/>
                <w:sz w:val="24"/>
                <w:szCs w:val="24"/>
                <w:highlight w:val="none"/>
                <w:lang w:eastAsia="zh-CN"/>
              </w:rPr>
            </w:pPr>
            <w:r>
              <w:rPr>
                <w:rFonts w:hint="eastAsia" w:cs="宋体"/>
                <w:color w:val="auto"/>
                <w:sz w:val="24"/>
                <w:szCs w:val="24"/>
                <w:highlight w:val="none"/>
                <w:lang w:val="en-US" w:eastAsia="zh-CN"/>
              </w:rPr>
              <w:t>1项</w:t>
            </w:r>
          </w:p>
        </w:tc>
      </w:tr>
      <w:tr w14:paraId="3653DAD0">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28" w:type="dxa"/>
            <w:noWrap w:val="0"/>
            <w:vAlign w:val="top"/>
          </w:tcPr>
          <w:p w14:paraId="5DF5D212">
            <w:pPr>
              <w:pStyle w:val="65"/>
              <w:pageBreakBefore w:val="0"/>
              <w:overflowPunct/>
              <w:topLinePunct w:val="0"/>
              <w:bidi w:val="0"/>
              <w:spacing w:before="200" w:line="440" w:lineRule="exact"/>
              <w:ind w:left="17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p>
        </w:tc>
        <w:tc>
          <w:tcPr>
            <w:tcW w:w="1093" w:type="dxa"/>
            <w:noWrap w:val="0"/>
            <w:vAlign w:val="top"/>
          </w:tcPr>
          <w:p w14:paraId="1A4FA60D">
            <w:pPr>
              <w:pStyle w:val="65"/>
              <w:pageBreakBefore w:val="0"/>
              <w:overflowPunct/>
              <w:topLinePunct w:val="0"/>
              <w:bidi w:val="0"/>
              <w:spacing w:before="168" w:line="440" w:lineRule="exact"/>
              <w:ind w:left="135"/>
              <w:rPr>
                <w:rFonts w:hint="eastAsia" w:ascii="宋体" w:hAnsi="宋体" w:eastAsia="宋体" w:cs="宋体"/>
                <w:color w:val="auto"/>
                <w:spacing w:val="2"/>
                <w:sz w:val="24"/>
                <w:szCs w:val="24"/>
                <w:highlight w:val="none"/>
                <w:lang w:eastAsia="zh-CN"/>
              </w:rPr>
            </w:pPr>
            <w:r>
              <w:rPr>
                <w:rFonts w:hint="eastAsia" w:ascii="宋体" w:hAnsi="宋体" w:eastAsia="宋体" w:cs="宋体"/>
                <w:color w:val="auto"/>
                <w:spacing w:val="2"/>
                <w:sz w:val="24"/>
                <w:szCs w:val="24"/>
                <w:highlight w:val="none"/>
                <w:lang w:eastAsia="zh-CN"/>
              </w:rPr>
              <w:t>桌椅</w:t>
            </w:r>
          </w:p>
        </w:tc>
        <w:tc>
          <w:tcPr>
            <w:tcW w:w="7240" w:type="dxa"/>
            <w:noWrap w:val="0"/>
            <w:vAlign w:val="top"/>
          </w:tcPr>
          <w:p w14:paraId="4520D267">
            <w:pPr>
              <w:pStyle w:val="65"/>
              <w:pageBreakBefore w:val="0"/>
              <w:overflowPunct/>
              <w:topLinePunct w:val="0"/>
              <w:bidi w:val="0"/>
              <w:spacing w:before="81" w:line="440" w:lineRule="exact"/>
              <w:ind w:left="121"/>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pacing w:val="6"/>
                <w:sz w:val="24"/>
                <w:szCs w:val="24"/>
                <w:highlight w:val="none"/>
                <w:lang w:eastAsia="zh-CN"/>
              </w:rPr>
              <w:t>60套通用电脑机房桌椅，桌子700*600*750，带主机固定位置。一张教师用大桌和座椅，1400*600*750</w:t>
            </w:r>
          </w:p>
        </w:tc>
        <w:tc>
          <w:tcPr>
            <w:tcW w:w="897" w:type="dxa"/>
            <w:noWrap w:val="0"/>
            <w:vAlign w:val="top"/>
          </w:tcPr>
          <w:p w14:paraId="7FEF08DB">
            <w:pPr>
              <w:pStyle w:val="65"/>
              <w:pageBreakBefore w:val="0"/>
              <w:overflowPunct/>
              <w:topLinePunct w:val="0"/>
              <w:bidi w:val="0"/>
              <w:spacing w:before="179" w:line="440" w:lineRule="exact"/>
              <w:ind w:left="327"/>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6</w:t>
            </w:r>
            <w:r>
              <w:rPr>
                <w:rFonts w:hint="eastAsia" w:ascii="宋体" w:hAnsi="宋体" w:eastAsia="宋体" w:cs="宋体"/>
                <w:b w:val="0"/>
                <w:bCs w:val="0"/>
                <w:color w:val="auto"/>
                <w:sz w:val="24"/>
                <w:szCs w:val="24"/>
                <w:highlight w:val="none"/>
              </w:rPr>
              <w:t>1</w:t>
            </w:r>
            <w:r>
              <w:rPr>
                <w:rFonts w:hint="eastAsia" w:ascii="宋体" w:hAnsi="宋体" w:eastAsia="宋体" w:cs="宋体"/>
                <w:b w:val="0"/>
                <w:bCs w:val="0"/>
                <w:color w:val="auto"/>
                <w:sz w:val="24"/>
                <w:szCs w:val="24"/>
                <w:highlight w:val="none"/>
                <w:lang w:eastAsia="zh-CN"/>
              </w:rPr>
              <w:t>套</w:t>
            </w:r>
          </w:p>
        </w:tc>
      </w:tr>
      <w:tr w14:paraId="6CA1773A">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0" w:hRule="atLeast"/>
          <w:jc w:val="center"/>
        </w:trPr>
        <w:tc>
          <w:tcPr>
            <w:tcW w:w="528" w:type="dxa"/>
            <w:noWrap w:val="0"/>
            <w:vAlign w:val="top"/>
          </w:tcPr>
          <w:p w14:paraId="446D493E">
            <w:pPr>
              <w:pStyle w:val="65"/>
              <w:pageBreakBefore w:val="0"/>
              <w:overflowPunct/>
              <w:topLinePunct w:val="0"/>
              <w:bidi w:val="0"/>
              <w:spacing w:before="200" w:line="440" w:lineRule="exact"/>
              <w:ind w:left="179"/>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p>
        </w:tc>
        <w:tc>
          <w:tcPr>
            <w:tcW w:w="1093" w:type="dxa"/>
            <w:noWrap w:val="0"/>
            <w:vAlign w:val="top"/>
          </w:tcPr>
          <w:p w14:paraId="453BD4A5">
            <w:pPr>
              <w:pStyle w:val="65"/>
              <w:pageBreakBefore w:val="0"/>
              <w:overflowPunct/>
              <w:topLinePunct w:val="0"/>
              <w:bidi w:val="0"/>
              <w:spacing w:before="168" w:line="440" w:lineRule="exact"/>
              <w:ind w:left="135"/>
              <w:rPr>
                <w:rFonts w:hint="eastAsia" w:ascii="宋体" w:hAnsi="宋体" w:eastAsia="宋体" w:cs="宋体"/>
                <w:color w:val="auto"/>
                <w:spacing w:val="2"/>
                <w:sz w:val="24"/>
                <w:szCs w:val="24"/>
                <w:highlight w:val="none"/>
              </w:rPr>
            </w:pPr>
            <w:r>
              <w:rPr>
                <w:rFonts w:hint="eastAsia" w:ascii="宋体" w:hAnsi="宋体" w:eastAsia="宋体" w:cs="宋体"/>
                <w:color w:val="auto"/>
                <w:spacing w:val="2"/>
                <w:sz w:val="24"/>
                <w:szCs w:val="24"/>
                <w:highlight w:val="none"/>
              </w:rPr>
              <w:t>空调</w:t>
            </w:r>
          </w:p>
        </w:tc>
        <w:tc>
          <w:tcPr>
            <w:tcW w:w="7240" w:type="dxa"/>
            <w:noWrap w:val="0"/>
            <w:vAlign w:val="top"/>
          </w:tcPr>
          <w:p w14:paraId="79AB2E68">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5匹柜机</w:t>
            </w:r>
          </w:p>
          <w:p w14:paraId="1A2C2CE4">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能效等级：≥新3级</w:t>
            </w:r>
          </w:p>
          <w:p w14:paraId="0B7BB186">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制冷量：≥12000W</w:t>
            </w:r>
          </w:p>
          <w:p w14:paraId="2116EC8B">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制热量：≥12300W</w:t>
            </w:r>
          </w:p>
          <w:p w14:paraId="4BEA17E0">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电辅热：≥3500W</w:t>
            </w:r>
          </w:p>
          <w:p w14:paraId="0983DBDA">
            <w:pPr>
              <w:pStyle w:val="65"/>
              <w:pageBreakBefore w:val="0"/>
              <w:overflowPunct/>
              <w:topLinePunct w:val="0"/>
              <w:bidi w:val="0"/>
              <w:spacing w:before="77"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制冷功率：≤3860W</w:t>
            </w:r>
          </w:p>
          <w:p w14:paraId="610A7786">
            <w:pPr>
              <w:pStyle w:val="65"/>
              <w:pageBreakBefore w:val="0"/>
              <w:overflowPunct/>
              <w:topLinePunct w:val="0"/>
              <w:bidi w:val="0"/>
              <w:spacing w:before="81"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制热功率：≤3830W</w:t>
            </w:r>
          </w:p>
          <w:p w14:paraId="24F8D964">
            <w:pPr>
              <w:pStyle w:val="65"/>
              <w:pageBreakBefore w:val="0"/>
              <w:overflowPunct/>
              <w:topLinePunct w:val="0"/>
              <w:bidi w:val="0"/>
              <w:spacing w:before="81" w:line="440" w:lineRule="exact"/>
              <w:ind w:left="121"/>
              <w:rPr>
                <w:rFonts w:hint="eastAsia" w:ascii="宋体" w:hAnsi="宋体" w:eastAsia="宋体" w:cs="宋体"/>
                <w:color w:val="auto"/>
                <w:spacing w:val="6"/>
                <w:sz w:val="24"/>
                <w:szCs w:val="24"/>
                <w:highlight w:val="none"/>
                <w:lang w:eastAsia="zh-CN"/>
              </w:rPr>
            </w:pPr>
            <w:r>
              <w:rPr>
                <w:rFonts w:hint="eastAsia" w:ascii="宋体" w:hAnsi="宋体" w:eastAsia="宋体" w:cs="宋体"/>
                <w:color w:val="auto"/>
                <w:sz w:val="24"/>
                <w:szCs w:val="24"/>
                <w:highlight w:val="none"/>
                <w:lang w:eastAsia="zh-CN"/>
              </w:rPr>
              <w:t>噪声：≤48dB</w:t>
            </w:r>
          </w:p>
        </w:tc>
        <w:tc>
          <w:tcPr>
            <w:tcW w:w="897" w:type="dxa"/>
            <w:noWrap w:val="0"/>
            <w:vAlign w:val="top"/>
          </w:tcPr>
          <w:p w14:paraId="2D219BC8">
            <w:pPr>
              <w:pStyle w:val="65"/>
              <w:pageBreakBefore w:val="0"/>
              <w:overflowPunct/>
              <w:topLinePunct w:val="0"/>
              <w:bidi w:val="0"/>
              <w:spacing w:before="179" w:line="440" w:lineRule="exact"/>
              <w:ind w:left="327"/>
              <w:rPr>
                <w:rFonts w:hint="eastAsia" w:ascii="宋体" w:hAnsi="宋体" w:eastAsia="宋体" w:cs="宋体"/>
                <w:color w:val="auto"/>
                <w:sz w:val="24"/>
                <w:szCs w:val="24"/>
                <w:highlight w:val="none"/>
                <w:lang w:eastAsia="zh-CN"/>
              </w:rPr>
            </w:pPr>
            <w:r>
              <w:rPr>
                <w:rFonts w:hint="eastAsia" w:ascii="宋体" w:hAnsi="宋体" w:eastAsia="宋体" w:cs="宋体"/>
                <w:b w:val="0"/>
                <w:bCs w:val="0"/>
                <w:color w:val="auto"/>
                <w:sz w:val="24"/>
                <w:szCs w:val="24"/>
                <w:highlight w:val="none"/>
                <w:lang w:eastAsia="zh-CN"/>
              </w:rPr>
              <w:t>2套</w:t>
            </w:r>
          </w:p>
        </w:tc>
      </w:tr>
    </w:tbl>
    <w:p w14:paraId="6637C0C6">
      <w:pPr>
        <w:pageBreakBefore w:val="0"/>
        <w:numPr>
          <w:ilvl w:val="0"/>
          <w:numId w:val="0"/>
        </w:numPr>
        <w:overflowPunct/>
        <w:topLinePunct w:val="0"/>
        <w:bidi w:val="0"/>
        <w:spacing w:line="440" w:lineRule="exact"/>
        <w:rPr>
          <w:rFonts w:hint="eastAsia" w:ascii="宋体" w:hAnsi="宋体" w:eastAsia="宋体" w:cs="宋体"/>
          <w:b/>
          <w:bCs/>
          <w:color w:val="auto"/>
          <w:spacing w:val="3"/>
          <w:sz w:val="24"/>
          <w:szCs w:val="24"/>
          <w:highlight w:val="none"/>
        </w:rPr>
      </w:pPr>
      <w:r>
        <w:rPr>
          <w:rFonts w:hint="eastAsia" w:ascii="宋体" w:hAnsi="宋体" w:cs="宋体"/>
          <w:b/>
          <w:bCs/>
          <w:color w:val="auto"/>
          <w:spacing w:val="3"/>
          <w:sz w:val="24"/>
          <w:szCs w:val="24"/>
          <w:highlight w:val="none"/>
          <w:lang w:val="en-US" w:eastAsia="zh-CN"/>
        </w:rPr>
        <w:t>5</w:t>
      </w:r>
      <w:r>
        <w:rPr>
          <w:rFonts w:hint="eastAsia" w:ascii="宋体" w:hAnsi="宋体" w:eastAsia="宋体" w:cs="宋体"/>
          <w:b/>
          <w:bCs/>
          <w:color w:val="auto"/>
          <w:spacing w:val="3"/>
          <w:sz w:val="24"/>
          <w:szCs w:val="24"/>
          <w:highlight w:val="none"/>
          <w:lang w:val="en-US" w:eastAsia="zh-CN"/>
        </w:rPr>
        <w:t>、</w:t>
      </w:r>
      <w:r>
        <w:rPr>
          <w:rFonts w:hint="eastAsia" w:ascii="宋体" w:hAnsi="宋体" w:eastAsia="宋体" w:cs="宋体"/>
          <w:b/>
          <w:bCs/>
          <w:color w:val="auto"/>
          <w:spacing w:val="3"/>
          <w:sz w:val="24"/>
          <w:szCs w:val="24"/>
          <w:highlight w:val="none"/>
        </w:rPr>
        <w:t>计算机三维设计专业机房</w:t>
      </w:r>
    </w:p>
    <w:tbl>
      <w:tblPr>
        <w:tblStyle w:val="28"/>
        <w:tblW w:w="9639"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22"/>
        <w:gridCol w:w="1080"/>
        <w:gridCol w:w="7151"/>
        <w:gridCol w:w="886"/>
      </w:tblGrid>
      <w:tr w14:paraId="54A6A0BB">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7" w:hRule="atLeast"/>
          <w:jc w:val="center"/>
        </w:trPr>
        <w:tc>
          <w:tcPr>
            <w:tcW w:w="522" w:type="dxa"/>
            <w:noWrap w:val="0"/>
            <w:textDirection w:val="tbRlV"/>
            <w:vAlign w:val="top"/>
          </w:tcPr>
          <w:p w14:paraId="355887B8">
            <w:pPr>
              <w:pStyle w:val="65"/>
              <w:pageBreakBefore w:val="0"/>
              <w:overflowPunct/>
              <w:topLinePunct w:val="0"/>
              <w:bidi w:val="0"/>
              <w:spacing w:before="119" w:line="440" w:lineRule="exact"/>
              <w:ind w:left="81"/>
              <w:rPr>
                <w:rFonts w:hint="eastAsia" w:ascii="宋体" w:hAnsi="宋体" w:eastAsia="宋体" w:cs="宋体"/>
                <w:color w:val="auto"/>
                <w:sz w:val="24"/>
                <w:szCs w:val="24"/>
                <w:highlight w:val="none"/>
              </w:rPr>
            </w:pPr>
            <w:r>
              <w:rPr>
                <w:rFonts w:hint="eastAsia" w:ascii="宋体" w:hAnsi="宋体" w:eastAsia="宋体" w:cs="宋体"/>
                <w:b/>
                <w:bCs/>
                <w:color w:val="auto"/>
                <w:spacing w:val="6"/>
                <w:sz w:val="24"/>
                <w:szCs w:val="24"/>
                <w:highlight w:val="none"/>
              </w:rPr>
              <w:t>序</w:t>
            </w:r>
            <w:r>
              <w:rPr>
                <w:rFonts w:hint="eastAsia" w:ascii="宋体" w:hAnsi="宋体" w:eastAsia="宋体" w:cs="宋体"/>
                <w:color w:val="auto"/>
                <w:spacing w:val="10"/>
                <w:sz w:val="24"/>
                <w:szCs w:val="24"/>
                <w:highlight w:val="none"/>
              </w:rPr>
              <w:t xml:space="preserve"> </w:t>
            </w:r>
            <w:r>
              <w:rPr>
                <w:rFonts w:hint="eastAsia" w:ascii="宋体" w:hAnsi="宋体" w:eastAsia="宋体" w:cs="宋体"/>
                <w:b/>
                <w:bCs/>
                <w:color w:val="auto"/>
                <w:spacing w:val="6"/>
                <w:sz w:val="24"/>
                <w:szCs w:val="24"/>
                <w:highlight w:val="none"/>
              </w:rPr>
              <w:t>号</w:t>
            </w:r>
          </w:p>
        </w:tc>
        <w:tc>
          <w:tcPr>
            <w:tcW w:w="1080" w:type="dxa"/>
            <w:noWrap w:val="0"/>
            <w:vAlign w:val="top"/>
          </w:tcPr>
          <w:p w14:paraId="6185287E">
            <w:pPr>
              <w:pStyle w:val="65"/>
              <w:pageBreakBefore w:val="0"/>
              <w:overflowPunct/>
              <w:topLinePunct w:val="0"/>
              <w:bidi w:val="0"/>
              <w:spacing w:before="82" w:line="440" w:lineRule="exact"/>
              <w:ind w:left="125" w:right="121"/>
              <w:rPr>
                <w:rFonts w:hint="eastAsia" w:ascii="宋体" w:hAnsi="宋体" w:eastAsia="宋体" w:cs="宋体"/>
                <w:color w:val="auto"/>
                <w:sz w:val="24"/>
                <w:szCs w:val="24"/>
                <w:highlight w:val="none"/>
              </w:rPr>
            </w:pPr>
            <w:r>
              <w:rPr>
                <w:rFonts w:hint="eastAsia" w:ascii="宋体" w:hAnsi="宋体" w:eastAsia="宋体" w:cs="宋体"/>
                <w:b/>
                <w:bCs/>
                <w:color w:val="auto"/>
                <w:spacing w:val="2"/>
                <w:sz w:val="24"/>
                <w:szCs w:val="24"/>
                <w:highlight w:val="none"/>
              </w:rPr>
              <w:t>设备</w:t>
            </w:r>
            <w:r>
              <w:rPr>
                <w:rFonts w:hint="eastAsia" w:ascii="宋体" w:hAnsi="宋体" w:eastAsia="宋体" w:cs="宋体"/>
                <w:color w:val="auto"/>
                <w:sz w:val="24"/>
                <w:szCs w:val="24"/>
                <w:highlight w:val="none"/>
              </w:rPr>
              <w:t xml:space="preserve"> </w:t>
            </w:r>
            <w:r>
              <w:rPr>
                <w:rFonts w:hint="eastAsia" w:ascii="宋体" w:hAnsi="宋体" w:eastAsia="宋体" w:cs="宋体"/>
                <w:b/>
                <w:bCs/>
                <w:color w:val="auto"/>
                <w:spacing w:val="2"/>
                <w:sz w:val="24"/>
                <w:szCs w:val="24"/>
                <w:highlight w:val="none"/>
              </w:rPr>
              <w:t>名称</w:t>
            </w:r>
          </w:p>
        </w:tc>
        <w:tc>
          <w:tcPr>
            <w:tcW w:w="7151" w:type="dxa"/>
            <w:noWrap w:val="0"/>
            <w:vAlign w:val="top"/>
          </w:tcPr>
          <w:p w14:paraId="1BFD294C">
            <w:pPr>
              <w:pStyle w:val="65"/>
              <w:pageBreakBefore w:val="0"/>
              <w:overflowPunct/>
              <w:topLinePunct w:val="0"/>
              <w:bidi w:val="0"/>
              <w:spacing w:before="241" w:line="440" w:lineRule="exact"/>
              <w:ind w:left="3596"/>
              <w:rPr>
                <w:rFonts w:hint="eastAsia" w:ascii="宋体" w:hAnsi="宋体" w:eastAsia="宋体" w:cs="宋体"/>
                <w:color w:val="auto"/>
                <w:sz w:val="24"/>
                <w:szCs w:val="24"/>
                <w:highlight w:val="none"/>
              </w:rPr>
            </w:pPr>
            <w:r>
              <w:rPr>
                <w:rFonts w:hint="eastAsia" w:ascii="宋体" w:hAnsi="宋体" w:eastAsia="宋体" w:cs="宋体"/>
                <w:b/>
                <w:bCs/>
                <w:color w:val="auto"/>
                <w:spacing w:val="5"/>
                <w:sz w:val="24"/>
                <w:szCs w:val="24"/>
                <w:highlight w:val="none"/>
              </w:rPr>
              <w:t>详细参数</w:t>
            </w:r>
          </w:p>
        </w:tc>
        <w:tc>
          <w:tcPr>
            <w:tcW w:w="886" w:type="dxa"/>
            <w:noWrap w:val="0"/>
            <w:vAlign w:val="top"/>
          </w:tcPr>
          <w:p w14:paraId="69690F96">
            <w:pPr>
              <w:pStyle w:val="65"/>
              <w:pageBreakBefore w:val="0"/>
              <w:overflowPunct/>
              <w:topLinePunct w:val="0"/>
              <w:bidi w:val="0"/>
              <w:spacing w:before="241" w:line="440" w:lineRule="exact"/>
              <w:ind w:left="152"/>
              <w:rPr>
                <w:rFonts w:hint="eastAsia" w:ascii="宋体" w:hAnsi="宋体" w:eastAsia="宋体" w:cs="宋体"/>
                <w:color w:val="auto"/>
                <w:sz w:val="24"/>
                <w:szCs w:val="24"/>
                <w:highlight w:val="none"/>
              </w:rPr>
            </w:pPr>
            <w:r>
              <w:rPr>
                <w:rFonts w:hint="eastAsia" w:ascii="宋体" w:hAnsi="宋体" w:eastAsia="宋体" w:cs="宋体"/>
                <w:b/>
                <w:bCs/>
                <w:color w:val="auto"/>
                <w:spacing w:val="3"/>
                <w:sz w:val="24"/>
                <w:szCs w:val="24"/>
                <w:highlight w:val="none"/>
              </w:rPr>
              <w:t>数量</w:t>
            </w:r>
          </w:p>
        </w:tc>
      </w:tr>
      <w:tr w14:paraId="10FEEF65">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950" w:hRule="atLeast"/>
          <w:jc w:val="center"/>
        </w:trPr>
        <w:tc>
          <w:tcPr>
            <w:tcW w:w="522" w:type="dxa"/>
            <w:noWrap w:val="0"/>
            <w:vAlign w:val="top"/>
          </w:tcPr>
          <w:p w14:paraId="2475BA9A">
            <w:pPr>
              <w:pStyle w:val="65"/>
              <w:pageBreakBefore w:val="0"/>
              <w:overflowPunct/>
              <w:topLinePunct w:val="0"/>
              <w:bidi w:val="0"/>
              <w:spacing w:before="65" w:line="440" w:lineRule="exact"/>
              <w:ind w:left="195"/>
              <w:rPr>
                <w:rFonts w:hint="eastAsia" w:ascii="宋体" w:hAnsi="宋体" w:eastAsia="宋体" w:cs="宋体"/>
                <w:color w:val="auto"/>
                <w:sz w:val="24"/>
                <w:szCs w:val="24"/>
                <w:highlight w:val="none"/>
              </w:rPr>
            </w:pPr>
            <w:r>
              <w:rPr>
                <w:rFonts w:hint="eastAsia" w:ascii="宋体" w:hAnsi="宋体" w:eastAsia="宋体" w:cs="宋体"/>
                <w:color w:val="auto"/>
                <w:sz w:val="24"/>
                <w:szCs w:val="24"/>
                <w:highlight w:val="none"/>
              </w:rPr>
              <w:t>1</w:t>
            </w:r>
          </w:p>
        </w:tc>
        <w:tc>
          <w:tcPr>
            <w:tcW w:w="1080" w:type="dxa"/>
            <w:noWrap w:val="0"/>
            <w:vAlign w:val="top"/>
          </w:tcPr>
          <w:p w14:paraId="77BFCAE5">
            <w:pPr>
              <w:pStyle w:val="65"/>
              <w:pageBreakBefore w:val="0"/>
              <w:overflowPunct/>
              <w:topLinePunct w:val="0"/>
              <w:bidi w:val="0"/>
              <w:spacing w:before="65" w:line="440" w:lineRule="exact"/>
              <w:ind w:left="124" w:right="121" w:firstLine="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计算机</w:t>
            </w:r>
          </w:p>
        </w:tc>
        <w:tc>
          <w:tcPr>
            <w:tcW w:w="7151" w:type="dxa"/>
            <w:noWrap w:val="0"/>
            <w:vAlign w:val="top"/>
          </w:tcPr>
          <w:p w14:paraId="56F6660C">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1.CPU：不低于Intel i5-</w:t>
            </w:r>
            <w:r>
              <w:rPr>
                <w:rFonts w:hint="eastAsia" w:cs="宋体"/>
                <w:color w:val="auto"/>
                <w:sz w:val="24"/>
                <w:szCs w:val="24"/>
                <w:highlight w:val="none"/>
                <w:lang w:val="en-US" w:eastAsia="zh-CN"/>
              </w:rPr>
              <w:t>12400</w:t>
            </w:r>
            <w:r>
              <w:rPr>
                <w:rFonts w:hint="eastAsia" w:ascii="宋体" w:hAnsi="宋体" w:eastAsia="宋体" w:cs="宋体"/>
                <w:color w:val="auto"/>
                <w:sz w:val="24"/>
                <w:szCs w:val="24"/>
                <w:highlight w:val="none"/>
                <w:lang w:eastAsia="zh-CN"/>
              </w:rPr>
              <w:t>，主频≥2.5GHz；</w:t>
            </w:r>
          </w:p>
          <w:p w14:paraId="3468D712">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2.主板：Intel Q670系列芯片组及以上；</w:t>
            </w:r>
          </w:p>
          <w:p w14:paraId="04E079DC">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3.内存：≥16G DDR4 3200MHz内存，不少于4个内存插槽；</w:t>
            </w:r>
          </w:p>
          <w:p w14:paraId="3627AC8A">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4.*硬盘：≥512G固态硬盘；</w:t>
            </w:r>
          </w:p>
          <w:p w14:paraId="4C02973B">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5.声卡：集成5.1声道声卡，提供后置3个立体声输出接口；</w:t>
            </w:r>
          </w:p>
          <w:p w14:paraId="04009A05">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6.显卡：≥GTX1660</w:t>
            </w:r>
            <w:r>
              <w:rPr>
                <w:rFonts w:hint="eastAsia" w:cs="宋体"/>
                <w:color w:val="auto"/>
                <w:sz w:val="24"/>
                <w:szCs w:val="24"/>
                <w:highlight w:val="none"/>
                <w:lang w:val="en-US" w:eastAsia="zh-CN"/>
              </w:rPr>
              <w:t>Ti或Radeon RX590</w:t>
            </w:r>
            <w:r>
              <w:rPr>
                <w:rFonts w:hint="eastAsia" w:cs="宋体"/>
                <w:color w:val="auto"/>
                <w:sz w:val="24"/>
                <w:szCs w:val="24"/>
                <w:highlight w:val="none"/>
                <w:lang w:eastAsia="zh-CN"/>
              </w:rPr>
              <w:t>，</w:t>
            </w:r>
            <w:r>
              <w:rPr>
                <w:rFonts w:hint="eastAsia" w:ascii="宋体" w:hAnsi="宋体" w:eastAsia="宋体" w:cs="宋体"/>
                <w:color w:val="auto"/>
                <w:sz w:val="24"/>
                <w:szCs w:val="24"/>
                <w:highlight w:val="none"/>
                <w:lang w:eastAsia="zh-CN"/>
              </w:rPr>
              <w:t>6G独立显存；</w:t>
            </w:r>
          </w:p>
          <w:p w14:paraId="4F38A2A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7.网卡：千兆自适应以太网卡；</w:t>
            </w:r>
          </w:p>
          <w:p w14:paraId="19B7DDD4">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8.键鼠：防水键盘、抗菌鼠标；</w:t>
            </w:r>
          </w:p>
          <w:p w14:paraId="06A0997A">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9.机箱：标准立式机箱，体积≤17L，顶置提手，顶置电源开关，免工具维护；</w:t>
            </w:r>
          </w:p>
          <w:p w14:paraId="0F40E8C8">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10.显示器：≥27英寸，分辨率1920x1080,带低蓝光护眼功能；</w:t>
            </w:r>
          </w:p>
          <w:p w14:paraId="1355E65C">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11.电源：500W高效电源；</w:t>
            </w:r>
          </w:p>
          <w:p w14:paraId="32484B45">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12.标配接口：USB接口≥8个，至少前置4个USB3.2，1个Type-C；DP*1个，HDMI*1个，（原厂接口非转接）；</w:t>
            </w:r>
          </w:p>
          <w:p w14:paraId="4F788A7A">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13.*安全性：USB屏蔽技术，仅识别USB键盘、鼠标，无法识别USB读取设备，有效防止数据泄露；</w:t>
            </w:r>
          </w:p>
          <w:p w14:paraId="53B51E14">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14.功能：具备开机还原功能；</w:t>
            </w:r>
          </w:p>
        </w:tc>
        <w:tc>
          <w:tcPr>
            <w:tcW w:w="886" w:type="dxa"/>
            <w:noWrap w:val="0"/>
            <w:vAlign w:val="top"/>
          </w:tcPr>
          <w:p w14:paraId="4EAC8F4D">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60</w:t>
            </w:r>
            <w:r>
              <w:rPr>
                <w:rFonts w:hint="eastAsia" w:ascii="宋体" w:hAnsi="宋体" w:eastAsia="宋体" w:cs="宋体"/>
                <w:b w:val="0"/>
                <w:bCs w:val="0"/>
                <w:color w:val="auto"/>
                <w:sz w:val="24"/>
                <w:szCs w:val="24"/>
                <w:highlight w:val="none"/>
                <w:lang w:val="en-US" w:eastAsia="zh-CN"/>
              </w:rPr>
              <w:t>台</w:t>
            </w:r>
          </w:p>
        </w:tc>
      </w:tr>
      <w:tr w14:paraId="7D214F29">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551" w:hRule="atLeast"/>
          <w:jc w:val="center"/>
        </w:trPr>
        <w:tc>
          <w:tcPr>
            <w:tcW w:w="522" w:type="dxa"/>
            <w:noWrap w:val="0"/>
            <w:vAlign w:val="top"/>
          </w:tcPr>
          <w:p w14:paraId="7B09D7A1">
            <w:pPr>
              <w:pStyle w:val="65"/>
              <w:pageBreakBefore w:val="0"/>
              <w:overflowPunct/>
              <w:topLinePunct w:val="0"/>
              <w:bidi w:val="0"/>
              <w:spacing w:before="65" w:line="440" w:lineRule="exact"/>
              <w:ind w:left="195"/>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p>
        </w:tc>
        <w:tc>
          <w:tcPr>
            <w:tcW w:w="1080" w:type="dxa"/>
            <w:noWrap w:val="0"/>
            <w:vAlign w:val="top"/>
          </w:tcPr>
          <w:p w14:paraId="186C8542">
            <w:pPr>
              <w:pStyle w:val="65"/>
              <w:pageBreakBefore w:val="0"/>
              <w:overflowPunct/>
              <w:topLinePunct w:val="0"/>
              <w:bidi w:val="0"/>
              <w:spacing w:before="65" w:line="440" w:lineRule="exact"/>
              <w:ind w:left="124" w:right="121" w:firstLine="3"/>
              <w:jc w:val="both"/>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电子教室软件</w:t>
            </w:r>
          </w:p>
        </w:tc>
        <w:tc>
          <w:tcPr>
            <w:tcW w:w="7151" w:type="dxa"/>
            <w:noWrap w:val="0"/>
            <w:vAlign w:val="top"/>
          </w:tcPr>
          <w:p w14:paraId="7010037E">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需支持 Windows 系列操作系统，包括但不限于 Windows7、Windows 10、Windows 11 等的操作系统。</w:t>
            </w:r>
          </w:p>
          <w:p w14:paraId="1F86EBE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2)</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需具备屏幕广播、学生演示、屏幕录制、语音广播、语音对讲、电子点名、远程开关机、远程命令、屏幕监看、远程设置、远程登录、登录 windows 前接受广播、请求帮助、举手、发言、自动锁屏、防杀进程、黑屏肃静、文件分发、文件收集等功能；</w:t>
            </w:r>
          </w:p>
          <w:p w14:paraId="4C0DB634">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3)</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共享白板：系统需支持导入 bmp、jpg、gif、tif、png、ico、emf、word、ppt、excel、pdf、txt 等格式文件创建白板内容，将白板内容共享给学生，教师可以选择单名或多名学生同时共享写画老师的白板内容进行教学。教师也可以允许学生个人绘画模式在老师导入的素材白板内容基础上独立完成学习任务，教师可以监看所有学生的完成情况，并把指定学生完成的学习任务分享给其他同学演示；</w:t>
            </w:r>
          </w:p>
          <w:p w14:paraId="78C5C529">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4)</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答题卡考试：系统需支持导入 word、ppt、excel、pdf、图片、txt 等多种格式试卷导入考试内容共享给学生，直接生成答题卡用于学生作答，包含多种不同的题型：多选题，判断题，填空题，问答题、拍照题和手写题等。教师可运行独立的答题卡编辑器编辑和多种题型的答题卡以供上课时考试需要，考试过程中无须提交试卷教师即可实时监看学生答题情况和答题结果；</w:t>
            </w:r>
          </w:p>
          <w:p w14:paraId="4CD8D359">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5)</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抢答竞赛：可组织全体或分组学生参加课堂竞赛答题，需至少包含抢答口述答题、抢答输入答案、抢答演示屏幕答题三种方式，通过竞赛机制可配置答题的对、错让学生奖章增加或减少，也可配置排除已参与答题的学生，让没参与过答题的学生加入和老师的互动中，或排除答错的学生，让答对的学生进行竞争互动；</w:t>
            </w:r>
          </w:p>
          <w:p w14:paraId="18D21850">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6)</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教师机程序重启时，需能记忆禁止举手、禁止发消息、上网限制、U 盘限制、程序限制等老师的设置；</w:t>
            </w:r>
          </w:p>
          <w:p w14:paraId="4BF2F17C">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7)</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网络快照：教师可以在监控学生的时候，对学生画面拍快照或者录制，保存学生画面的截图或桌面视频；</w:t>
            </w:r>
          </w:p>
          <w:p w14:paraId="7D2261AA">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8)</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学生限制：可对学生机设置上网策略、应用程序策略、USB 口、网络打印机和光驱使用策略，并支持对不同学生设置单独策略；</w:t>
            </w:r>
          </w:p>
          <w:p w14:paraId="0801096F">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9)</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签到：具有学生名单管理工具，为软件和考试模块实现实名验证。具有点名功能，支持保留学生多次登录记录、考勤统计、签到信息的导出与对比，支持 csv 格式的导出；</w:t>
            </w:r>
          </w:p>
          <w:p w14:paraId="60F0EFE8">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10)</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分组讨论：需能按照主题或者试题进行自主选择性进入讨论组讨论问题，讨论过程中学生可导入文档、图片素材进行资源共享，也可以通过画笔手写、画图、打字、表情等模式进行互动，讨论全程老师可以进入不同分组进行查阅或协助分析；</w:t>
            </w:r>
          </w:p>
          <w:p w14:paraId="0B3148DD">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11)</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屏幕监看：教师机器可以显示学生机桌面的缩图，缩图显示大小也可自由设定；</w:t>
            </w:r>
          </w:p>
          <w:p w14:paraId="6F822803">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12)</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文件分发：需能允许教师将教师机不同盘符中的目录或文件一起发送至生机的某目录下。若文件已存在可选择自动覆盖或保留原始文件；</w:t>
            </w:r>
          </w:p>
          <w:p w14:paraId="2A8C6C97">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13)</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作业提交：学生需能把做好的作业直接提交到教师机。学生提交作业时必需经过教师审批通过后才可提交，教师可以选择接收和拒绝学生提交的文件。并且教师可以限制学生提交文件的数目和大小；</w:t>
            </w:r>
          </w:p>
          <w:p w14:paraId="2C436792">
            <w:pPr>
              <w:pStyle w:val="65"/>
              <w:pageBreakBefore w:val="0"/>
              <w:overflowPunct/>
              <w:topLinePunct w:val="0"/>
              <w:bidi w:val="0"/>
              <w:spacing w:before="73" w:line="440" w:lineRule="exact"/>
              <w:ind w:left="121"/>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14)</w:t>
            </w:r>
            <w:r>
              <w:rPr>
                <w:rFonts w:hint="eastAsia" w:ascii="宋体" w:hAnsi="宋体" w:eastAsia="宋体" w:cs="宋体"/>
                <w:color w:val="auto"/>
                <w:sz w:val="24"/>
                <w:szCs w:val="24"/>
                <w:highlight w:val="none"/>
                <w:lang w:eastAsia="zh-CN"/>
              </w:rPr>
              <w:tab/>
            </w:r>
            <w:r>
              <w:rPr>
                <w:rFonts w:hint="eastAsia" w:ascii="宋体" w:hAnsi="宋体" w:eastAsia="宋体" w:cs="宋体"/>
                <w:color w:val="auto"/>
                <w:sz w:val="24"/>
                <w:szCs w:val="24"/>
                <w:highlight w:val="none"/>
                <w:lang w:eastAsia="zh-CN"/>
              </w:rPr>
              <w:t>集控管理：需支持本地服务器通过主控端对多个教室的电脑进行远程管控、合班授课、分发文件、监控、广播等功能，实现和机房教学同样的管理；</w:t>
            </w:r>
          </w:p>
        </w:tc>
        <w:tc>
          <w:tcPr>
            <w:tcW w:w="886" w:type="dxa"/>
            <w:noWrap w:val="0"/>
            <w:vAlign w:val="top"/>
          </w:tcPr>
          <w:p w14:paraId="5C45A813">
            <w:pPr>
              <w:pStyle w:val="65"/>
              <w:pageBreakBefore w:val="0"/>
              <w:overflowPunct/>
              <w:topLinePunct w:val="0"/>
              <w:bidi w:val="0"/>
              <w:spacing w:before="65" w:line="440" w:lineRule="exact"/>
              <w:ind w:left="263"/>
              <w:rPr>
                <w:rFonts w:hint="eastAsia" w:ascii="宋体" w:hAnsi="宋体" w:eastAsia="宋体" w:cs="宋体"/>
                <w:color w:val="auto"/>
                <w:sz w:val="24"/>
                <w:szCs w:val="24"/>
                <w:highlight w:val="none"/>
                <w:lang w:eastAsia="zh-CN"/>
              </w:rPr>
            </w:pPr>
            <w:r>
              <w:rPr>
                <w:rFonts w:hint="eastAsia" w:ascii="宋体" w:hAnsi="宋体" w:eastAsia="宋体" w:cs="宋体"/>
                <w:color w:val="auto"/>
                <w:sz w:val="24"/>
                <w:szCs w:val="24"/>
                <w:highlight w:val="none"/>
                <w:lang w:eastAsia="zh-CN"/>
              </w:rPr>
              <w:t>1</w:t>
            </w:r>
            <w:r>
              <w:rPr>
                <w:rFonts w:hint="eastAsia" w:ascii="宋体" w:hAnsi="宋体" w:eastAsia="宋体" w:cs="宋体"/>
                <w:b w:val="0"/>
                <w:bCs w:val="0"/>
                <w:color w:val="auto"/>
                <w:sz w:val="24"/>
                <w:szCs w:val="24"/>
                <w:highlight w:val="none"/>
                <w:lang w:eastAsia="zh-CN"/>
              </w:rPr>
              <w:t>套</w:t>
            </w:r>
          </w:p>
        </w:tc>
      </w:tr>
    </w:tbl>
    <w:p w14:paraId="606B2361">
      <w:pPr>
        <w:spacing w:line="56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注：本招标项目必须要实质性满足技术要求和商务要求：</w:t>
      </w:r>
    </w:p>
    <w:p w14:paraId="625F3A3D">
      <w:pPr>
        <w:spacing w:line="56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1、投标人提供的货物必须是原装全新、高于或等于招标文件规定技术参数的产品。</w:t>
      </w:r>
    </w:p>
    <w:p w14:paraId="04CF99CC">
      <w:pPr>
        <w:spacing w:line="560" w:lineRule="exact"/>
        <w:rPr>
          <w:rFonts w:hint="eastAsia" w:ascii="宋体" w:hAnsi="宋体" w:eastAsia="宋体" w:cs="宋体"/>
          <w:b/>
          <w:bCs/>
          <w:color w:val="000000" w:themeColor="text1"/>
          <w:kern w:val="0"/>
          <w:sz w:val="21"/>
          <w:szCs w:val="21"/>
          <w:highlight w:val="none"/>
          <w14:textFill>
            <w14:solidFill>
              <w14:schemeClr w14:val="tx1"/>
            </w14:solidFill>
          </w14:textFill>
        </w:rPr>
      </w:pPr>
      <w:r>
        <w:rPr>
          <w:rFonts w:hint="eastAsia" w:ascii="宋体" w:hAnsi="宋体" w:eastAsia="宋体" w:cs="宋体"/>
          <w:b/>
          <w:bCs/>
          <w:color w:val="000000" w:themeColor="text1"/>
          <w:kern w:val="0"/>
          <w:sz w:val="21"/>
          <w:szCs w:val="21"/>
          <w:highlight w:val="none"/>
          <w14:textFill>
            <w14:solidFill>
              <w14:schemeClr w14:val="tx1"/>
            </w14:solidFill>
          </w14:textFill>
        </w:rPr>
        <w:t>2、属于节能产品政府采购品目规定必须强制采购的, 必须采购当期节能产品政府采购品目内设备或产品；在价格、技术、服务等指标同等条件下，优先采购节能、环保产品（需提供投标人所投产品属于政府采购清单规定的节能环保产品的证明材料）。</w:t>
      </w:r>
    </w:p>
    <w:p w14:paraId="7C5FF78E">
      <w:pPr>
        <w:spacing w:line="560" w:lineRule="exac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3、核心产品：</w:t>
      </w:r>
      <w:r>
        <w:rPr>
          <w:rFonts w:hint="eastAsia" w:ascii="宋体" w:hAnsi="宋体" w:cs="宋体"/>
          <w:b/>
          <w:bCs/>
          <w:color w:val="000000" w:themeColor="text1"/>
          <w:kern w:val="0"/>
          <w:sz w:val="21"/>
          <w:szCs w:val="21"/>
          <w:highlight w:val="none"/>
          <w:lang w:val="en-US" w:eastAsia="zh-CN"/>
          <w14:textFill>
            <w14:solidFill>
              <w14:schemeClr w14:val="tx1"/>
            </w14:solidFill>
          </w14:textFill>
        </w:rPr>
        <w:t>计算机三维设计专业机房（计算机）。</w:t>
      </w:r>
    </w:p>
    <w:p w14:paraId="7BC4853F">
      <w:pPr>
        <w:spacing w:line="560" w:lineRule="exact"/>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pPr>
      <w:r>
        <w:rPr>
          <w:rFonts w:hint="eastAsia" w:ascii="宋体" w:hAnsi="宋体" w:eastAsia="宋体" w:cs="宋体"/>
          <w:b/>
          <w:bCs/>
          <w:color w:val="000000" w:themeColor="text1"/>
          <w:kern w:val="0"/>
          <w:sz w:val="21"/>
          <w:szCs w:val="21"/>
          <w:highlight w:val="none"/>
          <w:lang w:val="en-US" w:eastAsia="zh-CN"/>
          <w14:textFill>
            <w14:solidFill>
              <w14:schemeClr w14:val="tx1"/>
            </w14:solidFill>
          </w14:textFill>
        </w:rPr>
        <w:t>4、所属行业：工业。</w:t>
      </w:r>
    </w:p>
    <w:p w14:paraId="67642ED7">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24F04F19">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183D6AE8">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386CE23F">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17BD4490">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0544913A">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6AAF9AE3">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49C33642">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3FC04035">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4CC939A3">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4295AEB7">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27170064">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14B52FD1">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746EEE27">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3301FE7F">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48FD4AD1">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53B9E73E">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5F3B46B2">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77688495">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0ECC5CAD">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474C4F38">
      <w:pPr>
        <w:spacing w:line="560" w:lineRule="exact"/>
        <w:rPr>
          <w:rFonts w:hint="eastAsia" w:ascii="宋体" w:hAnsi="宋体" w:eastAsia="宋体" w:cs="宋体"/>
          <w:b/>
          <w:bCs/>
          <w:color w:val="000000" w:themeColor="text1"/>
          <w:kern w:val="0"/>
          <w:sz w:val="22"/>
          <w:szCs w:val="22"/>
          <w:highlight w:val="none"/>
          <w14:textFill>
            <w14:solidFill>
              <w14:schemeClr w14:val="tx1"/>
            </w14:solidFill>
          </w14:textFill>
        </w:rPr>
      </w:pPr>
    </w:p>
    <w:p w14:paraId="52BB7331">
      <w:pPr>
        <w:pStyle w:val="2"/>
        <w:spacing w:before="0" w:after="0" w:line="360" w:lineRule="auto"/>
        <w:ind w:firstLine="643" w:firstLineChars="200"/>
        <w:rPr>
          <w:rFonts w:ascii="宋体" w:hAnsi="宋体" w:cs="宋体"/>
          <w:color w:val="000000" w:themeColor="text1"/>
          <w:highlight w:val="none"/>
          <w14:textFill>
            <w14:solidFill>
              <w14:schemeClr w14:val="tx1"/>
            </w14:solidFill>
          </w14:textFill>
        </w:rPr>
      </w:pPr>
      <w:bookmarkStart w:id="288" w:name="_Toc14121"/>
      <w:r>
        <w:rPr>
          <w:rFonts w:hint="eastAsia" w:ascii="宋体" w:hAnsi="宋体" w:cs="宋体"/>
          <w:color w:val="000000" w:themeColor="text1"/>
          <w:sz w:val="32"/>
          <w:szCs w:val="32"/>
          <w:highlight w:val="none"/>
          <w14:textFill>
            <w14:solidFill>
              <w14:schemeClr w14:val="tx1"/>
            </w14:solidFill>
          </w14:textFill>
        </w:rPr>
        <w:t>第六章 质疑与投诉</w:t>
      </w:r>
      <w:bookmarkEnd w:id="288"/>
    </w:p>
    <w:p w14:paraId="16CCACCA">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一、质疑与答复</w:t>
      </w:r>
    </w:p>
    <w:p w14:paraId="46305435">
      <w:pPr>
        <w:pStyle w:val="26"/>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 参与政府采购活动的供应商认为采购文件、采购过程、中标或者成交结果使自己的权益受到损害的，可以在知道或者应知其权益受到损害之日起7个工作日内，以书面形式向采购人、采购代理机构提出质疑。</w:t>
      </w:r>
    </w:p>
    <w:p w14:paraId="581A89F0">
      <w:pPr>
        <w:pStyle w:val="27"/>
        <w:spacing w:line="360" w:lineRule="auto"/>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 供应商提出质疑应当提交质疑函和必要的证明材料。政府采购供应商质疑函范本下载地址：</w:t>
      </w:r>
    </w:p>
    <w:p w14:paraId="62704D86">
      <w:pPr>
        <w:pStyle w:val="27"/>
        <w:spacing w:line="360" w:lineRule="auto"/>
        <w:ind w:left="420" w:leftChars="200" w:firstLine="0" w:firstLineChars="0"/>
        <w:rPr>
          <w:rFonts w:ascii="宋体" w:hAnsi="宋体" w:cs="宋体"/>
          <w:color w:val="000000" w:themeColor="text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"http://download.ccgp.gov.cn/2018/zhiyihanfanben.zip；" </w:instrText>
      </w:r>
      <w:r>
        <w:rPr>
          <w:color w:val="000000" w:themeColor="text1"/>
          <w:highlight w:val="none"/>
          <w14:textFill>
            <w14:solidFill>
              <w14:schemeClr w14:val="tx1"/>
            </w14:solidFill>
          </w14:textFill>
        </w:rPr>
        <w:fldChar w:fldCharType="separate"/>
      </w:r>
      <w:r>
        <w:rPr>
          <w:rStyle w:val="32"/>
          <w:rFonts w:hint="eastAsia" w:ascii="宋体" w:hAnsi="宋体" w:cs="宋体"/>
          <w:color w:val="000000" w:themeColor="text1"/>
          <w:szCs w:val="21"/>
          <w:highlight w:val="none"/>
          <w14:textFill>
            <w14:solidFill>
              <w14:schemeClr w14:val="tx1"/>
            </w14:solidFill>
          </w14:textFill>
        </w:rPr>
        <w:t>http://download.ccgp.gov.cn/2018/zhiyihanfanben.zip；</w:t>
      </w:r>
      <w:r>
        <w:rPr>
          <w:rStyle w:val="32"/>
          <w:rFonts w:hint="eastAsia" w:ascii="宋体" w:hAnsi="宋体" w:cs="宋体"/>
          <w:color w:val="000000" w:themeColor="text1"/>
          <w:szCs w:val="21"/>
          <w:highlight w:val="none"/>
          <w14:textFill>
            <w14:solidFill>
              <w14:schemeClr w14:val="tx1"/>
            </w14:solidFill>
          </w14:textFill>
        </w:rPr>
        <w:fldChar w:fldCharType="end"/>
      </w:r>
    </w:p>
    <w:p w14:paraId="702957E2">
      <w:pPr>
        <w:numPr>
          <w:ilvl w:val="0"/>
          <w:numId w:val="10"/>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采购人、采购代理机构不得拒收质疑供应商在法定质疑期内发出的质疑函，应当在收到质疑函后7个工作日内作出答复，并以书面形式通知质疑供应商和其他有关供应商。</w:t>
      </w:r>
    </w:p>
    <w:p w14:paraId="1B91D2F3">
      <w:pPr>
        <w:numPr>
          <w:ilvl w:val="0"/>
          <w:numId w:val="10"/>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供应商提出质疑应当提交质疑函和必要的证明材料。质疑函应当包括下列内容：</w:t>
      </w:r>
    </w:p>
    <w:p w14:paraId="64F69F1B">
      <w:pPr>
        <w:numPr>
          <w:ilvl w:val="1"/>
          <w:numId w:val="10"/>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供应商的姓名或者名称、地址、邮编、联系人及联系电话；</w:t>
      </w:r>
    </w:p>
    <w:p w14:paraId="12E350F5">
      <w:pPr>
        <w:numPr>
          <w:ilvl w:val="1"/>
          <w:numId w:val="10"/>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质疑项目的名称、编号；</w:t>
      </w:r>
    </w:p>
    <w:p w14:paraId="038ED76A">
      <w:pPr>
        <w:numPr>
          <w:ilvl w:val="1"/>
          <w:numId w:val="10"/>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具体、明确的质疑事项和与质疑事项相关的请求；</w:t>
      </w:r>
    </w:p>
    <w:p w14:paraId="02B19D00">
      <w:pPr>
        <w:numPr>
          <w:ilvl w:val="1"/>
          <w:numId w:val="10"/>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事实依据；</w:t>
      </w:r>
    </w:p>
    <w:p w14:paraId="78E085E3">
      <w:pPr>
        <w:numPr>
          <w:ilvl w:val="1"/>
          <w:numId w:val="10"/>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必要的法律依据；</w:t>
      </w:r>
    </w:p>
    <w:p w14:paraId="5D48EAB8">
      <w:pPr>
        <w:numPr>
          <w:ilvl w:val="1"/>
          <w:numId w:val="10"/>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提出质疑的日期；</w:t>
      </w:r>
    </w:p>
    <w:p w14:paraId="349D9DBA">
      <w:pPr>
        <w:numPr>
          <w:ilvl w:val="1"/>
          <w:numId w:val="10"/>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获取招标文件的凭证；</w:t>
      </w:r>
    </w:p>
    <w:p w14:paraId="29B1AC91">
      <w:pPr>
        <w:numPr>
          <w:ilvl w:val="1"/>
          <w:numId w:val="10"/>
        </w:numPr>
        <w:spacing w:line="360" w:lineRule="auto"/>
        <w:ind w:left="420" w:left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以上资料一式二份（采购人、采购代理机构各执一份）。</w:t>
      </w:r>
    </w:p>
    <w:p w14:paraId="4A3BD783">
      <w:pPr>
        <w:numPr>
          <w:ilvl w:val="0"/>
          <w:numId w:val="10"/>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投标人不得虚假质疑和恶意质疑，并对质疑内容的真实性承担责任。</w:t>
      </w:r>
    </w:p>
    <w:p w14:paraId="09DFBDCD">
      <w:pPr>
        <w:spacing w:line="360" w:lineRule="auto"/>
        <w:rPr>
          <w:rFonts w:ascii="宋体" w:hAnsi="宋体" w:cs="宋体"/>
          <w:b/>
          <w:bCs/>
          <w:color w:val="000000" w:themeColor="text1"/>
          <w:szCs w:val="21"/>
          <w:highlight w:val="none"/>
          <w14:textFill>
            <w14:solidFill>
              <w14:schemeClr w14:val="tx1"/>
            </w14:solidFill>
          </w14:textFill>
        </w:rPr>
      </w:pPr>
      <w:r>
        <w:rPr>
          <w:rFonts w:hint="eastAsia" w:ascii="宋体" w:hAnsi="宋体" w:cs="宋体"/>
          <w:b/>
          <w:bCs/>
          <w:color w:val="000000" w:themeColor="text1"/>
          <w:szCs w:val="21"/>
          <w:highlight w:val="none"/>
          <w14:textFill>
            <w14:solidFill>
              <w14:schemeClr w14:val="tx1"/>
            </w14:solidFill>
          </w14:textFill>
        </w:rPr>
        <w:t>二、投诉与处理</w:t>
      </w:r>
    </w:p>
    <w:p w14:paraId="586801D1">
      <w:pPr>
        <w:pStyle w:val="26"/>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1、质疑供应商对采购人、采购代理机构的答复不满意，或者采购人、采购代理机构未在规定时间内作出答复的，可以在答复期满后15个工作日内向本办法第六条规定的财政部门提起投诉。</w:t>
      </w:r>
    </w:p>
    <w:p w14:paraId="753ECF3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2、质疑供应商对采购人、采购代理机构的答复不满意，或者采购人、采购代理机构未在规定时间内作出答复的，可以在答复期满后15个工作日内向财政部门提起投诉。</w:t>
      </w:r>
    </w:p>
    <w:p w14:paraId="39FD7D13">
      <w:pPr>
        <w:pStyle w:val="26"/>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3、投诉人投诉时,应当提交投诉书和必要的证明材料，并按照被投诉采购人、采购代理机构（以下简称被投诉人）和与投诉事项有关的供应商数量提供投诉书的副本。政府采购供应商投诉书范本下载地址：</w:t>
      </w:r>
    </w:p>
    <w:p w14:paraId="2767FC47">
      <w:pPr>
        <w:pStyle w:val="26"/>
        <w:spacing w:line="360" w:lineRule="auto"/>
        <w:ind w:firstLine="640" w:firstLineChars="200"/>
        <w:rPr>
          <w:rFonts w:hint="default" w:ascii="宋体" w:hAnsi="宋体" w:eastAsia="宋体" w:cs="宋体"/>
          <w:color w:val="000000" w:themeColor="text1"/>
          <w:sz w:val="21"/>
          <w:szCs w:val="21"/>
          <w:highlight w:val="none"/>
          <w14:textFill>
            <w14:solidFill>
              <w14:schemeClr w14:val="tx1"/>
            </w14:solidFill>
          </w14:textFill>
        </w:rPr>
      </w:pP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"http://download.ccgp.gov.cn/2018/tousushufanben.zip" </w:instrText>
      </w:r>
      <w:r>
        <w:rPr>
          <w:color w:val="000000" w:themeColor="text1"/>
          <w:highlight w:val="none"/>
          <w14:textFill>
            <w14:solidFill>
              <w14:schemeClr w14:val="tx1"/>
            </w14:solidFill>
          </w14:textFill>
        </w:rPr>
        <w:fldChar w:fldCharType="separate"/>
      </w:r>
      <w:r>
        <w:rPr>
          <w:rStyle w:val="32"/>
          <w:rFonts w:ascii="宋体" w:hAnsi="宋体" w:eastAsia="宋体" w:cs="宋体"/>
          <w:color w:val="000000" w:themeColor="text1"/>
          <w:sz w:val="21"/>
          <w:szCs w:val="21"/>
          <w:highlight w:val="none"/>
          <w14:textFill>
            <w14:solidFill>
              <w14:schemeClr w14:val="tx1"/>
            </w14:solidFill>
          </w14:textFill>
        </w:rPr>
        <w:t>http://download.ccgp.gov.cn/2018/tousushufanben.zip</w:t>
      </w:r>
      <w:r>
        <w:rPr>
          <w:rStyle w:val="32"/>
          <w:rFonts w:ascii="宋体" w:hAnsi="宋体" w:eastAsia="宋体" w:cs="宋体"/>
          <w:color w:val="000000" w:themeColor="text1"/>
          <w:sz w:val="21"/>
          <w:szCs w:val="21"/>
          <w:highlight w:val="none"/>
          <w14:textFill>
            <w14:solidFill>
              <w14:schemeClr w14:val="tx1"/>
            </w14:solidFill>
          </w14:textFill>
        </w:rPr>
        <w:fldChar w:fldCharType="end"/>
      </w:r>
    </w:p>
    <w:p w14:paraId="702E0913">
      <w:pPr>
        <w:numPr>
          <w:ilvl w:val="0"/>
          <w:numId w:val="2"/>
        </w:num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财政部门自收到投诉之日起30个工作日内，对投诉事项作出处理决定并公示。</w:t>
      </w:r>
    </w:p>
    <w:p w14:paraId="2D9BE0B7">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投诉人在全国范围12个月内三次以上投诉查无实据的，由财政部门列入不良行为记录名单。</w:t>
      </w:r>
    </w:p>
    <w:p w14:paraId="72D01331">
      <w:pPr>
        <w:spacing w:line="360" w:lineRule="auto"/>
        <w:ind w:firstLine="420" w:firstLineChars="200"/>
        <w:rPr>
          <w:rFonts w:hint="eastAsia"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投诉人有财政部94号令第三十七条情形的，属于虚假、恶意投诉，由财政部门列入不良行为记录名单，禁止其1至3年内参加政府采购活动。</w:t>
      </w:r>
      <w:bookmarkStart w:id="289" w:name="_Toc507"/>
      <w:bookmarkStart w:id="290" w:name="_Toc23826"/>
    </w:p>
    <w:p w14:paraId="22C2918B">
      <w:pPr>
        <w:spacing w:line="360" w:lineRule="auto"/>
        <w:ind w:firstLine="420" w:firstLineChars="200"/>
        <w:rPr>
          <w:rFonts w:ascii="宋体" w:hAnsi="宋体" w:cs="宋体"/>
          <w:b w:val="0"/>
          <w:bCs w:val="0"/>
          <w:color w:val="000000" w:themeColor="text1"/>
          <w:sz w:val="21"/>
          <w:szCs w:val="21"/>
          <w:highlight w:val="none"/>
          <w14:textFill>
            <w14:solidFill>
              <w14:schemeClr w14:val="tx1"/>
            </w14:solidFill>
          </w14:textFill>
        </w:rPr>
      </w:pPr>
      <w:r>
        <w:rPr>
          <w:rFonts w:hint="eastAsia" w:ascii="宋体" w:hAnsi="宋体" w:cs="宋体"/>
          <w:b w:val="0"/>
          <w:bCs w:val="0"/>
          <w:color w:val="000000" w:themeColor="text1"/>
          <w:sz w:val="21"/>
          <w:szCs w:val="21"/>
          <w:highlight w:val="none"/>
          <w14:textFill>
            <w14:solidFill>
              <w14:schemeClr w14:val="tx1"/>
            </w14:solidFill>
          </w14:textFill>
        </w:rPr>
        <w:t>投诉联系电话：0391-8683273  地址：博爱县机关综合办公楼主楼1213室</w:t>
      </w:r>
      <w:bookmarkEnd w:id="289"/>
      <w:bookmarkEnd w:id="290"/>
      <w:r>
        <w:rPr>
          <w:rFonts w:hint="eastAsia" w:ascii="宋体" w:hAnsi="宋体" w:cs="宋体"/>
          <w:b w:val="0"/>
          <w:bCs w:val="0"/>
          <w:color w:val="000000" w:themeColor="text1"/>
          <w:sz w:val="21"/>
          <w:szCs w:val="21"/>
          <w:highlight w:val="none"/>
          <w14:textFill>
            <w14:solidFill>
              <w14:schemeClr w14:val="tx1"/>
            </w14:solidFill>
          </w14:textFill>
        </w:rPr>
        <w:t xml:space="preserve"> </w:t>
      </w:r>
    </w:p>
    <w:p w14:paraId="65782550">
      <w:pPr>
        <w:pStyle w:val="2"/>
        <w:spacing w:before="0" w:after="0" w:line="360" w:lineRule="auto"/>
        <w:rPr>
          <w:rFonts w:ascii="宋体" w:hAnsi="宋体" w:cs="宋体"/>
          <w:color w:val="000000" w:themeColor="text1"/>
          <w:sz w:val="32"/>
          <w:szCs w:val="32"/>
          <w:highlight w:val="none"/>
          <w14:textFill>
            <w14:solidFill>
              <w14:schemeClr w14:val="tx1"/>
            </w14:solidFill>
          </w14:textFill>
        </w:rPr>
      </w:pPr>
      <w:bookmarkStart w:id="291" w:name="_Toc8922"/>
      <w:r>
        <w:rPr>
          <w:rFonts w:hint="eastAsia" w:ascii="宋体" w:hAnsi="宋体" w:cs="宋体"/>
          <w:color w:val="000000" w:themeColor="text1"/>
          <w:sz w:val="32"/>
          <w:szCs w:val="32"/>
          <w:highlight w:val="none"/>
          <w14:textFill>
            <w14:solidFill>
              <w14:schemeClr w14:val="tx1"/>
            </w14:solidFill>
          </w14:textFill>
        </w:rPr>
        <w:t>第七章 履约验收</w:t>
      </w:r>
      <w:bookmarkEnd w:id="291"/>
    </w:p>
    <w:p w14:paraId="072E196C">
      <w:pPr>
        <w:pStyle w:val="26"/>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供应商履约完成后，向采购人提出验收建议，采购人自收到验收建议之日起七个工作日内，采购人组织供应商参与，共同完成验收。技术复杂、专业性强等项目可适当延长验收时间。验收流程如下：</w:t>
      </w:r>
    </w:p>
    <w:p w14:paraId="6E8E5C7E">
      <w:pPr>
        <w:pStyle w:val="26"/>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1.编制验收方案。明确验收时间、方式、程序等内容。技术复杂、社会影响较大的货物类项目，可以根据需要设置出厂检验、到货检验、安装调试检验、配套服务检验等多重验收环节；服务类项目、可根据项目特点对服务期内的服务实施情况分期考核，结合考核情况和服务效果进行验收；工程类项目按照行业部门规定的标准、方法和内容进行验收。</w:t>
      </w:r>
    </w:p>
    <w:p w14:paraId="69E941A4">
      <w:pPr>
        <w:pStyle w:val="26"/>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2.完善验收方式。对于采购人和使用人分离的采购项目，应邀请使用人参与验收。采购人可邀请参与本项目的其他供应商或第三方机构及专家参与验收。相关验收意见作为验收书的参考资料。政府向社会公众提供的公共服务项目，验收时应邀请服务对象参与并出具意见，验收结果应在焦作市政府采购网公示。</w:t>
      </w:r>
    </w:p>
    <w:p w14:paraId="7467F30B">
      <w:pPr>
        <w:pStyle w:val="26"/>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3.按照合同履约验收。验收时，应当按照采购合同的约定对每一项技术、服务、安全标准的履约情况进行确认。验收后，应当出具验收书，列明各项标准的验收情况及项目的总体评价，由验收双方共同签署。采购人将履约验收情况在焦作市政府采购网公示，履约验收各项资料采购人应当存档备查。</w:t>
      </w:r>
    </w:p>
    <w:p w14:paraId="026F63CF">
      <w:pPr>
        <w:pStyle w:val="26"/>
        <w:spacing w:line="360" w:lineRule="auto"/>
        <w:ind w:firstLineChars="200"/>
        <w:rPr>
          <w:rFonts w:hint="default" w:ascii="宋体" w:hAnsi="宋体" w:eastAsia="宋体" w:cs="宋体"/>
          <w:color w:val="000000" w:themeColor="text1"/>
          <w:sz w:val="21"/>
          <w:szCs w:val="21"/>
          <w:highlight w:val="none"/>
          <w14:textFill>
            <w14:solidFill>
              <w14:schemeClr w14:val="tx1"/>
            </w14:solidFill>
          </w14:textFill>
        </w:rPr>
      </w:pPr>
      <w:r>
        <w:rPr>
          <w:rFonts w:ascii="宋体" w:hAnsi="宋体" w:eastAsia="宋体" w:cs="宋体"/>
          <w:color w:val="000000" w:themeColor="text1"/>
          <w:sz w:val="21"/>
          <w:szCs w:val="21"/>
          <w:highlight w:val="none"/>
          <w14:textFill>
            <w14:solidFill>
              <w14:schemeClr w14:val="tx1"/>
            </w14:solidFill>
          </w14:textFill>
        </w:rPr>
        <w:t>4.落实履约验收责任。验收合格的项目，采购人应当按照合同约定及时支付资金。验收不合格的项目，采购人应当依法及时处理。合同履行、违约责任和解决争议的方式使用《中华人民共和国民法典》。供应商在履约过程中有政府采购法律法规规定的违法情形，采购人应及时报财政部门。</w:t>
      </w:r>
    </w:p>
    <w:p w14:paraId="19040D5D">
      <w:pPr>
        <w:pStyle w:val="6"/>
        <w:rPr>
          <w:rFonts w:ascii="宋体" w:hAnsi="宋体" w:cs="宋体"/>
          <w:color w:val="000000" w:themeColor="text1"/>
          <w:szCs w:val="21"/>
          <w:highlight w:val="none"/>
          <w14:textFill>
            <w14:solidFill>
              <w14:schemeClr w14:val="tx1"/>
            </w14:solidFill>
          </w14:textFill>
        </w:rPr>
      </w:pPr>
    </w:p>
    <w:p w14:paraId="6BA20E3D">
      <w:pPr>
        <w:pStyle w:val="21"/>
        <w:rPr>
          <w:rFonts w:ascii="宋体" w:hAnsi="宋体" w:cs="宋体"/>
          <w:color w:val="000000" w:themeColor="text1"/>
          <w:szCs w:val="21"/>
          <w:highlight w:val="none"/>
          <w14:textFill>
            <w14:solidFill>
              <w14:schemeClr w14:val="tx1"/>
            </w14:solidFill>
          </w14:textFill>
        </w:rPr>
      </w:pPr>
    </w:p>
    <w:p w14:paraId="1BB7E4E2">
      <w:pPr>
        <w:pStyle w:val="6"/>
        <w:rPr>
          <w:rFonts w:ascii="宋体" w:hAnsi="宋体" w:cs="宋体"/>
          <w:color w:val="000000" w:themeColor="text1"/>
          <w:szCs w:val="21"/>
          <w:highlight w:val="none"/>
          <w14:textFill>
            <w14:solidFill>
              <w14:schemeClr w14:val="tx1"/>
            </w14:solidFill>
          </w14:textFill>
        </w:rPr>
      </w:pPr>
    </w:p>
    <w:p w14:paraId="6CD7EB9B">
      <w:pPr>
        <w:pStyle w:val="21"/>
        <w:rPr>
          <w:rFonts w:ascii="宋体" w:hAnsi="宋体" w:cs="宋体"/>
          <w:color w:val="000000" w:themeColor="text1"/>
          <w:szCs w:val="21"/>
          <w:highlight w:val="none"/>
          <w14:textFill>
            <w14:solidFill>
              <w14:schemeClr w14:val="tx1"/>
            </w14:solidFill>
          </w14:textFill>
        </w:rPr>
      </w:pPr>
    </w:p>
    <w:p w14:paraId="28B653AA">
      <w:pPr>
        <w:pStyle w:val="6"/>
        <w:rPr>
          <w:rFonts w:ascii="宋体" w:hAnsi="宋体" w:cs="宋体"/>
          <w:color w:val="000000" w:themeColor="text1"/>
          <w:szCs w:val="21"/>
          <w:highlight w:val="none"/>
          <w14:textFill>
            <w14:solidFill>
              <w14:schemeClr w14:val="tx1"/>
            </w14:solidFill>
          </w14:textFill>
        </w:rPr>
      </w:pPr>
    </w:p>
    <w:p w14:paraId="5996FB85">
      <w:pPr>
        <w:pStyle w:val="6"/>
        <w:rPr>
          <w:rFonts w:ascii="宋体" w:hAnsi="宋体" w:cs="宋体"/>
          <w:color w:val="000000" w:themeColor="text1"/>
          <w:szCs w:val="21"/>
          <w:highlight w:val="none"/>
          <w14:textFill>
            <w14:solidFill>
              <w14:schemeClr w14:val="tx1"/>
            </w14:solidFill>
          </w14:textFill>
        </w:rPr>
      </w:pPr>
    </w:p>
    <w:p w14:paraId="265B4A36">
      <w:pPr>
        <w:pStyle w:val="6"/>
        <w:rPr>
          <w:rFonts w:ascii="宋体" w:hAnsi="宋体" w:cs="宋体"/>
          <w:color w:val="000000" w:themeColor="text1"/>
          <w:szCs w:val="21"/>
          <w:highlight w:val="none"/>
          <w14:textFill>
            <w14:solidFill>
              <w14:schemeClr w14:val="tx1"/>
            </w14:solidFill>
          </w14:textFill>
        </w:rPr>
      </w:pPr>
    </w:p>
    <w:p w14:paraId="12014FB4">
      <w:pPr>
        <w:pStyle w:val="6"/>
        <w:rPr>
          <w:rFonts w:ascii="宋体" w:hAnsi="宋体" w:cs="宋体"/>
          <w:color w:val="000000" w:themeColor="text1"/>
          <w:szCs w:val="21"/>
          <w:highlight w:val="none"/>
          <w14:textFill>
            <w14:solidFill>
              <w14:schemeClr w14:val="tx1"/>
            </w14:solidFill>
          </w14:textFill>
        </w:rPr>
      </w:pPr>
    </w:p>
    <w:p w14:paraId="7DAE79CF">
      <w:pPr>
        <w:pStyle w:val="6"/>
        <w:rPr>
          <w:rFonts w:ascii="宋体" w:hAnsi="宋体" w:cs="宋体"/>
          <w:color w:val="000000" w:themeColor="text1"/>
          <w:szCs w:val="21"/>
          <w:highlight w:val="none"/>
          <w14:textFill>
            <w14:solidFill>
              <w14:schemeClr w14:val="tx1"/>
            </w14:solidFill>
          </w14:textFill>
        </w:rPr>
      </w:pPr>
    </w:p>
    <w:p w14:paraId="51E40468">
      <w:pPr>
        <w:pStyle w:val="6"/>
        <w:rPr>
          <w:rFonts w:ascii="宋体" w:hAnsi="宋体" w:cs="宋体"/>
          <w:color w:val="000000" w:themeColor="text1"/>
          <w:szCs w:val="21"/>
          <w:highlight w:val="none"/>
          <w14:textFill>
            <w14:solidFill>
              <w14:schemeClr w14:val="tx1"/>
            </w14:solidFill>
          </w14:textFill>
        </w:rPr>
      </w:pPr>
    </w:p>
    <w:p w14:paraId="74CC00FE">
      <w:pPr>
        <w:pStyle w:val="6"/>
        <w:rPr>
          <w:rFonts w:ascii="宋体" w:hAnsi="宋体" w:cs="宋体"/>
          <w:color w:val="000000" w:themeColor="text1"/>
          <w:szCs w:val="21"/>
          <w:highlight w:val="none"/>
          <w14:textFill>
            <w14:solidFill>
              <w14:schemeClr w14:val="tx1"/>
            </w14:solidFill>
          </w14:textFill>
        </w:rPr>
      </w:pPr>
    </w:p>
    <w:p w14:paraId="0CD1B89A">
      <w:pPr>
        <w:pStyle w:val="6"/>
        <w:rPr>
          <w:rFonts w:ascii="宋体" w:hAnsi="宋体" w:cs="宋体"/>
          <w:color w:val="000000" w:themeColor="text1"/>
          <w:szCs w:val="21"/>
          <w:highlight w:val="none"/>
          <w14:textFill>
            <w14:solidFill>
              <w14:schemeClr w14:val="tx1"/>
            </w14:solidFill>
          </w14:textFill>
        </w:rPr>
      </w:pPr>
    </w:p>
    <w:p w14:paraId="090A0395">
      <w:pPr>
        <w:pStyle w:val="6"/>
        <w:rPr>
          <w:rFonts w:ascii="宋体" w:hAnsi="宋体" w:cs="宋体"/>
          <w:color w:val="000000" w:themeColor="text1"/>
          <w:szCs w:val="21"/>
          <w:highlight w:val="none"/>
          <w14:textFill>
            <w14:solidFill>
              <w14:schemeClr w14:val="tx1"/>
            </w14:solidFill>
          </w14:textFill>
        </w:rPr>
      </w:pPr>
    </w:p>
    <w:p w14:paraId="04B4EE07">
      <w:pPr>
        <w:pStyle w:val="6"/>
        <w:rPr>
          <w:rFonts w:ascii="宋体" w:hAnsi="宋体" w:cs="宋体"/>
          <w:color w:val="000000" w:themeColor="text1"/>
          <w:szCs w:val="21"/>
          <w:highlight w:val="none"/>
          <w14:textFill>
            <w14:solidFill>
              <w14:schemeClr w14:val="tx1"/>
            </w14:solidFill>
          </w14:textFill>
        </w:rPr>
      </w:pPr>
    </w:p>
    <w:p w14:paraId="3B4EC2BE">
      <w:pPr>
        <w:pStyle w:val="6"/>
        <w:rPr>
          <w:rFonts w:ascii="宋体" w:hAnsi="宋体" w:cs="宋体"/>
          <w:color w:val="000000" w:themeColor="text1"/>
          <w:szCs w:val="21"/>
          <w:highlight w:val="none"/>
          <w14:textFill>
            <w14:solidFill>
              <w14:schemeClr w14:val="tx1"/>
            </w14:solidFill>
          </w14:textFill>
        </w:rPr>
      </w:pPr>
    </w:p>
    <w:p w14:paraId="42BC2E2B">
      <w:pPr>
        <w:pStyle w:val="6"/>
        <w:rPr>
          <w:rFonts w:ascii="宋体" w:hAnsi="宋体" w:cs="宋体"/>
          <w:color w:val="000000" w:themeColor="text1"/>
          <w:szCs w:val="21"/>
          <w:highlight w:val="none"/>
          <w14:textFill>
            <w14:solidFill>
              <w14:schemeClr w14:val="tx1"/>
            </w14:solidFill>
          </w14:textFill>
        </w:rPr>
      </w:pPr>
    </w:p>
    <w:p w14:paraId="7683E2E9">
      <w:pPr>
        <w:pStyle w:val="6"/>
        <w:rPr>
          <w:rFonts w:ascii="宋体" w:hAnsi="宋体" w:cs="宋体"/>
          <w:color w:val="000000" w:themeColor="text1"/>
          <w:szCs w:val="21"/>
          <w:highlight w:val="none"/>
          <w14:textFill>
            <w14:solidFill>
              <w14:schemeClr w14:val="tx1"/>
            </w14:solidFill>
          </w14:textFill>
        </w:rPr>
      </w:pPr>
    </w:p>
    <w:p w14:paraId="36CC6D0D">
      <w:pPr>
        <w:pStyle w:val="6"/>
        <w:rPr>
          <w:rFonts w:ascii="宋体" w:hAnsi="宋体" w:cs="宋体"/>
          <w:color w:val="000000" w:themeColor="text1"/>
          <w:szCs w:val="21"/>
          <w:highlight w:val="none"/>
          <w14:textFill>
            <w14:solidFill>
              <w14:schemeClr w14:val="tx1"/>
            </w14:solidFill>
          </w14:textFill>
        </w:rPr>
      </w:pPr>
    </w:p>
    <w:p w14:paraId="13BF9C0F">
      <w:pPr>
        <w:pStyle w:val="21"/>
        <w:rPr>
          <w:rFonts w:ascii="宋体" w:hAnsi="宋体" w:cs="宋体"/>
          <w:color w:val="000000" w:themeColor="text1"/>
          <w:szCs w:val="21"/>
          <w:highlight w:val="none"/>
          <w14:textFill>
            <w14:solidFill>
              <w14:schemeClr w14:val="tx1"/>
            </w14:solidFill>
          </w14:textFill>
        </w:rPr>
      </w:pPr>
    </w:p>
    <w:p w14:paraId="088BBE7E">
      <w:pPr>
        <w:pStyle w:val="2"/>
        <w:spacing w:before="0" w:after="0" w:line="360" w:lineRule="auto"/>
        <w:rPr>
          <w:rFonts w:ascii="宋体" w:hAnsi="宋体" w:cs="宋体"/>
          <w:color w:val="000000" w:themeColor="text1"/>
          <w:sz w:val="32"/>
          <w:szCs w:val="32"/>
          <w:highlight w:val="none"/>
          <w14:textFill>
            <w14:solidFill>
              <w14:schemeClr w14:val="tx1"/>
            </w14:solidFill>
          </w14:textFill>
        </w:rPr>
      </w:pPr>
      <w:bookmarkStart w:id="292" w:name="_Toc19054"/>
      <w:bookmarkStart w:id="293" w:name="_Toc12999"/>
      <w:bookmarkStart w:id="294" w:name="_Toc23628"/>
      <w:r>
        <w:rPr>
          <w:rFonts w:hint="eastAsia" w:ascii="宋体" w:hAnsi="宋体" w:cs="宋体"/>
          <w:color w:val="000000" w:themeColor="text1"/>
          <w:sz w:val="32"/>
          <w:szCs w:val="32"/>
          <w:highlight w:val="none"/>
          <w14:textFill>
            <w14:solidFill>
              <w14:schemeClr w14:val="tx1"/>
            </w14:solidFill>
          </w14:textFill>
        </w:rPr>
        <w:t>第八章 投标文件格式</w:t>
      </w:r>
      <w:bookmarkEnd w:id="283"/>
      <w:bookmarkEnd w:id="284"/>
      <w:bookmarkEnd w:id="285"/>
      <w:bookmarkEnd w:id="292"/>
      <w:bookmarkEnd w:id="293"/>
      <w:bookmarkEnd w:id="294"/>
    </w:p>
    <w:p w14:paraId="3B85032E">
      <w:pPr>
        <w:rPr>
          <w:rFonts w:ascii="宋体" w:hAnsi="宋体" w:cs="宋体"/>
          <w:color w:val="000000" w:themeColor="text1"/>
          <w:highlight w:val="none"/>
          <w14:textFill>
            <w14:solidFill>
              <w14:schemeClr w14:val="tx1"/>
            </w14:solidFill>
          </w14:textFill>
        </w:rPr>
      </w:pPr>
      <w:bookmarkStart w:id="295" w:name="_Toc18905"/>
      <w:bookmarkStart w:id="296" w:name="_Toc27452"/>
      <w:bookmarkStart w:id="297" w:name="_Toc402961301"/>
      <w:bookmarkStart w:id="298" w:name="_Toc403122573"/>
    </w:p>
    <w:bookmarkEnd w:id="295"/>
    <w:bookmarkEnd w:id="296"/>
    <w:bookmarkEnd w:id="297"/>
    <w:bookmarkEnd w:id="298"/>
    <w:p w14:paraId="103668EB">
      <w:pPr>
        <w:ind w:firstLine="2891" w:firstLineChars="800"/>
        <w:rPr>
          <w:rFonts w:ascii="宋体" w:hAnsi="宋体" w:cs="宋体"/>
          <w:b/>
          <w:color w:val="000000" w:themeColor="text1"/>
          <w:sz w:val="36"/>
          <w:szCs w:val="36"/>
          <w:highlight w:val="none"/>
          <w14:textFill>
            <w14:solidFill>
              <w14:schemeClr w14:val="tx1"/>
            </w14:solidFill>
          </w14:textFill>
        </w:rPr>
      </w:pPr>
    </w:p>
    <w:p w14:paraId="68109D6B">
      <w:pPr>
        <w:pStyle w:val="24"/>
        <w:keepNext w:val="0"/>
        <w:keepLines w:val="0"/>
        <w:pageBreakBefore w:val="0"/>
        <w:kinsoku/>
        <w:wordWrap/>
        <w:overflowPunct/>
        <w:topLinePunct w:val="0"/>
        <w:autoSpaceDE/>
        <w:autoSpaceDN/>
        <w:bidi w:val="0"/>
        <w:spacing w:before="0" w:after="0" w:line="360" w:lineRule="auto"/>
        <w:textAlignment w:val="auto"/>
        <w:rPr>
          <w:rFonts w:hint="eastAsia" w:ascii="宋体" w:hAnsi="宋体" w:eastAsia="宋体" w:cs="宋体"/>
          <w:b/>
          <w:bCs/>
          <w:color w:val="000000" w:themeColor="text1"/>
          <w:sz w:val="36"/>
          <w:szCs w:val="36"/>
          <w:highlight w:val="none"/>
          <w:u w:val="single"/>
          <w:lang w:val="en-US" w:eastAsia="zh-CN"/>
          <w14:textFill>
            <w14:solidFill>
              <w14:schemeClr w14:val="tx1"/>
            </w14:solidFill>
          </w14:textFill>
        </w:rPr>
      </w:pPr>
      <w:r>
        <w:rPr>
          <w:rFonts w:hint="eastAsia" w:ascii="宋体" w:hAnsi="宋体" w:eastAsia="宋体" w:cs="宋体"/>
          <w:b/>
          <w:bCs/>
          <w:color w:val="000000" w:themeColor="text1"/>
          <w:sz w:val="36"/>
          <w:szCs w:val="36"/>
          <w:highlight w:val="none"/>
          <w:u w:val="single"/>
          <w:lang w:val="en-US" w:eastAsia="zh-CN"/>
          <w14:textFill>
            <w14:solidFill>
              <w14:schemeClr w14:val="tx1"/>
            </w14:solidFill>
          </w14:textFill>
        </w:rPr>
        <w:t>博爱县教育体育局焦作新材料职业学院图书、教学设备、实验设备等采购项目二标段（二次）项目</w:t>
      </w:r>
    </w:p>
    <w:p w14:paraId="55A11087">
      <w:pPr>
        <w:pStyle w:val="24"/>
        <w:keepNext w:val="0"/>
        <w:keepLines w:val="0"/>
        <w:pageBreakBefore w:val="0"/>
        <w:kinsoku/>
        <w:wordWrap/>
        <w:overflowPunct/>
        <w:topLinePunct w:val="0"/>
        <w:autoSpaceDE/>
        <w:autoSpaceDN/>
        <w:bidi w:val="0"/>
        <w:spacing w:before="0" w:after="0" w:line="360" w:lineRule="auto"/>
        <w:textAlignment w:val="auto"/>
        <w:rPr>
          <w:rFonts w:ascii="宋体" w:hAnsi="宋体" w:cs="宋体"/>
          <w:color w:val="000000" w:themeColor="text1"/>
          <w:sz w:val="28"/>
          <w:szCs w:val="36"/>
          <w:highlight w:val="none"/>
          <w:u w:val="single"/>
          <w14:textFill>
            <w14:solidFill>
              <w14:schemeClr w14:val="tx1"/>
            </w14:solidFill>
          </w14:textFill>
        </w:rPr>
      </w:pPr>
      <w:r>
        <w:rPr>
          <w:rFonts w:hint="eastAsia" w:ascii="宋体" w:hAnsi="宋体" w:eastAsia="宋体" w:cs="宋体"/>
          <w:b/>
          <w:bCs/>
          <w:color w:val="000000" w:themeColor="text1"/>
          <w:sz w:val="36"/>
          <w:szCs w:val="36"/>
          <w:highlight w:val="none"/>
          <w:u w:val="single"/>
          <w:lang w:val="en-US" w:eastAsia="zh-CN"/>
          <w14:textFill>
            <w14:solidFill>
              <w14:schemeClr w14:val="tx1"/>
            </w14:solidFill>
          </w14:textFill>
        </w:rPr>
        <w:t>（机房类二次）</w:t>
      </w:r>
    </w:p>
    <w:p w14:paraId="404E62F1">
      <w:pPr>
        <w:spacing w:line="360" w:lineRule="auto"/>
        <w:jc w:val="center"/>
        <w:rPr>
          <w:rFonts w:ascii="宋体" w:hAnsi="宋体" w:cs="宋体"/>
          <w:b/>
          <w:color w:val="000000" w:themeColor="text1"/>
          <w:sz w:val="32"/>
          <w:szCs w:val="32"/>
          <w:highlight w:val="none"/>
          <w14:textFill>
            <w14:solidFill>
              <w14:schemeClr w14:val="tx1"/>
            </w14:solidFill>
          </w14:textFill>
        </w:rPr>
      </w:pPr>
    </w:p>
    <w:p w14:paraId="71DA2318">
      <w:pPr>
        <w:pStyle w:val="27"/>
        <w:rPr>
          <w:rFonts w:ascii="宋体" w:hAnsi="宋体" w:cs="宋体"/>
          <w:color w:val="000000" w:themeColor="text1"/>
          <w:highlight w:val="none"/>
          <w14:textFill>
            <w14:solidFill>
              <w14:schemeClr w14:val="tx1"/>
            </w14:solidFill>
          </w14:textFill>
        </w:rPr>
      </w:pPr>
    </w:p>
    <w:p w14:paraId="0920BBC4">
      <w:pPr>
        <w:pStyle w:val="27"/>
        <w:rPr>
          <w:rFonts w:ascii="宋体" w:hAnsi="宋体" w:cs="宋体"/>
          <w:color w:val="000000" w:themeColor="text1"/>
          <w:highlight w:val="none"/>
          <w14:textFill>
            <w14:solidFill>
              <w14:schemeClr w14:val="tx1"/>
            </w14:solidFill>
          </w14:textFill>
        </w:rPr>
      </w:pPr>
    </w:p>
    <w:p w14:paraId="389D20E9">
      <w:pPr>
        <w:pStyle w:val="27"/>
        <w:rPr>
          <w:rFonts w:ascii="宋体" w:hAnsi="宋体" w:cs="宋体"/>
          <w:color w:val="000000" w:themeColor="text1"/>
          <w:highlight w:val="none"/>
          <w14:textFill>
            <w14:solidFill>
              <w14:schemeClr w14:val="tx1"/>
            </w14:solidFill>
          </w14:textFill>
        </w:rPr>
      </w:pPr>
    </w:p>
    <w:p w14:paraId="22216F3F">
      <w:pPr>
        <w:spacing w:line="360" w:lineRule="auto"/>
        <w:jc w:val="center"/>
        <w:rPr>
          <w:rFonts w:ascii="宋体" w:hAnsi="宋体" w:cs="宋体"/>
          <w:b/>
          <w:color w:val="000000" w:themeColor="text1"/>
          <w:spacing w:val="24"/>
          <w:kern w:val="10"/>
          <w:sz w:val="52"/>
          <w:szCs w:val="52"/>
          <w:highlight w:val="none"/>
          <w14:textFill>
            <w14:solidFill>
              <w14:schemeClr w14:val="tx1"/>
            </w14:solidFill>
          </w14:textFill>
        </w:rPr>
      </w:pPr>
      <w:r>
        <w:rPr>
          <w:rFonts w:hint="eastAsia" w:ascii="宋体" w:hAnsi="宋体" w:cs="宋体"/>
          <w:b/>
          <w:color w:val="000000" w:themeColor="text1"/>
          <w:spacing w:val="24"/>
          <w:kern w:val="10"/>
          <w:sz w:val="52"/>
          <w:szCs w:val="52"/>
          <w:highlight w:val="none"/>
          <w14:textFill>
            <w14:solidFill>
              <w14:schemeClr w14:val="tx1"/>
            </w14:solidFill>
          </w14:textFill>
        </w:rPr>
        <w:t>投  标  文  件</w:t>
      </w:r>
    </w:p>
    <w:p w14:paraId="571BF519">
      <w:pPr>
        <w:jc w:val="center"/>
        <w:rPr>
          <w:rFonts w:ascii="宋体" w:hAnsi="宋体" w:cs="宋体"/>
          <w:color w:val="000000" w:themeColor="text1"/>
          <w:sz w:val="24"/>
          <w:highlight w:val="none"/>
          <w14:textFill>
            <w14:solidFill>
              <w14:schemeClr w14:val="tx1"/>
            </w14:solidFill>
          </w14:textFill>
        </w:rPr>
      </w:pPr>
    </w:p>
    <w:p w14:paraId="33494F1E">
      <w:pPr>
        <w:pStyle w:val="8"/>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highlight w:val="none"/>
          <w14:textFill>
            <w14:solidFill>
              <w14:schemeClr w14:val="tx1"/>
            </w14:solidFill>
          </w14:textFill>
        </w:rPr>
        <w:t xml:space="preserve"> </w:t>
      </w:r>
    </w:p>
    <w:p w14:paraId="323D2939">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（封面）</w:t>
      </w:r>
    </w:p>
    <w:p w14:paraId="4FB376B8">
      <w:pPr>
        <w:jc w:val="center"/>
        <w:rPr>
          <w:rFonts w:ascii="宋体" w:hAnsi="宋体" w:cs="宋体"/>
          <w:color w:val="000000" w:themeColor="text1"/>
          <w:sz w:val="24"/>
          <w:highlight w:val="none"/>
          <w14:textFill>
            <w14:solidFill>
              <w14:schemeClr w14:val="tx1"/>
            </w14:solidFill>
          </w14:textFill>
        </w:rPr>
      </w:pPr>
    </w:p>
    <w:p w14:paraId="20502D72">
      <w:pPr>
        <w:jc w:val="center"/>
        <w:rPr>
          <w:rFonts w:ascii="宋体" w:hAnsi="宋体" w:cs="宋体"/>
          <w:color w:val="000000" w:themeColor="text1"/>
          <w:sz w:val="24"/>
          <w:highlight w:val="none"/>
          <w14:textFill>
            <w14:solidFill>
              <w14:schemeClr w14:val="tx1"/>
            </w14:solidFill>
          </w14:textFill>
        </w:rPr>
      </w:pPr>
    </w:p>
    <w:p w14:paraId="323D292C">
      <w:pPr>
        <w:jc w:val="center"/>
        <w:rPr>
          <w:rFonts w:ascii="宋体" w:hAnsi="宋体" w:cs="宋体"/>
          <w:color w:val="000000" w:themeColor="text1"/>
          <w:sz w:val="24"/>
          <w:highlight w:val="none"/>
          <w14:textFill>
            <w14:solidFill>
              <w14:schemeClr w14:val="tx1"/>
            </w14:solidFill>
          </w14:textFill>
        </w:rPr>
      </w:pPr>
    </w:p>
    <w:p w14:paraId="09557986">
      <w:pPr>
        <w:rPr>
          <w:rFonts w:ascii="宋体" w:hAnsi="宋体" w:cs="宋体"/>
          <w:color w:val="000000" w:themeColor="text1"/>
          <w:sz w:val="24"/>
          <w:highlight w:val="none"/>
          <w14:textFill>
            <w14:solidFill>
              <w14:schemeClr w14:val="tx1"/>
            </w14:solidFill>
          </w14:textFill>
        </w:rPr>
      </w:pPr>
    </w:p>
    <w:p w14:paraId="05EE4D76">
      <w:pPr>
        <w:jc w:val="center"/>
        <w:rPr>
          <w:rFonts w:ascii="宋体" w:hAnsi="宋体" w:cs="宋体"/>
          <w:color w:val="000000" w:themeColor="text1"/>
          <w:sz w:val="24"/>
          <w:highlight w:val="none"/>
          <w14:textFill>
            <w14:solidFill>
              <w14:schemeClr w14:val="tx1"/>
            </w14:solidFill>
          </w14:textFill>
        </w:rPr>
      </w:pPr>
    </w:p>
    <w:p w14:paraId="578D02C0">
      <w:pPr>
        <w:jc w:val="center"/>
        <w:rPr>
          <w:rFonts w:ascii="宋体" w:hAnsi="宋体" w:cs="宋体"/>
          <w:color w:val="000000" w:themeColor="text1"/>
          <w:sz w:val="24"/>
          <w:highlight w:val="none"/>
          <w14:textFill>
            <w14:solidFill>
              <w14:schemeClr w14:val="tx1"/>
            </w14:solidFill>
          </w14:textFill>
        </w:rPr>
      </w:pPr>
    </w:p>
    <w:p w14:paraId="4AB8A072">
      <w:pPr>
        <w:jc w:val="center"/>
        <w:rPr>
          <w:rFonts w:ascii="宋体" w:hAnsi="宋体" w:cs="宋体"/>
          <w:color w:val="000000" w:themeColor="text1"/>
          <w:sz w:val="24"/>
          <w:highlight w:val="none"/>
          <w14:textFill>
            <w14:solidFill>
              <w14:schemeClr w14:val="tx1"/>
            </w14:solidFill>
          </w14:textFill>
        </w:rPr>
      </w:pPr>
    </w:p>
    <w:p w14:paraId="28B702AD">
      <w:pPr>
        <w:jc w:val="center"/>
        <w:rPr>
          <w:rFonts w:ascii="宋体" w:hAnsi="宋体" w:cs="宋体"/>
          <w:b/>
          <w:color w:val="000000" w:themeColor="text1"/>
          <w:sz w:val="24"/>
          <w:highlight w:val="none"/>
          <w14:textFill>
            <w14:solidFill>
              <w14:schemeClr w14:val="tx1"/>
            </w14:solidFill>
          </w14:textFill>
        </w:rPr>
      </w:pPr>
    </w:p>
    <w:p w14:paraId="4C08699D">
      <w:pPr>
        <w:pStyle w:val="13"/>
        <w:spacing w:line="600" w:lineRule="exact"/>
        <w:ind w:left="1050" w:leftChars="500" w:firstLine="1152" w:firstLineChars="450"/>
        <w:rPr>
          <w:rFonts w:hint="default" w:hAnsi="宋体" w:cs="宋体"/>
          <w:color w:val="000000" w:themeColor="text1"/>
          <w:sz w:val="24"/>
          <w:highlight w:val="none"/>
          <w14:textFill>
            <w14:solidFill>
              <w14:schemeClr w14:val="tx1"/>
            </w14:solidFill>
          </w14:textFill>
        </w:rPr>
      </w:pPr>
      <w:r>
        <w:rPr>
          <w:rFonts w:hAnsi="宋体" w:cs="宋体"/>
          <w:color w:val="000000" w:themeColor="text1"/>
          <w:spacing w:val="8"/>
          <w:sz w:val="24"/>
          <w:highlight w:val="none"/>
          <w14:textFill>
            <w14:solidFill>
              <w14:schemeClr w14:val="tx1"/>
            </w14:solidFill>
          </w14:textFill>
        </w:rPr>
        <w:t>供  应  商：</w:t>
      </w:r>
      <w:r>
        <w:rPr>
          <w:rFonts w:hAnsi="宋体" w:cs="宋体"/>
          <w:color w:val="000000" w:themeColor="text1"/>
          <w:sz w:val="24"/>
          <w:highlight w:val="none"/>
          <w14:textFill>
            <w14:solidFill>
              <w14:schemeClr w14:val="tx1"/>
            </w14:solidFill>
          </w14:textFill>
        </w:rPr>
        <w:t>（企业电子签章）</w:t>
      </w:r>
    </w:p>
    <w:p w14:paraId="4FE6346A">
      <w:pPr>
        <w:pStyle w:val="13"/>
        <w:spacing w:line="600" w:lineRule="exact"/>
        <w:ind w:left="1050" w:leftChars="500" w:firstLine="1200" w:firstLineChars="500"/>
        <w:rPr>
          <w:rFonts w:hint="default" w:hAnsi="宋体" w:cs="宋体"/>
          <w:color w:val="000000" w:themeColor="text1"/>
          <w:sz w:val="24"/>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法定代表人或</w:t>
      </w:r>
      <w:r>
        <w:rPr>
          <w:rFonts w:hAnsi="宋体" w:cs="宋体"/>
          <w:color w:val="000000" w:themeColor="text1"/>
          <w:spacing w:val="12"/>
          <w:sz w:val="24"/>
          <w:highlight w:val="none"/>
          <w14:textFill>
            <w14:solidFill>
              <w14:schemeClr w14:val="tx1"/>
            </w14:solidFill>
          </w14:textFill>
        </w:rPr>
        <w:t>委托代理人：</w:t>
      </w:r>
      <w:r>
        <w:rPr>
          <w:rFonts w:hAnsi="宋体" w:cs="宋体"/>
          <w:color w:val="000000" w:themeColor="text1"/>
          <w:sz w:val="24"/>
          <w:highlight w:val="none"/>
          <w14:textFill>
            <w14:solidFill>
              <w14:schemeClr w14:val="tx1"/>
            </w14:solidFill>
          </w14:textFill>
        </w:rPr>
        <w:t xml:space="preserve">（签字或盖章）  </w:t>
      </w:r>
    </w:p>
    <w:p w14:paraId="055CB98E">
      <w:pPr>
        <w:pStyle w:val="13"/>
        <w:spacing w:line="600" w:lineRule="exact"/>
        <w:ind w:left="1050" w:leftChars="500" w:firstLine="1200" w:firstLineChars="500"/>
        <w:rPr>
          <w:rFonts w:hint="default" w:hAnsi="宋体" w:cs="宋体"/>
          <w:b/>
          <w:bCs/>
          <w:color w:val="000000" w:themeColor="text1"/>
          <w:sz w:val="28"/>
          <w:szCs w:val="28"/>
          <w:highlight w:val="none"/>
          <w14:textFill>
            <w14:solidFill>
              <w14:schemeClr w14:val="tx1"/>
            </w14:solidFill>
          </w14:textFill>
        </w:rPr>
      </w:pPr>
      <w:r>
        <w:rPr>
          <w:rFonts w:hAnsi="宋体" w:cs="宋体"/>
          <w:color w:val="000000" w:themeColor="text1"/>
          <w:sz w:val="24"/>
          <w:highlight w:val="none"/>
          <w14:textFill>
            <w14:solidFill>
              <w14:schemeClr w14:val="tx1"/>
            </w14:solidFill>
          </w14:textFill>
        </w:rPr>
        <w:t>日       期：       年    月    日</w:t>
      </w:r>
    </w:p>
    <w:p w14:paraId="5F5D025C">
      <w:pPr>
        <w:ind w:firstLine="540" w:firstLineChars="192"/>
        <w:jc w:val="center"/>
        <w:rPr>
          <w:rFonts w:ascii="宋体" w:hAnsi="宋体" w:cs="宋体"/>
          <w:b/>
          <w:bCs/>
          <w:color w:val="000000" w:themeColor="text1"/>
          <w:sz w:val="28"/>
          <w:szCs w:val="28"/>
          <w:highlight w:val="none"/>
          <w14:textFill>
            <w14:solidFill>
              <w14:schemeClr w14:val="tx1"/>
            </w14:solidFill>
          </w14:textFill>
        </w:rPr>
      </w:pPr>
    </w:p>
    <w:p w14:paraId="75F5B3EF">
      <w:pPr>
        <w:ind w:firstLine="848" w:firstLineChars="192"/>
        <w:jc w:val="center"/>
        <w:rPr>
          <w:rFonts w:ascii="宋体" w:hAnsi="宋体" w:cs="宋体"/>
          <w:b/>
          <w:bCs/>
          <w:color w:val="000000" w:themeColor="text1"/>
          <w:sz w:val="44"/>
          <w:szCs w:val="44"/>
          <w:highlight w:val="none"/>
          <w14:textFill>
            <w14:solidFill>
              <w14:schemeClr w14:val="tx1"/>
            </w14:solidFill>
          </w14:textFill>
        </w:rPr>
      </w:pPr>
    </w:p>
    <w:p w14:paraId="13A8E28D">
      <w:pPr>
        <w:pStyle w:val="26"/>
        <w:rPr>
          <w:color w:val="000000" w:themeColor="text1"/>
          <w:highlight w:val="none"/>
          <w14:textFill>
            <w14:solidFill>
              <w14:schemeClr w14:val="tx1"/>
            </w14:solidFill>
          </w14:textFill>
        </w:rPr>
      </w:pPr>
    </w:p>
    <w:p w14:paraId="572136B4">
      <w:pPr>
        <w:pStyle w:val="27"/>
        <w:ind w:firstLine="883"/>
        <w:rPr>
          <w:rFonts w:ascii="宋体" w:hAnsi="宋体" w:cs="宋体"/>
          <w:b/>
          <w:bCs/>
          <w:color w:val="000000" w:themeColor="text1"/>
          <w:sz w:val="44"/>
          <w:szCs w:val="44"/>
          <w:highlight w:val="none"/>
          <w14:textFill>
            <w14:solidFill>
              <w14:schemeClr w14:val="tx1"/>
            </w14:solidFill>
          </w14:textFill>
        </w:rPr>
      </w:pPr>
    </w:p>
    <w:p w14:paraId="5F767FB4">
      <w:pPr>
        <w:pStyle w:val="27"/>
        <w:ind w:firstLine="883"/>
        <w:rPr>
          <w:rFonts w:ascii="宋体" w:hAnsi="宋体" w:cs="宋体"/>
          <w:b/>
          <w:bCs/>
          <w:color w:val="000000" w:themeColor="text1"/>
          <w:sz w:val="44"/>
          <w:szCs w:val="44"/>
          <w:highlight w:val="none"/>
          <w14:textFill>
            <w14:solidFill>
              <w14:schemeClr w14:val="tx1"/>
            </w14:solidFill>
          </w14:textFill>
        </w:rPr>
      </w:pPr>
    </w:p>
    <w:p w14:paraId="2CDD4F3F">
      <w:pPr>
        <w:pStyle w:val="27"/>
        <w:ind w:firstLine="883"/>
        <w:rPr>
          <w:rFonts w:ascii="宋体" w:hAnsi="宋体" w:cs="宋体"/>
          <w:b/>
          <w:bCs/>
          <w:color w:val="000000" w:themeColor="text1"/>
          <w:sz w:val="44"/>
          <w:szCs w:val="44"/>
          <w:highlight w:val="none"/>
          <w14:textFill>
            <w14:solidFill>
              <w14:schemeClr w14:val="tx1"/>
            </w14:solidFill>
          </w14:textFill>
        </w:rPr>
      </w:pPr>
    </w:p>
    <w:p w14:paraId="4C030F3C">
      <w:pPr>
        <w:pStyle w:val="27"/>
        <w:ind w:firstLine="883"/>
        <w:rPr>
          <w:rFonts w:ascii="宋体" w:hAnsi="宋体" w:cs="宋体"/>
          <w:b/>
          <w:bCs/>
          <w:color w:val="000000" w:themeColor="text1"/>
          <w:sz w:val="44"/>
          <w:szCs w:val="44"/>
          <w:highlight w:val="none"/>
          <w14:textFill>
            <w14:solidFill>
              <w14:schemeClr w14:val="tx1"/>
            </w14:solidFill>
          </w14:textFill>
        </w:rPr>
      </w:pPr>
    </w:p>
    <w:p w14:paraId="4D65DCCA">
      <w:pPr>
        <w:pStyle w:val="27"/>
        <w:ind w:firstLine="883"/>
        <w:rPr>
          <w:rFonts w:ascii="宋体" w:hAnsi="宋体" w:cs="宋体"/>
          <w:b/>
          <w:bCs/>
          <w:color w:val="000000" w:themeColor="text1"/>
          <w:sz w:val="44"/>
          <w:szCs w:val="44"/>
          <w:highlight w:val="none"/>
          <w14:textFill>
            <w14:solidFill>
              <w14:schemeClr w14:val="tx1"/>
            </w14:solidFill>
          </w14:textFill>
        </w:rPr>
      </w:pPr>
    </w:p>
    <w:p w14:paraId="50928CBC">
      <w:pPr>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b/>
          <w:bCs/>
          <w:color w:val="000000" w:themeColor="text1"/>
          <w:sz w:val="44"/>
          <w:szCs w:val="44"/>
          <w:highlight w:val="none"/>
          <w14:textFill>
            <w14:solidFill>
              <w14:schemeClr w14:val="tx1"/>
            </w14:solidFill>
          </w14:textFill>
        </w:rPr>
        <w:t>目 录</w:t>
      </w:r>
    </w:p>
    <w:p w14:paraId="59C9A459">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bookmarkStart w:id="299" w:name="_Toc31547"/>
      <w:bookmarkStart w:id="300" w:name="_Toc19099"/>
      <w:bookmarkStart w:id="301" w:name="_Toc2130"/>
      <w:bookmarkStart w:id="302" w:name="_Toc1213"/>
      <w:r>
        <w:rPr>
          <w:rFonts w:hint="eastAsia" w:ascii="宋体" w:hAnsi="宋体" w:cs="宋体"/>
          <w:color w:val="000000" w:themeColor="text1"/>
          <w:szCs w:val="21"/>
          <w:highlight w:val="none"/>
          <w14:textFill>
            <w14:solidFill>
              <w14:schemeClr w14:val="tx1"/>
            </w14:solidFill>
          </w14:textFill>
        </w:rPr>
        <w:t>（自拟）</w:t>
      </w:r>
      <w:r>
        <w:rPr>
          <w:rFonts w:hint="eastAsia" w:ascii="宋体" w:hAnsi="宋体" w:cs="宋体"/>
          <w:color w:val="000000" w:themeColor="text1"/>
          <w:szCs w:val="21"/>
          <w:highlight w:val="none"/>
          <w14:textFill>
            <w14:solidFill>
              <w14:schemeClr w14:val="tx1"/>
            </w14:solidFill>
          </w14:textFill>
        </w:rPr>
        <w:br w:type="page"/>
      </w:r>
      <w:bookmarkStart w:id="303" w:name="_Toc1921"/>
      <w:r>
        <w:rPr>
          <w:rFonts w:hint="eastAsia" w:ascii="宋体" w:hAnsi="宋体" w:cs="宋体"/>
          <w:b/>
          <w:bCs/>
          <w:color w:val="000000" w:themeColor="text1"/>
          <w:kern w:val="0"/>
          <w:sz w:val="28"/>
          <w:szCs w:val="28"/>
          <w:highlight w:val="none"/>
          <w14:textFill>
            <w14:solidFill>
              <w14:schemeClr w14:val="tx1"/>
            </w14:solidFill>
          </w14:textFill>
        </w:rPr>
        <w:t>一、投标函</w:t>
      </w:r>
      <w:bookmarkEnd w:id="299"/>
      <w:r>
        <w:rPr>
          <w:rFonts w:hint="eastAsia" w:ascii="宋体" w:hAnsi="宋体" w:cs="宋体"/>
          <w:b/>
          <w:bCs/>
          <w:color w:val="000000" w:themeColor="text1"/>
          <w:kern w:val="0"/>
          <w:sz w:val="28"/>
          <w:szCs w:val="28"/>
          <w:highlight w:val="none"/>
          <w14:textFill>
            <w14:solidFill>
              <w14:schemeClr w14:val="tx1"/>
            </w14:solidFill>
          </w14:textFill>
        </w:rPr>
        <w:t>及开标一览表</w:t>
      </w:r>
      <w:bookmarkEnd w:id="300"/>
      <w:bookmarkEnd w:id="301"/>
      <w:bookmarkEnd w:id="302"/>
      <w:bookmarkEnd w:id="303"/>
    </w:p>
    <w:p w14:paraId="2AACFDAC">
      <w:pPr>
        <w:widowControl/>
        <w:spacing w:line="360" w:lineRule="auto"/>
        <w:jc w:val="center"/>
        <w:rPr>
          <w:rFonts w:ascii="宋体" w:hAnsi="宋体" w:cs="宋体"/>
          <w:b/>
          <w:bCs/>
          <w:color w:val="000000" w:themeColor="text1"/>
          <w:kern w:val="0"/>
          <w:sz w:val="28"/>
          <w:szCs w:val="28"/>
          <w:highlight w:val="none"/>
          <w14:textFill>
            <w14:solidFill>
              <w14:schemeClr w14:val="tx1"/>
            </w14:solidFill>
          </w14:textFill>
        </w:rPr>
      </w:pPr>
      <w:bookmarkStart w:id="304" w:name="_Toc2605"/>
      <w:bookmarkStart w:id="305" w:name="_Toc70"/>
      <w:bookmarkStart w:id="306" w:name="_Toc27218"/>
      <w:bookmarkStart w:id="307" w:name="_Toc600"/>
      <w:bookmarkStart w:id="308" w:name="_Toc12044"/>
      <w:bookmarkStart w:id="309" w:name="_Toc28684"/>
      <w:r>
        <w:rPr>
          <w:rFonts w:hint="eastAsia" w:ascii="宋体" w:hAnsi="宋体" w:cs="宋体"/>
          <w:b/>
          <w:bCs/>
          <w:color w:val="000000" w:themeColor="text1"/>
          <w:kern w:val="0"/>
          <w:sz w:val="28"/>
          <w:szCs w:val="28"/>
          <w:highlight w:val="none"/>
          <w14:textFill>
            <w14:solidFill>
              <w14:schemeClr w14:val="tx1"/>
            </w14:solidFill>
          </w14:textFill>
        </w:rPr>
        <w:t>（一）投标函</w:t>
      </w:r>
      <w:bookmarkEnd w:id="304"/>
      <w:bookmarkEnd w:id="305"/>
      <w:bookmarkEnd w:id="306"/>
      <w:bookmarkEnd w:id="307"/>
      <w:bookmarkEnd w:id="308"/>
      <w:bookmarkEnd w:id="309"/>
    </w:p>
    <w:p w14:paraId="6B69F54A">
      <w:pPr>
        <w:widowControl/>
        <w:spacing w:line="360" w:lineRule="auto"/>
        <w:rPr>
          <w:rFonts w:ascii="宋体" w:hAnsi="宋体" w:cs="宋体"/>
          <w:b/>
          <w:bCs/>
          <w:color w:val="000000" w:themeColor="text1"/>
          <w:kern w:val="0"/>
          <w:sz w:val="28"/>
          <w:szCs w:val="28"/>
          <w:highlight w:val="none"/>
          <w:u w:val="single"/>
          <w14:textFill>
            <w14:solidFill>
              <w14:schemeClr w14:val="tx1"/>
            </w14:solidFill>
          </w14:textFill>
        </w:rPr>
      </w:pPr>
      <w:r>
        <w:rPr>
          <w:rFonts w:hint="eastAsia" w:ascii="宋体" w:hAnsi="宋体" w:cs="宋体"/>
          <w:b/>
          <w:bCs/>
          <w:color w:val="000000" w:themeColor="text1"/>
          <w:kern w:val="0"/>
          <w:sz w:val="28"/>
          <w:szCs w:val="28"/>
          <w:highlight w:val="none"/>
          <w14:textFill>
            <w14:solidFill>
              <w14:schemeClr w14:val="tx1"/>
            </w14:solidFill>
          </w14:textFill>
        </w:rPr>
        <w:t>致：</w:t>
      </w:r>
      <w:r>
        <w:rPr>
          <w:rFonts w:hint="eastAsia" w:ascii="宋体" w:hAnsi="宋体" w:cs="宋体"/>
          <w:b/>
          <w:bCs/>
          <w:color w:val="000000" w:themeColor="text1"/>
          <w:kern w:val="0"/>
          <w:sz w:val="28"/>
          <w:szCs w:val="28"/>
          <w:highlight w:val="none"/>
          <w:u w:val="single"/>
          <w14:textFill>
            <w14:solidFill>
              <w14:schemeClr w14:val="tx1"/>
            </w14:solidFill>
          </w14:textFill>
        </w:rPr>
        <w:t>（采购人名称）</w:t>
      </w:r>
    </w:p>
    <w:p w14:paraId="32D6B17B">
      <w:pPr>
        <w:pStyle w:val="26"/>
        <w:spacing w:line="360" w:lineRule="auto"/>
        <w:ind w:firstLine="480" w:firstLineChars="200"/>
        <w:rPr>
          <w:rFonts w:hint="default" w:ascii="宋体" w:hAnsi="宋体" w:eastAsia="宋体" w:cs="宋体"/>
          <w:color w:val="000000" w:themeColor="text1"/>
          <w:sz w:val="24"/>
          <w:highlight w:val="none"/>
          <w14:textFill>
            <w14:solidFill>
              <w14:schemeClr w14:val="tx1"/>
            </w14:solidFill>
          </w14:textFill>
        </w:rPr>
      </w:pPr>
      <w:r>
        <w:rPr>
          <w:rFonts w:ascii="宋体" w:hAnsi="宋体" w:eastAsia="宋体" w:cs="宋体"/>
          <w:color w:val="000000" w:themeColor="text1"/>
          <w:sz w:val="24"/>
          <w:highlight w:val="none"/>
          <w14:textFill>
            <w14:solidFill>
              <w14:schemeClr w14:val="tx1"/>
            </w14:solidFill>
          </w14:textFill>
        </w:rPr>
        <w:t>我单位已收到的</w:t>
      </w:r>
      <w:r>
        <w:rPr>
          <w:rFonts w:ascii="宋体" w:hAnsi="宋体" w:eastAsia="宋体" w:cs="宋体"/>
          <w:color w:val="000000" w:themeColor="text1"/>
          <w:sz w:val="24"/>
          <w:highlight w:val="none"/>
          <w:u w:val="single"/>
          <w14:textFill>
            <w14:solidFill>
              <w14:schemeClr w14:val="tx1"/>
            </w14:solidFill>
          </w14:textFill>
        </w:rPr>
        <w:t xml:space="preserve"> </w:t>
      </w:r>
      <w:r>
        <w:rPr>
          <w:rFonts w:hint="eastAsia" w:ascii="宋体" w:hAnsi="宋体" w:eastAsia="宋体" w:cs="宋体"/>
          <w:color w:val="000000" w:themeColor="text1"/>
          <w:sz w:val="24"/>
          <w:highlight w:val="none"/>
          <w:u w:val="single"/>
          <w:lang w:eastAsia="zh-CN"/>
          <w14:textFill>
            <w14:solidFill>
              <w14:schemeClr w14:val="tx1"/>
            </w14:solidFill>
          </w14:textFill>
        </w:rPr>
        <w:t>博爱县教育体育局焦作新材料职业学院图书、教学设备、实验设备等采购项目</w:t>
      </w:r>
      <w:r>
        <w:rPr>
          <w:rFonts w:hint="eastAsia" w:ascii="宋体" w:hAnsi="宋体" w:eastAsia="宋体" w:cs="宋体"/>
          <w:color w:val="000000" w:themeColor="text1"/>
          <w:sz w:val="24"/>
          <w:highlight w:val="none"/>
          <w:u w:val="single"/>
          <w:lang w:val="en-US" w:eastAsia="zh-CN"/>
          <w14:textFill>
            <w14:solidFill>
              <w14:schemeClr w14:val="tx1"/>
            </w14:solidFill>
          </w14:textFill>
        </w:rPr>
        <w:t xml:space="preserve">二标段（二次）项目（机房类二次） </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采购</w:t>
      </w:r>
      <w:r>
        <w:rPr>
          <w:rFonts w:hint="eastAsia" w:ascii="宋体" w:hAnsi="宋体" w:eastAsia="宋体" w:cs="宋体"/>
          <w:color w:val="000000" w:themeColor="text1"/>
          <w:sz w:val="24"/>
          <w:highlight w:val="none"/>
          <w:lang w:eastAsia="zh-CN"/>
          <w14:textFill>
            <w14:solidFill>
              <w14:schemeClr w14:val="tx1"/>
            </w14:solidFill>
          </w14:textFill>
        </w:rPr>
        <w:t>编号</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博政采购〔202</w:t>
      </w:r>
      <w:r>
        <w:rPr>
          <w:rFonts w:hint="eastAsia" w:ascii="宋体" w:hAnsi="宋体" w:eastAsia="宋体" w:cs="宋体"/>
          <w:color w:val="000000" w:themeColor="text1"/>
          <w:sz w:val="24"/>
          <w:highlight w:val="none"/>
          <w:u w:val="single"/>
          <w:lang w:val="en-US" w:eastAsia="zh-CN"/>
          <w14:textFill>
            <w14:solidFill>
              <w14:schemeClr w14:val="tx1"/>
            </w14:solidFill>
          </w14:textFill>
        </w:rPr>
        <w:t>4</w:t>
      </w:r>
      <w:r>
        <w:rPr>
          <w:rFonts w:hint="eastAsia" w:ascii="宋体" w:hAnsi="宋体" w:eastAsia="宋体" w:cs="宋体"/>
          <w:color w:val="000000" w:themeColor="text1"/>
          <w:sz w:val="24"/>
          <w:highlight w:val="none"/>
          <w:u w:val="single"/>
          <w:lang w:eastAsia="zh-CN"/>
          <w14:textFill>
            <w14:solidFill>
              <w14:schemeClr w14:val="tx1"/>
            </w14:solidFill>
          </w14:textFill>
        </w:rPr>
        <w:t>〕</w:t>
      </w:r>
      <w:r>
        <w:rPr>
          <w:rFonts w:hint="eastAsia" w:ascii="宋体" w:hAnsi="宋体" w:eastAsia="宋体" w:cs="宋体"/>
          <w:color w:val="000000" w:themeColor="text1"/>
          <w:sz w:val="24"/>
          <w:highlight w:val="none"/>
          <w:u w:val="single"/>
          <w:lang w:val="en-US" w:eastAsia="zh-CN"/>
          <w14:textFill>
            <w14:solidFill>
              <w14:schemeClr w14:val="tx1"/>
            </w14:solidFill>
          </w14:textFill>
        </w:rPr>
        <w:t>85</w:t>
      </w:r>
      <w:r>
        <w:rPr>
          <w:rFonts w:hint="eastAsia" w:ascii="宋体" w:hAnsi="宋体" w:eastAsia="宋体" w:cs="宋体"/>
          <w:color w:val="000000" w:themeColor="text1"/>
          <w:sz w:val="24"/>
          <w:highlight w:val="none"/>
          <w:u w:val="single"/>
          <w:lang w:eastAsia="zh-CN"/>
          <w14:textFill>
            <w14:solidFill>
              <w14:schemeClr w14:val="tx1"/>
            </w14:solidFill>
          </w14:textFill>
        </w:rPr>
        <w:t>号</w:t>
      </w:r>
      <w:r>
        <w:rPr>
          <w:rFonts w:hint="eastAsia" w:ascii="宋体" w:hAnsi="宋体" w:eastAsia="宋体" w:cs="宋体"/>
          <w:color w:val="000000" w:themeColor="text1"/>
          <w:sz w:val="24"/>
          <w:highlight w:val="none"/>
          <w:u w:val="single"/>
          <w:lang w:val="en-US" w:eastAsia="zh-CN"/>
          <w14:textFill>
            <w14:solidFill>
              <w14:schemeClr w14:val="tx1"/>
            </w14:solidFill>
          </w14:textFill>
        </w:rPr>
        <w:t>-2-1</w:t>
      </w:r>
      <w:r>
        <w:rPr>
          <w:rFonts w:hint="eastAsia" w:ascii="宋体" w:hAnsi="宋体" w:eastAsia="宋体" w:cs="宋体"/>
          <w:color w:val="000000" w:themeColor="text1"/>
          <w:sz w:val="24"/>
          <w:highlight w:val="none"/>
          <w:u w:val="single"/>
          <w:lang w:eastAsia="zh-CN"/>
          <w14:textFill>
            <w14:solidFill>
              <w14:schemeClr w14:val="tx1"/>
            </w14:solidFill>
          </w14:textFill>
        </w:rPr>
        <w:t xml:space="preserve"> </w:t>
      </w:r>
      <w:r>
        <w:rPr>
          <w:rFonts w:ascii="宋体" w:hAnsi="宋体" w:eastAsia="宋体" w:cs="宋体"/>
          <w:color w:val="000000" w:themeColor="text1"/>
          <w:sz w:val="24"/>
          <w:highlight w:val="none"/>
          <w14:textFill>
            <w14:solidFill>
              <w14:schemeClr w14:val="tx1"/>
            </w14:solidFill>
          </w14:textFill>
        </w:rPr>
        <w:t>）</w:t>
      </w:r>
      <w:r>
        <w:rPr>
          <w:rFonts w:hint="eastAsia" w:ascii="宋体" w:hAnsi="宋体" w:eastAsia="宋体" w:cs="宋体"/>
          <w:color w:val="000000" w:themeColor="text1"/>
          <w:sz w:val="24"/>
          <w:highlight w:val="none"/>
          <w:lang w:val="en-US" w:eastAsia="zh-CN"/>
          <w14:textFill>
            <w14:solidFill>
              <w14:schemeClr w14:val="tx1"/>
            </w14:solidFill>
          </w14:textFill>
        </w:rPr>
        <w:t>招标</w:t>
      </w:r>
      <w:r>
        <w:rPr>
          <w:rFonts w:ascii="宋体" w:hAnsi="宋体" w:eastAsia="宋体" w:cs="宋体"/>
          <w:color w:val="000000" w:themeColor="text1"/>
          <w:sz w:val="24"/>
          <w:highlight w:val="none"/>
          <w14:textFill>
            <w14:solidFill>
              <w14:schemeClr w14:val="tx1"/>
            </w14:solidFill>
          </w14:textFill>
        </w:rPr>
        <w:t>文件及有关纪要通知，现对参与投标及中标后工作，做出如下郑重承诺：</w:t>
      </w:r>
    </w:p>
    <w:p w14:paraId="5785657E">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1、我方愿以总价为人民币（大写）</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（小写）￥ </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元，合同履行期限（供货及安装期）：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，质保期：</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年，质量标准：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u w:val="none"/>
          <w:lang w:eastAsia="zh-CN"/>
          <w14:textFill>
            <w14:solidFill>
              <w14:schemeClr w14:val="tx1"/>
            </w14:solidFill>
          </w14:textFill>
        </w:rPr>
        <w:t>，</w:t>
      </w:r>
      <w:r>
        <w:rPr>
          <w:rFonts w:hint="eastAsia" w:ascii="宋体" w:hAnsi="宋体" w:cs="宋体"/>
          <w:color w:val="000000" w:themeColor="text1"/>
          <w:sz w:val="24"/>
          <w:highlight w:val="none"/>
          <w14:textFill>
            <w14:solidFill>
              <w14:schemeClr w14:val="tx1"/>
            </w14:solidFill>
          </w14:textFill>
        </w:rPr>
        <w:t xml:space="preserve">按合同约定实施和完成本项目。 </w:t>
      </w:r>
    </w:p>
    <w:p w14:paraId="2AE14F9B">
      <w:pPr>
        <w:widowControl/>
        <w:spacing w:line="360" w:lineRule="auto"/>
        <w:ind w:firstLine="480" w:firstLineChars="200"/>
        <w:rPr>
          <w:rFonts w:ascii="宋体" w:hAnsi="宋体" w:cs="宋体"/>
          <w:strike/>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2、在响应性文件递交截止时间后至确定成交人的</w:t>
      </w:r>
      <w:r>
        <w:rPr>
          <w:color w:val="000000" w:themeColor="text1"/>
          <w:highlight w:val="none"/>
          <w14:textFill>
            <w14:solidFill>
              <w14:schemeClr w14:val="tx1"/>
            </w14:solidFill>
          </w14:textFill>
        </w:rPr>
        <w:fldChar w:fldCharType="begin"/>
      </w:r>
      <w:r>
        <w:rPr>
          <w:color w:val="000000" w:themeColor="text1"/>
          <w:highlight w:val="none"/>
          <w14:textFill>
            <w14:solidFill>
              <w14:schemeClr w14:val="tx1"/>
            </w14:solidFill>
          </w14:textFill>
        </w:rPr>
        <w:instrText xml:space="preserve"> HYPERLINK "https://baike.so.com/doc/5394983-5632135.html" \t "https://baike.so.com/doc/_blank" </w:instrText>
      </w:r>
      <w:r>
        <w:rPr>
          <w:color w:val="000000" w:themeColor="text1"/>
          <w:highlight w:val="none"/>
          <w14:textFill>
            <w14:solidFill>
              <w14:schemeClr w14:val="tx1"/>
            </w14:solidFill>
          </w14:textFill>
        </w:rPr>
        <w:fldChar w:fldCharType="separate"/>
      </w:r>
      <w:r>
        <w:rPr>
          <w:rFonts w:hint="eastAsia" w:ascii="宋体" w:hAnsi="宋体" w:cs="宋体"/>
          <w:color w:val="000000" w:themeColor="text1"/>
          <w:sz w:val="24"/>
          <w:highlight w:val="none"/>
          <w14:textFill>
            <w14:solidFill>
              <w14:schemeClr w14:val="tx1"/>
            </w14:solidFill>
          </w14:textFill>
        </w:rPr>
        <w:t>投标有效期</w:t>
      </w:r>
      <w:r>
        <w:rPr>
          <w:rFonts w:hint="eastAsia" w:ascii="宋体" w:hAnsi="宋体" w:cs="宋体"/>
          <w:color w:val="000000" w:themeColor="text1"/>
          <w:sz w:val="24"/>
          <w:highlight w:val="none"/>
          <w14:textFill>
            <w14:solidFill>
              <w14:schemeClr w14:val="tx1"/>
            </w14:solidFill>
          </w14:textFill>
        </w:rPr>
        <w:fldChar w:fldCharType="end"/>
      </w:r>
      <w:r>
        <w:rPr>
          <w:rFonts w:hint="eastAsia" w:ascii="宋体" w:hAnsi="宋体" w:cs="宋体"/>
          <w:color w:val="000000" w:themeColor="text1"/>
          <w:sz w:val="24"/>
          <w:highlight w:val="none"/>
          <w14:textFill>
            <w14:solidFill>
              <w14:schemeClr w14:val="tx1"/>
            </w14:solidFill>
          </w14:textFill>
        </w:rPr>
        <w:t>内，我单位不得要求退出竞标或者修改响应性文件。</w:t>
      </w:r>
    </w:p>
    <w:p w14:paraId="757C05D8">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3、我方明白采购人不一定接纳最低投标报价的采购，也不需要采购人解释选择或否决任何供应商的原因和理由。</w:t>
      </w:r>
    </w:p>
    <w:p w14:paraId="233A1252">
      <w:pPr>
        <w:widowControl/>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4、我方参与本项目投标的所有资料真实有效，未在响应文件中提供虚假材料，无陪标、串标等违法行为。若相关部门查实或被不见面开标系统提示为“投标文件制作机器码一致”的，同意被视为投标无效，接受报监管部门依法作出的处理。</w:t>
      </w:r>
    </w:p>
    <w:p w14:paraId="37DCBC5F">
      <w:pPr>
        <w:spacing w:line="360" w:lineRule="auto"/>
        <w:ind w:firstLine="480" w:firstLineChars="200"/>
        <w:jc w:val="left"/>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5、一旦我方中标，我方在收到中标通知书后15日内，依据采购文件、响应文件与采购人签订合同。若由于我方原因在15日内因非不可抗力拒绝与采购人签订合同的，愿意接受相关部门依法作出的处罚。合同签订后严格按照合同履约，并配合采购人完成履约验收。</w:t>
      </w:r>
    </w:p>
    <w:p w14:paraId="630F6CC2">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企业电子签章</w:t>
      </w:r>
      <w:r>
        <w:rPr>
          <w:rFonts w:hint="eastAsia" w:ascii="宋体" w:hAnsi="宋体" w:cs="宋体"/>
          <w:color w:val="000000" w:themeColor="text1"/>
          <w:kern w:val="0"/>
          <w:sz w:val="24"/>
          <w:highlight w:val="none"/>
          <w14:textFill>
            <w14:solidFill>
              <w14:schemeClr w14:val="tx1"/>
            </w14:solidFill>
          </w14:textFill>
        </w:rPr>
        <w:t>）</w:t>
      </w:r>
    </w:p>
    <w:p w14:paraId="64569F51">
      <w:pPr>
        <w:widowControl/>
        <w:spacing w:line="360" w:lineRule="auto"/>
        <w:ind w:firstLine="480" w:firstLineChars="200"/>
        <w:rPr>
          <w:rFonts w:ascii="宋体" w:hAnsi="宋体" w:cs="宋体"/>
          <w:color w:val="000000" w:themeColor="text1"/>
          <w:kern w:val="0"/>
          <w:sz w:val="24"/>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法定代表人或授权委托代理人：（签字或盖章）</w:t>
      </w:r>
    </w:p>
    <w:p w14:paraId="2E8CADC1">
      <w:pPr>
        <w:widowControl/>
        <w:spacing w:line="360" w:lineRule="auto"/>
        <w:ind w:firstLine="480" w:firstLineChars="200"/>
        <w:rPr>
          <w:rFonts w:ascii="宋体" w:hAnsi="宋体" w:cs="宋体"/>
          <w:b/>
          <w:bCs/>
          <w:color w:val="000000" w:themeColor="text1"/>
          <w:kern w:val="0"/>
          <w:sz w:val="32"/>
          <w:szCs w:val="32"/>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t>年      月      日</w:t>
      </w:r>
    </w:p>
    <w:p w14:paraId="361357E7">
      <w:pPr>
        <w:spacing w:line="500" w:lineRule="exact"/>
        <w:jc w:val="center"/>
        <w:outlineLvl w:val="2"/>
        <w:rPr>
          <w:rFonts w:ascii="宋体" w:hAnsi="宋体" w:cs="宋体"/>
          <w:b/>
          <w:bCs/>
          <w:color w:val="000000" w:themeColor="text1"/>
          <w:sz w:val="28"/>
          <w:szCs w:val="28"/>
          <w:highlight w:val="none"/>
          <w14:textFill>
            <w14:solidFill>
              <w14:schemeClr w14:val="tx1"/>
            </w14:solidFill>
          </w14:textFill>
        </w:rPr>
      </w:pPr>
      <w:r>
        <w:rPr>
          <w:rFonts w:hint="eastAsia" w:ascii="宋体" w:hAnsi="宋体" w:cs="宋体"/>
          <w:b/>
          <w:bCs/>
          <w:color w:val="000000" w:themeColor="text1"/>
          <w:sz w:val="28"/>
          <w:szCs w:val="28"/>
          <w:highlight w:val="none"/>
          <w14:textFill>
            <w14:solidFill>
              <w14:schemeClr w14:val="tx1"/>
            </w14:solidFill>
          </w14:textFill>
        </w:rPr>
        <w:br w:type="page"/>
      </w:r>
      <w:bookmarkStart w:id="310" w:name="_Toc31291"/>
      <w:bookmarkStart w:id="311" w:name="_Toc208"/>
      <w:bookmarkStart w:id="312" w:name="_Toc11230"/>
      <w:bookmarkStart w:id="313" w:name="_Toc9543"/>
      <w:bookmarkStart w:id="314" w:name="_Toc20165"/>
      <w:bookmarkStart w:id="315" w:name="_Toc14778"/>
      <w:r>
        <w:rPr>
          <w:rFonts w:hint="eastAsia" w:ascii="宋体" w:hAnsi="宋体" w:cs="宋体"/>
          <w:b/>
          <w:bCs/>
          <w:color w:val="000000" w:themeColor="text1"/>
          <w:sz w:val="28"/>
          <w:szCs w:val="28"/>
          <w:highlight w:val="none"/>
          <w14:textFill>
            <w14:solidFill>
              <w14:schemeClr w14:val="tx1"/>
            </w14:solidFill>
          </w14:textFill>
        </w:rPr>
        <w:t>（二） 开标一览表</w:t>
      </w:r>
      <w:bookmarkEnd w:id="310"/>
      <w:bookmarkEnd w:id="311"/>
      <w:bookmarkEnd w:id="312"/>
      <w:bookmarkEnd w:id="313"/>
      <w:bookmarkEnd w:id="314"/>
      <w:bookmarkEnd w:id="315"/>
    </w:p>
    <w:p w14:paraId="702CF342">
      <w:pPr>
        <w:jc w:val="center"/>
        <w:rPr>
          <w:rFonts w:ascii="宋体" w:hAnsi="宋体" w:cs="宋体"/>
          <w:b/>
          <w:bCs/>
          <w:color w:val="000000" w:themeColor="text1"/>
          <w:sz w:val="28"/>
          <w:highlight w:val="none"/>
          <w14:textFill>
            <w14:solidFill>
              <w14:schemeClr w14:val="tx1"/>
            </w14:solidFill>
          </w14:textFill>
        </w:rPr>
      </w:pPr>
    </w:p>
    <w:tbl>
      <w:tblPr>
        <w:tblStyle w:val="28"/>
        <w:tblW w:w="9491"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450"/>
        <w:gridCol w:w="7041"/>
      </w:tblGrid>
      <w:tr w14:paraId="1CC60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56" w:hRule="atLeast"/>
          <w:jc w:val="center"/>
        </w:trPr>
        <w:tc>
          <w:tcPr>
            <w:tcW w:w="2450" w:type="dxa"/>
            <w:vAlign w:val="center"/>
          </w:tcPr>
          <w:p w14:paraId="290B1FB7">
            <w:pPr>
              <w:spacing w:line="300" w:lineRule="exact"/>
              <w:jc w:val="center"/>
              <w:rPr>
                <w:rFonts w:hint="default" w:ascii="宋体" w:hAnsi="宋体" w:eastAsia="宋体" w:cs="宋体"/>
                <w:color w:val="000000" w:themeColor="text1"/>
                <w:sz w:val="24"/>
                <w:highlight w:val="none"/>
                <w:lang w:val="en-US" w:eastAsia="zh-CN"/>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+包段</w:t>
            </w:r>
          </w:p>
        </w:tc>
        <w:tc>
          <w:tcPr>
            <w:tcW w:w="7041" w:type="dxa"/>
            <w:vAlign w:val="center"/>
          </w:tcPr>
          <w:p w14:paraId="5A87338D">
            <w:pPr>
              <w:pStyle w:val="24"/>
              <w:keepNext w:val="0"/>
              <w:keepLines w:val="0"/>
              <w:pageBreakBefore w:val="0"/>
              <w:kinsoku/>
              <w:wordWrap/>
              <w:overflowPunct/>
              <w:topLinePunct w:val="0"/>
              <w:autoSpaceDE/>
              <w:autoSpaceDN/>
              <w:bidi w:val="0"/>
              <w:spacing w:before="0" w:after="0" w:line="440" w:lineRule="exact"/>
              <w:textAlignment w:val="auto"/>
              <w:rPr>
                <w:rFonts w:ascii="宋体" w:hAnsi="宋体" w:cs="宋体"/>
                <w:color w:val="000000" w:themeColor="text1"/>
                <w:sz w:val="24"/>
                <w:szCs w:val="20"/>
                <w:highlight w:val="none"/>
                <w14:textFill>
                  <w14:solidFill>
                    <w14:schemeClr w14:val="tx1"/>
                  </w14:solidFill>
                </w14:textFill>
              </w:rPr>
            </w:pPr>
            <w:r>
              <w:rPr>
                <w:rFonts w:hint="eastAsia" w:ascii="宋体" w:hAnsi="宋体" w:eastAsia="宋体" w:cs="宋体"/>
                <w:b w:val="0"/>
                <w:color w:val="000000" w:themeColor="text1"/>
                <w:kern w:val="2"/>
                <w:sz w:val="24"/>
                <w:szCs w:val="24"/>
                <w:highlight w:val="none"/>
                <w:lang w:val="en-US" w:eastAsia="zh-CN" w:bidi="ar-SA"/>
                <w14:textFill>
                  <w14:solidFill>
                    <w14:schemeClr w14:val="tx1"/>
                  </w14:solidFill>
                </w14:textFill>
              </w:rPr>
              <w:t>博爱县教育体育局焦作新材料职业学院图书、教学设备、实验设备等采购项目二标段（二次）项目（机房类二次）</w:t>
            </w:r>
          </w:p>
        </w:tc>
      </w:tr>
      <w:tr w14:paraId="70DF6E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22" w:hRule="atLeast"/>
          <w:jc w:val="center"/>
        </w:trPr>
        <w:tc>
          <w:tcPr>
            <w:tcW w:w="2450" w:type="dxa"/>
            <w:vAlign w:val="center"/>
          </w:tcPr>
          <w:p w14:paraId="42F19D6E">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 标 人</w:t>
            </w:r>
          </w:p>
        </w:tc>
        <w:tc>
          <w:tcPr>
            <w:tcW w:w="7041" w:type="dxa"/>
            <w:vAlign w:val="center"/>
          </w:tcPr>
          <w:p w14:paraId="0A5142E1">
            <w:pPr>
              <w:pStyle w:val="11"/>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12BC6C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63" w:hRule="atLeast"/>
          <w:jc w:val="center"/>
        </w:trPr>
        <w:tc>
          <w:tcPr>
            <w:tcW w:w="2450" w:type="dxa"/>
            <w:vAlign w:val="center"/>
          </w:tcPr>
          <w:p w14:paraId="5F522598">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投标总报价</w:t>
            </w:r>
          </w:p>
        </w:tc>
        <w:tc>
          <w:tcPr>
            <w:tcW w:w="7041" w:type="dxa"/>
            <w:vAlign w:val="center"/>
          </w:tcPr>
          <w:p w14:paraId="6E7783BF">
            <w:pPr>
              <w:pStyle w:val="11"/>
              <w:spacing w:line="400" w:lineRule="exact"/>
              <w:ind w:left="0" w:leftChars="0"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xml:space="preserve">（大写）                                </w:t>
            </w:r>
          </w:p>
          <w:p w14:paraId="0D0D5C77">
            <w:pPr>
              <w:pStyle w:val="11"/>
              <w:spacing w:line="400" w:lineRule="exact"/>
              <w:ind w:left="0" w:leftChars="0" w:firstLine="0" w:firstLineChars="0"/>
              <w:rPr>
                <w:rFonts w:ascii="宋体" w:hAnsi="宋体" w:cs="宋体"/>
                <w:color w:val="000000" w:themeColor="text1"/>
                <w:sz w:val="24"/>
                <w:szCs w:val="20"/>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 xml:space="preserve">（小写）                                </w:t>
            </w:r>
          </w:p>
        </w:tc>
      </w:tr>
      <w:tr w14:paraId="17CEF7F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03" w:hRule="atLeast"/>
          <w:jc w:val="center"/>
        </w:trPr>
        <w:tc>
          <w:tcPr>
            <w:tcW w:w="2450" w:type="dxa"/>
            <w:vAlign w:val="center"/>
          </w:tcPr>
          <w:p w14:paraId="5D239377">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质量标准</w:t>
            </w:r>
          </w:p>
        </w:tc>
        <w:tc>
          <w:tcPr>
            <w:tcW w:w="7041" w:type="dxa"/>
            <w:vAlign w:val="center"/>
          </w:tcPr>
          <w:p w14:paraId="1800A50E">
            <w:pPr>
              <w:pStyle w:val="11"/>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3EE86F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820" w:hRule="atLeast"/>
          <w:jc w:val="center"/>
        </w:trPr>
        <w:tc>
          <w:tcPr>
            <w:tcW w:w="2450" w:type="dxa"/>
            <w:vAlign w:val="center"/>
          </w:tcPr>
          <w:p w14:paraId="5AC391C7">
            <w:pPr>
              <w:spacing w:line="300" w:lineRule="exact"/>
              <w:jc w:val="center"/>
              <w:rPr>
                <w:rFonts w:hint="eastAsia"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合同履行期限</w:t>
            </w:r>
          </w:p>
          <w:p w14:paraId="1CA0E044">
            <w:pPr>
              <w:spacing w:line="300" w:lineRule="exact"/>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（供货及安装期）</w:t>
            </w:r>
          </w:p>
        </w:tc>
        <w:tc>
          <w:tcPr>
            <w:tcW w:w="7041" w:type="dxa"/>
            <w:vAlign w:val="center"/>
          </w:tcPr>
          <w:p w14:paraId="313F0705">
            <w:pPr>
              <w:pStyle w:val="11"/>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03D081D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450" w:type="dxa"/>
            <w:vAlign w:val="center"/>
          </w:tcPr>
          <w:p w14:paraId="3BE00709">
            <w:pPr>
              <w:spacing w:line="300" w:lineRule="exact"/>
              <w:jc w:val="center"/>
              <w:rPr>
                <w:rFonts w:ascii="宋体" w:hAnsi="宋体" w:cs="宋体"/>
                <w:bCs/>
                <w:iCs/>
                <w:color w:val="000000" w:themeColor="text1"/>
                <w:sz w:val="24"/>
                <w:highlight w:val="none"/>
                <w14:textFill>
                  <w14:solidFill>
                    <w14:schemeClr w14:val="tx1"/>
                  </w14:solidFill>
                </w14:textFill>
              </w:rPr>
            </w:pPr>
            <w:r>
              <w:rPr>
                <w:rFonts w:hint="eastAsia" w:ascii="宋体" w:hAnsi="宋体" w:cs="宋体"/>
                <w:bCs/>
                <w:iCs/>
                <w:color w:val="000000" w:themeColor="text1"/>
                <w:sz w:val="24"/>
                <w:highlight w:val="none"/>
                <w14:textFill>
                  <w14:solidFill>
                    <w14:schemeClr w14:val="tx1"/>
                  </w14:solidFill>
                </w14:textFill>
              </w:rPr>
              <w:t>质保期</w:t>
            </w:r>
          </w:p>
        </w:tc>
        <w:tc>
          <w:tcPr>
            <w:tcW w:w="7041" w:type="dxa"/>
            <w:vAlign w:val="center"/>
          </w:tcPr>
          <w:p w14:paraId="5184908E">
            <w:pPr>
              <w:pStyle w:val="11"/>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5F6AB54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76" w:hRule="atLeast"/>
          <w:jc w:val="center"/>
        </w:trPr>
        <w:tc>
          <w:tcPr>
            <w:tcW w:w="2450" w:type="dxa"/>
            <w:vAlign w:val="center"/>
          </w:tcPr>
          <w:p w14:paraId="1B7ED6D7">
            <w:pPr>
              <w:spacing w:line="300" w:lineRule="exact"/>
              <w:jc w:val="center"/>
              <w:rPr>
                <w:rFonts w:ascii="宋体" w:hAnsi="宋体" w:cs="宋体"/>
                <w:bCs/>
                <w:iCs/>
                <w:color w:val="000000" w:themeColor="text1"/>
                <w:sz w:val="24"/>
                <w:highlight w:val="none"/>
                <w14:textFill>
                  <w14:solidFill>
                    <w14:schemeClr w14:val="tx1"/>
                  </w14:solidFill>
                </w14:textFill>
              </w:rPr>
            </w:pPr>
            <w:r>
              <w:rPr>
                <w:rFonts w:hint="eastAsia" w:ascii="宋体" w:hAnsi="宋体" w:cs="宋体"/>
                <w:bCs/>
                <w:iCs/>
                <w:color w:val="000000" w:themeColor="text1"/>
                <w:sz w:val="24"/>
                <w:highlight w:val="none"/>
                <w14:textFill>
                  <w14:solidFill>
                    <w14:schemeClr w14:val="tx1"/>
                  </w14:solidFill>
                </w14:textFill>
              </w:rPr>
              <w:t>投标有效期</w:t>
            </w:r>
          </w:p>
        </w:tc>
        <w:tc>
          <w:tcPr>
            <w:tcW w:w="7041" w:type="dxa"/>
            <w:vAlign w:val="center"/>
          </w:tcPr>
          <w:p w14:paraId="1C701199">
            <w:pPr>
              <w:pStyle w:val="11"/>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0451C3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450" w:type="dxa"/>
            <w:vAlign w:val="center"/>
          </w:tcPr>
          <w:p w14:paraId="77B9F691">
            <w:pPr>
              <w:pStyle w:val="11"/>
              <w:spacing w:line="400" w:lineRule="exact"/>
              <w:ind w:firstLine="0" w:firstLineChars="0"/>
              <w:jc w:val="cente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权利义务</w:t>
            </w:r>
          </w:p>
        </w:tc>
        <w:tc>
          <w:tcPr>
            <w:tcW w:w="7041" w:type="dxa"/>
            <w:vAlign w:val="center"/>
          </w:tcPr>
          <w:p w14:paraId="51AD6F94">
            <w:pPr>
              <w:pStyle w:val="11"/>
              <w:spacing w:line="400" w:lineRule="exact"/>
              <w:ind w:left="0" w:leftChars="0" w:firstLine="0" w:firstLineChars="0"/>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符合第四章“合同条款及格式”规定</w:t>
            </w:r>
          </w:p>
        </w:tc>
      </w:tr>
      <w:tr w14:paraId="60EDD39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450" w:type="dxa"/>
            <w:vAlign w:val="center"/>
          </w:tcPr>
          <w:p w14:paraId="1339AD48">
            <w:pPr>
              <w:pStyle w:val="11"/>
              <w:spacing w:line="400" w:lineRule="exact"/>
              <w:ind w:firstLine="0" w:firstLineChars="0"/>
              <w:jc w:val="cente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技术标准和要求</w:t>
            </w:r>
          </w:p>
        </w:tc>
        <w:tc>
          <w:tcPr>
            <w:tcW w:w="7041" w:type="dxa"/>
            <w:vAlign w:val="center"/>
          </w:tcPr>
          <w:p w14:paraId="32DCAF34">
            <w:pPr>
              <w:pStyle w:val="11"/>
              <w:spacing w:line="400" w:lineRule="exact"/>
              <w:ind w:left="0" w:leftChars="0" w:firstLine="0" w:firstLineChars="0"/>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t>符合第五章“采购内容及技术要求”和“附件”规定</w:t>
            </w:r>
          </w:p>
        </w:tc>
      </w:tr>
      <w:tr w14:paraId="46FDC9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450" w:type="dxa"/>
            <w:vAlign w:val="center"/>
          </w:tcPr>
          <w:p w14:paraId="131A5694">
            <w:pPr>
              <w:pStyle w:val="11"/>
              <w:spacing w:line="400" w:lineRule="exact"/>
              <w:ind w:firstLine="0" w:firstLineChars="0"/>
              <w:jc w:val="center"/>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r>
              <w:rPr>
                <w:rFonts w:hint="eastAsia" w:ascii="宋体" w:hAnsi="宋体" w:cs="宋体"/>
                <w:bCs/>
                <w:iCs/>
                <w:color w:val="000000" w:themeColor="text1"/>
                <w:kern w:val="2"/>
                <w:sz w:val="24"/>
                <w:szCs w:val="24"/>
                <w:highlight w:val="none"/>
                <w:lang w:val="en-US" w:eastAsia="zh-CN" w:bidi="ar-SA"/>
                <w14:textFill>
                  <w14:solidFill>
                    <w14:schemeClr w14:val="tx1"/>
                  </w14:solidFill>
                </w14:textFill>
              </w:rPr>
              <w:t>付款方式</w:t>
            </w:r>
          </w:p>
        </w:tc>
        <w:tc>
          <w:tcPr>
            <w:tcW w:w="7041" w:type="dxa"/>
            <w:vAlign w:val="center"/>
          </w:tcPr>
          <w:p w14:paraId="6D709A6E">
            <w:pPr>
              <w:pStyle w:val="11"/>
              <w:spacing w:line="400" w:lineRule="exact"/>
              <w:ind w:left="0" w:leftChars="0" w:firstLine="0" w:firstLineChars="0"/>
              <w:rPr>
                <w:rFonts w:hint="eastAsia" w:ascii="宋体" w:hAnsi="宋体" w:eastAsia="宋体" w:cs="宋体"/>
                <w:bCs/>
                <w:iCs/>
                <w:color w:val="000000" w:themeColor="text1"/>
                <w:kern w:val="2"/>
                <w:sz w:val="24"/>
                <w:szCs w:val="24"/>
                <w:highlight w:val="none"/>
                <w:lang w:val="en-US" w:eastAsia="zh-CN" w:bidi="ar-SA"/>
                <w14:textFill>
                  <w14:solidFill>
                    <w14:schemeClr w14:val="tx1"/>
                  </w14:solidFill>
                </w14:textFill>
              </w:rPr>
            </w:pPr>
          </w:p>
        </w:tc>
      </w:tr>
      <w:tr w14:paraId="4FBAC8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96" w:hRule="atLeast"/>
          <w:jc w:val="center"/>
        </w:trPr>
        <w:tc>
          <w:tcPr>
            <w:tcW w:w="2450" w:type="dxa"/>
            <w:vAlign w:val="center"/>
          </w:tcPr>
          <w:p w14:paraId="6F3EA50E">
            <w:pPr>
              <w:pStyle w:val="11"/>
              <w:spacing w:line="400" w:lineRule="exact"/>
              <w:ind w:firstLine="0" w:firstLineChars="0"/>
              <w:jc w:val="center"/>
              <w:rPr>
                <w:rFonts w:ascii="宋体" w:hAnsi="宋体" w:cs="宋体"/>
                <w:bCs/>
                <w:iCs/>
                <w:color w:val="000000" w:themeColor="text1"/>
                <w:sz w:val="24"/>
                <w:highlight w:val="none"/>
                <w14:textFill>
                  <w14:solidFill>
                    <w14:schemeClr w14:val="tx1"/>
                  </w14:solidFill>
                </w14:textFill>
              </w:rPr>
            </w:pPr>
            <w:r>
              <w:rPr>
                <w:rFonts w:hint="eastAsia" w:ascii="宋体" w:hAnsi="宋体" w:cs="宋体"/>
                <w:color w:val="000000" w:themeColor="text1"/>
                <w:sz w:val="24"/>
                <w:szCs w:val="20"/>
                <w:highlight w:val="none"/>
                <w14:textFill>
                  <w14:solidFill>
                    <w14:schemeClr w14:val="tx1"/>
                  </w14:solidFill>
                </w14:textFill>
              </w:rPr>
              <w:t>备注</w:t>
            </w:r>
          </w:p>
        </w:tc>
        <w:tc>
          <w:tcPr>
            <w:tcW w:w="7041" w:type="dxa"/>
            <w:vAlign w:val="center"/>
          </w:tcPr>
          <w:p w14:paraId="379098C2">
            <w:pPr>
              <w:pStyle w:val="11"/>
              <w:spacing w:line="400" w:lineRule="exact"/>
              <w:ind w:firstLine="480"/>
              <w:rPr>
                <w:rFonts w:ascii="宋体" w:hAnsi="宋体" w:cs="宋体"/>
                <w:color w:val="000000" w:themeColor="text1"/>
                <w:sz w:val="24"/>
                <w:szCs w:val="20"/>
                <w:highlight w:val="none"/>
                <w14:textFill>
                  <w14:solidFill>
                    <w14:schemeClr w14:val="tx1"/>
                  </w14:solidFill>
                </w14:textFill>
              </w:rPr>
            </w:pPr>
          </w:p>
        </w:tc>
      </w:tr>
      <w:tr w14:paraId="4960CE9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75" w:hRule="atLeast"/>
          <w:jc w:val="center"/>
        </w:trPr>
        <w:tc>
          <w:tcPr>
            <w:tcW w:w="9491" w:type="dxa"/>
            <w:gridSpan w:val="2"/>
            <w:vAlign w:val="center"/>
          </w:tcPr>
          <w:p w14:paraId="3FE2466D">
            <w:pPr>
              <w:pStyle w:val="11"/>
              <w:spacing w:line="400" w:lineRule="exact"/>
              <w:ind w:firstLine="480"/>
              <w:rPr>
                <w:rFonts w:ascii="宋体" w:hAnsi="宋体" w:cs="宋体"/>
                <w:color w:val="000000" w:themeColor="text1"/>
                <w:sz w:val="24"/>
                <w:szCs w:val="20"/>
                <w:highlight w:val="none"/>
                <w14:textFill>
                  <w14:solidFill>
                    <w14:schemeClr w14:val="tx1"/>
                  </w14:solidFill>
                </w14:textFill>
              </w:rPr>
            </w:pPr>
          </w:p>
        </w:tc>
      </w:tr>
    </w:tbl>
    <w:p w14:paraId="4C09935C">
      <w:pPr>
        <w:rPr>
          <w:rFonts w:ascii="宋体" w:hAnsi="宋体" w:cs="宋体"/>
          <w:color w:val="000000" w:themeColor="text1"/>
          <w:sz w:val="24"/>
          <w:highlight w:val="none"/>
          <w14:textFill>
            <w14:solidFill>
              <w14:schemeClr w14:val="tx1"/>
            </w14:solidFill>
          </w14:textFill>
        </w:rPr>
      </w:pPr>
    </w:p>
    <w:p w14:paraId="6CEF08D4">
      <w:pPr>
        <w:ind w:firstLine="3240" w:firstLineChars="1350"/>
        <w:rPr>
          <w:rFonts w:ascii="宋体" w:hAnsi="宋体" w:cs="宋体"/>
          <w:color w:val="000000" w:themeColor="text1"/>
          <w:sz w:val="24"/>
          <w:highlight w:val="none"/>
          <w14:textFill>
            <w14:solidFill>
              <w14:schemeClr w14:val="tx1"/>
            </w14:solidFill>
          </w14:textFill>
        </w:rPr>
      </w:pPr>
    </w:p>
    <w:p w14:paraId="00D71F96">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供应商：（企业电子签章）</w:t>
      </w:r>
    </w:p>
    <w:p w14:paraId="06B474E4">
      <w:pPr>
        <w:ind w:left="1050" w:leftChars="500"/>
        <w:jc w:val="center"/>
        <w:rPr>
          <w:rFonts w:ascii="宋体" w:hAnsi="宋体" w:cs="宋体"/>
          <w:color w:val="000000" w:themeColor="text1"/>
          <w:sz w:val="24"/>
          <w:highlight w:val="none"/>
          <w14:textFill>
            <w14:solidFill>
              <w14:schemeClr w14:val="tx1"/>
            </w14:solidFill>
          </w14:textFill>
        </w:rPr>
      </w:pPr>
    </w:p>
    <w:p w14:paraId="75580544">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szCs w:val="20"/>
          <w:highlight w:val="none"/>
          <w14:textFill>
            <w14:solidFill>
              <w14:schemeClr w14:val="tx1"/>
            </w14:solidFill>
          </w14:textFill>
        </w:rPr>
        <w:t>或其委托代理人</w:t>
      </w:r>
      <w:r>
        <w:rPr>
          <w:rFonts w:hint="eastAsia" w:ascii="宋体" w:hAnsi="宋体" w:cs="宋体"/>
          <w:color w:val="000000" w:themeColor="text1"/>
          <w:sz w:val="24"/>
          <w:highlight w:val="none"/>
          <w14:textFill>
            <w14:solidFill>
              <w14:schemeClr w14:val="tx1"/>
            </w14:solidFill>
          </w14:textFill>
        </w:rPr>
        <w:t>：（签字或盖章）</w:t>
      </w:r>
    </w:p>
    <w:p w14:paraId="46FB649A">
      <w:pPr>
        <w:ind w:left="1050" w:leftChars="500"/>
        <w:jc w:val="center"/>
        <w:rPr>
          <w:rFonts w:ascii="宋体" w:hAnsi="宋体" w:cs="宋体"/>
          <w:color w:val="000000" w:themeColor="text1"/>
          <w:sz w:val="24"/>
          <w:highlight w:val="none"/>
          <w14:textFill>
            <w14:solidFill>
              <w14:schemeClr w14:val="tx1"/>
            </w14:solidFill>
          </w14:textFill>
        </w:rPr>
      </w:pPr>
    </w:p>
    <w:p w14:paraId="62BD0A0B">
      <w:pP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日  期：     年   月   日</w:t>
      </w:r>
    </w:p>
    <w:p w14:paraId="5AB43334">
      <w:pPr>
        <w:rPr>
          <w:rFonts w:ascii="宋体" w:hAnsi="宋体" w:cs="宋体"/>
          <w:color w:val="000000" w:themeColor="text1"/>
          <w:highlight w:val="none"/>
          <w14:textFill>
            <w14:solidFill>
              <w14:schemeClr w14:val="tx1"/>
            </w14:solidFill>
          </w14:textFill>
        </w:rPr>
      </w:pPr>
    </w:p>
    <w:p w14:paraId="09B453AA">
      <w:pPr>
        <w:rPr>
          <w:rFonts w:ascii="宋体" w:hAnsi="宋体" w:cs="宋体"/>
          <w:color w:val="000000" w:themeColor="text1"/>
          <w:highlight w:val="none"/>
          <w14:textFill>
            <w14:solidFill>
              <w14:schemeClr w14:val="tx1"/>
            </w14:solidFill>
          </w14:textFill>
        </w:rPr>
      </w:pPr>
    </w:p>
    <w:p w14:paraId="017234D2">
      <w:pPr>
        <w:spacing w:line="500" w:lineRule="exact"/>
        <w:jc w:val="center"/>
        <w:outlineLvl w:val="2"/>
        <w:rPr>
          <w:rFonts w:asciiTheme="minorEastAsia" w:hAnsiTheme="minorEastAsia" w:eastAsiaTheme="minorEastAsia" w:cstheme="minorEastAsia"/>
          <w:b/>
          <w:bCs/>
          <w:color w:val="000000" w:themeColor="text1"/>
          <w:sz w:val="28"/>
          <w:szCs w:val="28"/>
          <w:highlight w:val="none"/>
          <w14:textFill>
            <w14:solidFill>
              <w14:schemeClr w14:val="tx1"/>
            </w14:solidFill>
          </w14:textFill>
        </w:rPr>
      </w:pPr>
      <w:bookmarkStart w:id="316" w:name="_Toc20147"/>
      <w:bookmarkStart w:id="317" w:name="_Toc13753"/>
      <w:r>
        <w:rPr>
          <w:rFonts w:hint="eastAsia" w:ascii="宋体" w:hAnsi="宋体" w:cs="宋体"/>
          <w:b/>
          <w:bCs/>
          <w:color w:val="000000" w:themeColor="text1"/>
          <w:sz w:val="28"/>
          <w:szCs w:val="28"/>
          <w:highlight w:val="none"/>
          <w14:textFill>
            <w14:solidFill>
              <w14:schemeClr w14:val="tx1"/>
            </w14:solidFill>
          </w14:textFill>
        </w:rPr>
        <w:t>（三）报价</w:t>
      </w:r>
      <w:bookmarkEnd w:id="316"/>
      <w:bookmarkEnd w:id="317"/>
      <w:r>
        <w:rPr>
          <w:rFonts w:hint="eastAsia" w:asciiTheme="minorEastAsia" w:hAnsiTheme="minorEastAsia" w:eastAsiaTheme="minorEastAsia" w:cstheme="minorEastAsia"/>
          <w:b/>
          <w:bCs/>
          <w:color w:val="000000" w:themeColor="text1"/>
          <w:sz w:val="28"/>
          <w:szCs w:val="28"/>
          <w:highlight w:val="none"/>
          <w14:textFill>
            <w14:solidFill>
              <w14:schemeClr w14:val="tx1"/>
            </w14:solidFill>
          </w14:textFill>
        </w:rPr>
        <w:t>明细表</w:t>
      </w:r>
    </w:p>
    <w:p w14:paraId="0A35F028">
      <w:pPr>
        <w:spacing w:line="440" w:lineRule="exact"/>
        <w:ind w:firstLine="308" w:firstLineChars="147"/>
        <w:rPr>
          <w:rFonts w:ascii="宋体" w:hAnsi="宋体" w:cs="宋体"/>
          <w:bCs/>
          <w:color w:val="000000" w:themeColor="text1"/>
          <w:szCs w:val="21"/>
          <w:highlight w:val="none"/>
          <w14:textFill>
            <w14:solidFill>
              <w14:schemeClr w14:val="tx1"/>
            </w14:solidFill>
          </w14:textFill>
        </w:rPr>
      </w:pPr>
    </w:p>
    <w:tbl>
      <w:tblPr>
        <w:tblStyle w:val="28"/>
        <w:tblW w:w="9336" w:type="dxa"/>
        <w:tblInd w:w="249"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30"/>
        <w:gridCol w:w="801"/>
        <w:gridCol w:w="799"/>
        <w:gridCol w:w="1725"/>
        <w:gridCol w:w="926"/>
        <w:gridCol w:w="926"/>
        <w:gridCol w:w="926"/>
        <w:gridCol w:w="928"/>
        <w:gridCol w:w="1075"/>
      </w:tblGrid>
      <w:tr w14:paraId="4C53D04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230" w:type="dxa"/>
            <w:vMerge w:val="restart"/>
            <w:tcBorders>
              <w:top w:val="single" w:color="auto" w:sz="4" w:space="0"/>
              <w:left w:val="single" w:color="auto" w:sz="4" w:space="0"/>
              <w:right w:val="single" w:color="auto" w:sz="4" w:space="0"/>
            </w:tcBorders>
            <w:noWrap/>
            <w:vAlign w:val="center"/>
          </w:tcPr>
          <w:p w14:paraId="1C8232B4">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名称</w:t>
            </w:r>
          </w:p>
        </w:tc>
        <w:tc>
          <w:tcPr>
            <w:tcW w:w="3325" w:type="dxa"/>
            <w:gridSpan w:val="3"/>
            <w:tcBorders>
              <w:top w:val="single" w:color="auto" w:sz="4" w:space="0"/>
              <w:left w:val="single" w:color="auto" w:sz="4" w:space="0"/>
              <w:bottom w:val="single" w:color="auto" w:sz="4" w:space="0"/>
              <w:right w:val="single" w:color="auto" w:sz="4" w:space="0"/>
            </w:tcBorders>
            <w:noWrap/>
            <w:vAlign w:val="center"/>
          </w:tcPr>
          <w:p w14:paraId="74A72EB4">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所投</w:t>
            </w:r>
            <w:r>
              <w:rPr>
                <w:rFonts w:hint="eastAsia"/>
                <w:bCs/>
                <w:color w:val="000000" w:themeColor="text1"/>
                <w:highlight w:val="none"/>
                <w:lang w:val="en-US" w:eastAsia="zh-CN"/>
                <w14:textFill>
                  <w14:solidFill>
                    <w14:schemeClr w14:val="tx1"/>
                  </w14:solidFill>
                </w14:textFill>
              </w:rPr>
              <w:t>货物</w:t>
            </w:r>
          </w:p>
        </w:tc>
        <w:tc>
          <w:tcPr>
            <w:tcW w:w="926" w:type="dxa"/>
            <w:vMerge w:val="restart"/>
            <w:tcBorders>
              <w:top w:val="single" w:color="auto" w:sz="4" w:space="0"/>
              <w:left w:val="single" w:color="auto" w:sz="4" w:space="0"/>
              <w:right w:val="single" w:color="auto" w:sz="4" w:space="0"/>
            </w:tcBorders>
            <w:noWrap/>
            <w:vAlign w:val="center"/>
          </w:tcPr>
          <w:p w14:paraId="1AF9F38C">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单位</w:t>
            </w:r>
          </w:p>
        </w:tc>
        <w:tc>
          <w:tcPr>
            <w:tcW w:w="926" w:type="dxa"/>
            <w:vMerge w:val="restart"/>
            <w:tcBorders>
              <w:top w:val="single" w:color="auto" w:sz="4" w:space="0"/>
              <w:left w:val="single" w:color="auto" w:sz="4" w:space="0"/>
              <w:right w:val="single" w:color="auto" w:sz="4" w:space="0"/>
            </w:tcBorders>
            <w:noWrap/>
            <w:vAlign w:val="center"/>
          </w:tcPr>
          <w:p w14:paraId="63A8A3EE">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数量</w:t>
            </w:r>
          </w:p>
        </w:tc>
        <w:tc>
          <w:tcPr>
            <w:tcW w:w="926" w:type="dxa"/>
            <w:vMerge w:val="restart"/>
            <w:tcBorders>
              <w:top w:val="single" w:color="auto" w:sz="4" w:space="0"/>
              <w:left w:val="single" w:color="auto" w:sz="4" w:space="0"/>
              <w:right w:val="single" w:color="auto" w:sz="4" w:space="0"/>
            </w:tcBorders>
            <w:noWrap/>
            <w:vAlign w:val="center"/>
          </w:tcPr>
          <w:p w14:paraId="617DBABF">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p w14:paraId="574DE067">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单价（元）</w:t>
            </w:r>
          </w:p>
          <w:p w14:paraId="04AE6776">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28" w:type="dxa"/>
            <w:vMerge w:val="restart"/>
            <w:tcBorders>
              <w:top w:val="single" w:color="auto" w:sz="4" w:space="0"/>
              <w:left w:val="single" w:color="auto" w:sz="4" w:space="0"/>
              <w:right w:val="single" w:color="auto" w:sz="4" w:space="0"/>
            </w:tcBorders>
            <w:noWrap/>
            <w:vAlign w:val="center"/>
          </w:tcPr>
          <w:p w14:paraId="09D82354">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合价（元）</w:t>
            </w:r>
          </w:p>
        </w:tc>
        <w:tc>
          <w:tcPr>
            <w:tcW w:w="1075" w:type="dxa"/>
            <w:vMerge w:val="restart"/>
            <w:tcBorders>
              <w:top w:val="single" w:color="auto" w:sz="4" w:space="0"/>
              <w:left w:val="single" w:color="auto" w:sz="4" w:space="0"/>
              <w:right w:val="single" w:color="auto" w:sz="4" w:space="0"/>
            </w:tcBorders>
            <w:noWrap/>
          </w:tcPr>
          <w:p w14:paraId="6A780AE9">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p w14:paraId="35507791">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执行标准</w:t>
            </w:r>
          </w:p>
        </w:tc>
      </w:tr>
      <w:tr w14:paraId="14E146C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134" w:hRule="atLeast"/>
        </w:trPr>
        <w:tc>
          <w:tcPr>
            <w:tcW w:w="1230" w:type="dxa"/>
            <w:vMerge w:val="continue"/>
            <w:tcBorders>
              <w:left w:val="single" w:color="auto" w:sz="4" w:space="0"/>
              <w:bottom w:val="single" w:color="auto" w:sz="4" w:space="0"/>
              <w:right w:val="single" w:color="auto" w:sz="4" w:space="0"/>
            </w:tcBorders>
            <w:noWrap/>
            <w:vAlign w:val="center"/>
          </w:tcPr>
          <w:p w14:paraId="4D1E884B">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vAlign w:val="center"/>
          </w:tcPr>
          <w:p w14:paraId="3A14738A">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品牌</w:t>
            </w:r>
          </w:p>
        </w:tc>
        <w:tc>
          <w:tcPr>
            <w:tcW w:w="799" w:type="dxa"/>
            <w:tcBorders>
              <w:top w:val="single" w:color="auto" w:sz="4" w:space="0"/>
              <w:left w:val="single" w:color="auto" w:sz="4" w:space="0"/>
              <w:bottom w:val="single" w:color="auto" w:sz="4" w:space="0"/>
              <w:right w:val="single" w:color="auto" w:sz="4" w:space="0"/>
            </w:tcBorders>
            <w:noWrap/>
            <w:vAlign w:val="center"/>
          </w:tcPr>
          <w:p w14:paraId="722DEBE8">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型号</w:t>
            </w:r>
          </w:p>
        </w:tc>
        <w:tc>
          <w:tcPr>
            <w:tcW w:w="1725" w:type="dxa"/>
            <w:tcBorders>
              <w:top w:val="single" w:color="auto" w:sz="4" w:space="0"/>
              <w:left w:val="single" w:color="auto" w:sz="4" w:space="0"/>
              <w:bottom w:val="single" w:color="auto" w:sz="4" w:space="0"/>
              <w:right w:val="single" w:color="auto" w:sz="4" w:space="0"/>
            </w:tcBorders>
            <w:noWrap/>
            <w:vAlign w:val="center"/>
          </w:tcPr>
          <w:p w14:paraId="71FDE624">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r>
              <w:rPr>
                <w:rFonts w:hint="eastAsia"/>
                <w:bCs/>
                <w:color w:val="000000" w:themeColor="text1"/>
                <w:highlight w:val="none"/>
                <w14:textFill>
                  <w14:solidFill>
                    <w14:schemeClr w14:val="tx1"/>
                  </w14:solidFill>
                </w14:textFill>
              </w:rPr>
              <w:t>技术参数</w:t>
            </w:r>
          </w:p>
        </w:tc>
        <w:tc>
          <w:tcPr>
            <w:tcW w:w="926" w:type="dxa"/>
            <w:vMerge w:val="continue"/>
            <w:tcBorders>
              <w:left w:val="single" w:color="auto" w:sz="4" w:space="0"/>
              <w:bottom w:val="single" w:color="auto" w:sz="4" w:space="0"/>
              <w:right w:val="single" w:color="auto" w:sz="4" w:space="0"/>
            </w:tcBorders>
            <w:noWrap/>
            <w:vAlign w:val="center"/>
          </w:tcPr>
          <w:p w14:paraId="1633F837">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noWrap/>
            <w:vAlign w:val="center"/>
          </w:tcPr>
          <w:p w14:paraId="70702F46">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tc>
        <w:tc>
          <w:tcPr>
            <w:tcW w:w="926" w:type="dxa"/>
            <w:vMerge w:val="continue"/>
            <w:tcBorders>
              <w:left w:val="single" w:color="auto" w:sz="4" w:space="0"/>
              <w:bottom w:val="single" w:color="auto" w:sz="4" w:space="0"/>
              <w:right w:val="single" w:color="auto" w:sz="4" w:space="0"/>
            </w:tcBorders>
            <w:noWrap/>
            <w:vAlign w:val="center"/>
          </w:tcPr>
          <w:p w14:paraId="2AD4B64D">
            <w:pPr>
              <w:pStyle w:val="23"/>
              <w:widowControl w:val="0"/>
              <w:adjustRightInd w:val="0"/>
              <w:spacing w:before="0" w:beforeAutospacing="0" w:after="0" w:afterAutospacing="0" w:line="240" w:lineRule="auto"/>
              <w:ind w:firstLine="235" w:firstLineChars="98"/>
              <w:jc w:val="center"/>
              <w:rPr>
                <w:bCs/>
                <w:color w:val="000000" w:themeColor="text1"/>
                <w:highlight w:val="none"/>
                <w14:textFill>
                  <w14:solidFill>
                    <w14:schemeClr w14:val="tx1"/>
                  </w14:solidFill>
                </w14:textFill>
              </w:rPr>
            </w:pPr>
          </w:p>
        </w:tc>
        <w:tc>
          <w:tcPr>
            <w:tcW w:w="928" w:type="dxa"/>
            <w:vMerge w:val="continue"/>
            <w:tcBorders>
              <w:left w:val="single" w:color="auto" w:sz="4" w:space="0"/>
              <w:bottom w:val="single" w:color="auto" w:sz="4" w:space="0"/>
              <w:right w:val="single" w:color="auto" w:sz="4" w:space="0"/>
            </w:tcBorders>
            <w:noWrap/>
            <w:vAlign w:val="center"/>
          </w:tcPr>
          <w:p w14:paraId="1E309186">
            <w:pPr>
              <w:pStyle w:val="23"/>
              <w:widowControl w:val="0"/>
              <w:adjustRightInd w:val="0"/>
              <w:spacing w:before="0" w:beforeAutospacing="0" w:after="0" w:afterAutospacing="0" w:line="240" w:lineRule="auto"/>
              <w:jc w:val="center"/>
              <w:rPr>
                <w:bCs/>
                <w:color w:val="000000" w:themeColor="text1"/>
                <w:highlight w:val="none"/>
                <w14:textFill>
                  <w14:solidFill>
                    <w14:schemeClr w14:val="tx1"/>
                  </w14:solidFill>
                </w14:textFill>
              </w:rPr>
            </w:pPr>
          </w:p>
        </w:tc>
        <w:tc>
          <w:tcPr>
            <w:tcW w:w="1075" w:type="dxa"/>
            <w:vMerge w:val="continue"/>
            <w:tcBorders>
              <w:left w:val="single" w:color="auto" w:sz="4" w:space="0"/>
              <w:bottom w:val="single" w:color="auto" w:sz="4" w:space="0"/>
              <w:right w:val="single" w:color="auto" w:sz="4" w:space="0"/>
            </w:tcBorders>
            <w:noWrap/>
          </w:tcPr>
          <w:p w14:paraId="64C9B898">
            <w:pPr>
              <w:pStyle w:val="23"/>
              <w:widowControl w:val="0"/>
              <w:adjustRightInd w:val="0"/>
              <w:spacing w:before="0" w:beforeAutospacing="0" w:after="0" w:afterAutospacing="0" w:line="240" w:lineRule="auto"/>
              <w:ind w:left="105" w:leftChars="50" w:firstLine="115" w:firstLineChars="48"/>
              <w:jc w:val="center"/>
              <w:rPr>
                <w:bCs/>
                <w:color w:val="000000" w:themeColor="text1"/>
                <w:highlight w:val="none"/>
                <w14:textFill>
                  <w14:solidFill>
                    <w14:schemeClr w14:val="tx1"/>
                  </w14:solidFill>
                </w14:textFill>
              </w:rPr>
            </w:pPr>
          </w:p>
        </w:tc>
      </w:tr>
      <w:tr w14:paraId="2EE931F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71" w:hRule="atLeast"/>
        </w:trPr>
        <w:tc>
          <w:tcPr>
            <w:tcW w:w="1230" w:type="dxa"/>
            <w:tcBorders>
              <w:top w:val="single" w:color="auto" w:sz="4" w:space="0"/>
              <w:left w:val="single" w:color="auto" w:sz="4" w:space="0"/>
              <w:bottom w:val="single" w:color="auto" w:sz="4" w:space="0"/>
              <w:right w:val="single" w:color="auto" w:sz="4" w:space="0"/>
            </w:tcBorders>
            <w:noWrap/>
          </w:tcPr>
          <w:p w14:paraId="67E03302">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tcPr>
          <w:p w14:paraId="41EA8AE1">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tcPr>
          <w:p w14:paraId="45E85E95">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tcPr>
          <w:p w14:paraId="0D13815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7858C4F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0C1A211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5B96E5EB">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73E04D5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192F5631">
            <w:pPr>
              <w:spacing w:line="240" w:lineRule="auto"/>
              <w:jc w:val="center"/>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如：国家/行业标准...</w:t>
            </w:r>
          </w:p>
        </w:tc>
      </w:tr>
      <w:tr w14:paraId="3FC6D38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tcPr>
          <w:p w14:paraId="4555A78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tcPr>
          <w:p w14:paraId="79C05BA3">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tcPr>
          <w:p w14:paraId="0F441A2B">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tcPr>
          <w:p w14:paraId="6DBA199E">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36B637D7">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7F4A23D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3A08D3E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49E7F21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67E4753E">
            <w:pPr>
              <w:spacing w:line="240" w:lineRule="auto"/>
              <w:jc w:val="center"/>
              <w:rPr>
                <w:rFonts w:ascii="宋体" w:hAnsi="宋体" w:cs="宋体"/>
                <w:bCs/>
                <w:color w:val="000000" w:themeColor="text1"/>
                <w:sz w:val="24"/>
                <w:highlight w:val="none"/>
                <w14:textFill>
                  <w14:solidFill>
                    <w14:schemeClr w14:val="tx1"/>
                  </w14:solidFill>
                </w14:textFill>
              </w:rPr>
            </w:pPr>
          </w:p>
        </w:tc>
      </w:tr>
      <w:tr w14:paraId="2A7F960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tcPr>
          <w:p w14:paraId="27FE45AC">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801" w:type="dxa"/>
            <w:tcBorders>
              <w:top w:val="single" w:color="auto" w:sz="4" w:space="0"/>
              <w:left w:val="single" w:color="auto" w:sz="4" w:space="0"/>
              <w:bottom w:val="single" w:color="auto" w:sz="4" w:space="0"/>
              <w:right w:val="single" w:color="auto" w:sz="4" w:space="0"/>
            </w:tcBorders>
            <w:noWrap/>
          </w:tcPr>
          <w:p w14:paraId="53F8BF8B">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tcPr>
          <w:p w14:paraId="2F0B02C8">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tcPr>
          <w:p w14:paraId="382F521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34E891CD">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171FCA91">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6A624412">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05CB0973">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7942F618">
            <w:pPr>
              <w:spacing w:line="240" w:lineRule="auto"/>
              <w:jc w:val="center"/>
              <w:rPr>
                <w:rFonts w:ascii="宋体" w:hAnsi="宋体" w:cs="宋体"/>
                <w:bCs/>
                <w:color w:val="000000" w:themeColor="text1"/>
                <w:sz w:val="24"/>
                <w:highlight w:val="none"/>
                <w14:textFill>
                  <w14:solidFill>
                    <w14:schemeClr w14:val="tx1"/>
                  </w14:solidFill>
                </w14:textFill>
              </w:rPr>
            </w:pPr>
          </w:p>
        </w:tc>
      </w:tr>
      <w:tr w14:paraId="6825FEA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690" w:hRule="atLeast"/>
        </w:trPr>
        <w:tc>
          <w:tcPr>
            <w:tcW w:w="1230" w:type="dxa"/>
            <w:tcBorders>
              <w:top w:val="single" w:color="auto" w:sz="4" w:space="0"/>
              <w:left w:val="single" w:color="auto" w:sz="4" w:space="0"/>
              <w:bottom w:val="single" w:color="auto" w:sz="4" w:space="0"/>
              <w:right w:val="single" w:color="auto" w:sz="4" w:space="0"/>
            </w:tcBorders>
            <w:noWrap/>
            <w:vAlign w:val="center"/>
          </w:tcPr>
          <w:p w14:paraId="35EA9054">
            <w:pPr>
              <w:spacing w:line="240" w:lineRule="auto"/>
              <w:jc w:val="center"/>
              <w:rPr>
                <w:rFonts w:hint="default" w:ascii="宋体" w:hAnsi="宋体" w:eastAsia="宋体" w:cs="宋体"/>
                <w:bCs/>
                <w:color w:val="000000" w:themeColor="text1"/>
                <w:sz w:val="24"/>
                <w:highlight w:val="none"/>
                <w:lang w:val="en-US" w:eastAsia="zh-CN"/>
                <w14:textFill>
                  <w14:solidFill>
                    <w14:schemeClr w14:val="tx1"/>
                  </w14:solidFill>
                </w14:textFill>
              </w:rPr>
            </w:pPr>
            <w:r>
              <w:rPr>
                <w:rFonts w:hint="eastAsia" w:ascii="宋体" w:hAnsi="宋体" w:cs="宋体"/>
                <w:bCs/>
                <w:color w:val="000000" w:themeColor="text1"/>
                <w:sz w:val="24"/>
                <w:highlight w:val="none"/>
                <w:lang w:val="en-US" w:eastAsia="zh-CN"/>
                <w14:textFill>
                  <w14:solidFill>
                    <w14:schemeClr w14:val="tx1"/>
                  </w14:solidFill>
                </w14:textFill>
              </w:rPr>
              <w:t>......</w:t>
            </w:r>
          </w:p>
        </w:tc>
        <w:tc>
          <w:tcPr>
            <w:tcW w:w="801" w:type="dxa"/>
            <w:tcBorders>
              <w:top w:val="single" w:color="auto" w:sz="4" w:space="0"/>
              <w:left w:val="single" w:color="auto" w:sz="4" w:space="0"/>
              <w:bottom w:val="single" w:color="auto" w:sz="4" w:space="0"/>
              <w:right w:val="single" w:color="auto" w:sz="4" w:space="0"/>
            </w:tcBorders>
            <w:noWrap/>
          </w:tcPr>
          <w:p w14:paraId="68F78447">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799" w:type="dxa"/>
            <w:tcBorders>
              <w:top w:val="single" w:color="auto" w:sz="4" w:space="0"/>
              <w:left w:val="single" w:color="auto" w:sz="4" w:space="0"/>
              <w:bottom w:val="single" w:color="auto" w:sz="4" w:space="0"/>
              <w:right w:val="single" w:color="auto" w:sz="4" w:space="0"/>
            </w:tcBorders>
            <w:noWrap/>
          </w:tcPr>
          <w:p w14:paraId="5406FC9F">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725" w:type="dxa"/>
            <w:tcBorders>
              <w:top w:val="single" w:color="auto" w:sz="4" w:space="0"/>
              <w:left w:val="single" w:color="auto" w:sz="4" w:space="0"/>
              <w:bottom w:val="single" w:color="auto" w:sz="4" w:space="0"/>
              <w:right w:val="single" w:color="auto" w:sz="4" w:space="0"/>
            </w:tcBorders>
            <w:noWrap/>
          </w:tcPr>
          <w:p w14:paraId="538F2BD2">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27151B81">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42A892A5">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6" w:type="dxa"/>
            <w:tcBorders>
              <w:top w:val="single" w:color="auto" w:sz="4" w:space="0"/>
              <w:left w:val="single" w:color="auto" w:sz="4" w:space="0"/>
              <w:bottom w:val="single" w:color="auto" w:sz="4" w:space="0"/>
              <w:right w:val="single" w:color="auto" w:sz="4" w:space="0"/>
            </w:tcBorders>
            <w:noWrap/>
          </w:tcPr>
          <w:p w14:paraId="4657402E">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928" w:type="dxa"/>
            <w:tcBorders>
              <w:top w:val="single" w:color="auto" w:sz="4" w:space="0"/>
              <w:left w:val="single" w:color="auto" w:sz="4" w:space="0"/>
              <w:bottom w:val="single" w:color="auto" w:sz="4" w:space="0"/>
              <w:right w:val="single" w:color="auto" w:sz="4" w:space="0"/>
            </w:tcBorders>
            <w:noWrap/>
          </w:tcPr>
          <w:p w14:paraId="47993769">
            <w:pPr>
              <w:spacing w:line="240" w:lineRule="auto"/>
              <w:jc w:val="center"/>
              <w:rPr>
                <w:rFonts w:ascii="宋体" w:hAnsi="宋体" w:cs="宋体"/>
                <w:bCs/>
                <w:color w:val="000000" w:themeColor="text1"/>
                <w:sz w:val="24"/>
                <w:highlight w:val="none"/>
                <w14:textFill>
                  <w14:solidFill>
                    <w14:schemeClr w14:val="tx1"/>
                  </w14:solidFill>
                </w14:textFill>
              </w:rPr>
            </w:pPr>
          </w:p>
        </w:tc>
        <w:tc>
          <w:tcPr>
            <w:tcW w:w="1075" w:type="dxa"/>
            <w:tcBorders>
              <w:top w:val="single" w:color="auto" w:sz="4" w:space="0"/>
              <w:left w:val="single" w:color="auto" w:sz="4" w:space="0"/>
              <w:bottom w:val="single" w:color="auto" w:sz="4" w:space="0"/>
              <w:right w:val="single" w:color="auto" w:sz="4" w:space="0"/>
            </w:tcBorders>
            <w:noWrap/>
          </w:tcPr>
          <w:p w14:paraId="623B0BCE">
            <w:pPr>
              <w:spacing w:line="240" w:lineRule="auto"/>
              <w:jc w:val="center"/>
              <w:rPr>
                <w:rFonts w:ascii="宋体" w:hAnsi="宋体" w:cs="宋体"/>
                <w:bCs/>
                <w:color w:val="000000" w:themeColor="text1"/>
                <w:sz w:val="24"/>
                <w:highlight w:val="none"/>
                <w14:textFill>
                  <w14:solidFill>
                    <w14:schemeClr w14:val="tx1"/>
                  </w14:solidFill>
                </w14:textFill>
              </w:rPr>
            </w:pPr>
          </w:p>
        </w:tc>
      </w:tr>
      <w:tr w14:paraId="189A6F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703" w:hRule="atLeast"/>
        </w:trPr>
        <w:tc>
          <w:tcPr>
            <w:tcW w:w="1230" w:type="dxa"/>
            <w:tcBorders>
              <w:top w:val="single" w:color="auto" w:sz="4" w:space="0"/>
              <w:left w:val="single" w:color="auto" w:sz="4" w:space="0"/>
              <w:bottom w:val="single" w:color="auto" w:sz="4" w:space="0"/>
              <w:right w:val="single" w:color="auto" w:sz="4" w:space="0"/>
            </w:tcBorders>
            <w:noWrap/>
          </w:tcPr>
          <w:p w14:paraId="43CAE00F">
            <w:pPr>
              <w:spacing w:line="24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合计（元）</w:t>
            </w:r>
          </w:p>
        </w:tc>
        <w:tc>
          <w:tcPr>
            <w:tcW w:w="8106" w:type="dxa"/>
            <w:gridSpan w:val="8"/>
            <w:tcBorders>
              <w:top w:val="single" w:color="auto" w:sz="4" w:space="0"/>
              <w:left w:val="single" w:color="auto" w:sz="4" w:space="0"/>
              <w:bottom w:val="single" w:color="auto" w:sz="4" w:space="0"/>
              <w:right w:val="single" w:color="auto" w:sz="4" w:space="0"/>
            </w:tcBorders>
            <w:noWrap/>
          </w:tcPr>
          <w:p w14:paraId="44891B51">
            <w:pPr>
              <w:spacing w:line="24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大写：                                 小写：</w:t>
            </w:r>
          </w:p>
        </w:tc>
      </w:tr>
      <w:tr w14:paraId="5784DD9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cantSplit/>
          <w:trHeight w:val="1425" w:hRule="atLeast"/>
        </w:trPr>
        <w:tc>
          <w:tcPr>
            <w:tcW w:w="9336" w:type="dxa"/>
            <w:gridSpan w:val="9"/>
            <w:tcBorders>
              <w:top w:val="single" w:color="auto" w:sz="4" w:space="0"/>
              <w:left w:val="single" w:color="auto" w:sz="4" w:space="0"/>
              <w:bottom w:val="single" w:color="auto" w:sz="4" w:space="0"/>
              <w:right w:val="single" w:color="auto" w:sz="4" w:space="0"/>
            </w:tcBorders>
            <w:noWrap/>
          </w:tcPr>
          <w:p w14:paraId="53FFAE61">
            <w:pPr>
              <w:spacing w:line="240" w:lineRule="auto"/>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重要提示：1、本表的每一页须加盖企业印章；</w:t>
            </w:r>
          </w:p>
          <w:p w14:paraId="17B34C72">
            <w:pPr>
              <w:spacing w:line="240" w:lineRule="auto"/>
              <w:rPr>
                <w:rFonts w:ascii="宋体" w:hAnsi="宋体" w:cs="宋体"/>
                <w:bCs/>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2、涉及有国家标准的产品，须填写名称、品牌、型号及技术参数、报价等本表内容（若品牌、型号等填写的与实际不符，按照无效标处理）。</w:t>
            </w:r>
          </w:p>
        </w:tc>
      </w:tr>
    </w:tbl>
    <w:p w14:paraId="1F96C8D7">
      <w:pPr>
        <w:spacing w:line="480" w:lineRule="exact"/>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企业电子签章</w:t>
      </w:r>
      <w:r>
        <w:rPr>
          <w:rFonts w:hint="eastAsia" w:ascii="宋体" w:hAnsi="宋体" w:cs="宋体"/>
          <w:bCs/>
          <w:color w:val="000000" w:themeColor="text1"/>
          <w:sz w:val="24"/>
          <w:highlight w:val="none"/>
          <w14:textFill>
            <w14:solidFill>
              <w14:schemeClr w14:val="tx1"/>
            </w14:solidFill>
          </w14:textFill>
        </w:rPr>
        <w:t>）</w:t>
      </w:r>
    </w:p>
    <w:p w14:paraId="779048A8">
      <w:pPr>
        <w:spacing w:line="480" w:lineRule="exact"/>
        <w:jc w:val="right"/>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法定代表人</w:t>
      </w:r>
      <w:r>
        <w:rPr>
          <w:rFonts w:hint="eastAsia" w:ascii="宋体" w:hAnsi="宋体" w:cs="宋体"/>
          <w:bCs/>
          <w:color w:val="000000" w:themeColor="text1"/>
          <w:sz w:val="24"/>
          <w:szCs w:val="20"/>
          <w:highlight w:val="none"/>
          <w14:textFill>
            <w14:solidFill>
              <w14:schemeClr w14:val="tx1"/>
            </w14:solidFill>
          </w14:textFill>
        </w:rPr>
        <w:t>或其委托代理人</w:t>
      </w:r>
      <w:r>
        <w:rPr>
          <w:rFonts w:hint="eastAsia" w:ascii="宋体" w:hAnsi="宋体" w:cs="宋体"/>
          <w:bCs/>
          <w:color w:val="000000" w:themeColor="text1"/>
          <w:sz w:val="24"/>
          <w:highlight w:val="none"/>
          <w14:textFill>
            <w14:solidFill>
              <w14:schemeClr w14:val="tx1"/>
            </w14:solidFill>
          </w14:textFill>
        </w:rPr>
        <w:t>：（签字或盖章）</w:t>
      </w:r>
    </w:p>
    <w:p w14:paraId="78FE37B6">
      <w:pPr>
        <w:ind w:left="1050" w:leftChars="500"/>
        <w:jc w:val="right"/>
        <w:rPr>
          <w:rFonts w:hint="eastAsia"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日  期：     年   月   日</w:t>
      </w:r>
    </w:p>
    <w:p w14:paraId="46AF1559">
      <w:pPr>
        <w:pStyle w:val="26"/>
        <w:rPr>
          <w:rFonts w:hint="eastAsia" w:ascii="宋体" w:hAnsi="宋体" w:cs="宋体"/>
          <w:bCs/>
          <w:color w:val="000000" w:themeColor="text1"/>
          <w:sz w:val="24"/>
          <w:highlight w:val="none"/>
          <w14:textFill>
            <w14:solidFill>
              <w14:schemeClr w14:val="tx1"/>
            </w14:solidFill>
          </w14:textFill>
        </w:rPr>
      </w:pPr>
    </w:p>
    <w:p w14:paraId="152DC584">
      <w:pPr>
        <w:pStyle w:val="27"/>
        <w:rPr>
          <w:rFonts w:hint="eastAsia" w:ascii="宋体" w:hAnsi="宋体" w:cs="宋体"/>
          <w:bCs/>
          <w:color w:val="000000" w:themeColor="text1"/>
          <w:sz w:val="24"/>
          <w:highlight w:val="none"/>
          <w14:textFill>
            <w14:solidFill>
              <w14:schemeClr w14:val="tx1"/>
            </w14:solidFill>
          </w14:textFill>
        </w:rPr>
      </w:pPr>
    </w:p>
    <w:p w14:paraId="0BDED479">
      <w:pPr>
        <w:pStyle w:val="5"/>
        <w:rPr>
          <w:rFonts w:hint="eastAsia" w:ascii="宋体" w:hAnsi="宋体" w:cs="宋体"/>
          <w:bCs/>
          <w:color w:val="000000" w:themeColor="text1"/>
          <w:sz w:val="24"/>
          <w:highlight w:val="none"/>
          <w14:textFill>
            <w14:solidFill>
              <w14:schemeClr w14:val="tx1"/>
            </w14:solidFill>
          </w14:textFill>
        </w:rPr>
      </w:pPr>
    </w:p>
    <w:p w14:paraId="7AF29178">
      <w:pPr>
        <w:pStyle w:val="5"/>
        <w:rPr>
          <w:rFonts w:hint="eastAsia" w:ascii="宋体" w:hAnsi="宋体" w:cs="宋体"/>
          <w:bCs/>
          <w:color w:val="000000" w:themeColor="text1"/>
          <w:sz w:val="24"/>
          <w:highlight w:val="none"/>
          <w14:textFill>
            <w14:solidFill>
              <w14:schemeClr w14:val="tx1"/>
            </w14:solidFill>
          </w14:textFill>
        </w:rPr>
      </w:pPr>
    </w:p>
    <w:p w14:paraId="124BE22D">
      <w:pPr>
        <w:pStyle w:val="5"/>
        <w:rPr>
          <w:rFonts w:hint="eastAsia" w:ascii="宋体" w:hAnsi="宋体" w:cs="宋体"/>
          <w:bCs/>
          <w:color w:val="000000" w:themeColor="text1"/>
          <w:sz w:val="24"/>
          <w:highlight w:val="none"/>
          <w14:textFill>
            <w14:solidFill>
              <w14:schemeClr w14:val="tx1"/>
            </w14:solidFill>
          </w14:textFill>
        </w:rPr>
      </w:pPr>
    </w:p>
    <w:p w14:paraId="5FE55873">
      <w:pPr>
        <w:pStyle w:val="5"/>
        <w:rPr>
          <w:rFonts w:hint="eastAsia" w:ascii="宋体" w:hAnsi="宋体" w:cs="宋体"/>
          <w:bCs/>
          <w:color w:val="000000" w:themeColor="text1"/>
          <w:sz w:val="24"/>
          <w:highlight w:val="none"/>
          <w14:textFill>
            <w14:solidFill>
              <w14:schemeClr w14:val="tx1"/>
            </w14:solidFill>
          </w14:textFill>
        </w:rPr>
      </w:pPr>
    </w:p>
    <w:p w14:paraId="04C8E393">
      <w:pPr>
        <w:pStyle w:val="5"/>
        <w:rPr>
          <w:rFonts w:hint="eastAsia" w:ascii="宋体" w:hAnsi="宋体" w:cs="宋体"/>
          <w:bCs/>
          <w:color w:val="000000" w:themeColor="text1"/>
          <w:sz w:val="24"/>
          <w:highlight w:val="none"/>
          <w14:textFill>
            <w14:solidFill>
              <w14:schemeClr w14:val="tx1"/>
            </w14:solidFill>
          </w14:textFill>
        </w:rPr>
      </w:pPr>
    </w:p>
    <w:p w14:paraId="172FB01C">
      <w:pPr>
        <w:pStyle w:val="5"/>
        <w:rPr>
          <w:rFonts w:hint="eastAsia" w:ascii="宋体" w:hAnsi="宋体" w:cs="宋体"/>
          <w:bCs/>
          <w:color w:val="000000" w:themeColor="text1"/>
          <w:sz w:val="24"/>
          <w:highlight w:val="none"/>
          <w14:textFill>
            <w14:solidFill>
              <w14:schemeClr w14:val="tx1"/>
            </w14:solidFill>
          </w14:textFill>
        </w:rPr>
      </w:pPr>
    </w:p>
    <w:p w14:paraId="1AC837AD">
      <w:pPr>
        <w:pStyle w:val="6"/>
        <w:rPr>
          <w:rFonts w:hint="eastAsia" w:ascii="宋体" w:hAnsi="宋体" w:cs="宋体"/>
          <w:bCs/>
          <w:color w:val="000000" w:themeColor="text1"/>
          <w:sz w:val="24"/>
          <w:highlight w:val="none"/>
          <w14:textFill>
            <w14:solidFill>
              <w14:schemeClr w14:val="tx1"/>
            </w14:solidFill>
          </w14:textFill>
        </w:rPr>
      </w:pPr>
    </w:p>
    <w:p w14:paraId="24DD2D64">
      <w:pPr>
        <w:pStyle w:val="6"/>
        <w:rPr>
          <w:rFonts w:hint="eastAsia" w:ascii="宋体" w:hAnsi="宋体" w:cs="宋体"/>
          <w:bCs/>
          <w:color w:val="000000" w:themeColor="text1"/>
          <w:sz w:val="24"/>
          <w:highlight w:val="none"/>
          <w14:textFill>
            <w14:solidFill>
              <w14:schemeClr w14:val="tx1"/>
            </w14:solidFill>
          </w14:textFill>
        </w:rPr>
      </w:pPr>
    </w:p>
    <w:p w14:paraId="731985A7">
      <w:pPr>
        <w:pStyle w:val="6"/>
        <w:rPr>
          <w:rFonts w:hint="eastAsia" w:ascii="宋体" w:hAnsi="宋体" w:cs="宋体"/>
          <w:bCs/>
          <w:color w:val="000000" w:themeColor="text1"/>
          <w:sz w:val="24"/>
          <w:highlight w:val="none"/>
          <w14:textFill>
            <w14:solidFill>
              <w14:schemeClr w14:val="tx1"/>
            </w14:solidFill>
          </w14:textFill>
        </w:rPr>
      </w:pPr>
    </w:p>
    <w:p w14:paraId="1D93CD38">
      <w:pPr>
        <w:pStyle w:val="5"/>
        <w:rPr>
          <w:rFonts w:hint="eastAsia" w:ascii="宋体" w:hAnsi="宋体" w:cs="宋体"/>
          <w:bCs/>
          <w:color w:val="000000" w:themeColor="text1"/>
          <w:sz w:val="24"/>
          <w:highlight w:val="none"/>
          <w14:textFill>
            <w14:solidFill>
              <w14:schemeClr w14:val="tx1"/>
            </w14:solidFill>
          </w14:textFill>
        </w:rPr>
      </w:pPr>
    </w:p>
    <w:p w14:paraId="25DF0616">
      <w:pPr>
        <w:pStyle w:val="6"/>
        <w:rPr>
          <w:rFonts w:hint="eastAsia"/>
        </w:rPr>
      </w:pPr>
    </w:p>
    <w:p w14:paraId="291091C0">
      <w:pPr>
        <w:pStyle w:val="5"/>
        <w:rPr>
          <w:rFonts w:hint="eastAsia" w:ascii="宋体" w:hAnsi="宋体" w:cs="宋体"/>
          <w:bCs/>
          <w:color w:val="000000" w:themeColor="text1"/>
          <w:sz w:val="24"/>
          <w:highlight w:val="none"/>
          <w14:textFill>
            <w14:solidFill>
              <w14:schemeClr w14:val="tx1"/>
            </w14:solidFill>
          </w14:textFill>
        </w:rPr>
      </w:pPr>
    </w:p>
    <w:p w14:paraId="4264F05F">
      <w:pPr>
        <w:pStyle w:val="5"/>
        <w:ind w:left="0" w:leftChars="0" w:firstLine="0" w:firstLineChars="0"/>
        <w:rPr>
          <w:rFonts w:hint="eastAsia" w:ascii="宋体" w:hAnsi="宋体" w:cs="宋体"/>
          <w:bCs/>
          <w:color w:val="000000" w:themeColor="text1"/>
          <w:sz w:val="24"/>
          <w:highlight w:val="none"/>
          <w14:textFill>
            <w14:solidFill>
              <w14:schemeClr w14:val="tx1"/>
            </w14:solidFill>
          </w14:textFill>
        </w:rPr>
      </w:pPr>
    </w:p>
    <w:p w14:paraId="69E8C019">
      <w:pPr>
        <w:autoSpaceDE w:val="0"/>
        <w:autoSpaceDN w:val="0"/>
        <w:adjustRightInd w:val="0"/>
        <w:spacing w:line="360" w:lineRule="auto"/>
        <w:jc w:val="center"/>
        <w:rPr>
          <w:rFonts w:ascii="宋体" w:hAnsi="宋体" w:cs="宋体"/>
          <w:color w:val="000000" w:themeColor="text1"/>
          <w:sz w:val="32"/>
          <w:highlight w:val="none"/>
          <w14:textFill>
            <w14:solidFill>
              <w14:schemeClr w14:val="tx1"/>
            </w14:solidFill>
          </w14:textFill>
        </w:rPr>
      </w:pPr>
      <w:r>
        <w:rPr>
          <w:rFonts w:hint="eastAsia" w:ascii="宋体" w:hAnsi="宋体" w:cs="宋体"/>
          <w:b/>
          <w:color w:val="000000" w:themeColor="text1"/>
          <w:sz w:val="30"/>
          <w:szCs w:val="30"/>
          <w:highlight w:val="none"/>
          <w14:textFill>
            <w14:solidFill>
              <w14:schemeClr w14:val="tx1"/>
            </w14:solidFill>
          </w14:textFill>
        </w:rPr>
        <w:t>（四）技术偏离表</w:t>
      </w:r>
    </w:p>
    <w:tbl>
      <w:tblPr>
        <w:tblStyle w:val="28"/>
        <w:tblW w:w="10037"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07"/>
        <w:gridCol w:w="2005"/>
        <w:gridCol w:w="2137"/>
        <w:gridCol w:w="2270"/>
        <w:gridCol w:w="2718"/>
      </w:tblGrid>
      <w:tr w14:paraId="101A6DA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6" w:hRule="atLeast"/>
          <w:jc w:val="center"/>
        </w:trPr>
        <w:tc>
          <w:tcPr>
            <w:tcW w:w="907" w:type="dxa"/>
            <w:noWrap/>
            <w:vAlign w:val="center"/>
          </w:tcPr>
          <w:p w14:paraId="4CF4B9DE">
            <w:pPr>
              <w:spacing w:line="440" w:lineRule="exact"/>
              <w:ind w:left="-141"/>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序号</w:t>
            </w:r>
          </w:p>
        </w:tc>
        <w:tc>
          <w:tcPr>
            <w:tcW w:w="2005" w:type="dxa"/>
            <w:noWrap/>
            <w:vAlign w:val="center"/>
          </w:tcPr>
          <w:p w14:paraId="2C8FD832">
            <w:pPr>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货物名称</w:t>
            </w:r>
          </w:p>
        </w:tc>
        <w:tc>
          <w:tcPr>
            <w:tcW w:w="2137" w:type="dxa"/>
            <w:noWrap/>
            <w:vAlign w:val="center"/>
          </w:tcPr>
          <w:p w14:paraId="37FA3467">
            <w:pPr>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招标技术要求</w:t>
            </w:r>
          </w:p>
        </w:tc>
        <w:tc>
          <w:tcPr>
            <w:tcW w:w="2270" w:type="dxa"/>
            <w:noWrap/>
            <w:vAlign w:val="center"/>
          </w:tcPr>
          <w:p w14:paraId="2CBB24E0">
            <w:pPr>
              <w:widowControl/>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投标货物实际技术规格</w:t>
            </w:r>
          </w:p>
        </w:tc>
        <w:tc>
          <w:tcPr>
            <w:tcW w:w="2718" w:type="dxa"/>
            <w:noWrap/>
            <w:vAlign w:val="center"/>
          </w:tcPr>
          <w:p w14:paraId="00FAAA2D">
            <w:pPr>
              <w:widowControl/>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偏离说明</w:t>
            </w:r>
          </w:p>
          <w:p w14:paraId="1ABCD3D3">
            <w:pPr>
              <w:widowControl/>
              <w:spacing w:line="440" w:lineRule="exact"/>
              <w:jc w:val="center"/>
              <w:rPr>
                <w:rFonts w:ascii="宋体" w:hAnsi="宋体" w:cs="宋体"/>
                <w:b/>
                <w:color w:val="000000" w:themeColor="text1"/>
                <w:sz w:val="24"/>
                <w:highlight w:val="none"/>
                <w14:textFill>
                  <w14:solidFill>
                    <w14:schemeClr w14:val="tx1"/>
                  </w14:solidFill>
                </w14:textFill>
              </w:rPr>
            </w:pPr>
            <w:r>
              <w:rPr>
                <w:rFonts w:hint="eastAsia" w:ascii="宋体" w:hAnsi="宋体" w:cs="宋体"/>
                <w:b/>
                <w:color w:val="000000" w:themeColor="text1"/>
                <w:sz w:val="24"/>
                <w:highlight w:val="none"/>
                <w14:textFill>
                  <w14:solidFill>
                    <w14:schemeClr w14:val="tx1"/>
                  </w14:solidFill>
                </w14:textFill>
              </w:rPr>
              <w:t>(说明偏离情况）</w:t>
            </w:r>
          </w:p>
        </w:tc>
      </w:tr>
      <w:tr w14:paraId="400F4DA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1" w:hRule="atLeast"/>
          <w:jc w:val="center"/>
        </w:trPr>
        <w:tc>
          <w:tcPr>
            <w:tcW w:w="907" w:type="dxa"/>
            <w:noWrap/>
            <w:vAlign w:val="center"/>
          </w:tcPr>
          <w:p w14:paraId="740E40F5">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4B373B22">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43EF35A5">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7997D129">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3D23AD90">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3F41296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jc w:val="center"/>
        </w:trPr>
        <w:tc>
          <w:tcPr>
            <w:tcW w:w="907" w:type="dxa"/>
            <w:noWrap/>
            <w:vAlign w:val="center"/>
          </w:tcPr>
          <w:p w14:paraId="5E157086">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26C608BF">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38913559">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22D9A2E9">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52D1B2F4">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1637F3C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71" w:hRule="atLeast"/>
          <w:jc w:val="center"/>
        </w:trPr>
        <w:tc>
          <w:tcPr>
            <w:tcW w:w="907" w:type="dxa"/>
            <w:noWrap/>
            <w:vAlign w:val="center"/>
          </w:tcPr>
          <w:p w14:paraId="17BCCFCB">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2826FC0E">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4EF15A24">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033121B6">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2346A179">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4A81D15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7" w:hRule="atLeast"/>
          <w:jc w:val="center"/>
        </w:trPr>
        <w:tc>
          <w:tcPr>
            <w:tcW w:w="907" w:type="dxa"/>
            <w:noWrap/>
            <w:vAlign w:val="center"/>
          </w:tcPr>
          <w:p w14:paraId="591F0E9E">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1C81D411">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74C0221E">
            <w:pPr>
              <w:pStyle w:val="23"/>
              <w:widowControl w:val="0"/>
              <w:tabs>
                <w:tab w:val="left" w:pos="420"/>
              </w:tabs>
              <w:spacing w:before="0" w:beforeAutospacing="0" w:after="0" w:afterAutospacing="0" w:line="440" w:lineRule="exact"/>
              <w:jc w:val="both"/>
              <w:rPr>
                <w:bCs/>
                <w:color w:val="000000" w:themeColor="text1"/>
                <w:highlight w:val="none"/>
                <w14:textFill>
                  <w14:solidFill>
                    <w14:schemeClr w14:val="tx1"/>
                  </w14:solidFill>
                </w14:textFill>
              </w:rPr>
            </w:pPr>
          </w:p>
        </w:tc>
        <w:tc>
          <w:tcPr>
            <w:tcW w:w="2270" w:type="dxa"/>
            <w:noWrap/>
            <w:vAlign w:val="center"/>
          </w:tcPr>
          <w:p w14:paraId="36F095FB">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1DD0BE5F">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3ADB643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65" w:hRule="atLeast"/>
          <w:jc w:val="center"/>
        </w:trPr>
        <w:tc>
          <w:tcPr>
            <w:tcW w:w="907" w:type="dxa"/>
            <w:noWrap/>
            <w:vAlign w:val="center"/>
          </w:tcPr>
          <w:p w14:paraId="494EBA38">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0C9DEE9D">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7C57E7EF">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745372D6">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162827FE">
            <w:pPr>
              <w:spacing w:line="440" w:lineRule="exact"/>
              <w:jc w:val="center"/>
              <w:rPr>
                <w:rFonts w:ascii="宋体" w:hAnsi="宋体" w:cs="宋体"/>
                <w:bCs/>
                <w:color w:val="000000" w:themeColor="text1"/>
                <w:sz w:val="18"/>
                <w:highlight w:val="none"/>
                <w14:textFill>
                  <w14:solidFill>
                    <w14:schemeClr w14:val="tx1"/>
                  </w14:solidFill>
                </w14:textFill>
              </w:rPr>
            </w:pPr>
          </w:p>
        </w:tc>
      </w:tr>
      <w:tr w14:paraId="2F44BF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5" w:hRule="atLeast"/>
          <w:jc w:val="center"/>
        </w:trPr>
        <w:tc>
          <w:tcPr>
            <w:tcW w:w="907" w:type="dxa"/>
            <w:noWrap/>
            <w:vAlign w:val="center"/>
          </w:tcPr>
          <w:p w14:paraId="35D0030A">
            <w:pPr>
              <w:spacing w:line="440" w:lineRule="exact"/>
              <w:jc w:val="center"/>
              <w:rPr>
                <w:rFonts w:ascii="宋体" w:hAnsi="宋体" w:cs="宋体"/>
                <w:bCs/>
                <w:color w:val="000000" w:themeColor="text1"/>
                <w:sz w:val="32"/>
                <w:highlight w:val="none"/>
                <w14:textFill>
                  <w14:solidFill>
                    <w14:schemeClr w14:val="tx1"/>
                  </w14:solidFill>
                </w14:textFill>
              </w:rPr>
            </w:pPr>
          </w:p>
        </w:tc>
        <w:tc>
          <w:tcPr>
            <w:tcW w:w="2005" w:type="dxa"/>
            <w:noWrap/>
            <w:vAlign w:val="center"/>
          </w:tcPr>
          <w:p w14:paraId="342448DF">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137" w:type="dxa"/>
            <w:noWrap/>
            <w:vAlign w:val="center"/>
          </w:tcPr>
          <w:p w14:paraId="2EAC2FDE">
            <w:pPr>
              <w:spacing w:line="440" w:lineRule="exact"/>
              <w:jc w:val="center"/>
              <w:rPr>
                <w:rFonts w:ascii="宋体" w:hAnsi="宋体" w:cs="宋体"/>
                <w:bCs/>
                <w:color w:val="000000" w:themeColor="text1"/>
                <w:sz w:val="24"/>
                <w:highlight w:val="none"/>
                <w14:textFill>
                  <w14:solidFill>
                    <w14:schemeClr w14:val="tx1"/>
                  </w14:solidFill>
                </w14:textFill>
              </w:rPr>
            </w:pPr>
          </w:p>
        </w:tc>
        <w:tc>
          <w:tcPr>
            <w:tcW w:w="2270" w:type="dxa"/>
            <w:noWrap/>
            <w:vAlign w:val="center"/>
          </w:tcPr>
          <w:p w14:paraId="56377845">
            <w:pPr>
              <w:spacing w:line="440" w:lineRule="exact"/>
              <w:jc w:val="center"/>
              <w:rPr>
                <w:rFonts w:ascii="宋体" w:hAnsi="宋体" w:cs="宋体"/>
                <w:bCs/>
                <w:color w:val="000000" w:themeColor="text1"/>
                <w:sz w:val="18"/>
                <w:highlight w:val="none"/>
                <w14:textFill>
                  <w14:solidFill>
                    <w14:schemeClr w14:val="tx1"/>
                  </w14:solidFill>
                </w14:textFill>
              </w:rPr>
            </w:pPr>
          </w:p>
        </w:tc>
        <w:tc>
          <w:tcPr>
            <w:tcW w:w="2718" w:type="dxa"/>
            <w:noWrap/>
            <w:vAlign w:val="center"/>
          </w:tcPr>
          <w:p w14:paraId="12875E56">
            <w:pPr>
              <w:spacing w:line="440" w:lineRule="exact"/>
              <w:jc w:val="center"/>
              <w:rPr>
                <w:rFonts w:ascii="宋体" w:hAnsi="宋体" w:cs="宋体"/>
                <w:bCs/>
                <w:color w:val="000000" w:themeColor="text1"/>
                <w:sz w:val="18"/>
                <w:highlight w:val="none"/>
                <w14:textFill>
                  <w14:solidFill>
                    <w14:schemeClr w14:val="tx1"/>
                  </w14:solidFill>
                </w14:textFill>
              </w:rPr>
            </w:pPr>
          </w:p>
        </w:tc>
      </w:tr>
    </w:tbl>
    <w:p w14:paraId="529F371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注：投标人须对照招标文件技术规格，将自己所投的所有货物的功能、技术性能、配置等内容按照上表格式与招标文件要求逐条填写，</w:t>
      </w:r>
      <w:r>
        <w:rPr>
          <w:rFonts w:hint="eastAsia" w:ascii="宋体" w:hAnsi="宋体" w:cs="宋体"/>
          <w:b/>
          <w:bCs/>
          <w:color w:val="000000" w:themeColor="text1"/>
          <w:sz w:val="24"/>
          <w:highlight w:val="none"/>
          <w14:textFill>
            <w14:solidFill>
              <w14:schemeClr w14:val="tx1"/>
            </w14:solidFill>
          </w14:textFill>
        </w:rPr>
        <w:t>供应商必须提供所投货物的具体参数值，并在偏离说明栏中标明技术及配置的实际响应情况</w:t>
      </w:r>
      <w:r>
        <w:rPr>
          <w:rFonts w:hint="eastAsia" w:ascii="宋体" w:hAnsi="宋体" w:cs="宋体"/>
          <w:color w:val="000000" w:themeColor="text1"/>
          <w:sz w:val="24"/>
          <w:highlight w:val="none"/>
          <w14:textFill>
            <w14:solidFill>
              <w14:schemeClr w14:val="tx1"/>
            </w14:solidFill>
          </w14:textFill>
        </w:rPr>
        <w:t>：</w:t>
      </w:r>
    </w:p>
    <w:p w14:paraId="392C3A8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1、偏离说明栏中必须标明技术及配置的响应情况，整项货物及该项货物各部分相应情况须按下列要求填写，任何不真实响应都将按无效投标处理：</w:t>
      </w:r>
    </w:p>
    <w:p w14:paraId="6D7ADC56">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（1）对应项中的所有技术参数全部符合招标文件要求的才能填写“符合”；</w:t>
      </w:r>
    </w:p>
    <w:p w14:paraId="56653E57">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（2）对应项中的所有技术参数全部符合招标文件要求并且其中有一个或以上指标优于招标文件要求的，可填写“正偏离”；</w:t>
      </w:r>
    </w:p>
    <w:p w14:paraId="407BD4D4">
      <w:pPr>
        <w:spacing w:line="600" w:lineRule="exact"/>
        <w:rPr>
          <w:rFonts w:ascii="宋体" w:hAnsi="宋体" w:cs="宋体"/>
          <w:color w:val="000000" w:themeColor="text1"/>
          <w:sz w:val="24"/>
          <w:highlight w:val="none"/>
          <w14:textFill>
            <w14:solidFill>
              <w14:schemeClr w14:val="tx1"/>
            </w14:solidFill>
          </w14:textFill>
        </w:rPr>
      </w:pPr>
    </w:p>
    <w:p w14:paraId="3AFDA92B">
      <w:pPr>
        <w:spacing w:line="360" w:lineRule="auto"/>
        <w:rPr>
          <w:rFonts w:ascii="宋体" w:hAnsi="宋体" w:cs="宋体"/>
          <w:color w:val="000000" w:themeColor="text1"/>
          <w:sz w:val="24"/>
          <w:highlight w:val="none"/>
          <w:u w:val="singl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供应商（企业电子签章）：</w:t>
      </w:r>
    </w:p>
    <w:p w14:paraId="4FBDB665">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法人代表或授权委托人（签字或盖章）：</w:t>
      </w:r>
    </w:p>
    <w:p w14:paraId="44381B48">
      <w:pPr>
        <w:spacing w:line="360" w:lineRule="auto"/>
        <w:rPr>
          <w:rFonts w:ascii="宋体" w:hAnsi="宋体" w:cs="宋体"/>
          <w:color w:val="000000" w:themeColor="text1"/>
          <w:sz w:val="24"/>
          <w:highlight w:val="none"/>
          <w14:textFill>
            <w14:solidFill>
              <w14:schemeClr w14:val="tx1"/>
            </w14:solidFill>
          </w14:textFill>
        </w:rPr>
        <w:sectPr>
          <w:headerReference r:id="rId7" w:type="default"/>
          <w:footerReference r:id="rId8" w:type="default"/>
          <w:pgSz w:w="11905" w:h="16838"/>
          <w:pgMar w:top="1304" w:right="1304" w:bottom="1304" w:left="1304" w:header="0" w:footer="737" w:gutter="0"/>
          <w:cols w:space="0" w:num="1"/>
          <w:rtlGutter w:val="0"/>
          <w:docGrid w:linePitch="379" w:charSpace="0"/>
        </w:sectPr>
      </w:pPr>
      <w:r>
        <w:rPr>
          <w:rFonts w:hint="eastAsia" w:ascii="宋体" w:hAnsi="宋体" w:cs="宋体"/>
          <w:color w:val="000000" w:themeColor="text1"/>
          <w:sz w:val="24"/>
          <w:highlight w:val="none"/>
          <w14:textFill>
            <w14:solidFill>
              <w14:schemeClr w14:val="tx1"/>
            </w14:solidFill>
          </w14:textFill>
        </w:rPr>
        <w:t xml:space="preserve">年    月    日  </w:t>
      </w:r>
    </w:p>
    <w:p w14:paraId="76D291E8">
      <w:pPr>
        <w:pStyle w:val="24"/>
        <w:spacing w:before="0" w:after="0" w:line="360" w:lineRule="auto"/>
        <w:outlineLvl w:val="1"/>
        <w:rPr>
          <w:rFonts w:ascii="宋体" w:hAnsi="宋体" w:eastAsia="宋体" w:cs="宋体"/>
          <w:color w:val="000000" w:themeColor="text1"/>
          <w:sz w:val="28"/>
          <w:szCs w:val="28"/>
          <w:highlight w:val="none"/>
          <w14:textFill>
            <w14:solidFill>
              <w14:schemeClr w14:val="tx1"/>
            </w14:solidFill>
          </w14:textFill>
        </w:rPr>
      </w:pPr>
      <w:bookmarkStart w:id="318" w:name="_Toc16500"/>
      <w:bookmarkStart w:id="319" w:name="_Toc26698"/>
      <w:bookmarkStart w:id="320" w:name="_Toc2213"/>
      <w:bookmarkStart w:id="321" w:name="_Toc23283"/>
      <w:bookmarkStart w:id="322" w:name="_Toc5614"/>
      <w:r>
        <w:rPr>
          <w:rFonts w:hint="eastAsia" w:ascii="宋体" w:hAnsi="宋体" w:eastAsia="宋体" w:cs="宋体"/>
          <w:color w:val="000000" w:themeColor="text1"/>
          <w:sz w:val="28"/>
          <w:szCs w:val="28"/>
          <w:highlight w:val="none"/>
          <w14:textFill>
            <w14:solidFill>
              <w14:schemeClr w14:val="tx1"/>
            </w14:solidFill>
          </w14:textFill>
        </w:rPr>
        <w:t>二、法定代表人身份证明书</w:t>
      </w:r>
      <w:bookmarkEnd w:id="318"/>
      <w:bookmarkEnd w:id="319"/>
      <w:bookmarkEnd w:id="320"/>
      <w:bookmarkEnd w:id="321"/>
      <w:bookmarkEnd w:id="322"/>
    </w:p>
    <w:p w14:paraId="39381A0F">
      <w:pPr>
        <w:rPr>
          <w:rFonts w:ascii="宋体" w:hAnsi="宋体" w:cs="宋体"/>
          <w:color w:val="000000" w:themeColor="text1"/>
          <w:highlight w:val="none"/>
          <w14:textFill>
            <w14:solidFill>
              <w14:schemeClr w14:val="tx1"/>
            </w14:solidFill>
          </w14:textFill>
        </w:rPr>
      </w:pPr>
    </w:p>
    <w:p w14:paraId="730CB641">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szCs w:val="18"/>
          <w:highlight w:val="none"/>
          <w14:textFill>
            <w14:solidFill>
              <w14:schemeClr w14:val="tx1"/>
            </w14:solidFill>
          </w14:textFill>
        </w:rPr>
        <w:t>供应商</w:t>
      </w:r>
      <w:r>
        <w:rPr>
          <w:rFonts w:hint="eastAsia" w:ascii="宋体" w:hAnsi="宋体" w:cs="宋体"/>
          <w:color w:val="000000" w:themeColor="text1"/>
          <w:sz w:val="24"/>
          <w:highlight w:val="none"/>
          <w14:textFill>
            <w14:solidFill>
              <w14:schemeClr w14:val="tx1"/>
            </w14:solidFill>
          </w14:textFill>
        </w:rPr>
        <w:t>名称：</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3CAC195">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单位性质：</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49B4F0D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13E6671D">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成立时间：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p>
    <w:p w14:paraId="54FC2CA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经营期限：</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w:t>
      </w:r>
    </w:p>
    <w:p w14:paraId="27ADFB43">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姓名：</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性别：</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年龄：</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 职务：</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_</w:t>
      </w:r>
    </w:p>
    <w:p w14:paraId="2E7E1C5F">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（供应商名称）的法定代表人。</w:t>
      </w:r>
    </w:p>
    <w:p w14:paraId="2BC1A64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特此证明。</w:t>
      </w:r>
    </w:p>
    <w:p w14:paraId="4521DD16">
      <w:pPr>
        <w:pStyle w:val="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-250825</wp:posOffset>
                </wp:positionH>
                <wp:positionV relativeFrom="paragraph">
                  <wp:posOffset>274955</wp:posOffset>
                </wp:positionV>
                <wp:extent cx="2912745" cy="2235200"/>
                <wp:effectExtent l="4445" t="4445" r="16510" b="8255"/>
                <wp:wrapNone/>
                <wp:docPr id="1" name="自选图形 3"/>
                <wp:cNvGraphicFramePr/>
                <a:graphic xmlns:a="http://schemas.openxmlformats.org/drawingml/2006/main">
                  <a:graphicData uri="http://schemas.microsoft.com/office/word/2010/wordprocessingShape">
                    <wps:wsp>
                      <wps:cNvSpPr/>
                      <wps:spPr>
                        <a:xfrm>
                          <a:off x="0" y="0"/>
                          <a:ext cx="2912745"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76F2081"/>
                        </w:txbxContent>
                      </wps:txbx>
                      <wps:bodyPr upright="1"/>
                    </wps:wsp>
                  </a:graphicData>
                </a:graphic>
              </wp:anchor>
            </w:drawing>
          </mc:Choice>
          <mc:Fallback>
            <w:pict>
              <v:shape id="自选图形 3" o:spid="_x0000_s1026" o:spt="176" type="#_x0000_t176" style="position:absolute;left:0pt;margin-left:-19.75pt;margin-top:21.65pt;height:176pt;width:229.35pt;z-index:251659264;mso-width-relative:page;mso-height-relative:page;" fillcolor="#FFFFFF" filled="t" stroked="t" coordsize="21600,21600" o:gfxdata="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u8NsdgAAAAKAQAA&#10;DwAAAAAAAAABACAAAAAiAAAAZHJzL2Rvd25yZXYueG1sUEsBAhQAFAAAAAgAh07iQFKrjd0ZAgAA&#10;RQQAAA4AAAAAAAAAAQAgAAAAJwEAAGRycy9lMm9Eb2MueG1sUEsFBgAAAAAGAAYAWQEAALIFAAAA&#10;AA==&#10;">
                <v:fill on="t" focussize="0,0"/>
                <v:stroke color="#000000" joinstyle="miter"/>
                <v:imagedata o:title=""/>
                <o:lock v:ext="edit" aspectratio="f"/>
                <v:textbox>
                  <w:txbxContent>
                    <w:p w14:paraId="476F2081"/>
                  </w:txbxContent>
                </v:textbox>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1312" behindDoc="0" locked="0" layoutInCell="1" allowOverlap="1">
                <wp:simplePos x="0" y="0"/>
                <wp:positionH relativeFrom="column">
                  <wp:posOffset>2649220</wp:posOffset>
                </wp:positionH>
                <wp:positionV relativeFrom="paragraph">
                  <wp:posOffset>346710</wp:posOffset>
                </wp:positionV>
                <wp:extent cx="3134360" cy="2108200"/>
                <wp:effectExtent l="4445" t="4445" r="23495" b="20955"/>
                <wp:wrapNone/>
                <wp:docPr id="3" name="自选图形 2"/>
                <wp:cNvGraphicFramePr/>
                <a:graphic xmlns:a="http://schemas.openxmlformats.org/drawingml/2006/main">
                  <a:graphicData uri="http://schemas.microsoft.com/office/word/2010/wordprocessingShape">
                    <wps:wsp>
                      <wps:cNvSpPr/>
                      <wps:spPr>
                        <a:xfrm>
                          <a:off x="0" y="0"/>
                          <a:ext cx="3134360" cy="2108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5281B2BD"/>
                        </w:txbxContent>
                      </wps:txbx>
                      <wps:bodyPr upright="1"/>
                    </wps:wsp>
                  </a:graphicData>
                </a:graphic>
              </wp:anchor>
            </w:drawing>
          </mc:Choice>
          <mc:Fallback>
            <w:pict>
              <v:shape id="自选图形 2" o:spid="_x0000_s1026" o:spt="176" type="#_x0000_t176" style="position:absolute;left:0pt;margin-left:208.6pt;margin-top:27.3pt;height:166pt;width:246.8pt;z-index:251661312;mso-width-relative:page;mso-height-relative:page;" fillcolor="#FFFFFF" filled="t" stroked="t" coordsize="21600,21600" o:gfxdata="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">
                <v:fill on="t" focussize="0,0"/>
                <v:stroke color="#000000" joinstyle="miter"/>
                <v:imagedata o:title=""/>
                <o:lock v:ext="edit" aspectratio="f"/>
                <v:textbox>
                  <w:txbxContent>
                    <w:p w14:paraId="5281B2BD"/>
                  </w:txbxContent>
                </v:textbox>
              </v:shape>
            </w:pict>
          </mc:Fallback>
        </mc:AlternateContent>
      </w:r>
    </w:p>
    <w:p w14:paraId="02CE3BC9">
      <w:pPr>
        <w:rPr>
          <w:rFonts w:ascii="宋体" w:hAnsi="宋体" w:cs="宋体"/>
          <w:color w:val="000000" w:themeColor="text1"/>
          <w:sz w:val="24"/>
          <w:highlight w:val="none"/>
          <w14:textFill>
            <w14:solidFill>
              <w14:schemeClr w14:val="tx1"/>
            </w14:solidFill>
          </w14:textFill>
        </w:rPr>
      </w:pPr>
    </w:p>
    <w:p w14:paraId="19F81BE1">
      <w:pPr>
        <w:pStyle w:val="3"/>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0288" behindDoc="0" locked="0" layoutInCell="1" allowOverlap="1">
                <wp:simplePos x="0" y="0"/>
                <wp:positionH relativeFrom="column">
                  <wp:posOffset>-105410</wp:posOffset>
                </wp:positionH>
                <wp:positionV relativeFrom="paragraph">
                  <wp:posOffset>416560</wp:posOffset>
                </wp:positionV>
                <wp:extent cx="2810510" cy="296545"/>
                <wp:effectExtent l="4445" t="4445" r="23495" b="22860"/>
                <wp:wrapNone/>
                <wp:docPr id="2" name="文本框 5"/>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42AF3F26">
                            <w:r>
                              <w:rPr>
                                <w:rFonts w:hint="eastAsia" w:ascii="宋体" w:hAnsi="宋体"/>
                                <w:sz w:val="24"/>
                              </w:rPr>
                              <w:t>法定代表人身份证复印件粘贴处（正面）</w:t>
                            </w:r>
                          </w:p>
                        </w:txbxContent>
                      </wps:txbx>
                      <wps:bodyPr upright="1"/>
                    </wps:wsp>
                  </a:graphicData>
                </a:graphic>
              </wp:anchor>
            </w:drawing>
          </mc:Choice>
          <mc:Fallback>
            <w:pict>
              <v:shape id="文本框 5" o:spid="_x0000_s1026" o:spt="202" type="#_x0000_t202" style="position:absolute;left:0pt;margin-left:-8.3pt;margin-top:32.8pt;height:23.35pt;width:221.3pt;z-index:251660288;mso-width-relative:page;mso-height-relative:page;" fillcolor="#FFFFFF" filled="t" stroked="t" coordsize="21600,21600" o:gfxdata="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">
                <v:fill on="t" focussize="0,0"/>
                <v:stroke color="#000000" joinstyle="miter"/>
                <v:imagedata o:title=""/>
                <o:lock v:ext="edit" aspectratio="f"/>
                <v:textbox>
                  <w:txbxContent>
                    <w:p w14:paraId="42AF3F26">
                      <w:r>
                        <w:rPr>
                          <w:rFonts w:hint="eastAsia" w:ascii="宋体" w:hAnsi="宋体"/>
                          <w:sz w:val="24"/>
                        </w:rPr>
                        <w:t>法定代表人身份证复印件粘贴处（正面）</w:t>
                      </w:r>
                    </w:p>
                  </w:txbxContent>
                </v:textbox>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2781300</wp:posOffset>
                </wp:positionH>
                <wp:positionV relativeFrom="paragraph">
                  <wp:posOffset>361315</wp:posOffset>
                </wp:positionV>
                <wp:extent cx="2810510" cy="296545"/>
                <wp:effectExtent l="4445" t="4445" r="23495" b="22860"/>
                <wp:wrapNone/>
                <wp:docPr id="4" name="文本框 4"/>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15B19D52">
                            <w:r>
                              <w:rPr>
                                <w:rFonts w:hint="eastAsia" w:ascii="宋体" w:hAnsi="宋体"/>
                                <w:sz w:val="24"/>
                              </w:rPr>
                              <w:t>法定代表人身份证复印件粘贴处（背面）</w:t>
                            </w:r>
                          </w:p>
                        </w:txbxContent>
                      </wps:txbx>
                      <wps:bodyPr upright="1"/>
                    </wps:wsp>
                  </a:graphicData>
                </a:graphic>
              </wp:anchor>
            </w:drawing>
          </mc:Choice>
          <mc:Fallback>
            <w:pict>
              <v:shape id="_x0000_s1026" o:spid="_x0000_s1026" o:spt="202" type="#_x0000_t202" style="position:absolute;left:0pt;margin-left:219pt;margin-top:28.45pt;height:23.35pt;width:221.3pt;z-index:251662336;mso-width-relative:page;mso-height-relative:page;" fillcolor="#FFFFFF" filled="t" stroked="t" coordsize="21600,21600" o:gfxdata="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">
                <v:fill on="t" focussize="0,0"/>
                <v:stroke color="#000000" joinstyle="miter"/>
                <v:imagedata o:title=""/>
                <o:lock v:ext="edit" aspectratio="f"/>
                <v:textbox>
                  <w:txbxContent>
                    <w:p w14:paraId="15B19D52">
                      <w:r>
                        <w:rPr>
                          <w:rFonts w:hint="eastAsia" w:ascii="宋体" w:hAnsi="宋体"/>
                          <w:sz w:val="24"/>
                        </w:rPr>
                        <w:t>法定代表人身份证复印件粘贴处（背面）</w:t>
                      </w:r>
                    </w:p>
                  </w:txbxContent>
                </v:textbox>
              </v:shape>
            </w:pict>
          </mc:Fallback>
        </mc:AlternateContent>
      </w:r>
    </w:p>
    <w:p w14:paraId="2999B1AC">
      <w:pPr>
        <w:rPr>
          <w:rFonts w:ascii="宋体" w:hAnsi="宋体" w:cs="宋体"/>
          <w:color w:val="000000" w:themeColor="text1"/>
          <w:sz w:val="24"/>
          <w:highlight w:val="none"/>
          <w14:textFill>
            <w14:solidFill>
              <w14:schemeClr w14:val="tx1"/>
            </w14:solidFill>
          </w14:textFill>
        </w:rPr>
      </w:pPr>
    </w:p>
    <w:p w14:paraId="72771FF0">
      <w:pPr>
        <w:pStyle w:val="3"/>
        <w:rPr>
          <w:rFonts w:ascii="宋体" w:hAnsi="宋体" w:cs="宋体"/>
          <w:color w:val="000000" w:themeColor="text1"/>
          <w:highlight w:val="none"/>
          <w14:textFill>
            <w14:solidFill>
              <w14:schemeClr w14:val="tx1"/>
            </w14:solidFill>
          </w14:textFill>
        </w:rPr>
      </w:pPr>
    </w:p>
    <w:p w14:paraId="1A7FEE07">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1538D52E">
      <w:pPr>
        <w:spacing w:line="36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 （企业电子签章）</w:t>
      </w:r>
    </w:p>
    <w:p w14:paraId="0CDF9F0B">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 xml:space="preserve">         </w:t>
      </w:r>
    </w:p>
    <w:p w14:paraId="43534A29">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51670A49">
      <w:pPr>
        <w:spacing w:line="360" w:lineRule="auto"/>
        <w:ind w:firstLine="5760" w:firstLineChars="24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年    月    日</w:t>
      </w:r>
    </w:p>
    <w:p w14:paraId="6A93B4F2">
      <w:pPr>
        <w:spacing w:line="440" w:lineRule="exact"/>
        <w:rPr>
          <w:rFonts w:ascii="宋体" w:hAnsi="宋体" w:cs="宋体"/>
          <w:color w:val="000000" w:themeColor="text1"/>
          <w:highlight w:val="none"/>
          <w14:textFill>
            <w14:solidFill>
              <w14:schemeClr w14:val="tx1"/>
            </w14:solidFill>
          </w14:textFill>
        </w:rPr>
      </w:pPr>
    </w:p>
    <w:p w14:paraId="065F913C">
      <w:pPr>
        <w:spacing w:line="440" w:lineRule="exact"/>
        <w:rPr>
          <w:rFonts w:ascii="宋体" w:hAnsi="宋体" w:cs="宋体"/>
          <w:color w:val="000000" w:themeColor="text1"/>
          <w:highlight w:val="none"/>
          <w14:textFill>
            <w14:solidFill>
              <w14:schemeClr w14:val="tx1"/>
            </w14:solidFill>
          </w14:textFill>
        </w:rPr>
      </w:pPr>
    </w:p>
    <w:p w14:paraId="2A3C576E">
      <w:pPr>
        <w:spacing w:line="440" w:lineRule="exact"/>
        <w:rPr>
          <w:rFonts w:ascii="宋体" w:hAnsi="宋体" w:cs="宋体"/>
          <w:color w:val="000000" w:themeColor="text1"/>
          <w:highlight w:val="none"/>
          <w14:textFill>
            <w14:solidFill>
              <w14:schemeClr w14:val="tx1"/>
            </w14:solidFill>
          </w14:textFill>
        </w:rPr>
      </w:pPr>
    </w:p>
    <w:p w14:paraId="177C91F8">
      <w:pPr>
        <w:spacing w:line="440" w:lineRule="exact"/>
        <w:rPr>
          <w:rFonts w:ascii="宋体" w:hAnsi="宋体" w:cs="宋体"/>
          <w:color w:val="000000" w:themeColor="text1"/>
          <w:highlight w:val="none"/>
          <w14:textFill>
            <w14:solidFill>
              <w14:schemeClr w14:val="tx1"/>
            </w14:solidFill>
          </w14:textFill>
        </w:rPr>
      </w:pPr>
    </w:p>
    <w:p w14:paraId="63FA01A1">
      <w:pPr>
        <w:spacing w:line="440" w:lineRule="exact"/>
        <w:rPr>
          <w:rFonts w:ascii="宋体" w:hAnsi="宋体" w:cs="宋体"/>
          <w:color w:val="000000" w:themeColor="text1"/>
          <w:highlight w:val="none"/>
          <w14:textFill>
            <w14:solidFill>
              <w14:schemeClr w14:val="tx1"/>
            </w14:solidFill>
          </w14:textFill>
        </w:rPr>
      </w:pPr>
    </w:p>
    <w:p w14:paraId="3FAA29FB">
      <w:pPr>
        <w:spacing w:line="440" w:lineRule="exact"/>
        <w:rPr>
          <w:rFonts w:ascii="宋体" w:hAnsi="宋体" w:cs="宋体"/>
          <w:color w:val="000000" w:themeColor="text1"/>
          <w:highlight w:val="none"/>
          <w14:textFill>
            <w14:solidFill>
              <w14:schemeClr w14:val="tx1"/>
            </w14:solidFill>
          </w14:textFill>
        </w:rPr>
      </w:pPr>
    </w:p>
    <w:p w14:paraId="7B559EE6">
      <w:pPr>
        <w:pStyle w:val="26"/>
        <w:rPr>
          <w:color w:val="000000" w:themeColor="text1"/>
          <w:highlight w:val="none"/>
          <w14:textFill>
            <w14:solidFill>
              <w14:schemeClr w14:val="tx1"/>
            </w14:solidFill>
          </w14:textFill>
        </w:rPr>
      </w:pPr>
    </w:p>
    <w:p w14:paraId="30D04EDA">
      <w:pPr>
        <w:pStyle w:val="24"/>
        <w:spacing w:before="120" w:after="120" w:line="500" w:lineRule="exact"/>
        <w:ind w:right="29" w:rightChars="14"/>
        <w:outlineLvl w:val="1"/>
        <w:rPr>
          <w:rFonts w:ascii="宋体" w:hAnsi="宋体" w:eastAsia="宋体" w:cs="宋体"/>
          <w:color w:val="000000" w:themeColor="text1"/>
          <w:sz w:val="28"/>
          <w:szCs w:val="28"/>
          <w:highlight w:val="none"/>
          <w14:textFill>
            <w14:solidFill>
              <w14:schemeClr w14:val="tx1"/>
            </w14:solidFill>
          </w14:textFill>
        </w:rPr>
      </w:pPr>
      <w:bookmarkStart w:id="323" w:name="_Toc15395"/>
      <w:bookmarkStart w:id="324" w:name="_Toc17980"/>
      <w:bookmarkStart w:id="325" w:name="_Toc6009"/>
      <w:bookmarkStart w:id="326" w:name="_Toc729"/>
      <w:bookmarkStart w:id="327" w:name="_Toc26257"/>
      <w:r>
        <w:rPr>
          <w:rFonts w:hint="eastAsia" w:ascii="宋体" w:hAnsi="宋体" w:eastAsia="宋体" w:cs="宋体"/>
          <w:color w:val="000000" w:themeColor="text1"/>
          <w:sz w:val="28"/>
          <w:szCs w:val="28"/>
          <w:highlight w:val="none"/>
          <w14:textFill>
            <w14:solidFill>
              <w14:schemeClr w14:val="tx1"/>
            </w14:solidFill>
          </w14:textFill>
        </w:rPr>
        <w:t>三、授权委托书</w:t>
      </w:r>
      <w:bookmarkEnd w:id="323"/>
      <w:bookmarkEnd w:id="324"/>
      <w:bookmarkEnd w:id="325"/>
      <w:bookmarkEnd w:id="326"/>
      <w:bookmarkEnd w:id="327"/>
    </w:p>
    <w:p w14:paraId="1CAC1289">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本人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（姓名）系</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（供应商名称）的法定代表人，现委托</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（姓名）为我方代理人。代理人根据授权，以我方名义签署、澄清、说明、补正、递交、撤回、修改</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（项目名称</w:t>
      </w:r>
      <w:r>
        <w:rPr>
          <w:rFonts w:hint="eastAsia" w:ascii="宋体" w:hAnsi="宋体" w:cs="宋体"/>
          <w:color w:val="000000" w:themeColor="text1"/>
          <w:sz w:val="24"/>
          <w:highlight w:val="none"/>
          <w:lang w:val="en-US" w:eastAsia="zh-CN"/>
          <w14:textFill>
            <w14:solidFill>
              <w14:schemeClr w14:val="tx1"/>
            </w14:solidFill>
          </w14:textFill>
        </w:rPr>
        <w:t>+包段</w:t>
      </w:r>
      <w:r>
        <w:rPr>
          <w:rFonts w:hint="eastAsia" w:ascii="宋体" w:hAnsi="宋体" w:cs="宋体"/>
          <w:color w:val="000000" w:themeColor="text1"/>
          <w:sz w:val="24"/>
          <w:highlight w:val="none"/>
          <w14:textFill>
            <w14:solidFill>
              <w14:schemeClr w14:val="tx1"/>
            </w14:solidFill>
          </w14:textFill>
        </w:rPr>
        <w:t>）项目响应文件、签订合同和处理有关事宜，其法律后果由我方承担。</w:t>
      </w:r>
    </w:p>
    <w:p w14:paraId="49954AB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委托期限：</w:t>
      </w:r>
      <w:r>
        <w:rPr>
          <w:rFonts w:hint="eastAsia" w:ascii="宋体" w:hAnsi="宋体" w:cs="宋体"/>
          <w:color w:val="000000" w:themeColor="text1"/>
          <w:sz w:val="24"/>
          <w:highlight w:val="none"/>
          <w:u w:val="single"/>
          <w14:textFill>
            <w14:solidFill>
              <w14:schemeClr w14:val="tx1"/>
            </w14:solidFill>
          </w14:textFill>
        </w:rPr>
        <w:t xml:space="preserve">                                </w:t>
      </w:r>
    </w:p>
    <w:p w14:paraId="0E9C7D30">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代理人无转委托权。</w:t>
      </w:r>
    </w:p>
    <w:p w14:paraId="6A4AF6CC">
      <w:pPr>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4384" behindDoc="0" locked="0" layoutInCell="1" allowOverlap="1">
                <wp:simplePos x="0" y="0"/>
                <wp:positionH relativeFrom="column">
                  <wp:posOffset>3013075</wp:posOffset>
                </wp:positionH>
                <wp:positionV relativeFrom="paragraph">
                  <wp:posOffset>254000</wp:posOffset>
                </wp:positionV>
                <wp:extent cx="3134360" cy="2235200"/>
                <wp:effectExtent l="4445" t="5080" r="23495" b="7620"/>
                <wp:wrapNone/>
                <wp:docPr id="6" name="自选图形 6"/>
                <wp:cNvGraphicFramePr/>
                <a:graphic xmlns:a="http://schemas.openxmlformats.org/drawingml/2006/main">
                  <a:graphicData uri="http://schemas.microsoft.com/office/word/2010/wordprocessingShape">
                    <wps:wsp>
                      <wps:cNvSpPr/>
                      <wps:spPr>
                        <a:xfrm>
                          <a:off x="0" y="0"/>
                          <a:ext cx="313436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bodyPr upright="1"/>
                    </wps:wsp>
                  </a:graphicData>
                </a:graphic>
              </wp:anchor>
            </w:drawing>
          </mc:Choice>
          <mc:Fallback>
            <w:pict>
              <v:shape id="自选图形 6" o:spid="_x0000_s1026" o:spt="176" type="#_x0000_t176" style="position:absolute;left:0pt;margin-left:237.25pt;margin-top:20pt;height:176pt;width:246.8pt;z-index:251664384;mso-width-relative:page;mso-height-relative:page;" fillcolor="#FFFFFF" filled="t" stroked="t" coordsize="21600,21600" o:gfxdata="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">
                <v:fill on="t" focussize="0,0"/>
                <v:stroke color="#000000" joinstyle="miter"/>
                <v:imagedata o:title=""/>
                <o:lock v:ext="edit" aspectratio="f"/>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3360" behindDoc="0" locked="0" layoutInCell="1" allowOverlap="1">
                <wp:simplePos x="0" y="0"/>
                <wp:positionH relativeFrom="column">
                  <wp:posOffset>-46355</wp:posOffset>
                </wp:positionH>
                <wp:positionV relativeFrom="paragraph">
                  <wp:posOffset>201295</wp:posOffset>
                </wp:positionV>
                <wp:extent cx="3050540" cy="2235200"/>
                <wp:effectExtent l="4445" t="4445" r="12065" b="8255"/>
                <wp:wrapNone/>
                <wp:docPr id="5" name="自选图形 7"/>
                <wp:cNvGraphicFramePr/>
                <a:graphic xmlns:a="http://schemas.openxmlformats.org/drawingml/2006/main">
                  <a:graphicData uri="http://schemas.microsoft.com/office/word/2010/wordprocessingShape">
                    <wps:wsp>
                      <wps:cNvSpPr/>
                      <wps:spPr>
                        <a:xfrm>
                          <a:off x="0" y="0"/>
                          <a:ext cx="3050540" cy="2235200"/>
                        </a:xfrm>
                        <a:prstGeom prst="flowChartAlternateProcess">
                          <a:avLst/>
                        </a:prstGeom>
                        <a:solidFill>
                          <a:srgbClr val="FFFFFF"/>
                        </a:solidFill>
                        <a:ln w="9525" cap="flat" cmpd="sng">
                          <a:solidFill>
                            <a:srgbClr val="000000"/>
                          </a:solidFill>
                          <a:prstDash val="solid"/>
                          <a:miter/>
                          <a:headEnd type="none" w="med" len="med"/>
                          <a:tailEnd type="none" w="med" len="med"/>
                        </a:ln>
                      </wps:spPr>
                      <wps:txbx>
                        <w:txbxContent>
                          <w:p w14:paraId="49C544AA">
                            <w:pPr>
                              <w:jc w:val="center"/>
                            </w:pPr>
                          </w:p>
                        </w:txbxContent>
                      </wps:txbx>
                      <wps:bodyPr upright="1"/>
                    </wps:wsp>
                  </a:graphicData>
                </a:graphic>
              </wp:anchor>
            </w:drawing>
          </mc:Choice>
          <mc:Fallback>
            <w:pict>
              <v:shape id="自选图形 7" o:spid="_x0000_s1026" o:spt="176" type="#_x0000_t176" style="position:absolute;left:0pt;margin-left:-3.65pt;margin-top:15.85pt;height:176pt;width:240.2pt;z-index:251663360;mso-width-relative:page;mso-height-relative:page;" fillcolor="#FFFFFF" filled="t" stroked="t" coordsize="21600,21600" o:gfxdata="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">
                <v:fill on="t" focussize="0,0"/>
                <v:stroke color="#000000" joinstyle="miter"/>
                <v:imagedata o:title=""/>
                <o:lock v:ext="edit" aspectratio="f"/>
                <v:textbox>
                  <w:txbxContent>
                    <w:p w14:paraId="49C544AA">
                      <w:pPr>
                        <w:jc w:val="center"/>
                      </w:pPr>
                    </w:p>
                  </w:txbxContent>
                </v:textbox>
              </v:shape>
            </w:pict>
          </mc:Fallback>
        </mc:AlternateContent>
      </w:r>
    </w:p>
    <w:p w14:paraId="4F5D342A">
      <w:pPr>
        <w:spacing w:line="360" w:lineRule="auto"/>
        <w:ind w:firstLine="480" w:firstLineChars="200"/>
        <w:rPr>
          <w:rFonts w:ascii="宋体" w:hAnsi="宋体" w:cs="宋体"/>
          <w:color w:val="000000" w:themeColor="text1"/>
          <w:sz w:val="24"/>
          <w:highlight w:val="none"/>
          <w14:textFill>
            <w14:solidFill>
              <w14:schemeClr w14:val="tx1"/>
            </w14:solidFill>
          </w14:textFill>
        </w:rPr>
      </w:pPr>
    </w:p>
    <w:p w14:paraId="72C6CC37">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2943F5A5">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6432" behindDoc="0" locked="0" layoutInCell="1" allowOverlap="1">
                <wp:simplePos x="0" y="0"/>
                <wp:positionH relativeFrom="column">
                  <wp:posOffset>3161665</wp:posOffset>
                </wp:positionH>
                <wp:positionV relativeFrom="paragraph">
                  <wp:posOffset>234950</wp:posOffset>
                </wp:positionV>
                <wp:extent cx="2810510" cy="296545"/>
                <wp:effectExtent l="4445" t="4445" r="23495" b="22860"/>
                <wp:wrapNone/>
                <wp:docPr id="8" name="文本框 9"/>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7508FDA5">
                            <w:r>
                              <w:rPr>
                                <w:rFonts w:hint="eastAsia" w:ascii="宋体" w:hAnsi="宋体"/>
                                <w:sz w:val="24"/>
                              </w:rPr>
                              <w:t>委托代理人身份证复印件粘贴处（背面）</w:t>
                            </w:r>
                          </w:p>
                        </w:txbxContent>
                      </wps:txbx>
                      <wps:bodyPr upright="1"/>
                    </wps:wsp>
                  </a:graphicData>
                </a:graphic>
              </wp:anchor>
            </w:drawing>
          </mc:Choice>
          <mc:Fallback>
            <w:pict>
              <v:shape id="文本框 9" o:spid="_x0000_s1026" o:spt="202" type="#_x0000_t202" style="position:absolute;left:0pt;margin-left:248.95pt;margin-top:18.5pt;height:23.35pt;width:221.3pt;z-index:251666432;mso-width-relative:page;mso-height-relative:page;" fillcolor="#FFFFFF" filled="t" stroked="t" coordsize="21600,21600" o:gfxdata="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">
                <v:fill on="t" focussize="0,0"/>
                <v:stroke color="#000000" joinstyle="miter"/>
                <v:imagedata o:title=""/>
                <o:lock v:ext="edit" aspectratio="f"/>
                <v:textbox>
                  <w:txbxContent>
                    <w:p w14:paraId="7508FDA5">
                      <w:r>
                        <w:rPr>
                          <w:rFonts w:hint="eastAsia" w:ascii="宋体" w:hAnsi="宋体"/>
                          <w:sz w:val="24"/>
                        </w:rPr>
                        <w:t>委托代理人身份证复印件粘贴处（背面）</w:t>
                      </w:r>
                    </w:p>
                  </w:txbxContent>
                </v:textbox>
              </v:shape>
            </w:pict>
          </mc:Fallback>
        </mc:AlternateContent>
      </w:r>
      <w:r>
        <w:rPr>
          <w:rFonts w:hint="eastAsia" w:ascii="宋体" w:hAnsi="宋体" w:cs="宋体"/>
          <w:color w:val="000000" w:themeColor="text1"/>
          <w:sz w:val="24"/>
          <w:highlight w:val="none"/>
          <w14:textFill>
            <w14:solidFill>
              <w14:schemeClr w14:val="tx1"/>
            </w14:solidFill>
          </w14:textFill>
        </w:rPr>
        <mc:AlternateContent>
          <mc:Choice Requires="wps">
            <w:drawing>
              <wp:anchor distT="0" distB="0" distL="114300" distR="114300" simplePos="0" relativeHeight="251665408" behindDoc="0" locked="0" layoutInCell="1" allowOverlap="1">
                <wp:simplePos x="0" y="0"/>
                <wp:positionH relativeFrom="column">
                  <wp:posOffset>58420</wp:posOffset>
                </wp:positionH>
                <wp:positionV relativeFrom="paragraph">
                  <wp:posOffset>273050</wp:posOffset>
                </wp:positionV>
                <wp:extent cx="2810510" cy="296545"/>
                <wp:effectExtent l="4445" t="4445" r="23495" b="22860"/>
                <wp:wrapNone/>
                <wp:docPr id="7" name="文本框 8"/>
                <wp:cNvGraphicFramePr/>
                <a:graphic xmlns:a="http://schemas.openxmlformats.org/drawingml/2006/main">
                  <a:graphicData uri="http://schemas.microsoft.com/office/word/2010/wordprocessingShape">
                    <wps:wsp>
                      <wps:cNvSpPr txBox="1"/>
                      <wps:spPr>
                        <a:xfrm>
                          <a:off x="0" y="0"/>
                          <a:ext cx="2810510" cy="296545"/>
                        </a:xfrm>
                        <a:prstGeom prst="rect">
                          <a:avLst/>
                        </a:prstGeom>
                        <a:solidFill>
                          <a:srgbClr val="FFFFFF"/>
                        </a:solidFill>
                        <a:ln w="9525" cap="flat" cmpd="sng">
                          <a:solidFill>
                            <a:srgbClr val="000000"/>
                          </a:solidFill>
                          <a:prstDash val="solid"/>
                          <a:miter/>
                          <a:headEnd type="none" w="med" len="med"/>
                          <a:tailEnd type="none" w="med" len="med"/>
                        </a:ln>
                      </wps:spPr>
                      <wps:txbx>
                        <w:txbxContent>
                          <w:p w14:paraId="340A2CCD">
                            <w:r>
                              <w:rPr>
                                <w:rFonts w:hint="eastAsia" w:ascii="宋体" w:hAnsi="宋体"/>
                                <w:sz w:val="24"/>
                              </w:rPr>
                              <w:t>委托代理人身份证复印件粘贴处（正面）</w:t>
                            </w:r>
                          </w:p>
                        </w:txbxContent>
                      </wps:txbx>
                      <wps:bodyPr upright="1"/>
                    </wps:wsp>
                  </a:graphicData>
                </a:graphic>
              </wp:anchor>
            </w:drawing>
          </mc:Choice>
          <mc:Fallback>
            <w:pict>
              <v:shape id="文本框 8" o:spid="_x0000_s1026" o:spt="202" type="#_x0000_t202" style="position:absolute;left:0pt;margin-left:4.6pt;margin-top:21.5pt;height:23.35pt;width:221.3pt;z-index:251665408;mso-width-relative:page;mso-height-relative:page;" fillcolor="#FFFFFF" filled="t" stroked="t" coordsize="21600,21600" o:gfxdata="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">
                <v:fill on="t" focussize="0,0"/>
                <v:stroke color="#000000" joinstyle="miter"/>
                <v:imagedata o:title=""/>
                <o:lock v:ext="edit" aspectratio="f"/>
                <v:textbox>
                  <w:txbxContent>
                    <w:p w14:paraId="340A2CCD">
                      <w:r>
                        <w:rPr>
                          <w:rFonts w:hint="eastAsia" w:ascii="宋体" w:hAnsi="宋体"/>
                          <w:sz w:val="24"/>
                        </w:rPr>
                        <w:t>委托代理人身份证复印件粘贴处（正面）</w:t>
                      </w:r>
                    </w:p>
                  </w:txbxContent>
                </v:textbox>
              </v:shape>
            </w:pict>
          </mc:Fallback>
        </mc:AlternateContent>
      </w:r>
    </w:p>
    <w:p w14:paraId="5E38F930">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339255B6">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74E50B2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5C60E709">
      <w:pPr>
        <w:spacing w:line="360" w:lineRule="auto"/>
        <w:ind w:firstLine="480" w:firstLineChars="200"/>
        <w:jc w:val="left"/>
        <w:rPr>
          <w:rFonts w:ascii="宋体" w:hAnsi="宋体" w:cs="宋体"/>
          <w:color w:val="000000" w:themeColor="text1"/>
          <w:sz w:val="24"/>
          <w:highlight w:val="none"/>
          <w14:textFill>
            <w14:solidFill>
              <w14:schemeClr w14:val="tx1"/>
            </w14:solidFill>
          </w14:textFill>
        </w:rPr>
      </w:pPr>
    </w:p>
    <w:p w14:paraId="430D401D">
      <w:pPr>
        <w:spacing w:line="360" w:lineRule="auto"/>
        <w:jc w:val="left"/>
        <w:rPr>
          <w:rFonts w:ascii="宋体" w:hAnsi="宋体" w:cs="宋体"/>
          <w:color w:val="000000" w:themeColor="text1"/>
          <w:sz w:val="24"/>
          <w:highlight w:val="none"/>
          <w14:textFill>
            <w14:solidFill>
              <w14:schemeClr w14:val="tx1"/>
            </w14:solidFill>
          </w14:textFill>
        </w:rPr>
      </w:pPr>
    </w:p>
    <w:p w14:paraId="423A6BCE">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供应商：</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 xml:space="preserve">（企业电子签章） </w:t>
      </w:r>
    </w:p>
    <w:p w14:paraId="1CDD3161">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法定代表人：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（签字或盖章）</w:t>
      </w:r>
    </w:p>
    <w:p w14:paraId="6E0D2053">
      <w:pPr>
        <w:spacing w:line="360" w:lineRule="auto"/>
        <w:jc w:val="left"/>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委托代理人：</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（签字或盖章）</w:t>
      </w:r>
    </w:p>
    <w:p w14:paraId="6513C3E4">
      <w:pPr>
        <w:spacing w:line="360" w:lineRule="auto"/>
        <w:ind w:firstLine="5040" w:firstLineChars="2100"/>
        <w:rPr>
          <w:rFonts w:ascii="宋体" w:hAnsi="宋体" w:cs="宋体"/>
          <w:color w:val="000000" w:themeColor="text1"/>
          <w:sz w:val="24"/>
          <w:highlight w:val="none"/>
          <w14:textFill>
            <w14:solidFill>
              <w14:schemeClr w14:val="tx1"/>
            </w14:solidFill>
          </w14:textFill>
        </w:rPr>
      </w:pPr>
    </w:p>
    <w:p w14:paraId="1D14AAB9">
      <w:pPr>
        <w:spacing w:line="360" w:lineRule="auto"/>
        <w:ind w:firstLine="6000" w:firstLineChars="2500"/>
        <w:rPr>
          <w:rFonts w:ascii="宋体" w:hAnsi="宋体" w:cs="宋体"/>
          <w:color w:val="000000" w:themeColor="text1"/>
          <w:sz w:val="30"/>
          <w:szCs w:val="30"/>
          <w:highlight w:val="none"/>
          <w14:textFill>
            <w14:solidFill>
              <w14:schemeClr w14:val="tx1"/>
            </w14:solidFill>
          </w14:textFill>
        </w:rPr>
      </w:pP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年</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月</w:t>
      </w:r>
      <w:r>
        <w:rPr>
          <w:rFonts w:hint="eastAsia" w:ascii="宋体" w:hAnsi="宋体" w:cs="宋体"/>
          <w:color w:val="000000" w:themeColor="text1"/>
          <w:sz w:val="24"/>
          <w:highlight w:val="none"/>
          <w:u w:val="single"/>
          <w14:textFill>
            <w14:solidFill>
              <w14:schemeClr w14:val="tx1"/>
            </w14:solidFill>
          </w14:textFill>
        </w:rPr>
        <w:t xml:space="preserve">    </w:t>
      </w:r>
      <w:r>
        <w:rPr>
          <w:rFonts w:hint="eastAsia" w:ascii="宋体" w:hAnsi="宋体" w:cs="宋体"/>
          <w:color w:val="000000" w:themeColor="text1"/>
          <w:sz w:val="24"/>
          <w:highlight w:val="none"/>
          <w14:textFill>
            <w14:solidFill>
              <w14:schemeClr w14:val="tx1"/>
            </w14:solidFill>
          </w14:textFill>
        </w:rPr>
        <w:t>日</w:t>
      </w:r>
      <w:bookmarkEnd w:id="257"/>
    </w:p>
    <w:p w14:paraId="609512CD">
      <w:pPr>
        <w:pStyle w:val="23"/>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bookmarkStart w:id="328" w:name="_Toc8304"/>
      <w:bookmarkStart w:id="329" w:name="_Toc25161"/>
    </w:p>
    <w:p w14:paraId="46781521">
      <w:pPr>
        <w:pStyle w:val="23"/>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15107C52">
      <w:pPr>
        <w:pStyle w:val="23"/>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360FB1DD">
      <w:pPr>
        <w:pStyle w:val="23"/>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301D9AF2">
      <w:pPr>
        <w:pStyle w:val="23"/>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0015B5DD">
      <w:pPr>
        <w:pStyle w:val="23"/>
        <w:widowControl w:val="0"/>
        <w:spacing w:before="120" w:beforeAutospacing="0" w:after="120" w:afterAutospacing="0" w:line="500" w:lineRule="exact"/>
        <w:ind w:right="29" w:rightChars="14"/>
        <w:jc w:val="center"/>
        <w:outlineLvl w:val="1"/>
        <w:rPr>
          <w:b/>
          <w:color w:val="000000" w:themeColor="text1"/>
          <w:kern w:val="2"/>
          <w:sz w:val="30"/>
          <w:szCs w:val="30"/>
          <w:highlight w:val="none"/>
          <w14:textFill>
            <w14:solidFill>
              <w14:schemeClr w14:val="tx1"/>
            </w14:solidFill>
          </w14:textFill>
        </w:rPr>
      </w:pPr>
    </w:p>
    <w:p w14:paraId="29EA6950">
      <w:pPr>
        <w:pStyle w:val="23"/>
        <w:widowControl w:val="0"/>
        <w:spacing w:before="120" w:beforeAutospacing="0" w:after="120" w:afterAutospacing="0" w:line="500" w:lineRule="exact"/>
        <w:ind w:right="29" w:rightChars="14"/>
        <w:jc w:val="center"/>
        <w:outlineLvl w:val="1"/>
        <w:rPr>
          <w:b/>
          <w:color w:val="000000" w:themeColor="text1"/>
          <w:sz w:val="28"/>
          <w:szCs w:val="28"/>
          <w:highlight w:val="none"/>
          <w14:textFill>
            <w14:solidFill>
              <w14:schemeClr w14:val="tx1"/>
            </w14:solidFill>
          </w14:textFill>
        </w:rPr>
      </w:pPr>
      <w:bookmarkStart w:id="330" w:name="_Toc9732"/>
      <w:bookmarkStart w:id="331" w:name="_Toc28885"/>
      <w:r>
        <w:rPr>
          <w:rFonts w:hint="eastAsia"/>
          <w:b/>
          <w:color w:val="000000" w:themeColor="text1"/>
          <w:kern w:val="2"/>
          <w:sz w:val="28"/>
          <w:szCs w:val="28"/>
          <w:highlight w:val="none"/>
          <w14:textFill>
            <w14:solidFill>
              <w14:schemeClr w14:val="tx1"/>
            </w14:solidFill>
          </w14:textFill>
        </w:rPr>
        <w:t>四、项目实施方案</w:t>
      </w:r>
      <w:bookmarkEnd w:id="328"/>
      <w:r>
        <w:rPr>
          <w:rFonts w:hint="eastAsia"/>
          <w:b/>
          <w:color w:val="000000" w:themeColor="text1"/>
          <w:kern w:val="2"/>
          <w:sz w:val="28"/>
          <w:szCs w:val="28"/>
          <w:highlight w:val="none"/>
          <w14:textFill>
            <w14:solidFill>
              <w14:schemeClr w14:val="tx1"/>
            </w14:solidFill>
          </w14:textFill>
        </w:rPr>
        <w:t>等</w:t>
      </w:r>
      <w:bookmarkEnd w:id="329"/>
      <w:bookmarkEnd w:id="330"/>
      <w:bookmarkEnd w:id="331"/>
    </w:p>
    <w:p w14:paraId="319528F4">
      <w:pPr>
        <w:ind w:left="420"/>
        <w:rPr>
          <w:rFonts w:ascii="宋体" w:hAnsi="宋体" w:cs="宋体"/>
          <w:b/>
          <w:color w:val="000000" w:themeColor="text1"/>
          <w:sz w:val="30"/>
          <w:szCs w:val="30"/>
          <w:highlight w:val="none"/>
          <w14:textFill>
            <w14:solidFill>
              <w14:schemeClr w14:val="tx1"/>
            </w14:solidFill>
          </w14:textFill>
        </w:rPr>
      </w:pPr>
    </w:p>
    <w:p w14:paraId="7B5A5859">
      <w:pPr>
        <w:ind w:left="420"/>
        <w:rPr>
          <w:rFonts w:ascii="宋体" w:hAnsi="宋体" w:cs="宋体"/>
          <w:b/>
          <w:color w:val="000000" w:themeColor="text1"/>
          <w:sz w:val="30"/>
          <w:szCs w:val="30"/>
          <w:highlight w:val="none"/>
          <w14:textFill>
            <w14:solidFill>
              <w14:schemeClr w14:val="tx1"/>
            </w14:solidFill>
          </w14:textFill>
        </w:rPr>
      </w:pPr>
    </w:p>
    <w:p w14:paraId="459EA244">
      <w:pPr>
        <w:ind w:left="420"/>
        <w:rPr>
          <w:rFonts w:ascii="宋体" w:hAnsi="宋体" w:cs="宋体"/>
          <w:b/>
          <w:color w:val="000000" w:themeColor="text1"/>
          <w:sz w:val="30"/>
          <w:szCs w:val="30"/>
          <w:highlight w:val="none"/>
          <w14:textFill>
            <w14:solidFill>
              <w14:schemeClr w14:val="tx1"/>
            </w14:solidFill>
          </w14:textFill>
        </w:rPr>
      </w:pPr>
    </w:p>
    <w:p w14:paraId="22239C19">
      <w:pPr>
        <w:ind w:left="420"/>
        <w:rPr>
          <w:rFonts w:ascii="宋体" w:hAnsi="宋体" w:cs="宋体"/>
          <w:b/>
          <w:color w:val="000000" w:themeColor="text1"/>
          <w:sz w:val="30"/>
          <w:szCs w:val="30"/>
          <w:highlight w:val="none"/>
          <w14:textFill>
            <w14:solidFill>
              <w14:schemeClr w14:val="tx1"/>
            </w14:solidFill>
          </w14:textFill>
        </w:rPr>
      </w:pPr>
    </w:p>
    <w:p w14:paraId="6CF600F3">
      <w:pPr>
        <w:ind w:left="420"/>
        <w:rPr>
          <w:rFonts w:ascii="宋体" w:hAnsi="宋体" w:cs="宋体"/>
          <w:b/>
          <w:color w:val="000000" w:themeColor="text1"/>
          <w:sz w:val="30"/>
          <w:szCs w:val="30"/>
          <w:highlight w:val="none"/>
          <w14:textFill>
            <w14:solidFill>
              <w14:schemeClr w14:val="tx1"/>
            </w14:solidFill>
          </w14:textFill>
        </w:rPr>
      </w:pPr>
    </w:p>
    <w:p w14:paraId="6F123874">
      <w:pPr>
        <w:ind w:left="420"/>
        <w:rPr>
          <w:rFonts w:ascii="宋体" w:hAnsi="宋体" w:cs="宋体"/>
          <w:b/>
          <w:color w:val="000000" w:themeColor="text1"/>
          <w:sz w:val="30"/>
          <w:szCs w:val="30"/>
          <w:highlight w:val="none"/>
          <w14:textFill>
            <w14:solidFill>
              <w14:schemeClr w14:val="tx1"/>
            </w14:solidFill>
          </w14:textFill>
        </w:rPr>
      </w:pPr>
    </w:p>
    <w:p w14:paraId="203A6172">
      <w:pPr>
        <w:ind w:left="420"/>
        <w:rPr>
          <w:rFonts w:ascii="宋体" w:hAnsi="宋体" w:cs="宋体"/>
          <w:b/>
          <w:color w:val="000000" w:themeColor="text1"/>
          <w:sz w:val="30"/>
          <w:szCs w:val="30"/>
          <w:highlight w:val="none"/>
          <w14:textFill>
            <w14:solidFill>
              <w14:schemeClr w14:val="tx1"/>
            </w14:solidFill>
          </w14:textFill>
        </w:rPr>
      </w:pPr>
    </w:p>
    <w:p w14:paraId="0E4063CF">
      <w:pPr>
        <w:ind w:left="420"/>
        <w:rPr>
          <w:rFonts w:ascii="宋体" w:hAnsi="宋体" w:cs="宋体"/>
          <w:b/>
          <w:color w:val="000000" w:themeColor="text1"/>
          <w:sz w:val="30"/>
          <w:szCs w:val="30"/>
          <w:highlight w:val="none"/>
          <w14:textFill>
            <w14:solidFill>
              <w14:schemeClr w14:val="tx1"/>
            </w14:solidFill>
          </w14:textFill>
        </w:rPr>
      </w:pPr>
    </w:p>
    <w:p w14:paraId="1A5EFFC0">
      <w:pPr>
        <w:ind w:left="420"/>
        <w:rPr>
          <w:rFonts w:ascii="宋体" w:hAnsi="宋体" w:cs="宋体"/>
          <w:b/>
          <w:color w:val="000000" w:themeColor="text1"/>
          <w:sz w:val="30"/>
          <w:szCs w:val="30"/>
          <w:highlight w:val="none"/>
          <w14:textFill>
            <w14:solidFill>
              <w14:schemeClr w14:val="tx1"/>
            </w14:solidFill>
          </w14:textFill>
        </w:rPr>
      </w:pPr>
    </w:p>
    <w:p w14:paraId="33E1D3EB">
      <w:pPr>
        <w:ind w:left="420"/>
        <w:rPr>
          <w:rFonts w:ascii="宋体" w:hAnsi="宋体" w:cs="宋体"/>
          <w:b/>
          <w:color w:val="000000" w:themeColor="text1"/>
          <w:sz w:val="30"/>
          <w:szCs w:val="30"/>
          <w:highlight w:val="none"/>
          <w14:textFill>
            <w14:solidFill>
              <w14:schemeClr w14:val="tx1"/>
            </w14:solidFill>
          </w14:textFill>
        </w:rPr>
      </w:pPr>
    </w:p>
    <w:p w14:paraId="3B104417">
      <w:pPr>
        <w:ind w:left="420"/>
        <w:rPr>
          <w:rFonts w:ascii="宋体" w:hAnsi="宋体" w:cs="宋体"/>
          <w:b/>
          <w:color w:val="000000" w:themeColor="text1"/>
          <w:sz w:val="30"/>
          <w:szCs w:val="30"/>
          <w:highlight w:val="none"/>
          <w14:textFill>
            <w14:solidFill>
              <w14:schemeClr w14:val="tx1"/>
            </w14:solidFill>
          </w14:textFill>
        </w:rPr>
      </w:pPr>
    </w:p>
    <w:p w14:paraId="6E0A688E">
      <w:pPr>
        <w:rPr>
          <w:rFonts w:ascii="宋体" w:hAnsi="宋体" w:cs="宋体"/>
          <w:b/>
          <w:color w:val="000000" w:themeColor="text1"/>
          <w:sz w:val="30"/>
          <w:szCs w:val="30"/>
          <w:highlight w:val="none"/>
          <w14:textFill>
            <w14:solidFill>
              <w14:schemeClr w14:val="tx1"/>
            </w14:solidFill>
          </w14:textFill>
        </w:rPr>
      </w:pPr>
    </w:p>
    <w:p w14:paraId="45362395">
      <w:pPr>
        <w:rPr>
          <w:rFonts w:ascii="宋体" w:hAnsi="宋体" w:cs="宋体"/>
          <w:b/>
          <w:color w:val="000000" w:themeColor="text1"/>
          <w:sz w:val="30"/>
          <w:szCs w:val="30"/>
          <w:highlight w:val="none"/>
          <w14:textFill>
            <w14:solidFill>
              <w14:schemeClr w14:val="tx1"/>
            </w14:solidFill>
          </w14:textFill>
        </w:rPr>
      </w:pPr>
    </w:p>
    <w:p w14:paraId="757302F3">
      <w:pPr>
        <w:rPr>
          <w:rFonts w:ascii="宋体" w:hAnsi="宋体" w:cs="宋体"/>
          <w:b/>
          <w:color w:val="000000" w:themeColor="text1"/>
          <w:sz w:val="30"/>
          <w:szCs w:val="30"/>
          <w:highlight w:val="none"/>
          <w14:textFill>
            <w14:solidFill>
              <w14:schemeClr w14:val="tx1"/>
            </w14:solidFill>
          </w14:textFill>
        </w:rPr>
      </w:pPr>
    </w:p>
    <w:p w14:paraId="38422E1F">
      <w:pPr>
        <w:rPr>
          <w:rFonts w:ascii="宋体" w:hAnsi="宋体" w:cs="宋体"/>
          <w:b/>
          <w:color w:val="000000" w:themeColor="text1"/>
          <w:sz w:val="30"/>
          <w:szCs w:val="30"/>
          <w:highlight w:val="none"/>
          <w14:textFill>
            <w14:solidFill>
              <w14:schemeClr w14:val="tx1"/>
            </w14:solidFill>
          </w14:textFill>
        </w:rPr>
      </w:pPr>
    </w:p>
    <w:p w14:paraId="1A3FE772">
      <w:pPr>
        <w:rPr>
          <w:rFonts w:ascii="宋体" w:hAnsi="宋体" w:cs="宋体"/>
          <w:b/>
          <w:color w:val="000000" w:themeColor="text1"/>
          <w:sz w:val="30"/>
          <w:szCs w:val="30"/>
          <w:highlight w:val="none"/>
          <w14:textFill>
            <w14:solidFill>
              <w14:schemeClr w14:val="tx1"/>
            </w14:solidFill>
          </w14:textFill>
        </w:rPr>
      </w:pPr>
    </w:p>
    <w:p w14:paraId="2CF17993">
      <w:pPr>
        <w:rPr>
          <w:rFonts w:ascii="宋体" w:hAnsi="宋体" w:cs="宋体"/>
          <w:b/>
          <w:color w:val="000000" w:themeColor="text1"/>
          <w:sz w:val="30"/>
          <w:szCs w:val="30"/>
          <w:highlight w:val="none"/>
          <w14:textFill>
            <w14:solidFill>
              <w14:schemeClr w14:val="tx1"/>
            </w14:solidFill>
          </w14:textFill>
        </w:rPr>
      </w:pPr>
    </w:p>
    <w:p w14:paraId="29D2490A">
      <w:pPr>
        <w:rPr>
          <w:rFonts w:ascii="宋体" w:hAnsi="宋体" w:cs="宋体"/>
          <w:b/>
          <w:color w:val="000000" w:themeColor="text1"/>
          <w:sz w:val="30"/>
          <w:szCs w:val="30"/>
          <w:highlight w:val="none"/>
          <w14:textFill>
            <w14:solidFill>
              <w14:schemeClr w14:val="tx1"/>
            </w14:solidFill>
          </w14:textFill>
        </w:rPr>
      </w:pPr>
    </w:p>
    <w:p w14:paraId="753F501D">
      <w:pPr>
        <w:rPr>
          <w:rFonts w:ascii="宋体" w:hAnsi="宋体" w:cs="宋体"/>
          <w:b/>
          <w:color w:val="000000" w:themeColor="text1"/>
          <w:sz w:val="30"/>
          <w:szCs w:val="30"/>
          <w:highlight w:val="none"/>
          <w14:textFill>
            <w14:solidFill>
              <w14:schemeClr w14:val="tx1"/>
            </w14:solidFill>
          </w14:textFill>
        </w:rPr>
      </w:pPr>
    </w:p>
    <w:p w14:paraId="255D203E">
      <w:pPr>
        <w:rPr>
          <w:rFonts w:ascii="宋体" w:hAnsi="宋体" w:cs="宋体"/>
          <w:b/>
          <w:color w:val="000000" w:themeColor="text1"/>
          <w:sz w:val="30"/>
          <w:szCs w:val="30"/>
          <w:highlight w:val="none"/>
          <w14:textFill>
            <w14:solidFill>
              <w14:schemeClr w14:val="tx1"/>
            </w14:solidFill>
          </w14:textFill>
        </w:rPr>
      </w:pPr>
    </w:p>
    <w:p w14:paraId="489C6A92">
      <w:pPr>
        <w:rPr>
          <w:rFonts w:ascii="宋体" w:hAnsi="宋体" w:cs="宋体"/>
          <w:b/>
          <w:color w:val="000000" w:themeColor="text1"/>
          <w:sz w:val="30"/>
          <w:szCs w:val="30"/>
          <w:highlight w:val="none"/>
          <w14:textFill>
            <w14:solidFill>
              <w14:schemeClr w14:val="tx1"/>
            </w14:solidFill>
          </w14:textFill>
        </w:rPr>
      </w:pPr>
    </w:p>
    <w:p w14:paraId="410ACD6B">
      <w:pPr>
        <w:rPr>
          <w:rFonts w:ascii="宋体" w:hAnsi="宋体" w:cs="宋体"/>
          <w:b/>
          <w:color w:val="000000" w:themeColor="text1"/>
          <w:sz w:val="30"/>
          <w:szCs w:val="30"/>
          <w:highlight w:val="none"/>
          <w14:textFill>
            <w14:solidFill>
              <w14:schemeClr w14:val="tx1"/>
            </w14:solidFill>
          </w14:textFill>
        </w:rPr>
      </w:pPr>
    </w:p>
    <w:p w14:paraId="5DE5654C">
      <w:pPr>
        <w:rPr>
          <w:rFonts w:ascii="宋体" w:hAnsi="宋体" w:cs="宋体"/>
          <w:b/>
          <w:color w:val="000000" w:themeColor="text1"/>
          <w:sz w:val="30"/>
          <w:szCs w:val="30"/>
          <w:highlight w:val="none"/>
          <w14:textFill>
            <w14:solidFill>
              <w14:schemeClr w14:val="tx1"/>
            </w14:solidFill>
          </w14:textFill>
        </w:rPr>
      </w:pPr>
    </w:p>
    <w:p w14:paraId="5CE44A7A">
      <w:pPr>
        <w:rPr>
          <w:rFonts w:ascii="宋体" w:hAnsi="宋体" w:cs="宋体"/>
          <w:b/>
          <w:color w:val="000000" w:themeColor="text1"/>
          <w:sz w:val="30"/>
          <w:szCs w:val="30"/>
          <w:highlight w:val="none"/>
          <w14:textFill>
            <w14:solidFill>
              <w14:schemeClr w14:val="tx1"/>
            </w14:solidFill>
          </w14:textFill>
        </w:rPr>
      </w:pPr>
    </w:p>
    <w:p w14:paraId="140B955F">
      <w:pPr>
        <w:rPr>
          <w:rFonts w:ascii="宋体" w:hAnsi="宋体" w:cs="宋体"/>
          <w:b/>
          <w:color w:val="000000" w:themeColor="text1"/>
          <w:sz w:val="30"/>
          <w:szCs w:val="30"/>
          <w:highlight w:val="none"/>
          <w14:textFill>
            <w14:solidFill>
              <w14:schemeClr w14:val="tx1"/>
            </w14:solidFill>
          </w14:textFill>
        </w:rPr>
      </w:pPr>
    </w:p>
    <w:p w14:paraId="2CAD28DE">
      <w:pPr>
        <w:rPr>
          <w:rFonts w:ascii="宋体" w:hAnsi="宋体" w:cs="宋体"/>
          <w:b/>
          <w:color w:val="000000" w:themeColor="text1"/>
          <w:sz w:val="30"/>
          <w:szCs w:val="30"/>
          <w:highlight w:val="none"/>
          <w14:textFill>
            <w14:solidFill>
              <w14:schemeClr w14:val="tx1"/>
            </w14:solidFill>
          </w14:textFill>
        </w:rPr>
      </w:pPr>
    </w:p>
    <w:p w14:paraId="4D8A0D96">
      <w:pPr>
        <w:rPr>
          <w:rFonts w:ascii="宋体" w:hAnsi="宋体" w:cs="宋体"/>
          <w:b/>
          <w:color w:val="000000" w:themeColor="text1"/>
          <w:sz w:val="30"/>
          <w:szCs w:val="30"/>
          <w:highlight w:val="none"/>
          <w14:textFill>
            <w14:solidFill>
              <w14:schemeClr w14:val="tx1"/>
            </w14:solidFill>
          </w14:textFill>
        </w:rPr>
      </w:pPr>
    </w:p>
    <w:p w14:paraId="0BD6BBCF">
      <w:pPr>
        <w:ind w:left="420"/>
        <w:rPr>
          <w:rFonts w:ascii="宋体" w:hAnsi="宋体" w:cs="宋体"/>
          <w:b/>
          <w:color w:val="000000" w:themeColor="text1"/>
          <w:sz w:val="30"/>
          <w:szCs w:val="30"/>
          <w:highlight w:val="none"/>
          <w14:textFill>
            <w14:solidFill>
              <w14:schemeClr w14:val="tx1"/>
            </w14:solidFill>
          </w14:textFill>
        </w:rPr>
      </w:pPr>
    </w:p>
    <w:p w14:paraId="270F07E0">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bookmarkStart w:id="332" w:name="_Toc10043"/>
    </w:p>
    <w:p w14:paraId="612BD7B3">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5F448026">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332C08F5">
      <w:pPr>
        <w:autoSpaceDE w:val="0"/>
        <w:autoSpaceDN w:val="0"/>
        <w:adjustRightInd w:val="0"/>
        <w:spacing w:line="440" w:lineRule="exact"/>
        <w:jc w:val="center"/>
        <w:rPr>
          <w:rFonts w:ascii="宋体" w:hAnsi="宋体" w:cs="宋体"/>
          <w:b/>
          <w:color w:val="000000" w:themeColor="text1"/>
          <w:sz w:val="30"/>
          <w:szCs w:val="30"/>
          <w:highlight w:val="none"/>
          <w14:textFill>
            <w14:solidFill>
              <w14:schemeClr w14:val="tx1"/>
            </w14:solidFill>
          </w14:textFill>
        </w:rPr>
      </w:pPr>
    </w:p>
    <w:p w14:paraId="3CC5C952">
      <w:pPr>
        <w:pStyle w:val="23"/>
        <w:widowControl w:val="0"/>
        <w:tabs>
          <w:tab w:val="left" w:pos="0"/>
        </w:tabs>
        <w:spacing w:before="0" w:beforeAutospacing="0" w:after="0" w:afterAutospacing="0" w:line="360" w:lineRule="auto"/>
        <w:jc w:val="center"/>
        <w:outlineLvl w:val="1"/>
        <w:rPr>
          <w:b/>
          <w:color w:val="000000" w:themeColor="text1"/>
          <w:kern w:val="2"/>
          <w:sz w:val="28"/>
          <w:szCs w:val="28"/>
          <w:highlight w:val="none"/>
          <w14:textFill>
            <w14:solidFill>
              <w14:schemeClr w14:val="tx1"/>
            </w14:solidFill>
          </w14:textFill>
        </w:rPr>
      </w:pPr>
      <w:bookmarkStart w:id="333" w:name="_Toc20650"/>
      <w:bookmarkStart w:id="334" w:name="_Toc29492"/>
      <w:bookmarkStart w:id="335" w:name="_Toc30146"/>
      <w:bookmarkStart w:id="336" w:name="_Toc19465"/>
      <w:bookmarkStart w:id="337" w:name="_Toc21039"/>
      <w:r>
        <w:rPr>
          <w:rFonts w:hint="eastAsia"/>
          <w:b/>
          <w:color w:val="000000" w:themeColor="text1"/>
          <w:kern w:val="2"/>
          <w:sz w:val="28"/>
          <w:szCs w:val="28"/>
          <w:highlight w:val="none"/>
          <w14:textFill>
            <w14:solidFill>
              <w14:schemeClr w14:val="tx1"/>
            </w14:solidFill>
          </w14:textFill>
        </w:rPr>
        <w:t>五、</w:t>
      </w:r>
      <w:bookmarkEnd w:id="332"/>
      <w:bookmarkEnd w:id="333"/>
      <w:bookmarkEnd w:id="334"/>
      <w:bookmarkEnd w:id="335"/>
      <w:r>
        <w:rPr>
          <w:rFonts w:hint="eastAsia"/>
          <w:b/>
          <w:color w:val="000000" w:themeColor="text1"/>
          <w:kern w:val="2"/>
          <w:sz w:val="28"/>
          <w:szCs w:val="28"/>
          <w:highlight w:val="none"/>
          <w14:textFill>
            <w14:solidFill>
              <w14:schemeClr w14:val="tx1"/>
            </w14:solidFill>
          </w14:textFill>
        </w:rPr>
        <w:t>供应商的资格证明承诺函</w:t>
      </w:r>
      <w:bookmarkEnd w:id="336"/>
      <w:bookmarkEnd w:id="337"/>
    </w:p>
    <w:p w14:paraId="2FE1FEA9">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致(采购人)：_________________________________ </w:t>
      </w:r>
    </w:p>
    <w:p w14:paraId="3514AE4F">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供应商名称： ________________________________</w:t>
      </w:r>
    </w:p>
    <w:p w14:paraId="2338060D">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统一社会信用代码：___________________________</w:t>
      </w:r>
    </w:p>
    <w:p w14:paraId="7D7F7E90">
      <w:pPr>
        <w:widowControl/>
        <w:spacing w:line="360" w:lineRule="auto"/>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供应商地址：_________________________________</w:t>
      </w:r>
    </w:p>
    <w:p w14:paraId="545AF77E">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我单位自愿参加本次政府采购活动，严格遵守《中华人民共和国政府采购法》及相关法律法规，依法诚信经营，无条件遵守本次政府采购活动的各项规定。我单位郑重承诺：</w:t>
      </w:r>
    </w:p>
    <w:p w14:paraId="64C75DA0">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一、我单位具有有效的营业执照（三证合一）；</w:t>
      </w:r>
    </w:p>
    <w:p w14:paraId="4A35D2DB">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二、我单位符合《中华人民共和国政府采购法》第二十二条规定的条件： </w:t>
      </w:r>
    </w:p>
    <w:p w14:paraId="72AAE3A1">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1.我单位具有符合采购文件资格要求的独立承担民事责任的能力； </w:t>
      </w:r>
    </w:p>
    <w:p w14:paraId="3D868351">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2.我单位具有符合采购文件资格要求的财务状况报告； </w:t>
      </w:r>
    </w:p>
    <w:p w14:paraId="489D6D3F">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3.我单位具有符合采购文件资格要求的依法缴纳税收和社会保障记录的良好记录。 </w:t>
      </w:r>
    </w:p>
    <w:p w14:paraId="3EE2D229">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4.我单位具有符合采购文件资格要求的履行合同所必需的设备和专业技术能力； </w:t>
      </w:r>
    </w:p>
    <w:p w14:paraId="6E78AB93">
      <w:pPr>
        <w:widowControl/>
        <w:spacing w:line="360" w:lineRule="auto"/>
        <w:ind w:firstLine="480" w:firstLineChars="200"/>
        <w:jc w:val="lef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5.我单位参加政府采购活动前三年内，在经营活动中没有重大违法记录。 </w:t>
      </w:r>
    </w:p>
    <w:p w14:paraId="56AF6F96">
      <w:pPr>
        <w:pStyle w:val="3"/>
        <w:keepNext w:val="0"/>
        <w:keepLines w:val="0"/>
        <w:spacing w:before="0" w:line="360" w:lineRule="auto"/>
        <w:ind w:firstLine="482" w:firstLineChars="200"/>
        <w:rPr>
          <w:rFonts w:ascii="宋体" w:hAnsi="宋体" w:cs="宋体"/>
          <w:color w:val="000000" w:themeColor="text1"/>
          <w:sz w:val="24"/>
          <w:szCs w:val="21"/>
          <w:highlight w:val="none"/>
          <w14:textFill>
            <w14:solidFill>
              <w14:schemeClr w14:val="tx1"/>
            </w14:solidFill>
          </w14:textFill>
        </w:rPr>
      </w:pPr>
      <w:bookmarkStart w:id="338" w:name="_Toc25215"/>
      <w:bookmarkStart w:id="339" w:name="_Toc27289"/>
      <w:bookmarkStart w:id="340" w:name="_Toc19168"/>
      <w:r>
        <w:rPr>
          <w:rFonts w:hint="eastAsia" w:ascii="宋体" w:hAnsi="宋体" w:cs="宋体"/>
          <w:color w:val="000000" w:themeColor="text1"/>
          <w:sz w:val="24"/>
          <w:szCs w:val="21"/>
          <w:highlight w:val="none"/>
          <w14:textFill>
            <w14:solidFill>
              <w14:schemeClr w14:val="tx1"/>
            </w14:solidFill>
          </w14:textFill>
        </w:rPr>
        <w:t>若我单位承诺不实，自愿承担提供虚假材料谋取中标、成交的法律责任。</w:t>
      </w:r>
      <w:bookmarkEnd w:id="338"/>
      <w:bookmarkEnd w:id="339"/>
      <w:bookmarkEnd w:id="340"/>
      <w:r>
        <w:rPr>
          <w:rFonts w:hint="eastAsia" w:ascii="宋体" w:hAnsi="宋体" w:cs="宋体"/>
          <w:color w:val="000000" w:themeColor="text1"/>
          <w:sz w:val="24"/>
          <w:szCs w:val="21"/>
          <w:highlight w:val="none"/>
          <w14:textFill>
            <w14:solidFill>
              <w14:schemeClr w14:val="tx1"/>
            </w14:solidFill>
          </w14:textFill>
        </w:rPr>
        <w:t xml:space="preserve"> </w:t>
      </w:r>
    </w:p>
    <w:p w14:paraId="3CD7D3A6">
      <w:pPr>
        <w:widowControl/>
        <w:spacing w:line="480" w:lineRule="exact"/>
        <w:jc w:val="righ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承诺供应商（</w:t>
      </w:r>
      <w:r>
        <w:rPr>
          <w:rFonts w:hint="eastAsia" w:ascii="宋体" w:hAnsi="宋体" w:cs="宋体"/>
          <w:color w:val="000000" w:themeColor="text1"/>
          <w:sz w:val="24"/>
          <w:highlight w:val="none"/>
          <w14:textFill>
            <w14:solidFill>
              <w14:schemeClr w14:val="tx1"/>
            </w14:solidFill>
          </w14:textFill>
        </w:rPr>
        <w:t>企业电子签章</w:t>
      </w:r>
      <w:r>
        <w:rPr>
          <w:rFonts w:hint="eastAsia" w:ascii="宋体" w:hAnsi="宋体" w:cs="宋体"/>
          <w:color w:val="000000" w:themeColor="text1"/>
          <w:sz w:val="24"/>
          <w:szCs w:val="21"/>
          <w:highlight w:val="none"/>
          <w14:textFill>
            <w14:solidFill>
              <w14:schemeClr w14:val="tx1"/>
            </w14:solidFill>
          </w14:textFill>
        </w:rPr>
        <w:t xml:space="preserve">）：__________________ </w:t>
      </w:r>
    </w:p>
    <w:p w14:paraId="093705CF">
      <w:pPr>
        <w:widowControl/>
        <w:spacing w:line="480" w:lineRule="exact"/>
        <w:jc w:val="right"/>
        <w:rPr>
          <w:rFonts w:ascii="宋体" w:hAnsi="宋体" w:cs="宋体"/>
          <w:color w:val="000000" w:themeColor="text1"/>
          <w:sz w:val="24"/>
          <w:szCs w:val="21"/>
          <w:highlight w:val="none"/>
          <w14:textFill>
            <w14:solidFill>
              <w14:schemeClr w14:val="tx1"/>
            </w14:solidFill>
          </w14:textFill>
        </w:rPr>
      </w:pPr>
    </w:p>
    <w:p w14:paraId="6E9D74DF">
      <w:pPr>
        <w:widowControl/>
        <w:spacing w:line="480" w:lineRule="exact"/>
        <w:jc w:val="righ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 xml:space="preserve">法定代表人或授权代表(签字或签章)：__________________ </w:t>
      </w:r>
    </w:p>
    <w:p w14:paraId="362C4F86">
      <w:pPr>
        <w:widowControl/>
        <w:spacing w:line="480" w:lineRule="exact"/>
        <w:jc w:val="right"/>
        <w:rPr>
          <w:rFonts w:ascii="宋体" w:hAnsi="宋体" w:cs="宋体"/>
          <w:color w:val="000000" w:themeColor="text1"/>
          <w:sz w:val="24"/>
          <w:szCs w:val="21"/>
          <w:highlight w:val="none"/>
          <w14:textFill>
            <w14:solidFill>
              <w14:schemeClr w14:val="tx1"/>
            </w14:solidFill>
          </w14:textFill>
        </w:rPr>
      </w:pPr>
    </w:p>
    <w:p w14:paraId="774E03B1">
      <w:pPr>
        <w:widowControl/>
        <w:spacing w:line="480" w:lineRule="exact"/>
        <w:jc w:val="right"/>
        <w:rPr>
          <w:rFonts w:ascii="宋体" w:hAnsi="宋体" w:cs="宋体"/>
          <w:color w:val="000000" w:themeColor="text1"/>
          <w:sz w:val="24"/>
          <w:szCs w:val="21"/>
          <w:highlight w:val="none"/>
          <w14:textFill>
            <w14:solidFill>
              <w14:schemeClr w14:val="tx1"/>
            </w14:solidFill>
          </w14:textFill>
        </w:rPr>
      </w:pPr>
      <w:r>
        <w:rPr>
          <w:rFonts w:hint="eastAsia" w:ascii="宋体" w:hAnsi="宋体" w:cs="宋体"/>
          <w:color w:val="000000" w:themeColor="text1"/>
          <w:sz w:val="24"/>
          <w:szCs w:val="21"/>
          <w:highlight w:val="none"/>
          <w14:textFill>
            <w14:solidFill>
              <w14:schemeClr w14:val="tx1"/>
            </w14:solidFill>
          </w14:textFill>
        </w:rPr>
        <w:t>日期：_____年___ 月____ 日</w:t>
      </w:r>
    </w:p>
    <w:p w14:paraId="31E2464F">
      <w:pPr>
        <w:rPr>
          <w:rFonts w:hint="eastAsia" w:ascii="宋体" w:hAnsi="宋体" w:cs="宋体"/>
          <w:b/>
          <w:bCs/>
          <w:color w:val="000000" w:themeColor="text1"/>
          <w:spacing w:val="8"/>
          <w:highlight w:val="none"/>
          <w:shd w:val="clear" w:color="auto" w:fill="FFFFFF"/>
          <w14:textFill>
            <w14:solidFill>
              <w14:schemeClr w14:val="tx1"/>
            </w14:solidFill>
          </w14:textFill>
        </w:rPr>
      </w:pPr>
      <w:r>
        <w:rPr>
          <w:rFonts w:hint="eastAsia" w:ascii="宋体" w:hAnsi="宋体" w:cs="宋体"/>
          <w:b/>
          <w:bCs/>
          <w:color w:val="000000" w:themeColor="text1"/>
          <w:spacing w:val="8"/>
          <w:highlight w:val="none"/>
          <w:shd w:val="clear" w:color="auto" w:fill="FFFFFF"/>
          <w14:textFill>
            <w14:solidFill>
              <w14:schemeClr w14:val="tx1"/>
            </w14:solidFill>
          </w14:textFill>
        </w:rPr>
        <w:t xml:space="preserve">   </w:t>
      </w:r>
    </w:p>
    <w:p w14:paraId="3414C7C5">
      <w:pPr>
        <w:ind w:firstLine="454" w:firstLineChars="200"/>
        <w:rPr>
          <w:rFonts w:ascii="宋体" w:hAnsi="宋体" w:cs="宋体"/>
          <w:b/>
          <w:bCs/>
          <w:color w:val="000000" w:themeColor="text1"/>
          <w:spacing w:val="8"/>
          <w:highlight w:val="none"/>
          <w:shd w:val="clear" w:color="auto" w:fill="FFFFFF"/>
          <w14:textFill>
            <w14:solidFill>
              <w14:schemeClr w14:val="tx1"/>
            </w14:solidFill>
          </w14:textFill>
        </w:rPr>
      </w:pPr>
      <w:r>
        <w:rPr>
          <w:rFonts w:hint="eastAsia" w:ascii="宋体" w:hAnsi="宋体" w:cs="宋体"/>
          <w:b/>
          <w:bCs/>
          <w:color w:val="000000" w:themeColor="text1"/>
          <w:spacing w:val="8"/>
          <w:highlight w:val="none"/>
          <w:shd w:val="clear" w:color="auto" w:fill="FFFFFF"/>
          <w14:textFill>
            <w14:solidFill>
              <w14:schemeClr w14:val="tx1"/>
            </w14:solidFill>
          </w14:textFill>
        </w:rPr>
        <w:t>注：供应商须在投标文件中按此模板提供承诺函，未提供视为未实质性响应招标文件要求，按无效投标处理。</w:t>
      </w:r>
      <w:r>
        <w:rPr>
          <w:rFonts w:hint="eastAsia" w:ascii="宋体" w:hAnsi="宋体" w:cs="宋体"/>
          <w:b/>
          <w:bCs/>
          <w:color w:val="000000" w:themeColor="text1"/>
          <w:spacing w:val="8"/>
          <w:highlight w:val="none"/>
          <w:shd w:val="clear" w:color="auto" w:fill="FFFFFF"/>
          <w14:textFill>
            <w14:solidFill>
              <w14:schemeClr w14:val="tx1"/>
            </w14:solidFill>
          </w14:textFill>
        </w:rPr>
        <w:br w:type="page"/>
      </w:r>
    </w:p>
    <w:p w14:paraId="72F6EC81">
      <w:pPr>
        <w:pStyle w:val="23"/>
        <w:widowControl w:val="0"/>
        <w:tabs>
          <w:tab w:val="left" w:pos="0"/>
        </w:tabs>
        <w:spacing w:before="0" w:beforeAutospacing="0" w:after="0" w:afterAutospacing="0" w:line="360" w:lineRule="auto"/>
        <w:jc w:val="center"/>
        <w:outlineLvl w:val="1"/>
        <w:rPr>
          <w:b/>
          <w:color w:val="000000" w:themeColor="text1"/>
          <w:kern w:val="2"/>
          <w:sz w:val="28"/>
          <w:szCs w:val="28"/>
          <w:highlight w:val="none"/>
          <w14:textFill>
            <w14:solidFill>
              <w14:schemeClr w14:val="tx1"/>
            </w14:solidFill>
          </w14:textFill>
        </w:rPr>
      </w:pPr>
      <w:bookmarkStart w:id="341" w:name="_Toc4390"/>
      <w:bookmarkStart w:id="342" w:name="_Toc18364"/>
      <w:bookmarkStart w:id="343" w:name="_Toc19134"/>
      <w:bookmarkStart w:id="344" w:name="_Toc8330"/>
      <w:bookmarkStart w:id="345" w:name="_Toc6465"/>
      <w:bookmarkStart w:id="346" w:name="_Toc31553"/>
      <w:r>
        <w:rPr>
          <w:rFonts w:hint="eastAsia"/>
          <w:b/>
          <w:color w:val="000000" w:themeColor="text1"/>
          <w:kern w:val="2"/>
          <w:sz w:val="28"/>
          <w:szCs w:val="28"/>
          <w:highlight w:val="none"/>
          <w14:textFill>
            <w14:solidFill>
              <w14:schemeClr w14:val="tx1"/>
            </w14:solidFill>
          </w14:textFill>
        </w:rPr>
        <w:t>六、供应商服务承诺和优惠承诺</w:t>
      </w:r>
      <w:bookmarkEnd w:id="341"/>
      <w:bookmarkEnd w:id="342"/>
      <w:bookmarkEnd w:id="343"/>
    </w:p>
    <w:p w14:paraId="6AC41F88">
      <w:pPr>
        <w:pStyle w:val="23"/>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highlight w:val="none"/>
          <w14:textFill>
            <w14:solidFill>
              <w14:schemeClr w14:val="tx1"/>
            </w14:solidFill>
          </w14:textFill>
        </w:rPr>
      </w:pPr>
    </w:p>
    <w:p w14:paraId="35621484">
      <w:pPr>
        <w:pStyle w:val="23"/>
        <w:widowControl w:val="0"/>
        <w:tabs>
          <w:tab w:val="left" w:pos="0"/>
        </w:tabs>
        <w:spacing w:before="120" w:beforeAutospacing="0" w:after="120" w:afterAutospacing="0" w:line="500" w:lineRule="exact"/>
        <w:ind w:right="29" w:rightChars="14"/>
        <w:jc w:val="both"/>
        <w:outlineLvl w:val="1"/>
        <w:rPr>
          <w:b/>
          <w:color w:val="000000" w:themeColor="text1"/>
          <w:kern w:val="2"/>
          <w:sz w:val="28"/>
          <w:szCs w:val="28"/>
          <w:highlight w:val="none"/>
          <w14:textFill>
            <w14:solidFill>
              <w14:schemeClr w14:val="tx1"/>
            </w14:solidFill>
          </w14:textFill>
        </w:rPr>
      </w:pPr>
    </w:p>
    <w:p w14:paraId="69AF0D2A">
      <w:pPr>
        <w:pStyle w:val="23"/>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highlight w:val="none"/>
          <w14:textFill>
            <w14:solidFill>
              <w14:schemeClr w14:val="tx1"/>
            </w14:solidFill>
          </w14:textFill>
        </w:rPr>
      </w:pPr>
    </w:p>
    <w:p w14:paraId="10622E41">
      <w:pPr>
        <w:pStyle w:val="23"/>
        <w:widowControl w:val="0"/>
        <w:tabs>
          <w:tab w:val="left" w:pos="0"/>
        </w:tabs>
        <w:spacing w:before="120" w:beforeAutospacing="0" w:after="120" w:afterAutospacing="0" w:line="500" w:lineRule="exact"/>
        <w:ind w:right="29" w:rightChars="14"/>
        <w:jc w:val="center"/>
        <w:outlineLvl w:val="1"/>
        <w:rPr>
          <w:b/>
          <w:color w:val="000000" w:themeColor="text1"/>
          <w:kern w:val="2"/>
          <w:sz w:val="28"/>
          <w:szCs w:val="28"/>
          <w:highlight w:val="none"/>
          <w14:textFill>
            <w14:solidFill>
              <w14:schemeClr w14:val="tx1"/>
            </w14:solidFill>
          </w14:textFill>
        </w:rPr>
      </w:pPr>
    </w:p>
    <w:p w14:paraId="316DEBBE">
      <w:pPr>
        <w:pStyle w:val="23"/>
        <w:widowControl w:val="0"/>
        <w:tabs>
          <w:tab w:val="left" w:pos="0"/>
        </w:tabs>
        <w:spacing w:before="0" w:beforeAutospacing="0" w:after="0" w:afterAutospacing="0" w:line="360" w:lineRule="auto"/>
        <w:jc w:val="center"/>
        <w:outlineLvl w:val="1"/>
        <w:rPr>
          <w:b/>
          <w:color w:val="000000" w:themeColor="text1"/>
          <w:kern w:val="2"/>
          <w:sz w:val="28"/>
          <w:szCs w:val="28"/>
          <w:highlight w:val="none"/>
          <w14:textFill>
            <w14:solidFill>
              <w14:schemeClr w14:val="tx1"/>
            </w14:solidFill>
          </w14:textFill>
        </w:rPr>
      </w:pPr>
      <w:bookmarkStart w:id="347" w:name="_Toc20525"/>
      <w:bookmarkStart w:id="348" w:name="_Toc700"/>
      <w:bookmarkStart w:id="349" w:name="_Toc32546"/>
    </w:p>
    <w:p w14:paraId="26D18291">
      <w:pPr>
        <w:pStyle w:val="23"/>
        <w:widowControl w:val="0"/>
        <w:tabs>
          <w:tab w:val="left" w:pos="0"/>
        </w:tabs>
        <w:spacing w:before="0" w:beforeAutospacing="0" w:after="0" w:afterAutospacing="0" w:line="360" w:lineRule="auto"/>
        <w:jc w:val="center"/>
        <w:outlineLvl w:val="1"/>
        <w:rPr>
          <w:color w:val="000000" w:themeColor="text1"/>
          <w:sz w:val="28"/>
          <w:szCs w:val="28"/>
          <w:highlight w:val="none"/>
          <w14:textFill>
            <w14:solidFill>
              <w14:schemeClr w14:val="tx1"/>
            </w14:solidFill>
          </w14:textFill>
        </w:rPr>
      </w:pPr>
      <w:r>
        <w:rPr>
          <w:rFonts w:hint="eastAsia"/>
          <w:b/>
          <w:color w:val="000000" w:themeColor="text1"/>
          <w:kern w:val="2"/>
          <w:sz w:val="28"/>
          <w:szCs w:val="28"/>
          <w:highlight w:val="none"/>
          <w14:textFill>
            <w14:solidFill>
              <w14:schemeClr w14:val="tx1"/>
            </w14:solidFill>
          </w14:textFill>
        </w:rPr>
        <w:t>七、供应商所投产品属于当期政府采购清单规定的节能环保产品的</w:t>
      </w:r>
      <w:bookmarkEnd w:id="344"/>
      <w:bookmarkEnd w:id="347"/>
      <w:bookmarkEnd w:id="348"/>
      <w:bookmarkEnd w:id="349"/>
      <w:bookmarkStart w:id="350" w:name="_Toc18925"/>
      <w:bookmarkStart w:id="351" w:name="_Toc28422"/>
      <w:bookmarkStart w:id="352" w:name="_Toc24210"/>
      <w:bookmarkStart w:id="353" w:name="_Toc21287"/>
      <w:bookmarkStart w:id="354" w:name="_Toc27457"/>
      <w:bookmarkStart w:id="355" w:name="_Toc29070"/>
      <w:r>
        <w:rPr>
          <w:rFonts w:hint="eastAsia"/>
          <w:b/>
          <w:color w:val="000000" w:themeColor="text1"/>
          <w:kern w:val="2"/>
          <w:sz w:val="28"/>
          <w:szCs w:val="28"/>
          <w:highlight w:val="none"/>
          <w14:textFill>
            <w14:solidFill>
              <w14:schemeClr w14:val="tx1"/>
            </w14:solidFill>
          </w14:textFill>
        </w:rPr>
        <w:t>证明材料</w:t>
      </w:r>
      <w:bookmarkEnd w:id="345"/>
      <w:bookmarkEnd w:id="350"/>
      <w:bookmarkEnd w:id="351"/>
      <w:bookmarkEnd w:id="352"/>
      <w:r>
        <w:rPr>
          <w:rFonts w:hint="eastAsia"/>
          <w:b/>
          <w:color w:val="000000" w:themeColor="text1"/>
          <w:kern w:val="2"/>
          <w:sz w:val="28"/>
          <w:szCs w:val="28"/>
          <w:highlight w:val="none"/>
          <w14:textFill>
            <w14:solidFill>
              <w14:schemeClr w14:val="tx1"/>
            </w14:solidFill>
          </w14:textFill>
        </w:rPr>
        <w:t>（如有）</w:t>
      </w:r>
      <w:bookmarkEnd w:id="353"/>
      <w:bookmarkEnd w:id="354"/>
      <w:bookmarkEnd w:id="355"/>
    </w:p>
    <w:p w14:paraId="17A83618">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07BAA0B1">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4A970058">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2AE8CA7E">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6021CA69">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62067F5B">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6FB97CBF">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5A4B27A2">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03746FE8">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607403DB">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46A993FD">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07DF5CC9">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37AC49AB">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26F78BAB">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13EBB035">
      <w:pPr>
        <w:pStyle w:val="23"/>
        <w:widowControl w:val="0"/>
        <w:spacing w:before="120" w:beforeAutospacing="0" w:after="120" w:afterAutospacing="0" w:line="500" w:lineRule="exact"/>
        <w:ind w:right="29" w:rightChars="14"/>
        <w:jc w:val="center"/>
        <w:rPr>
          <w:color w:val="000000" w:themeColor="text1"/>
          <w:sz w:val="30"/>
          <w:szCs w:val="30"/>
          <w:highlight w:val="none"/>
          <w14:textFill>
            <w14:solidFill>
              <w14:schemeClr w14:val="tx1"/>
            </w14:solidFill>
          </w14:textFill>
        </w:rPr>
      </w:pPr>
    </w:p>
    <w:p w14:paraId="1B4D7A1E">
      <w:pPr>
        <w:pStyle w:val="23"/>
        <w:widowControl w:val="0"/>
        <w:spacing w:before="120" w:beforeAutospacing="0" w:after="120" w:afterAutospacing="0" w:line="500" w:lineRule="exact"/>
        <w:ind w:right="29" w:rightChars="14"/>
        <w:jc w:val="center"/>
        <w:outlineLvl w:val="1"/>
        <w:rPr>
          <w:color w:val="000000" w:themeColor="text1"/>
          <w:sz w:val="28"/>
          <w:szCs w:val="28"/>
          <w:highlight w:val="none"/>
          <w14:textFill>
            <w14:solidFill>
              <w14:schemeClr w14:val="tx1"/>
            </w14:solidFill>
          </w14:textFill>
        </w:rPr>
      </w:pPr>
      <w:bookmarkStart w:id="356" w:name="_Toc5743"/>
      <w:bookmarkStart w:id="357" w:name="_Toc23227"/>
      <w:bookmarkStart w:id="358" w:name="_Toc8898"/>
      <w:bookmarkStart w:id="359" w:name="_Toc24850"/>
      <w:bookmarkStart w:id="360" w:name="_Toc10717"/>
      <w:r>
        <w:rPr>
          <w:rFonts w:hint="eastAsia"/>
          <w:b/>
          <w:color w:val="000000" w:themeColor="text1"/>
          <w:kern w:val="2"/>
          <w:sz w:val="28"/>
          <w:szCs w:val="28"/>
          <w:highlight w:val="none"/>
          <w14:textFill>
            <w14:solidFill>
              <w14:schemeClr w14:val="tx1"/>
            </w14:solidFill>
          </w14:textFill>
        </w:rPr>
        <w:t>八、中小企业声明函</w:t>
      </w:r>
      <w:bookmarkEnd w:id="356"/>
      <w:bookmarkEnd w:id="357"/>
      <w:bookmarkEnd w:id="358"/>
      <w:bookmarkEnd w:id="359"/>
      <w:bookmarkEnd w:id="360"/>
    </w:p>
    <w:p w14:paraId="3FE06409">
      <w:pPr>
        <w:spacing w:line="360" w:lineRule="auto"/>
        <w:jc w:val="center"/>
        <w:outlineLvl w:val="1"/>
        <w:rPr>
          <w:rFonts w:ascii="宋体" w:hAnsi="宋体" w:cs="宋体"/>
          <w:b/>
          <w:bCs/>
          <w:color w:val="000000" w:themeColor="text1"/>
          <w:sz w:val="24"/>
          <w:szCs w:val="24"/>
          <w:highlight w:val="none"/>
          <w14:textFill>
            <w14:solidFill>
              <w14:schemeClr w14:val="tx1"/>
            </w14:solidFill>
          </w14:textFill>
        </w:rPr>
      </w:pPr>
      <w:bookmarkStart w:id="361" w:name="_Toc42601267"/>
      <w:bookmarkStart w:id="362" w:name="_Toc25316"/>
      <w:bookmarkStart w:id="363" w:name="_Toc18299"/>
      <w:bookmarkStart w:id="364" w:name="_Toc25586"/>
      <w:bookmarkStart w:id="365" w:name="_Toc16077"/>
      <w:bookmarkStart w:id="366" w:name="_Toc24800"/>
      <w:bookmarkStart w:id="367" w:name="_Toc23752"/>
      <w:r>
        <w:rPr>
          <w:rFonts w:hint="eastAsia" w:ascii="宋体" w:hAnsi="宋体" w:cs="宋体"/>
          <w:b/>
          <w:color w:val="000000" w:themeColor="text1"/>
          <w:sz w:val="24"/>
          <w:szCs w:val="24"/>
          <w:highlight w:val="none"/>
          <w14:textFill>
            <w14:solidFill>
              <w14:schemeClr w14:val="tx1"/>
            </w14:solidFill>
          </w14:textFill>
        </w:rPr>
        <w:t>1.</w:t>
      </w:r>
      <w:bookmarkEnd w:id="361"/>
      <w:bookmarkEnd w:id="362"/>
      <w:r>
        <w:rPr>
          <w:rFonts w:hint="eastAsia" w:ascii="宋体" w:hAnsi="宋体" w:cs="宋体"/>
          <w:b/>
          <w:bCs/>
          <w:color w:val="000000" w:themeColor="text1"/>
          <w:sz w:val="24"/>
          <w:szCs w:val="24"/>
          <w:highlight w:val="none"/>
          <w14:textFill>
            <w14:solidFill>
              <w14:schemeClr w14:val="tx1"/>
            </w14:solidFill>
          </w14:textFill>
        </w:rPr>
        <w:t>中小企业声明函（货物）</w:t>
      </w:r>
      <w:bookmarkEnd w:id="363"/>
      <w:bookmarkEnd w:id="364"/>
      <w:bookmarkEnd w:id="365"/>
      <w:bookmarkEnd w:id="366"/>
      <w:bookmarkEnd w:id="367"/>
    </w:p>
    <w:p w14:paraId="3179EE88">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本公司（联合体）郑重声明，根据《政府采购促进中小企业发展管理办法》（财库﹝2020﹞46 号）的规定，本公司 （联合体）参加</w:t>
      </w:r>
      <w:r>
        <w:rPr>
          <w:rFonts w:hint="eastAsia" w:ascii="宋体" w:hAnsi="宋体" w:cs="宋体"/>
          <w:color w:val="000000" w:themeColor="text1"/>
          <w:szCs w:val="21"/>
          <w:highlight w:val="none"/>
          <w:u w:val="single"/>
          <w14:textFill>
            <w14:solidFill>
              <w14:schemeClr w14:val="tx1"/>
            </w14:solidFill>
          </w14:textFill>
        </w:rPr>
        <w:t>（供应商名称）</w:t>
      </w:r>
      <w:r>
        <w:rPr>
          <w:rFonts w:hint="eastAsia" w:ascii="宋体" w:hAnsi="宋体" w:cs="宋体"/>
          <w:color w:val="000000" w:themeColor="text1"/>
          <w:szCs w:val="21"/>
          <w:highlight w:val="none"/>
          <w14:textFill>
            <w14:solidFill>
              <w14:schemeClr w14:val="tx1"/>
            </w14:solidFill>
          </w14:textFill>
        </w:rPr>
        <w:t>的</w:t>
      </w:r>
      <w:r>
        <w:rPr>
          <w:rFonts w:hint="eastAsia" w:ascii="宋体" w:hAnsi="宋体" w:cs="宋体"/>
          <w:color w:val="000000" w:themeColor="text1"/>
          <w:szCs w:val="21"/>
          <w:highlight w:val="none"/>
          <w:u w:val="single"/>
          <w14:textFill>
            <w14:solidFill>
              <w14:schemeClr w14:val="tx1"/>
            </w14:solidFill>
          </w14:textFill>
        </w:rPr>
        <w:t>（</w:t>
      </w:r>
      <w:r>
        <w:rPr>
          <w:rFonts w:hint="eastAsia" w:ascii="宋体" w:hAnsi="宋体" w:eastAsia="宋体" w:cs="宋体"/>
          <w:color w:val="000000" w:themeColor="text1"/>
          <w:szCs w:val="21"/>
          <w:highlight w:val="none"/>
          <w:u w:val="single"/>
          <w14:textFill>
            <w14:solidFill>
              <w14:schemeClr w14:val="tx1"/>
            </w14:solidFill>
          </w14:textFill>
        </w:rPr>
        <w:t>项目名称</w:t>
      </w:r>
      <w:r>
        <w:rPr>
          <w:rFonts w:hint="eastAsia" w:ascii="宋体" w:hAnsi="宋体" w:cs="宋体"/>
          <w:color w:val="000000" w:themeColor="text1"/>
          <w:szCs w:val="21"/>
          <w:highlight w:val="none"/>
          <w:u w:val="single"/>
          <w:lang w:val="en-US" w:eastAsia="zh-CN"/>
          <w14:textFill>
            <w14:solidFill>
              <w14:schemeClr w14:val="tx1"/>
            </w14:solidFill>
          </w14:textFill>
        </w:rPr>
        <w:t>+包段</w:t>
      </w:r>
      <w:r>
        <w:rPr>
          <w:rFonts w:hint="eastAsia" w:ascii="宋体" w:hAnsi="宋体" w:eastAsia="宋体" w:cs="宋体"/>
          <w:color w:val="000000" w:themeColor="text1"/>
          <w:szCs w:val="21"/>
          <w:highlight w:val="none"/>
          <w:u w:val="single"/>
          <w14:textFill>
            <w14:solidFill>
              <w14:schemeClr w14:val="tx1"/>
            </w14:solidFill>
          </w14:textFill>
        </w:rPr>
        <w:t>）</w:t>
      </w:r>
      <w:r>
        <w:rPr>
          <w:rFonts w:hint="eastAsia" w:ascii="宋体" w:hAnsi="宋体" w:cs="宋体"/>
          <w:color w:val="000000" w:themeColor="text1"/>
          <w:szCs w:val="21"/>
          <w:highlight w:val="none"/>
          <w14:textFill>
            <w14:solidFill>
              <w14:schemeClr w14:val="tx1"/>
            </w14:solidFill>
          </w14:textFill>
        </w:rPr>
        <w:t>采购活动，提 供的货物全部由符合政策要求的中小企业制造。相关企业 （含联合体中的中小企业、签订分包意向协议的中小企业） 的具体情况如下：</w:t>
      </w:r>
    </w:p>
    <w:p w14:paraId="66C334C5">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1.</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 xml:space="preserve"> ，属于</w:t>
      </w:r>
      <w:r>
        <w:rPr>
          <w:rFonts w:hint="eastAsia" w:ascii="宋体" w:hAnsi="宋体" w:cs="宋体"/>
          <w:color w:val="000000" w:themeColor="text1"/>
          <w:szCs w:val="21"/>
          <w:highlight w:val="none"/>
          <w:u w:val="single"/>
          <w14:textFill>
            <w14:solidFill>
              <w14:schemeClr w14:val="tx1"/>
            </w14:solidFill>
          </w14:textFill>
        </w:rPr>
        <w:t xml:space="preserve">（采购文件中明确的所属行业）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 属于</w:t>
      </w:r>
      <w:r>
        <w:rPr>
          <w:rFonts w:hint="eastAsia" w:ascii="宋体" w:hAnsi="宋体" w:cs="宋体"/>
          <w:color w:val="000000" w:themeColor="text1"/>
          <w:szCs w:val="21"/>
          <w:highlight w:val="none"/>
          <w:u w:val="single"/>
          <w14:textFill>
            <w14:solidFill>
              <w14:schemeClr w14:val="tx1"/>
            </w14:solidFill>
          </w14:textFill>
        </w:rPr>
        <w:t>（中型企业、小 型企业、微型企业）</w:t>
      </w:r>
      <w:r>
        <w:rPr>
          <w:rFonts w:hint="eastAsia" w:ascii="宋体" w:hAnsi="宋体" w:cs="宋体"/>
          <w:color w:val="000000" w:themeColor="text1"/>
          <w:szCs w:val="21"/>
          <w:highlight w:val="none"/>
          <w14:textFill>
            <w14:solidFill>
              <w14:schemeClr w14:val="tx1"/>
            </w14:solidFill>
          </w14:textFill>
        </w:rPr>
        <w:t xml:space="preserve">； </w:t>
      </w:r>
    </w:p>
    <w:p w14:paraId="412E4F76">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2.</w:t>
      </w:r>
      <w:r>
        <w:rPr>
          <w:rFonts w:hint="eastAsia" w:ascii="宋体" w:hAnsi="宋体" w:cs="宋体"/>
          <w:color w:val="000000" w:themeColor="text1"/>
          <w:szCs w:val="21"/>
          <w:highlight w:val="none"/>
          <w:u w:val="single"/>
          <w14:textFill>
            <w14:solidFill>
              <w14:schemeClr w14:val="tx1"/>
            </w14:solidFill>
          </w14:textFill>
        </w:rPr>
        <w:t>（标的名称）</w:t>
      </w:r>
      <w:r>
        <w:rPr>
          <w:rFonts w:hint="eastAsia" w:ascii="宋体" w:hAnsi="宋体" w:cs="宋体"/>
          <w:color w:val="000000" w:themeColor="text1"/>
          <w:szCs w:val="21"/>
          <w:highlight w:val="none"/>
          <w14:textFill>
            <w14:solidFill>
              <w14:schemeClr w14:val="tx1"/>
            </w14:solidFill>
          </w14:textFill>
        </w:rPr>
        <w:t xml:space="preserve"> ，属于</w:t>
      </w:r>
      <w:r>
        <w:rPr>
          <w:rFonts w:hint="eastAsia" w:ascii="宋体" w:hAnsi="宋体" w:cs="宋体"/>
          <w:color w:val="000000" w:themeColor="text1"/>
          <w:szCs w:val="21"/>
          <w:highlight w:val="none"/>
          <w:u w:val="single"/>
          <w14:textFill>
            <w14:solidFill>
              <w14:schemeClr w14:val="tx1"/>
            </w14:solidFill>
          </w14:textFill>
        </w:rPr>
        <w:t xml:space="preserve">（采购文件中明确的所属行业） </w:t>
      </w:r>
      <w:r>
        <w:rPr>
          <w:rFonts w:hint="eastAsia" w:ascii="宋体" w:hAnsi="宋体" w:cs="宋体"/>
          <w:color w:val="000000" w:themeColor="text1"/>
          <w:szCs w:val="21"/>
          <w:highlight w:val="none"/>
          <w14:textFill>
            <w14:solidFill>
              <w14:schemeClr w14:val="tx1"/>
            </w14:solidFill>
          </w14:textFill>
        </w:rPr>
        <w:t>行业；制造商为</w:t>
      </w:r>
      <w:r>
        <w:rPr>
          <w:rFonts w:hint="eastAsia" w:ascii="宋体" w:hAnsi="宋体" w:cs="宋体"/>
          <w:color w:val="000000" w:themeColor="text1"/>
          <w:szCs w:val="21"/>
          <w:highlight w:val="none"/>
          <w:u w:val="single"/>
          <w14:textFill>
            <w14:solidFill>
              <w14:schemeClr w14:val="tx1"/>
            </w14:solidFill>
          </w14:textFill>
        </w:rPr>
        <w:t>（企业名称）</w:t>
      </w:r>
      <w:r>
        <w:rPr>
          <w:rFonts w:hint="eastAsia" w:ascii="宋体" w:hAnsi="宋体" w:cs="宋体"/>
          <w:color w:val="000000" w:themeColor="text1"/>
          <w:szCs w:val="21"/>
          <w:highlight w:val="none"/>
          <w14:textFill>
            <w14:solidFill>
              <w14:schemeClr w14:val="tx1"/>
            </w14:solidFill>
          </w14:textFill>
        </w:rPr>
        <w:t>，从业人员</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人，营业收入为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万元，资产总额为</w:t>
      </w:r>
      <w:r>
        <w:rPr>
          <w:rFonts w:hint="eastAsia" w:ascii="宋体" w:hAnsi="宋体" w:cs="宋体"/>
          <w:color w:val="000000" w:themeColor="text1"/>
          <w:szCs w:val="21"/>
          <w:highlight w:val="none"/>
          <w:u w:val="single"/>
          <w14:textFill>
            <w14:solidFill>
              <w14:schemeClr w14:val="tx1"/>
            </w14:solidFill>
          </w14:textFill>
        </w:rPr>
        <w:t xml:space="preserve">    </w:t>
      </w:r>
      <w:r>
        <w:rPr>
          <w:rFonts w:hint="eastAsia" w:ascii="宋体" w:hAnsi="宋体" w:cs="宋体"/>
          <w:color w:val="000000" w:themeColor="text1"/>
          <w:szCs w:val="21"/>
          <w:highlight w:val="none"/>
          <w14:textFill>
            <w14:solidFill>
              <w14:schemeClr w14:val="tx1"/>
            </w14:solidFill>
          </w14:textFill>
        </w:rPr>
        <w:t>万元，属于</w:t>
      </w:r>
      <w:r>
        <w:rPr>
          <w:rFonts w:hint="eastAsia" w:ascii="宋体" w:hAnsi="宋体" w:cs="宋体"/>
          <w:color w:val="000000" w:themeColor="text1"/>
          <w:szCs w:val="21"/>
          <w:highlight w:val="none"/>
          <w:u w:val="single"/>
          <w14:textFill>
            <w14:solidFill>
              <w14:schemeClr w14:val="tx1"/>
            </w14:solidFill>
          </w14:textFill>
        </w:rPr>
        <w:t>（中型企业、小型 企业、微型企业）</w:t>
      </w:r>
      <w:r>
        <w:rPr>
          <w:rFonts w:hint="eastAsia" w:ascii="宋体" w:hAnsi="宋体" w:cs="宋体"/>
          <w:color w:val="000000" w:themeColor="text1"/>
          <w:szCs w:val="21"/>
          <w:highlight w:val="none"/>
          <w14:textFill>
            <w14:solidFill>
              <w14:schemeClr w14:val="tx1"/>
            </w14:solidFill>
          </w14:textFill>
        </w:rPr>
        <w:t xml:space="preserve">； </w:t>
      </w:r>
    </w:p>
    <w:p w14:paraId="7E44203A">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w:t>
      </w:r>
    </w:p>
    <w:p w14:paraId="1B13DE11">
      <w:pPr>
        <w:spacing w:line="360" w:lineRule="auto"/>
        <w:ind w:firstLine="420" w:firstLineChars="200"/>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以上企业，不属于大企业的分支机构，不存在控股股东为大企业的情形，也不存在与大企业的负责人为同一人的情形。 本企业对上述声明内容的真实性负责。如有虚假，将依法承担相应责任。 </w:t>
      </w:r>
    </w:p>
    <w:p w14:paraId="2F7B45D6">
      <w:pPr>
        <w:spacing w:line="360" w:lineRule="auto"/>
        <w:jc w:val="right"/>
        <w:rPr>
          <w:rFonts w:ascii="宋体" w:hAnsi="宋体" w:cs="宋体"/>
          <w:color w:val="000000" w:themeColor="text1"/>
          <w:szCs w:val="21"/>
          <w:highlight w:val="none"/>
          <w14:textFill>
            <w14:solidFill>
              <w14:schemeClr w14:val="tx1"/>
            </w14:solidFill>
          </w14:textFill>
        </w:rPr>
      </w:pPr>
    </w:p>
    <w:p w14:paraId="3D490B0F">
      <w:pPr>
        <w:spacing w:line="360" w:lineRule="auto"/>
        <w:jc w:val="center"/>
        <w:rPr>
          <w:rFonts w:ascii="宋体" w:hAnsi="宋体" w:cs="宋体"/>
          <w:color w:val="000000" w:themeColor="text1"/>
          <w:szCs w:val="21"/>
          <w:highlight w:val="none"/>
          <w14:textFill>
            <w14:solidFill>
              <w14:schemeClr w14:val="tx1"/>
            </w14:solidFill>
          </w14:textFill>
        </w:rPr>
      </w:pPr>
    </w:p>
    <w:p w14:paraId="5140A422">
      <w:pPr>
        <w:spacing w:line="360" w:lineRule="auto"/>
        <w:jc w:val="center"/>
        <w:outlineLvl w:val="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bookmarkStart w:id="368" w:name="_Toc30002"/>
      <w:bookmarkStart w:id="369" w:name="_Toc19623"/>
      <w:bookmarkStart w:id="370" w:name="_Toc7411"/>
      <w:bookmarkStart w:id="371" w:name="_Toc21177"/>
      <w:bookmarkStart w:id="372" w:name="_Toc11615"/>
      <w:r>
        <w:rPr>
          <w:rFonts w:hint="eastAsia" w:ascii="宋体" w:hAnsi="宋体" w:cs="宋体"/>
          <w:color w:val="000000" w:themeColor="text1"/>
          <w:szCs w:val="21"/>
          <w:highlight w:val="none"/>
          <w14:textFill>
            <w14:solidFill>
              <w14:schemeClr w14:val="tx1"/>
            </w14:solidFill>
          </w14:textFill>
        </w:rPr>
        <w:t>企业名称（企业电子签章）：</w:t>
      </w:r>
      <w:bookmarkEnd w:id="368"/>
      <w:bookmarkEnd w:id="369"/>
      <w:bookmarkEnd w:id="370"/>
      <w:bookmarkEnd w:id="371"/>
      <w:bookmarkEnd w:id="372"/>
      <w:r>
        <w:rPr>
          <w:rFonts w:hint="eastAsia" w:ascii="宋体" w:hAnsi="宋体" w:cs="宋体"/>
          <w:color w:val="000000" w:themeColor="text1"/>
          <w:szCs w:val="21"/>
          <w:highlight w:val="none"/>
          <w14:textFill>
            <w14:solidFill>
              <w14:schemeClr w14:val="tx1"/>
            </w14:solidFill>
          </w14:textFill>
        </w:rPr>
        <w:t xml:space="preserve"> </w:t>
      </w:r>
    </w:p>
    <w:p w14:paraId="5EAB1964">
      <w:pPr>
        <w:spacing w:line="360" w:lineRule="auto"/>
        <w:jc w:val="center"/>
        <w:outlineLvl w:val="1"/>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szCs w:val="21"/>
          <w:highlight w:val="none"/>
          <w14:textFill>
            <w14:solidFill>
              <w14:schemeClr w14:val="tx1"/>
            </w14:solidFill>
          </w14:textFill>
        </w:rPr>
        <w:t xml:space="preserve">                                                 </w:t>
      </w:r>
      <w:bookmarkStart w:id="373" w:name="_Toc31930"/>
      <w:bookmarkStart w:id="374" w:name="_Toc24390"/>
      <w:bookmarkStart w:id="375" w:name="_Toc27226"/>
      <w:bookmarkStart w:id="376" w:name="_Toc22576"/>
      <w:bookmarkStart w:id="377" w:name="_Toc30019"/>
      <w:r>
        <w:rPr>
          <w:rFonts w:hint="eastAsia" w:ascii="宋体" w:hAnsi="宋体" w:cs="宋体"/>
          <w:color w:val="000000" w:themeColor="text1"/>
          <w:szCs w:val="21"/>
          <w:highlight w:val="none"/>
          <w14:textFill>
            <w14:solidFill>
              <w14:schemeClr w14:val="tx1"/>
            </w14:solidFill>
          </w14:textFill>
        </w:rPr>
        <w:t>日 期：</w:t>
      </w:r>
      <w:bookmarkEnd w:id="373"/>
      <w:bookmarkEnd w:id="374"/>
      <w:bookmarkEnd w:id="375"/>
      <w:bookmarkEnd w:id="376"/>
      <w:bookmarkEnd w:id="377"/>
    </w:p>
    <w:p w14:paraId="2DC8D0F7">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注：</w:t>
      </w:r>
    </w:p>
    <w:p w14:paraId="34B78407">
      <w:pPr>
        <w:widowControl/>
        <w:spacing w:line="360" w:lineRule="auto"/>
        <w:jc w:val="left"/>
        <w:rPr>
          <w:rFonts w:ascii="宋体" w:hAnsi="宋体" w:cs="宋体"/>
          <w:color w:val="000000" w:themeColor="text1"/>
          <w:szCs w:val="21"/>
          <w:highlight w:val="none"/>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 xml:space="preserve">1.从业人员、营业收入、资产总额填报上一年度数据，无上一年度数据的新成 </w:t>
      </w:r>
    </w:p>
    <w:p w14:paraId="1489B97D">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立企业可不填报。</w:t>
      </w:r>
    </w:p>
    <w:p w14:paraId="14BFA640">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2.填写前请认真阅读《关于印发中小企业划型标准规定的通知》（工信部联企业[2011]300 号）和《关于 印发＜政府采购促进中小企业发展管理办法＞的通知》(财库﹝2020﹞46号)相关规定。</w:t>
      </w:r>
    </w:p>
    <w:p w14:paraId="7CCEF33C">
      <w:pPr>
        <w:widowControl/>
        <w:spacing w:line="360" w:lineRule="auto"/>
        <w:jc w:val="left"/>
        <w:rPr>
          <w:rFonts w:ascii="宋体" w:hAnsi="宋体" w:cs="宋体"/>
          <w:color w:val="000000" w:themeColor="text1"/>
          <w:kern w:val="0"/>
          <w:szCs w:val="21"/>
          <w:highlight w:val="none"/>
          <w:lang w:bidi="ar"/>
          <w14:textFill>
            <w14:solidFill>
              <w14:schemeClr w14:val="tx1"/>
            </w14:solidFill>
          </w14:textFill>
        </w:rPr>
      </w:pPr>
      <w:r>
        <w:rPr>
          <w:rFonts w:hint="eastAsia" w:ascii="宋体" w:hAnsi="宋体" w:cs="宋体"/>
          <w:color w:val="000000" w:themeColor="text1"/>
          <w:kern w:val="0"/>
          <w:szCs w:val="21"/>
          <w:highlight w:val="none"/>
          <w:lang w:bidi="ar"/>
          <w14:textFill>
            <w14:solidFill>
              <w14:schemeClr w14:val="tx1"/>
            </w14:solidFill>
          </w14:textFill>
        </w:rPr>
        <w:t>3.未按上述要求提供、填写的，评审时不予以考虑。</w:t>
      </w:r>
    </w:p>
    <w:p w14:paraId="3B17FC66">
      <w:pPr>
        <w:spacing w:line="600" w:lineRule="exact"/>
        <w:rPr>
          <w:rFonts w:ascii="宋体" w:hAnsi="宋体" w:cs="宋体"/>
          <w:color w:val="000000" w:themeColor="text1"/>
          <w:sz w:val="30"/>
          <w:szCs w:val="30"/>
          <w:highlight w:val="none"/>
          <w14:textFill>
            <w14:solidFill>
              <w14:schemeClr w14:val="tx1"/>
            </w14:solidFill>
          </w14:textFill>
        </w:rPr>
      </w:pPr>
    </w:p>
    <w:p w14:paraId="27AD848A">
      <w:pPr>
        <w:spacing w:line="600" w:lineRule="exact"/>
        <w:rPr>
          <w:rFonts w:ascii="宋体" w:hAnsi="宋体" w:cs="宋体"/>
          <w:color w:val="000000" w:themeColor="text1"/>
          <w:sz w:val="30"/>
          <w:szCs w:val="30"/>
          <w:highlight w:val="none"/>
          <w14:textFill>
            <w14:solidFill>
              <w14:schemeClr w14:val="tx1"/>
            </w14:solidFill>
          </w14:textFill>
        </w:rPr>
      </w:pPr>
    </w:p>
    <w:p w14:paraId="2CE27ABA">
      <w:pPr>
        <w:pStyle w:val="23"/>
        <w:widowControl w:val="0"/>
        <w:spacing w:before="120" w:beforeAutospacing="0" w:after="120" w:afterAutospacing="0" w:line="500" w:lineRule="exact"/>
        <w:ind w:right="29" w:rightChars="14"/>
        <w:jc w:val="center"/>
        <w:outlineLvl w:val="1"/>
        <w:rPr>
          <w:rFonts w:ascii="宋体" w:hAnsi="宋体" w:cs="宋体"/>
          <w:b/>
          <w:color w:val="000000" w:themeColor="text1"/>
          <w:sz w:val="28"/>
          <w:szCs w:val="28"/>
          <w:highlight w:val="none"/>
          <w14:textFill>
            <w14:solidFill>
              <w14:schemeClr w14:val="tx1"/>
            </w14:solidFill>
          </w14:textFill>
        </w:rPr>
      </w:pPr>
      <w:bookmarkStart w:id="378" w:name="_Toc26108"/>
      <w:bookmarkStart w:id="379" w:name="_Toc20881"/>
      <w:bookmarkStart w:id="380" w:name="_Toc11708"/>
      <w:bookmarkStart w:id="381" w:name="_Toc13288"/>
      <w:bookmarkStart w:id="382" w:name="_Toc30170"/>
      <w:bookmarkStart w:id="383" w:name="_Toc14292"/>
      <w:r>
        <w:rPr>
          <w:rFonts w:hint="eastAsia"/>
          <w:b/>
          <w:color w:val="000000" w:themeColor="text1"/>
          <w:kern w:val="2"/>
          <w:sz w:val="28"/>
          <w:szCs w:val="28"/>
          <w:highlight w:val="none"/>
          <w14:textFill>
            <w14:solidFill>
              <w14:schemeClr w14:val="tx1"/>
            </w14:solidFill>
          </w14:textFill>
        </w:rPr>
        <w:t>九、残疾人福利性单位声明函（如有）</w:t>
      </w:r>
      <w:bookmarkEnd w:id="378"/>
      <w:bookmarkEnd w:id="379"/>
      <w:bookmarkEnd w:id="380"/>
      <w:bookmarkEnd w:id="381"/>
    </w:p>
    <w:p w14:paraId="499C92BE">
      <w:pPr>
        <w:spacing w:after="758" w:afterLines="200"/>
        <w:ind w:firstLine="2108" w:firstLineChars="750"/>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0962987C">
      <w:pPr>
        <w:spacing w:after="758" w:afterLines="200"/>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6B853F96">
      <w:pPr>
        <w:pStyle w:val="26"/>
        <w:rPr>
          <w:rFonts w:hint="eastAsia" w:ascii="宋体" w:hAnsi="宋体" w:eastAsia="宋体" w:cs="宋体"/>
          <w:b/>
          <w:color w:val="000000" w:themeColor="text1"/>
          <w:sz w:val="28"/>
          <w:szCs w:val="28"/>
          <w:highlight w:val="none"/>
          <w:lang w:eastAsia="zh-CN"/>
          <w14:textFill>
            <w14:solidFill>
              <w14:schemeClr w14:val="tx1"/>
            </w14:solidFill>
          </w14:textFill>
        </w:rPr>
      </w:pPr>
    </w:p>
    <w:p w14:paraId="6F726F66">
      <w:pPr>
        <w:pStyle w:val="27"/>
        <w:rPr>
          <w:rFonts w:hint="eastAsia"/>
          <w:color w:val="000000" w:themeColor="text1"/>
          <w:highlight w:val="none"/>
          <w:lang w:eastAsia="zh-CN"/>
          <w14:textFill>
            <w14:solidFill>
              <w14:schemeClr w14:val="tx1"/>
            </w14:solidFill>
          </w14:textFill>
        </w:rPr>
      </w:pPr>
    </w:p>
    <w:bookmarkEnd w:id="346"/>
    <w:bookmarkEnd w:id="382"/>
    <w:bookmarkEnd w:id="383"/>
    <w:p w14:paraId="75DA7258">
      <w:pPr>
        <w:pStyle w:val="23"/>
        <w:widowControl w:val="0"/>
        <w:spacing w:before="120" w:beforeAutospacing="0" w:after="120" w:afterAutospacing="0" w:line="500" w:lineRule="exact"/>
        <w:ind w:right="29" w:rightChars="14"/>
        <w:jc w:val="center"/>
        <w:outlineLvl w:val="1"/>
        <w:rPr>
          <w:rFonts w:ascii="宋体" w:hAnsi="宋体" w:cs="宋体"/>
          <w:color w:val="000000" w:themeColor="text1"/>
          <w:sz w:val="28"/>
          <w:szCs w:val="28"/>
          <w:highlight w:val="none"/>
          <w:shd w:val="clear" w:color="FFFFFF" w:fill="D9D9D9"/>
          <w14:textFill>
            <w14:solidFill>
              <w14:schemeClr w14:val="tx1"/>
            </w14:solidFill>
          </w14:textFill>
        </w:rPr>
      </w:pPr>
      <w:bookmarkStart w:id="384" w:name="_Toc26550"/>
      <w:bookmarkStart w:id="385" w:name="_Toc18605"/>
      <w:bookmarkStart w:id="386" w:name="_Toc17917"/>
      <w:bookmarkStart w:id="387" w:name="_Toc16608"/>
      <w:r>
        <w:rPr>
          <w:rFonts w:hint="eastAsia"/>
          <w:b/>
          <w:color w:val="000000" w:themeColor="text1"/>
          <w:kern w:val="2"/>
          <w:sz w:val="28"/>
          <w:szCs w:val="28"/>
          <w:highlight w:val="none"/>
          <w14:textFill>
            <w14:solidFill>
              <w14:schemeClr w14:val="tx1"/>
            </w14:solidFill>
          </w14:textFill>
        </w:rPr>
        <w:t>十、招标文件要求的或供应商认为须提交的其他材料</w:t>
      </w:r>
      <w:bookmarkEnd w:id="384"/>
      <w:bookmarkEnd w:id="385"/>
      <w:bookmarkEnd w:id="386"/>
      <w:bookmarkEnd w:id="387"/>
    </w:p>
    <w:p w14:paraId="5A5D9754">
      <w:pPr>
        <w:spacing w:line="600" w:lineRule="exact"/>
        <w:jc w:val="center"/>
        <w:rPr>
          <w:rFonts w:ascii="宋体" w:hAnsi="宋体" w:cs="宋体"/>
          <w:color w:val="000000" w:themeColor="text1"/>
          <w:sz w:val="24"/>
          <w:szCs w:val="24"/>
          <w:highlight w:val="none"/>
          <w14:textFill>
            <w14:solidFill>
              <w14:schemeClr w14:val="tx1"/>
            </w14:solidFill>
          </w14:textFill>
        </w:rPr>
      </w:pPr>
      <w:r>
        <w:rPr>
          <w:rFonts w:hint="eastAsia" w:ascii="宋体" w:hAnsi="宋体" w:cs="宋体"/>
          <w:color w:val="000000" w:themeColor="text1"/>
          <w:sz w:val="24"/>
          <w:szCs w:val="24"/>
          <w:highlight w:val="none"/>
          <w14:textFill>
            <w14:solidFill>
              <w14:schemeClr w14:val="tx1"/>
            </w14:solidFill>
          </w14:textFill>
        </w:rPr>
        <w:t>招标文件规定的其他资料及供应商认为需要提交的其他材料。</w:t>
      </w:r>
    </w:p>
    <w:p w14:paraId="60645DA8">
      <w:pPr>
        <w:spacing w:line="600" w:lineRule="exact"/>
        <w:ind w:firstLine="480" w:firstLineChars="200"/>
        <w:rPr>
          <w:rFonts w:ascii="宋体" w:hAnsi="宋体" w:cs="宋体"/>
          <w:color w:val="000000" w:themeColor="text1"/>
          <w:sz w:val="24"/>
          <w:szCs w:val="24"/>
          <w:highlight w:val="none"/>
          <w14:textFill>
            <w14:solidFill>
              <w14:schemeClr w14:val="tx1"/>
            </w14:solidFill>
          </w14:textFill>
        </w:rPr>
      </w:pPr>
    </w:p>
    <w:p w14:paraId="0CC7B42E">
      <w:pPr>
        <w:widowControl/>
        <w:spacing w:line="580" w:lineRule="atLeast"/>
        <w:jc w:val="center"/>
        <w:rPr>
          <w:rFonts w:ascii="宋体" w:hAnsi="宋体" w:cs="宋体"/>
          <w:b/>
          <w:color w:val="000000" w:themeColor="text1"/>
          <w:kern w:val="0"/>
          <w:sz w:val="32"/>
          <w:szCs w:val="32"/>
          <w:highlight w:val="none"/>
          <w14:textFill>
            <w14:solidFill>
              <w14:schemeClr w14:val="tx1"/>
            </w14:solidFill>
          </w14:textFill>
        </w:rPr>
      </w:pPr>
    </w:p>
    <w:p w14:paraId="0ABA47BD">
      <w:pPr>
        <w:pStyle w:val="56"/>
        <w:rPr>
          <w:rFonts w:ascii="宋体" w:hAnsi="宋体" w:cs="宋体"/>
          <w:b/>
          <w:bCs/>
          <w:color w:val="000000" w:themeColor="text1"/>
          <w:kern w:val="0"/>
          <w:sz w:val="32"/>
          <w:szCs w:val="32"/>
          <w:highlight w:val="none"/>
          <w14:textFill>
            <w14:solidFill>
              <w14:schemeClr w14:val="tx1"/>
            </w14:solidFill>
          </w14:textFill>
        </w:rPr>
      </w:pPr>
    </w:p>
    <w:p w14:paraId="701F9432">
      <w:pPr>
        <w:rPr>
          <w:rFonts w:ascii="宋体" w:hAnsi="宋体" w:cs="宋体"/>
          <w:b/>
          <w:bCs/>
          <w:color w:val="000000" w:themeColor="text1"/>
          <w:kern w:val="0"/>
          <w:sz w:val="32"/>
          <w:szCs w:val="32"/>
          <w:highlight w:val="none"/>
          <w14:textFill>
            <w14:solidFill>
              <w14:schemeClr w14:val="tx1"/>
            </w14:solidFill>
          </w14:textFill>
        </w:rPr>
      </w:pPr>
    </w:p>
    <w:p w14:paraId="6A99C191">
      <w:pPr>
        <w:pStyle w:val="56"/>
        <w:rPr>
          <w:rFonts w:ascii="宋体" w:hAnsi="宋体" w:cs="宋体"/>
          <w:b/>
          <w:bCs/>
          <w:color w:val="000000" w:themeColor="text1"/>
          <w:kern w:val="0"/>
          <w:sz w:val="32"/>
          <w:szCs w:val="32"/>
          <w:highlight w:val="none"/>
          <w14:textFill>
            <w14:solidFill>
              <w14:schemeClr w14:val="tx1"/>
            </w14:solidFill>
          </w14:textFill>
        </w:rPr>
      </w:pPr>
    </w:p>
    <w:p w14:paraId="0D3F7DAF">
      <w:pPr>
        <w:rPr>
          <w:rFonts w:ascii="宋体" w:hAnsi="宋体" w:cs="宋体"/>
          <w:b/>
          <w:bCs/>
          <w:color w:val="000000" w:themeColor="text1"/>
          <w:kern w:val="0"/>
          <w:sz w:val="32"/>
          <w:szCs w:val="32"/>
          <w:highlight w:val="none"/>
          <w14:textFill>
            <w14:solidFill>
              <w14:schemeClr w14:val="tx1"/>
            </w14:solidFill>
          </w14:textFill>
        </w:rPr>
      </w:pPr>
    </w:p>
    <w:p w14:paraId="3E74A1B1">
      <w:pPr>
        <w:pStyle w:val="56"/>
        <w:rPr>
          <w:rFonts w:ascii="宋体" w:hAnsi="宋体" w:cs="宋体"/>
          <w:b/>
          <w:bCs/>
          <w:color w:val="000000" w:themeColor="text1"/>
          <w:kern w:val="0"/>
          <w:sz w:val="32"/>
          <w:szCs w:val="32"/>
          <w:highlight w:val="none"/>
          <w14:textFill>
            <w14:solidFill>
              <w14:schemeClr w14:val="tx1"/>
            </w14:solidFill>
          </w14:textFill>
        </w:rPr>
      </w:pPr>
    </w:p>
    <w:p w14:paraId="7338F922">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003C7C8A">
      <w:pPr>
        <w:spacing w:line="440" w:lineRule="exact"/>
        <w:jc w:val="center"/>
        <w:rPr>
          <w:rFonts w:ascii="宋体" w:hAnsi="宋体" w:cs="宋体"/>
          <w:b/>
          <w:color w:val="000000" w:themeColor="text1"/>
          <w:sz w:val="36"/>
          <w:szCs w:val="36"/>
          <w:highlight w:val="none"/>
          <w14:textFill>
            <w14:solidFill>
              <w14:schemeClr w14:val="tx1"/>
            </w14:solidFill>
          </w14:textFill>
        </w:rPr>
      </w:pPr>
      <w:r>
        <w:rPr>
          <w:rFonts w:hint="eastAsia" w:ascii="宋体" w:hAnsi="宋体" w:cs="宋体"/>
          <w:color w:val="000000" w:themeColor="text1"/>
          <w:kern w:val="0"/>
          <w:sz w:val="24"/>
          <w:highlight w:val="none"/>
          <w14:textFill>
            <w14:solidFill>
              <w14:schemeClr w14:val="tx1"/>
            </w14:solidFill>
          </w14:textFill>
        </w:rPr>
        <w:br w:type="page"/>
      </w:r>
    </w:p>
    <w:p w14:paraId="4B5D8152">
      <w:pPr>
        <w:spacing w:line="360" w:lineRule="auto"/>
        <w:jc w:val="center"/>
        <w:rPr>
          <w:rFonts w:ascii="宋体" w:hAnsi="宋体" w:cs="宋体"/>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优化和提升政府采购政策</w:t>
      </w:r>
    </w:p>
    <w:p w14:paraId="7084E711">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一、全面取消采购文件费用和投标保证金费用。</w:t>
      </w:r>
    </w:p>
    <w:p w14:paraId="4975ED4F">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二、免收履约保证金。确因项目需要的，应以保函等非现金形式收取，比例不得超过合同金额的</w:t>
      </w:r>
      <w:r>
        <w:rPr>
          <w:rFonts w:hint="eastAsia" w:ascii="宋体" w:hAnsi="宋体" w:cs="宋体"/>
          <w:color w:val="000000" w:themeColor="text1"/>
          <w:sz w:val="24"/>
          <w:highlight w:val="none"/>
          <w:u w:val="single"/>
          <w14:textFill>
            <w14:solidFill>
              <w14:schemeClr w14:val="tx1"/>
            </w14:solidFill>
          </w14:textFill>
        </w:rPr>
        <w:t>6%</w:t>
      </w:r>
      <w:r>
        <w:rPr>
          <w:rFonts w:hint="eastAsia" w:ascii="宋体" w:hAnsi="宋体" w:cs="宋体"/>
          <w:color w:val="000000" w:themeColor="text1"/>
          <w:sz w:val="24"/>
          <w:highlight w:val="none"/>
          <w14:textFill>
            <w14:solidFill>
              <w14:schemeClr w14:val="tx1"/>
            </w14:solidFill>
          </w14:textFill>
        </w:rPr>
        <w:t>，并按约定的时间和条件退还。</w:t>
      </w:r>
    </w:p>
    <w:p w14:paraId="50C2A143">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三、评标结果确认时限。自评标（评审）结束后应2个工作日内确定中标供应商，5个工作日内公告结果，同时发送中标通知书。</w:t>
      </w:r>
    </w:p>
    <w:p w14:paraId="47DF76C2">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四、合同签订时限。自中标通知书发出之日起</w:t>
      </w:r>
      <w:r>
        <w:rPr>
          <w:rFonts w:hint="eastAsia" w:ascii="宋体" w:hAnsi="宋体" w:cs="宋体"/>
          <w:color w:val="000000" w:themeColor="text1"/>
          <w:sz w:val="24"/>
          <w:highlight w:val="none"/>
          <w:u w:val="single"/>
          <w14:textFill>
            <w14:solidFill>
              <w14:schemeClr w14:val="tx1"/>
            </w14:solidFill>
          </w14:textFill>
        </w:rPr>
        <w:t>15</w:t>
      </w:r>
      <w:r>
        <w:rPr>
          <w:rFonts w:hint="eastAsia" w:ascii="宋体" w:hAnsi="宋体" w:cs="宋体"/>
          <w:color w:val="000000" w:themeColor="text1"/>
          <w:sz w:val="24"/>
          <w:highlight w:val="none"/>
          <w14:textFill>
            <w14:solidFill>
              <w14:schemeClr w14:val="tx1"/>
            </w14:solidFill>
          </w14:textFill>
        </w:rPr>
        <w:t xml:space="preserve">日内，按照采购文件和投标文件确定的事项签订政府采购合同。 </w:t>
      </w:r>
    </w:p>
    <w:p w14:paraId="7CD86503">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五、合同公告和备案时限。自合同签订之日起2个工作日内。</w:t>
      </w:r>
    </w:p>
    <w:p w14:paraId="2BC02E47">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六、项目验收。自收到供应商项目验收建议之日起7个工作日内组织验收；验收结束后2个工作日内出具《验收报告》，并在焦作市政府采购网公告验收结果。</w:t>
      </w:r>
    </w:p>
    <w:p w14:paraId="499CA03A">
      <w:pPr>
        <w:shd w:val="clear" w:color="auto" w:fill="FFFFFF"/>
        <w:spacing w:line="360" w:lineRule="auto"/>
        <w:ind w:firstLine="480" w:firstLineChars="200"/>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七、资金支付。按照合同约定的条件及时支付资金，不得因机构变更、人员更替、政策调整等原因拒绝或延迟资金支付。</w:t>
      </w:r>
    </w:p>
    <w:p w14:paraId="29257D5A">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在政府采购活动中，若发现采购人或采购代理机构未按以上政策执行的，可向监督部门举报反映。</w:t>
      </w:r>
    </w:p>
    <w:p w14:paraId="592A2C55">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监督单位：博爱县财政局政府采购监督管理办公室</w:t>
      </w:r>
    </w:p>
    <w:p w14:paraId="230AD103">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监督电话：0391-8683273</w:t>
      </w:r>
    </w:p>
    <w:p w14:paraId="0244062D">
      <w:pPr>
        <w:shd w:val="clear" w:color="auto" w:fill="FFFFFF"/>
        <w:spacing w:line="360" w:lineRule="auto"/>
        <w:ind w:firstLine="480" w:firstLineChars="200"/>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地址：博爱县发展大道188号机关综合办公楼主楼1213室</w:t>
      </w:r>
    </w:p>
    <w:p w14:paraId="06DDCB77">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088BF3A5">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4186B73A">
      <w:pPr>
        <w:pStyle w:val="3"/>
        <w:rPr>
          <w:rFonts w:ascii="宋体" w:hAnsi="宋体" w:cs="宋体"/>
          <w:color w:val="000000" w:themeColor="text1"/>
          <w:sz w:val="36"/>
          <w:szCs w:val="36"/>
          <w:highlight w:val="none"/>
          <w14:textFill>
            <w14:solidFill>
              <w14:schemeClr w14:val="tx1"/>
            </w14:solidFill>
          </w14:textFill>
        </w:rPr>
      </w:pPr>
    </w:p>
    <w:p w14:paraId="21F02EA6">
      <w:pPr>
        <w:spacing w:line="440" w:lineRule="exact"/>
        <w:rPr>
          <w:rFonts w:ascii="宋体" w:hAnsi="宋体" w:cs="宋体"/>
          <w:b/>
          <w:color w:val="000000" w:themeColor="text1"/>
          <w:sz w:val="36"/>
          <w:szCs w:val="36"/>
          <w:highlight w:val="none"/>
          <w14:textFill>
            <w14:solidFill>
              <w14:schemeClr w14:val="tx1"/>
            </w14:solidFill>
          </w14:textFill>
        </w:rPr>
      </w:pPr>
    </w:p>
    <w:p w14:paraId="5A1992B3">
      <w:pPr>
        <w:pStyle w:val="35"/>
        <w:rPr>
          <w:rFonts w:ascii="宋体" w:hAnsi="宋体" w:cs="宋体"/>
          <w:color w:val="000000" w:themeColor="text1"/>
          <w:highlight w:val="none"/>
          <w14:textFill>
            <w14:solidFill>
              <w14:schemeClr w14:val="tx1"/>
            </w14:solidFill>
          </w14:textFill>
        </w:rPr>
      </w:pPr>
    </w:p>
    <w:p w14:paraId="76AA5498">
      <w:pPr>
        <w:pStyle w:val="36"/>
        <w:rPr>
          <w:rFonts w:ascii="宋体" w:hAnsi="宋体" w:cs="宋体"/>
          <w:color w:val="000000" w:themeColor="text1"/>
          <w:highlight w:val="none"/>
          <w14:textFill>
            <w14:solidFill>
              <w14:schemeClr w14:val="tx1"/>
            </w14:solidFill>
          </w14:textFill>
        </w:rPr>
      </w:pPr>
    </w:p>
    <w:p w14:paraId="1B89107F">
      <w:pPr>
        <w:pStyle w:val="37"/>
        <w:rPr>
          <w:rFonts w:ascii="宋体" w:hAnsi="宋体" w:cs="宋体"/>
          <w:color w:val="000000" w:themeColor="text1"/>
          <w:highlight w:val="none"/>
          <w14:textFill>
            <w14:solidFill>
              <w14:schemeClr w14:val="tx1"/>
            </w14:solidFill>
          </w14:textFill>
        </w:rPr>
      </w:pPr>
    </w:p>
    <w:p w14:paraId="6396BD9B">
      <w:pPr>
        <w:pStyle w:val="38"/>
        <w:rPr>
          <w:rFonts w:ascii="宋体" w:hAnsi="宋体" w:cs="宋体"/>
          <w:color w:val="000000" w:themeColor="text1"/>
          <w:highlight w:val="none"/>
          <w14:textFill>
            <w14:solidFill>
              <w14:schemeClr w14:val="tx1"/>
            </w14:solidFill>
          </w14:textFill>
        </w:rPr>
      </w:pPr>
    </w:p>
    <w:p w14:paraId="595FC53C">
      <w:pPr>
        <w:rPr>
          <w:color w:val="000000" w:themeColor="text1"/>
          <w:highlight w:val="none"/>
          <w14:textFill>
            <w14:solidFill>
              <w14:schemeClr w14:val="tx1"/>
            </w14:solidFill>
          </w14:textFill>
        </w:rPr>
      </w:pPr>
    </w:p>
    <w:p w14:paraId="7D68AD69">
      <w:pPr>
        <w:spacing w:line="440" w:lineRule="exact"/>
        <w:jc w:val="center"/>
        <w:rPr>
          <w:rFonts w:ascii="宋体" w:hAnsi="宋体" w:cs="宋体"/>
          <w:b/>
          <w:color w:val="000000" w:themeColor="text1"/>
          <w:sz w:val="36"/>
          <w:szCs w:val="36"/>
          <w:highlight w:val="none"/>
          <w14:textFill>
            <w14:solidFill>
              <w14:schemeClr w14:val="tx1"/>
            </w14:solidFill>
          </w14:textFill>
        </w:rPr>
      </w:pPr>
    </w:p>
    <w:p w14:paraId="33892A75">
      <w:pPr>
        <w:spacing w:line="440" w:lineRule="exact"/>
        <w:jc w:val="center"/>
        <w:rPr>
          <w:rFonts w:ascii="宋体" w:hAnsi="宋体" w:cs="宋体"/>
          <w:b/>
          <w:color w:val="000000" w:themeColor="text1"/>
          <w:sz w:val="28"/>
          <w:szCs w:val="28"/>
          <w:highlight w:val="none"/>
          <w14:textFill>
            <w14:solidFill>
              <w14:schemeClr w14:val="tx1"/>
            </w14:solidFill>
          </w14:textFill>
        </w:rPr>
      </w:pPr>
      <w:r>
        <w:rPr>
          <w:rFonts w:hint="eastAsia" w:ascii="宋体" w:hAnsi="宋体" w:cs="宋体"/>
          <w:b/>
          <w:color w:val="000000" w:themeColor="text1"/>
          <w:sz w:val="28"/>
          <w:szCs w:val="28"/>
          <w:highlight w:val="none"/>
          <w14:textFill>
            <w14:solidFill>
              <w14:schemeClr w14:val="tx1"/>
            </w14:solidFill>
          </w14:textFill>
        </w:rPr>
        <w:t>河南省政府采购合同融资政策告知函</w:t>
      </w:r>
    </w:p>
    <w:p w14:paraId="34DB9B8D">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各供应商：</w:t>
      </w:r>
    </w:p>
    <w:p w14:paraId="706D6004">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欢迎贵公司参与河南省政府采购活动！</w:t>
      </w:r>
    </w:p>
    <w:p w14:paraId="718679C8">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政府采购合同融资是河南省财政厅支持中小微企业发展，针对参与政府采购活动的供应商融资难、融资贵问题推出的一项融资政策。贵公司若成为本次政府采购项目的中标成交供应商，可持政府采购合同向金融机构申请贷款，无需抵押、担保，融资机构将依据《河南省采购合同融资工作实施方案》（豫财购[2017]10号），按照双方自愿的原则提供便捷、优惠的贷款服务。</w:t>
      </w:r>
    </w:p>
    <w:p w14:paraId="1258F40E">
      <w:pPr>
        <w:spacing w:line="420" w:lineRule="exact"/>
        <w:ind w:firstLine="420" w:firstLineChars="175"/>
        <w:rPr>
          <w:rFonts w:ascii="宋体" w:hAnsi="宋体" w:cs="宋体"/>
          <w:bCs/>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 xml:space="preserve"> 贷款渠道和提供贷款的金融机构，可在河南省政府采购网“河南省政府采购合同融资平台”查询联系。</w:t>
      </w:r>
    </w:p>
    <w:p w14:paraId="174375C9">
      <w:pPr>
        <w:jc w:val="center"/>
        <w:rPr>
          <w:rFonts w:ascii="宋体" w:hAnsi="宋体" w:cs="宋体"/>
          <w:b/>
          <w:color w:val="000000" w:themeColor="text1"/>
          <w:sz w:val="32"/>
          <w:szCs w:val="32"/>
          <w:highlight w:val="none"/>
          <w14:textFill>
            <w14:solidFill>
              <w14:schemeClr w14:val="tx1"/>
            </w14:solidFill>
          </w14:textFill>
        </w:rPr>
      </w:pPr>
      <w:r>
        <w:rPr>
          <w:rFonts w:hint="eastAsia" w:ascii="宋体" w:hAnsi="宋体" w:cs="宋体"/>
          <w:b/>
          <w:color w:val="000000" w:themeColor="text1"/>
          <w:sz w:val="32"/>
          <w:szCs w:val="32"/>
          <w:highlight w:val="none"/>
          <w14:textFill>
            <w14:solidFill>
              <w14:schemeClr w14:val="tx1"/>
            </w14:solidFill>
          </w14:textFill>
        </w:rPr>
        <w:t>焦作市政府采购合同融资合作企业</w:t>
      </w:r>
    </w:p>
    <w:tbl>
      <w:tblPr>
        <w:tblStyle w:val="28"/>
        <w:tblW w:w="9998"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4023"/>
        <w:gridCol w:w="1353"/>
        <w:gridCol w:w="2064"/>
        <w:gridCol w:w="2558"/>
      </w:tblGrid>
      <w:tr w14:paraId="6923A85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82" w:hRule="atLeast"/>
        </w:trPr>
        <w:tc>
          <w:tcPr>
            <w:tcW w:w="4023" w:type="dxa"/>
            <w:vAlign w:val="center"/>
          </w:tcPr>
          <w:p w14:paraId="5EA13999">
            <w:pPr>
              <w:widowControl/>
              <w:tabs>
                <w:tab w:val="left" w:pos="0"/>
              </w:tabs>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名称</w:t>
            </w:r>
          </w:p>
        </w:tc>
        <w:tc>
          <w:tcPr>
            <w:tcW w:w="1353" w:type="dxa"/>
            <w:vAlign w:val="center"/>
          </w:tcPr>
          <w:p w14:paraId="13B59F5D">
            <w:pPr>
              <w:widowControl/>
              <w:tabs>
                <w:tab w:val="left" w:pos="0"/>
              </w:tabs>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联系人</w:t>
            </w:r>
          </w:p>
        </w:tc>
        <w:tc>
          <w:tcPr>
            <w:tcW w:w="2064" w:type="dxa"/>
            <w:vAlign w:val="center"/>
          </w:tcPr>
          <w:p w14:paraId="4AB22C6E">
            <w:pPr>
              <w:widowControl/>
              <w:tabs>
                <w:tab w:val="left" w:pos="0"/>
              </w:tabs>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联系电话</w:t>
            </w:r>
          </w:p>
        </w:tc>
        <w:tc>
          <w:tcPr>
            <w:tcW w:w="2558" w:type="dxa"/>
            <w:vAlign w:val="center"/>
          </w:tcPr>
          <w:p w14:paraId="5E1F69C3">
            <w:pPr>
              <w:widowControl/>
              <w:tabs>
                <w:tab w:val="left" w:pos="0"/>
              </w:tabs>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地址</w:t>
            </w:r>
          </w:p>
        </w:tc>
      </w:tr>
      <w:tr w14:paraId="57080D1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64" w:hRule="atLeast"/>
        </w:trPr>
        <w:tc>
          <w:tcPr>
            <w:tcW w:w="4023" w:type="dxa"/>
            <w:shd w:val="clear" w:color="auto" w:fill="auto"/>
            <w:vAlign w:val="center"/>
          </w:tcPr>
          <w:p w14:paraId="51D2244C">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中国农业银行股份有限公司焦作分行</w:t>
            </w:r>
          </w:p>
        </w:tc>
        <w:tc>
          <w:tcPr>
            <w:tcW w:w="1353" w:type="dxa"/>
            <w:shd w:val="solid" w:color="FFFFFF" w:fill="auto"/>
            <w:vAlign w:val="center"/>
          </w:tcPr>
          <w:p w14:paraId="4BC7B360">
            <w:pPr>
              <w:shd w:val="solid" w:color="FFFFFF" w:fill="auto"/>
              <w:autoSpaceDN w:val="0"/>
              <w:spacing w:line="24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薛国战</w:t>
            </w:r>
          </w:p>
        </w:tc>
        <w:tc>
          <w:tcPr>
            <w:tcW w:w="2064" w:type="dxa"/>
            <w:shd w:val="solid" w:color="FFFFFF" w:fill="auto"/>
            <w:vAlign w:val="center"/>
          </w:tcPr>
          <w:p w14:paraId="7125F4FD">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0391-2878039       13839109026</w:t>
            </w:r>
          </w:p>
        </w:tc>
        <w:tc>
          <w:tcPr>
            <w:tcW w:w="2558" w:type="dxa"/>
            <w:shd w:val="solid" w:color="FFFFFF" w:fill="auto"/>
            <w:vAlign w:val="center"/>
          </w:tcPr>
          <w:p w14:paraId="58AA250F">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焦作市民主南路88号</w:t>
            </w:r>
          </w:p>
        </w:tc>
      </w:tr>
      <w:tr w14:paraId="7454076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54" w:hRule="atLeast"/>
        </w:trPr>
        <w:tc>
          <w:tcPr>
            <w:tcW w:w="4023" w:type="dxa"/>
            <w:shd w:val="clear" w:color="auto" w:fill="auto"/>
            <w:vAlign w:val="center"/>
          </w:tcPr>
          <w:p w14:paraId="00C6A1CF">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中国银行股份有限公司焦作分行</w:t>
            </w:r>
          </w:p>
        </w:tc>
        <w:tc>
          <w:tcPr>
            <w:tcW w:w="1353" w:type="dxa"/>
            <w:shd w:val="solid" w:color="FFFFFF" w:fill="auto"/>
            <w:vAlign w:val="center"/>
          </w:tcPr>
          <w:p w14:paraId="4BFC6F44">
            <w:pPr>
              <w:shd w:val="solid" w:color="FFFFFF" w:fill="auto"/>
              <w:autoSpaceDN w:val="0"/>
              <w:spacing w:line="24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曹阳</w:t>
            </w:r>
          </w:p>
        </w:tc>
        <w:tc>
          <w:tcPr>
            <w:tcW w:w="2064" w:type="dxa"/>
            <w:shd w:val="solid" w:color="FFFFFF" w:fill="auto"/>
            <w:vAlign w:val="center"/>
          </w:tcPr>
          <w:p w14:paraId="720AC7F3">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0391-8825171  13839118160</w:t>
            </w:r>
          </w:p>
        </w:tc>
        <w:tc>
          <w:tcPr>
            <w:tcW w:w="2558" w:type="dxa"/>
            <w:shd w:val="solid" w:color="FFFFFF" w:fill="auto"/>
            <w:vAlign w:val="center"/>
          </w:tcPr>
          <w:p w14:paraId="0AFB5FD5">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焦作市丰收路159号</w:t>
            </w:r>
          </w:p>
        </w:tc>
      </w:tr>
      <w:tr w14:paraId="50B4E83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 w:hRule="atLeast"/>
        </w:trPr>
        <w:tc>
          <w:tcPr>
            <w:tcW w:w="4023" w:type="dxa"/>
            <w:shd w:val="clear" w:color="auto" w:fill="auto"/>
            <w:vAlign w:val="center"/>
          </w:tcPr>
          <w:p w14:paraId="3E544BBA">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中国建设银行股份有限公司焦作分行</w:t>
            </w:r>
          </w:p>
        </w:tc>
        <w:tc>
          <w:tcPr>
            <w:tcW w:w="1353" w:type="dxa"/>
            <w:shd w:val="clear" w:color="auto" w:fill="auto"/>
            <w:vAlign w:val="center"/>
          </w:tcPr>
          <w:p w14:paraId="364380A5">
            <w:pPr>
              <w:widowControl/>
              <w:tabs>
                <w:tab w:val="left" w:pos="0"/>
              </w:tabs>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李华莹</w:t>
            </w:r>
          </w:p>
        </w:tc>
        <w:tc>
          <w:tcPr>
            <w:tcW w:w="2064" w:type="dxa"/>
            <w:shd w:val="clear" w:color="auto" w:fill="auto"/>
            <w:vAlign w:val="center"/>
          </w:tcPr>
          <w:p w14:paraId="60D62B8B">
            <w:pPr>
              <w:widowControl/>
              <w:tabs>
                <w:tab w:val="left" w:pos="0"/>
              </w:tabs>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0391-3918471</w:t>
            </w:r>
          </w:p>
        </w:tc>
        <w:tc>
          <w:tcPr>
            <w:tcW w:w="2558" w:type="dxa"/>
            <w:shd w:val="solid" w:color="FFFFFF" w:fill="auto"/>
            <w:vAlign w:val="center"/>
          </w:tcPr>
          <w:p w14:paraId="3FED72BA">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焦作市建设东路152号</w:t>
            </w:r>
          </w:p>
        </w:tc>
      </w:tr>
      <w:tr w14:paraId="71D333D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4023" w:type="dxa"/>
            <w:shd w:val="clear" w:color="auto" w:fill="auto"/>
            <w:vAlign w:val="center"/>
          </w:tcPr>
          <w:p w14:paraId="2656097D">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中国邮政储蓄银行股份有限公司焦作市分行</w:t>
            </w:r>
          </w:p>
        </w:tc>
        <w:tc>
          <w:tcPr>
            <w:tcW w:w="1353" w:type="dxa"/>
            <w:shd w:val="solid" w:color="FFFFFF" w:fill="auto"/>
            <w:vAlign w:val="center"/>
          </w:tcPr>
          <w:p w14:paraId="31CB9DCA">
            <w:pPr>
              <w:shd w:val="solid" w:color="FFFFFF" w:fill="auto"/>
              <w:autoSpaceDN w:val="0"/>
              <w:spacing w:line="24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李天祥</w:t>
            </w:r>
          </w:p>
        </w:tc>
        <w:tc>
          <w:tcPr>
            <w:tcW w:w="2064" w:type="dxa"/>
            <w:shd w:val="solid" w:color="FFFFFF" w:fill="auto"/>
            <w:vAlign w:val="center"/>
          </w:tcPr>
          <w:p w14:paraId="5F4CEE28">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0391-2981968 13523359082</w:t>
            </w:r>
          </w:p>
        </w:tc>
        <w:tc>
          <w:tcPr>
            <w:tcW w:w="2558" w:type="dxa"/>
            <w:shd w:val="solid" w:color="FFFFFF" w:fill="auto"/>
            <w:vAlign w:val="center"/>
          </w:tcPr>
          <w:p w14:paraId="0BF165CC">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焦作市丰收中路2233号</w:t>
            </w:r>
          </w:p>
        </w:tc>
      </w:tr>
      <w:tr w14:paraId="547C5B1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2" w:hRule="atLeast"/>
        </w:trPr>
        <w:tc>
          <w:tcPr>
            <w:tcW w:w="4023" w:type="dxa"/>
            <w:shd w:val="clear" w:color="auto" w:fill="auto"/>
            <w:vAlign w:val="center"/>
          </w:tcPr>
          <w:p w14:paraId="5F6ADBFD">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焦作中旅银行股份有限公司</w:t>
            </w:r>
          </w:p>
        </w:tc>
        <w:tc>
          <w:tcPr>
            <w:tcW w:w="1353" w:type="dxa"/>
            <w:shd w:val="solid" w:color="FFFFFF" w:fill="auto"/>
            <w:vAlign w:val="center"/>
          </w:tcPr>
          <w:p w14:paraId="0F7052DA">
            <w:pPr>
              <w:shd w:val="solid" w:color="FFFFFF" w:fill="auto"/>
              <w:autoSpaceDN w:val="0"/>
              <w:spacing w:line="24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周建林</w:t>
            </w:r>
          </w:p>
        </w:tc>
        <w:tc>
          <w:tcPr>
            <w:tcW w:w="2064" w:type="dxa"/>
            <w:shd w:val="solid" w:color="FFFFFF" w:fill="auto"/>
            <w:vAlign w:val="center"/>
          </w:tcPr>
          <w:p w14:paraId="383564F0">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 xml:space="preserve">0391-2116963 15893053027 </w:t>
            </w:r>
          </w:p>
        </w:tc>
        <w:tc>
          <w:tcPr>
            <w:tcW w:w="2558" w:type="dxa"/>
            <w:shd w:val="solid" w:color="FFFFFF" w:fill="auto"/>
            <w:vAlign w:val="center"/>
          </w:tcPr>
          <w:p w14:paraId="268C724B">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焦作市山阳区迎宾路1号</w:t>
            </w:r>
          </w:p>
        </w:tc>
      </w:tr>
      <w:tr w14:paraId="1F19614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44" w:hRule="atLeast"/>
        </w:trPr>
        <w:tc>
          <w:tcPr>
            <w:tcW w:w="4023" w:type="dxa"/>
            <w:shd w:val="clear" w:color="auto" w:fill="auto"/>
            <w:vAlign w:val="center"/>
          </w:tcPr>
          <w:p w14:paraId="50942B1F">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中信银行股份有限公司焦作分行</w:t>
            </w:r>
          </w:p>
        </w:tc>
        <w:tc>
          <w:tcPr>
            <w:tcW w:w="1353" w:type="dxa"/>
            <w:shd w:val="clear" w:color="auto" w:fill="auto"/>
            <w:vAlign w:val="center"/>
          </w:tcPr>
          <w:p w14:paraId="2D09CAF3">
            <w:pPr>
              <w:widowControl/>
              <w:tabs>
                <w:tab w:val="left" w:pos="0"/>
              </w:tabs>
              <w:spacing w:line="240" w:lineRule="auto"/>
              <w:jc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周江江</w:t>
            </w:r>
          </w:p>
        </w:tc>
        <w:tc>
          <w:tcPr>
            <w:tcW w:w="2064" w:type="dxa"/>
            <w:shd w:val="clear" w:color="auto" w:fill="auto"/>
            <w:vAlign w:val="center"/>
          </w:tcPr>
          <w:p w14:paraId="45242742">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17639185001</w:t>
            </w:r>
          </w:p>
        </w:tc>
        <w:tc>
          <w:tcPr>
            <w:tcW w:w="2558" w:type="dxa"/>
            <w:shd w:val="solid" w:color="FFFFFF" w:fill="auto"/>
            <w:vAlign w:val="center"/>
          </w:tcPr>
          <w:p w14:paraId="09D1C932">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焦作市塔南路1736号嘉隆国际中心</w:t>
            </w:r>
          </w:p>
        </w:tc>
      </w:tr>
      <w:tr w14:paraId="2BBCE9A2">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0" w:hRule="atLeast"/>
        </w:trPr>
        <w:tc>
          <w:tcPr>
            <w:tcW w:w="4023" w:type="dxa"/>
            <w:shd w:val="clear" w:color="auto" w:fill="auto"/>
            <w:vAlign w:val="center"/>
          </w:tcPr>
          <w:p w14:paraId="1D148BC6">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bCs/>
                <w:color w:val="000000" w:themeColor="text1"/>
                <w:sz w:val="24"/>
                <w:highlight w:val="none"/>
                <w14:textFill>
                  <w14:solidFill>
                    <w14:schemeClr w14:val="tx1"/>
                  </w14:solidFill>
                </w14:textFill>
              </w:rPr>
              <w:t>中国光大银行股份有限公司焦作分行</w:t>
            </w:r>
          </w:p>
        </w:tc>
        <w:tc>
          <w:tcPr>
            <w:tcW w:w="1353" w:type="dxa"/>
            <w:shd w:val="solid" w:color="FFFFFF" w:fill="auto"/>
            <w:vAlign w:val="center"/>
          </w:tcPr>
          <w:p w14:paraId="6C2735BA">
            <w:pPr>
              <w:shd w:val="solid" w:color="FFFFFF" w:fill="auto"/>
              <w:autoSpaceDN w:val="0"/>
              <w:spacing w:line="24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王海宾</w:t>
            </w:r>
          </w:p>
        </w:tc>
        <w:tc>
          <w:tcPr>
            <w:tcW w:w="2064" w:type="dxa"/>
            <w:shd w:val="solid" w:color="FFFFFF" w:fill="auto"/>
            <w:vAlign w:val="center"/>
          </w:tcPr>
          <w:p w14:paraId="60474AC4">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0391-8787996 13598534626</w:t>
            </w:r>
          </w:p>
        </w:tc>
        <w:tc>
          <w:tcPr>
            <w:tcW w:w="2558" w:type="dxa"/>
            <w:shd w:val="solid" w:color="FFFFFF" w:fill="auto"/>
            <w:vAlign w:val="center"/>
          </w:tcPr>
          <w:p w14:paraId="7C5DC164">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焦作市塔南路1736号</w:t>
            </w:r>
          </w:p>
        </w:tc>
      </w:tr>
      <w:tr w14:paraId="39FD5BEF">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29" w:hRule="atLeast"/>
        </w:trPr>
        <w:tc>
          <w:tcPr>
            <w:tcW w:w="4023" w:type="dxa"/>
            <w:shd w:val="clear" w:color="auto" w:fill="auto"/>
            <w:vAlign w:val="center"/>
          </w:tcPr>
          <w:p w14:paraId="5D35099B">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中原银行股份有限公司焦作分行</w:t>
            </w:r>
          </w:p>
        </w:tc>
        <w:tc>
          <w:tcPr>
            <w:tcW w:w="1353" w:type="dxa"/>
            <w:shd w:val="solid" w:color="FFFFFF" w:fill="auto"/>
            <w:vAlign w:val="center"/>
          </w:tcPr>
          <w:p w14:paraId="76906C14">
            <w:pPr>
              <w:shd w:val="solid" w:color="FFFFFF" w:fill="auto"/>
              <w:autoSpaceDN w:val="0"/>
              <w:spacing w:line="24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赵伟</w:t>
            </w:r>
          </w:p>
        </w:tc>
        <w:tc>
          <w:tcPr>
            <w:tcW w:w="2064" w:type="dxa"/>
            <w:shd w:val="solid" w:color="FFFFFF" w:fill="auto"/>
            <w:vAlign w:val="center"/>
          </w:tcPr>
          <w:p w14:paraId="3B282D8E">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0391-8796520 15738533033</w:t>
            </w:r>
          </w:p>
        </w:tc>
        <w:tc>
          <w:tcPr>
            <w:tcW w:w="2558" w:type="dxa"/>
            <w:shd w:val="solid" w:color="FFFFFF" w:fill="auto"/>
            <w:vAlign w:val="center"/>
          </w:tcPr>
          <w:p w14:paraId="7EDDF9D3">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焦作市解放区人民路479号</w:t>
            </w:r>
          </w:p>
        </w:tc>
      </w:tr>
      <w:tr w14:paraId="57C7B98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4" w:hRule="atLeast"/>
        </w:trPr>
        <w:tc>
          <w:tcPr>
            <w:tcW w:w="4023" w:type="dxa"/>
            <w:shd w:val="clear" w:color="auto" w:fill="auto"/>
            <w:vAlign w:val="center"/>
          </w:tcPr>
          <w:p w14:paraId="17A58234">
            <w:pPr>
              <w:widowControl/>
              <w:tabs>
                <w:tab w:val="left" w:pos="0"/>
              </w:tabs>
              <w:spacing w:line="240" w:lineRule="auto"/>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广发银行股份有限公司焦作分行</w:t>
            </w:r>
          </w:p>
        </w:tc>
        <w:tc>
          <w:tcPr>
            <w:tcW w:w="1353" w:type="dxa"/>
            <w:shd w:val="solid" w:color="FFFFFF" w:fill="auto"/>
            <w:vAlign w:val="center"/>
          </w:tcPr>
          <w:p w14:paraId="4759E60F">
            <w:pPr>
              <w:shd w:val="solid" w:color="FFFFFF" w:fill="auto"/>
              <w:autoSpaceDN w:val="0"/>
              <w:spacing w:line="240" w:lineRule="auto"/>
              <w:jc w:val="center"/>
              <w:textAlignment w:val="center"/>
              <w:rPr>
                <w:rFonts w:ascii="宋体" w:hAnsi="宋体" w:cs="宋体"/>
                <w:color w:val="000000" w:themeColor="text1"/>
                <w:sz w:val="24"/>
                <w:highlight w:val="none"/>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张嘉强</w:t>
            </w:r>
          </w:p>
        </w:tc>
        <w:tc>
          <w:tcPr>
            <w:tcW w:w="2064" w:type="dxa"/>
            <w:shd w:val="solid" w:color="FFFFFF" w:fill="auto"/>
            <w:vAlign w:val="center"/>
          </w:tcPr>
          <w:p w14:paraId="4A08B454">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0391-653785 13203910032</w:t>
            </w:r>
          </w:p>
        </w:tc>
        <w:tc>
          <w:tcPr>
            <w:tcW w:w="2558" w:type="dxa"/>
            <w:shd w:val="solid" w:color="FFFFFF" w:fill="auto"/>
            <w:vAlign w:val="center"/>
          </w:tcPr>
          <w:p w14:paraId="6235DE87">
            <w:pPr>
              <w:shd w:val="solid" w:color="FFFFFF" w:fill="auto"/>
              <w:autoSpaceDN w:val="0"/>
              <w:spacing w:line="240" w:lineRule="auto"/>
              <w:jc w:val="center"/>
              <w:textAlignment w:val="center"/>
              <w:rPr>
                <w:rFonts w:ascii="宋体" w:hAnsi="宋体" w:cs="宋体"/>
                <w:color w:val="000000" w:themeColor="text1"/>
                <w:sz w:val="24"/>
                <w:highlight w:val="none"/>
                <w:shd w:val="clear" w:color="auto" w:fill="FFFFFF"/>
                <w14:textFill>
                  <w14:solidFill>
                    <w14:schemeClr w14:val="tx1"/>
                  </w14:solidFill>
                </w14:textFill>
              </w:rPr>
            </w:pPr>
            <w:r>
              <w:rPr>
                <w:rFonts w:hint="eastAsia" w:ascii="宋体" w:hAnsi="宋体" w:cs="宋体"/>
                <w:color w:val="000000" w:themeColor="text1"/>
                <w:sz w:val="24"/>
                <w:highlight w:val="none"/>
                <w:shd w:val="clear" w:color="auto" w:fill="FFFFFF"/>
                <w14:textFill>
                  <w14:solidFill>
                    <w14:schemeClr w14:val="tx1"/>
                  </w14:solidFill>
                </w14:textFill>
              </w:rPr>
              <w:t>焦作市塔南路1736号嘉隆金融中心</w:t>
            </w:r>
          </w:p>
        </w:tc>
      </w:tr>
    </w:tbl>
    <w:p w14:paraId="54A4DC2F">
      <w:pPr>
        <w:rPr>
          <w:rFonts w:ascii="宋体" w:hAnsi="宋体" w:cs="宋体"/>
          <w:color w:val="000000" w:themeColor="text1"/>
          <w:highlight w:val="none"/>
          <w14:textFill>
            <w14:solidFill>
              <w14:schemeClr w14:val="tx1"/>
            </w14:solidFill>
          </w14:textFill>
        </w:rPr>
      </w:pPr>
      <w:r>
        <w:rPr>
          <w:rFonts w:hint="eastAsia" w:ascii="宋体" w:hAnsi="宋体" w:cs="宋体"/>
          <w:color w:val="000000" w:themeColor="text1"/>
          <w:sz w:val="24"/>
          <w:highlight w:val="none"/>
          <w14:textFill>
            <w14:solidFill>
              <w14:schemeClr w14:val="tx1"/>
            </w14:solidFill>
          </w14:textFill>
        </w:rPr>
        <w:t>备注：融资服务机构名单和人员联系方式会随时变化。具体情况可登录“焦作市政府采购网”政府采购合同融资平台查询。</w:t>
      </w:r>
    </w:p>
    <w:sectPr>
      <w:pgSz w:w="11905" w:h="16838"/>
      <w:pgMar w:top="1304" w:right="1304" w:bottom="1304" w:left="1304" w:header="0" w:footer="737" w:gutter="0"/>
      <w:cols w:space="0" w:num="1"/>
      <w:rtlGutter w:val="0"/>
      <w:docGrid w:linePitch="379"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Book Antiqua">
    <w:altName w:val="Segoe Print"/>
    <w:panose1 w:val="02040602050305030304"/>
    <w:charset w:val="00"/>
    <w:family w:val="roman"/>
    <w:pitch w:val="default"/>
    <w:sig w:usb0="00000000" w:usb1="00000000" w:usb2="00000000" w:usb3="00000000" w:csb0="2000009F" w:csb1="DFD70000"/>
  </w:font>
  <w:font w:name="Segoe Print">
    <w:panose1 w:val="02000600000000000000"/>
    <w:charset w:val="00"/>
    <w:family w:val="auto"/>
    <w:pitch w:val="default"/>
    <w:sig w:usb0="0000028F" w:usb1="00000000" w:usb2="00000000" w:usb3="00000000" w:csb0="2000009F" w:csb1="47010000"/>
  </w:font>
  <w:font w:name="Calibri Light">
    <w:panose1 w:val="020F0302020204030204"/>
    <w:charset w:val="00"/>
    <w:family w:val="swiss"/>
    <w:pitch w:val="default"/>
    <w:sig w:usb0="E4002EFF" w:usb1="C000247B" w:usb2="00000009" w:usb3="00000000" w:csb0="200001FF" w:csb1="00000000"/>
  </w:font>
  <w:font w:name="楷体_GB2312">
    <w:altName w:val="楷体"/>
    <w:panose1 w:val="02010609030101010101"/>
    <w:charset w:val="86"/>
    <w:family w:val="modern"/>
    <w:pitch w:val="default"/>
    <w:sig w:usb0="00000000" w:usb1="00000000" w:usb2="00000000" w:usb3="00000000" w:csb0="00040000" w:csb1="00000000"/>
  </w:font>
  <w:font w:name="楷体">
    <w:panose1 w:val="02010609060101010101"/>
    <w:charset w:val="86"/>
    <w:family w:val="auto"/>
    <w:pitch w:val="default"/>
    <w:sig w:usb0="800002BF" w:usb1="38CF7CFA" w:usb2="00000016" w:usb3="00000000" w:csb0="00040001" w:csb1="00000000"/>
  </w:font>
  <w:font w:name="等线">
    <w:panose1 w:val="02010600030101010101"/>
    <w:charset w:val="86"/>
    <w:family w:val="auto"/>
    <w:pitch w:val="default"/>
    <w:sig w:usb0="A00002BF" w:usb1="38CF7CFA" w:usb2="00000016" w:usb3="00000000" w:csb0="0004000F" w:csb1="00000000"/>
  </w:font>
  <w:font w:name="MS Gothic">
    <w:panose1 w:val="020B0609070205080204"/>
    <w:charset w:val="80"/>
    <w:family w:val="modern"/>
    <w:pitch w:val="default"/>
    <w:sig w:usb0="E00002FF" w:usb1="6AC7FDFB" w:usb2="08000012" w:usb3="00000000" w:csb0="4002009F" w:csb1="DFD7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10928224">
    <w:pPr>
      <w:pStyle w:val="14"/>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CB81942">
    <w:pPr>
      <w:pStyle w:val="14"/>
    </w:pPr>
    <w:r>
      <mc:AlternateContent>
        <mc:Choice Requires="wps">
          <w:drawing>
            <wp:anchor distT="0" distB="0" distL="114300" distR="114300" simplePos="0" relativeHeight="251667456" behindDoc="0" locked="0" layoutInCell="1" allowOverlap="1">
              <wp:simplePos x="0" y="0"/>
              <wp:positionH relativeFrom="margin">
                <wp:posOffset>2403475</wp:posOffset>
              </wp:positionH>
              <wp:positionV relativeFrom="paragraph">
                <wp:posOffset>-276225</wp:posOffset>
              </wp:positionV>
              <wp:extent cx="1514475" cy="2105025"/>
              <wp:effectExtent l="0" t="0" r="0" b="0"/>
              <wp:wrapNone/>
              <wp:docPr id="10" name="文本框 1"/>
              <wp:cNvGraphicFramePr/>
              <a:graphic xmlns:a="http://schemas.openxmlformats.org/drawingml/2006/main">
                <a:graphicData uri="http://schemas.microsoft.com/office/word/2010/wordprocessingShape">
                  <wps:wsp>
                    <wps:cNvSpPr txBox="1"/>
                    <wps:spPr>
                      <a:xfrm>
                        <a:off x="0" y="0"/>
                        <a:ext cx="1514475" cy="2105025"/>
                      </a:xfrm>
                      <a:prstGeom prst="rect">
                        <a:avLst/>
                      </a:prstGeom>
                      <a:noFill/>
                      <a:ln>
                        <a:noFill/>
                      </a:ln>
                      <a:effectLst/>
                    </wps:spPr>
                    <wps:txbx>
                      <w:txbxContent>
                        <w:p w14:paraId="3CC1FE81">
                          <w:pPr>
                            <w:snapToGrid w:val="0"/>
                            <w:rPr>
                              <w:sz w:val="18"/>
                            </w:rPr>
                          </w:pPr>
                        </w:p>
                      </w:txbxContent>
                    </wps:txbx>
                    <wps:bodyPr upright="1"/>
                  </wps:wsp>
                </a:graphicData>
              </a:graphic>
            </wp:anchor>
          </w:drawing>
        </mc:Choice>
        <mc:Fallback>
          <w:pict>
            <v:shape id="文本框 1" o:spid="_x0000_s1026" o:spt="202" type="#_x0000_t202" style="position:absolute;left:0pt;margin-left:189.25pt;margin-top:-21.75pt;height:165.75pt;width:119.25pt;mso-position-horizontal-relative:margin;z-index:251667456;mso-width-relative:page;mso-height-relative:page;" filled="f" stroked="f" coordsize="21600,21600" o:gfxdata="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">
              <v:fill on="f" focussize="0,0"/>
              <v:stroke on="f"/>
              <v:imagedata o:title=""/>
              <o:lock v:ext="edit" aspectratio="f"/>
              <v:textbox>
                <w:txbxContent>
                  <w:p w14:paraId="3CC1FE81">
                    <w:pPr>
                      <w:snapToGrid w:val="0"/>
                      <w:rPr>
                        <w:sz w:val="18"/>
                      </w:rPr>
                    </w:pPr>
                  </w:p>
                </w:txbxContent>
              </v:textbox>
            </v:shape>
          </w:pict>
        </mc:Fallback>
      </mc:AlternateConten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E4C3436">
    <w:pPr>
      <w:spacing w:line="177" w:lineRule="auto"/>
      <w:ind w:left="4842"/>
      <w:rPr>
        <w:rFonts w:ascii="等线" w:hAnsi="等线" w:eastAsia="等线" w:cs="等线"/>
        <w:sz w:val="18"/>
        <w:szCs w:val="18"/>
      </w:rPr>
    </w:pPr>
    <w:r>
      <w:rPr>
        <w:sz w:val="18"/>
      </w:rPr>
      <mc:AlternateContent>
        <mc:Choice Requires="wps">
          <w:drawing>
            <wp:anchor distT="0" distB="0" distL="114300" distR="114300" simplePos="0" relativeHeight="251669504" behindDoc="0" locked="0" layoutInCell="1" allowOverlap="1">
              <wp:simplePos x="0" y="0"/>
              <wp:positionH relativeFrom="margin">
                <wp:align>center</wp:align>
              </wp:positionH>
              <wp:positionV relativeFrom="paragraph">
                <wp:posOffset>0</wp:posOffset>
              </wp:positionV>
              <wp:extent cx="1828800" cy="1828800"/>
              <wp:effectExtent l="0" t="0" r="0" b="0"/>
              <wp:wrapNone/>
              <wp:docPr id="11" name="文本框 1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14:paraId="5E10ED3A">
                          <w:pPr>
                            <w:pStyle w:val="14"/>
                          </w:pPr>
                          <w:r>
                            <w:fldChar w:fldCharType="begin"/>
                          </w:r>
                          <w:r>
                            <w:instrText xml:space="preserve"> PAGE  \* MERGEFORMAT </w:instrText>
                          </w:r>
                          <w:r>
                            <w:fldChar w:fldCharType="separate"/>
                          </w:r>
                          <w:r>
                            <w:t>2</w:t>
                          </w:r>
                          <w:r>
                            <w:fldChar w:fldCharType="end"/>
                          </w:r>
                        </w:p>
                      </w:txbxContent>
                    </wps:txbx>
                    <wps:bodyPr wrap="none" lIns="0" tIns="0" rIns="0" bIns="0">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950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">
              <v:fill on="f" focussize="0,0"/>
              <v:stroke on="f"/>
              <v:imagedata o:title=""/>
              <o:lock v:ext="edit" aspectratio="f"/>
              <v:textbox inset="0mm,0mm,0mm,0mm" style="mso-fit-shape-to-text:t;">
                <w:txbxContent>
                  <w:p w14:paraId="5E10ED3A">
                    <w:pPr>
                      <w:pStyle w:val="14"/>
                    </w:pPr>
                    <w:r>
                      <w:fldChar w:fldCharType="begin"/>
                    </w:r>
                    <w:r>
                      <w:instrText xml:space="preserve"> PAGE  \* MERGEFORMAT </w:instrText>
                    </w:r>
                    <w:r>
                      <w:fldChar w:fldCharType="separate"/>
                    </w:r>
                    <w:r>
                      <w:t>2</w:t>
                    </w:r>
                    <w:r>
                      <w:fldChar w:fldCharType="end"/>
                    </w:r>
                  </w:p>
                </w:txbxContent>
              </v:textbox>
            </v:shape>
          </w:pict>
        </mc:Fallback>
      </mc:AlternateConten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5BAAD20">
    <w:pPr>
      <w:pStyle w:val="14"/>
      <w:rPr>
        <w:sz w:val="16"/>
        <w:szCs w:val="22"/>
      </w:rPr>
    </w:pPr>
    <w:r>
      <w:rPr>
        <w:sz w:val="16"/>
      </w:rPr>
      <mc:AlternateContent>
        <mc:Choice Requires="wps">
          <w:drawing>
            <wp:anchor distT="0" distB="0" distL="114300" distR="114300" simplePos="0" relativeHeight="251668480" behindDoc="0" locked="0" layoutInCell="1" allowOverlap="1">
              <wp:simplePos x="0" y="0"/>
              <wp:positionH relativeFrom="margin">
                <wp:align>center</wp:align>
              </wp:positionH>
              <wp:positionV relativeFrom="paragraph">
                <wp:posOffset>0</wp:posOffset>
              </wp:positionV>
              <wp:extent cx="1828800" cy="18288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1C32ADC">
                          <w:pPr>
                            <w:pStyle w:val="14"/>
                          </w:pPr>
                          <w:r>
                            <w:fldChar w:fldCharType="begin"/>
                          </w:r>
                          <w:r>
                            <w:instrText xml:space="preserve"> PAGE  \* MERGEFORMAT </w:instrText>
                          </w:r>
                          <w:r>
                            <w:fldChar w:fldCharType="separate"/>
                          </w:r>
                          <w:r>
                            <w:t>36</w:t>
                          </w:r>
                          <w: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8480;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yr+j5SwCAABVBAAADgAAAAAAAAABACAAAAAfAQAAZHJzL2Uyb0RvYy54bWxQSwUGAAAAAAYA&#10;BgBZAQAAvQUAAAAA&#10;">
              <v:fill on="f" focussize="0,0"/>
              <v:stroke on="f" weight="0.5pt"/>
              <v:imagedata o:title=""/>
              <o:lock v:ext="edit" aspectratio="f"/>
              <v:textbox inset="0mm,0mm,0mm,0mm" style="mso-fit-shape-to-text:t;">
                <w:txbxContent>
                  <w:p w14:paraId="61C32ADC">
                    <w:pPr>
                      <w:pStyle w:val="14"/>
                    </w:pPr>
                    <w:r>
                      <w:fldChar w:fldCharType="begin"/>
                    </w:r>
                    <w:r>
                      <w:instrText xml:space="preserve"> PAGE  \* MERGEFORMAT </w:instrText>
                    </w:r>
                    <w:r>
                      <w:fldChar w:fldCharType="separate"/>
                    </w:r>
                    <w:r>
                      <w:t>36</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DAB280E">
    <w:pPr>
      <w:pStyle w:val="16"/>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E7179FD">
    <w:pPr>
      <w:pStyle w:val="16"/>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40B7CB"/>
    <w:multiLevelType w:val="singleLevel"/>
    <w:tmpl w:val="B940B7CB"/>
    <w:lvl w:ilvl="0" w:tentative="0">
      <w:start w:val="3"/>
      <w:numFmt w:val="decimal"/>
      <w:suff w:val="nothing"/>
      <w:lvlText w:val="%1、"/>
      <w:lvlJc w:val="left"/>
    </w:lvl>
  </w:abstractNum>
  <w:abstractNum w:abstractNumId="1">
    <w:nsid w:val="074054F6"/>
    <w:multiLevelType w:val="multilevel"/>
    <w:tmpl w:val="074054F6"/>
    <w:lvl w:ilvl="0" w:tentative="0">
      <w:start w:val="1"/>
      <w:numFmt w:val="decimal"/>
      <w:pStyle w:val="43"/>
      <w:lvlText w:val="第%1章"/>
      <w:lvlJc w:val="left"/>
      <w:pPr>
        <w:tabs>
          <w:tab w:val="left" w:pos="432"/>
        </w:tabs>
        <w:ind w:left="432" w:hanging="432"/>
      </w:pPr>
      <w:rPr>
        <w:rFonts w:hint="eastAsia"/>
      </w:rPr>
    </w:lvl>
    <w:lvl w:ilvl="1" w:tentative="0">
      <w:start w:val="1"/>
      <w:numFmt w:val="decimal"/>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2">
    <w:nsid w:val="0E021F7B"/>
    <w:multiLevelType w:val="multilevel"/>
    <w:tmpl w:val="0E021F7B"/>
    <w:lvl w:ilvl="0" w:tentative="0">
      <w:start w:val="1"/>
      <w:numFmt w:val="decimal"/>
      <w:lvlText w:val="%1)"/>
      <w:lvlJc w:val="left"/>
      <w:pPr>
        <w:ind w:left="561" w:hanging="440"/>
      </w:pPr>
    </w:lvl>
    <w:lvl w:ilvl="1" w:tentative="0">
      <w:start w:val="1"/>
      <w:numFmt w:val="lowerLetter"/>
      <w:lvlText w:val="%2)"/>
      <w:lvlJc w:val="left"/>
      <w:pPr>
        <w:ind w:left="1001" w:hanging="440"/>
      </w:pPr>
    </w:lvl>
    <w:lvl w:ilvl="2" w:tentative="0">
      <w:start w:val="1"/>
      <w:numFmt w:val="lowerRoman"/>
      <w:lvlText w:val="%3."/>
      <w:lvlJc w:val="right"/>
      <w:pPr>
        <w:ind w:left="1441" w:hanging="440"/>
      </w:pPr>
    </w:lvl>
    <w:lvl w:ilvl="3" w:tentative="0">
      <w:start w:val="1"/>
      <w:numFmt w:val="decimal"/>
      <w:lvlText w:val="%4."/>
      <w:lvlJc w:val="left"/>
      <w:pPr>
        <w:ind w:left="1881" w:hanging="440"/>
      </w:pPr>
    </w:lvl>
    <w:lvl w:ilvl="4" w:tentative="0">
      <w:start w:val="1"/>
      <w:numFmt w:val="lowerLetter"/>
      <w:lvlText w:val="%5)"/>
      <w:lvlJc w:val="left"/>
      <w:pPr>
        <w:ind w:left="2321" w:hanging="440"/>
      </w:pPr>
    </w:lvl>
    <w:lvl w:ilvl="5" w:tentative="0">
      <w:start w:val="1"/>
      <w:numFmt w:val="lowerRoman"/>
      <w:lvlText w:val="%6."/>
      <w:lvlJc w:val="right"/>
      <w:pPr>
        <w:ind w:left="2761" w:hanging="440"/>
      </w:pPr>
    </w:lvl>
    <w:lvl w:ilvl="6" w:tentative="0">
      <w:start w:val="1"/>
      <w:numFmt w:val="decimal"/>
      <w:lvlText w:val="%7."/>
      <w:lvlJc w:val="left"/>
      <w:pPr>
        <w:ind w:left="3201" w:hanging="440"/>
      </w:pPr>
    </w:lvl>
    <w:lvl w:ilvl="7" w:tentative="0">
      <w:start w:val="1"/>
      <w:numFmt w:val="lowerLetter"/>
      <w:lvlText w:val="%8)"/>
      <w:lvlJc w:val="left"/>
      <w:pPr>
        <w:ind w:left="3641" w:hanging="440"/>
      </w:pPr>
    </w:lvl>
    <w:lvl w:ilvl="8" w:tentative="0">
      <w:start w:val="1"/>
      <w:numFmt w:val="lowerRoman"/>
      <w:lvlText w:val="%9."/>
      <w:lvlJc w:val="right"/>
      <w:pPr>
        <w:ind w:left="4081" w:hanging="440"/>
      </w:pPr>
    </w:lvl>
  </w:abstractNum>
  <w:abstractNum w:abstractNumId="3">
    <w:nsid w:val="1D491617"/>
    <w:multiLevelType w:val="multilevel"/>
    <w:tmpl w:val="1D491617"/>
    <w:lvl w:ilvl="0" w:tentative="0">
      <w:start w:val="1"/>
      <w:numFmt w:val="decimal"/>
      <w:suff w:val="space"/>
      <w:lvlText w:val="%1."/>
      <w:lvlJc w:val="left"/>
    </w:lvl>
    <w:lvl w:ilvl="1" w:tentative="0">
      <w:start w:val="1"/>
      <w:numFmt w:val="decimal"/>
      <w:suff w:val="space"/>
      <w:lvlText w:val="%1.%2"/>
      <w:lvlJc w:val="left"/>
      <w:pPr>
        <w:ind w:left="0" w:firstLine="0"/>
      </w:pPr>
      <w:rPr>
        <w:rFonts w:hint="default"/>
      </w:rPr>
    </w:lvl>
    <w:lvl w:ilvl="2" w:tentative="0">
      <w:start w:val="1"/>
      <w:numFmt w:val="decimal"/>
      <w:suff w:val="space"/>
      <w:lvlText w:val="%1.%2.%3"/>
      <w:lvlJc w:val="left"/>
      <w:pPr>
        <w:ind w:left="0" w:firstLine="0"/>
      </w:pPr>
      <w:rPr>
        <w:rFonts w:hint="default"/>
      </w:rPr>
    </w:lvl>
    <w:lvl w:ilvl="3" w:tentative="0">
      <w:start w:val="1"/>
      <w:numFmt w:val="decimal"/>
      <w:suff w:val="space"/>
      <w:lvlText w:val="%1.%2.%3.%4"/>
      <w:lvlJc w:val="left"/>
      <w:pPr>
        <w:ind w:left="0" w:firstLine="0"/>
      </w:pPr>
      <w:rPr>
        <w:rFonts w:hint="default"/>
      </w:rPr>
    </w:lvl>
    <w:lvl w:ilvl="4" w:tentative="0">
      <w:start w:val="1"/>
      <w:numFmt w:val="decimal"/>
      <w:suff w:val="space"/>
      <w:lvlText w:val="%1.%2.%3.%4.%5"/>
      <w:lvlJc w:val="left"/>
      <w:pPr>
        <w:ind w:left="0" w:firstLine="0"/>
      </w:pPr>
      <w:rPr>
        <w:rFonts w:hint="default"/>
      </w:rPr>
    </w:lvl>
    <w:lvl w:ilvl="5" w:tentative="0">
      <w:start w:val="1"/>
      <w:numFmt w:val="decimal"/>
      <w:suff w:val="space"/>
      <w:lvlText w:val="%1.%2.%3.%4.%5.%6"/>
      <w:lvlJc w:val="left"/>
      <w:pPr>
        <w:ind w:left="0" w:firstLine="0"/>
      </w:pPr>
      <w:rPr>
        <w:rFonts w:hint="default"/>
      </w:rPr>
    </w:lvl>
    <w:lvl w:ilvl="6" w:tentative="0">
      <w:start w:val="1"/>
      <w:numFmt w:val="decimal"/>
      <w:suff w:val="space"/>
      <w:lvlText w:val="%1.%2.%3.%4.%5.%6.%7"/>
      <w:lvlJc w:val="left"/>
      <w:pPr>
        <w:ind w:left="0" w:firstLine="0"/>
      </w:pPr>
      <w:rPr>
        <w:rFonts w:hint="default"/>
      </w:rPr>
    </w:lvl>
    <w:lvl w:ilvl="7" w:tentative="0">
      <w:start w:val="1"/>
      <w:numFmt w:val="decimal"/>
      <w:suff w:val="space"/>
      <w:lvlText w:val="%1.%2.%3.%4.%5.%6.%7.%8"/>
      <w:lvlJc w:val="left"/>
      <w:pPr>
        <w:ind w:left="0" w:firstLine="0"/>
      </w:pPr>
      <w:rPr>
        <w:rFonts w:hint="default"/>
      </w:rPr>
    </w:lvl>
    <w:lvl w:ilvl="8" w:tentative="0">
      <w:start w:val="1"/>
      <w:numFmt w:val="decimal"/>
      <w:suff w:val="space"/>
      <w:lvlText w:val="%1.%2.%3.%4.%5.%6.%7.%8.%9"/>
      <w:lvlJc w:val="left"/>
      <w:pPr>
        <w:ind w:left="0" w:firstLine="0"/>
      </w:pPr>
      <w:rPr>
        <w:rFonts w:hint="default"/>
      </w:rPr>
    </w:lvl>
  </w:abstractNum>
  <w:abstractNum w:abstractNumId="4">
    <w:nsid w:val="2D9C6D92"/>
    <w:multiLevelType w:val="multilevel"/>
    <w:tmpl w:val="2D9C6D92"/>
    <w:lvl w:ilvl="0" w:tentative="0">
      <w:start w:val="1"/>
      <w:numFmt w:val="decimal"/>
      <w:lvlText w:val="%1)"/>
      <w:lvlJc w:val="left"/>
      <w:pPr>
        <w:ind w:left="561" w:hanging="440"/>
      </w:pPr>
    </w:lvl>
    <w:lvl w:ilvl="1" w:tentative="0">
      <w:start w:val="1"/>
      <w:numFmt w:val="lowerLetter"/>
      <w:lvlText w:val="%2)"/>
      <w:lvlJc w:val="left"/>
      <w:pPr>
        <w:ind w:left="1001" w:hanging="440"/>
      </w:pPr>
    </w:lvl>
    <w:lvl w:ilvl="2" w:tentative="0">
      <w:start w:val="1"/>
      <w:numFmt w:val="lowerRoman"/>
      <w:lvlText w:val="%3."/>
      <w:lvlJc w:val="right"/>
      <w:pPr>
        <w:ind w:left="1441" w:hanging="440"/>
      </w:pPr>
    </w:lvl>
    <w:lvl w:ilvl="3" w:tentative="0">
      <w:start w:val="1"/>
      <w:numFmt w:val="decimal"/>
      <w:lvlText w:val="%4."/>
      <w:lvlJc w:val="left"/>
      <w:pPr>
        <w:ind w:left="1881" w:hanging="440"/>
      </w:pPr>
    </w:lvl>
    <w:lvl w:ilvl="4" w:tentative="0">
      <w:start w:val="1"/>
      <w:numFmt w:val="lowerLetter"/>
      <w:lvlText w:val="%5)"/>
      <w:lvlJc w:val="left"/>
      <w:pPr>
        <w:ind w:left="2321" w:hanging="440"/>
      </w:pPr>
    </w:lvl>
    <w:lvl w:ilvl="5" w:tentative="0">
      <w:start w:val="1"/>
      <w:numFmt w:val="lowerRoman"/>
      <w:lvlText w:val="%6."/>
      <w:lvlJc w:val="right"/>
      <w:pPr>
        <w:ind w:left="2761" w:hanging="440"/>
      </w:pPr>
    </w:lvl>
    <w:lvl w:ilvl="6" w:tentative="0">
      <w:start w:val="1"/>
      <w:numFmt w:val="decimal"/>
      <w:lvlText w:val="%7."/>
      <w:lvlJc w:val="left"/>
      <w:pPr>
        <w:ind w:left="3201" w:hanging="440"/>
      </w:pPr>
    </w:lvl>
    <w:lvl w:ilvl="7" w:tentative="0">
      <w:start w:val="1"/>
      <w:numFmt w:val="lowerLetter"/>
      <w:lvlText w:val="%8)"/>
      <w:lvlJc w:val="left"/>
      <w:pPr>
        <w:ind w:left="3641" w:hanging="440"/>
      </w:pPr>
    </w:lvl>
    <w:lvl w:ilvl="8" w:tentative="0">
      <w:start w:val="1"/>
      <w:numFmt w:val="lowerRoman"/>
      <w:lvlText w:val="%9."/>
      <w:lvlJc w:val="right"/>
      <w:pPr>
        <w:ind w:left="4081" w:hanging="440"/>
      </w:pPr>
    </w:lvl>
  </w:abstractNum>
  <w:abstractNum w:abstractNumId="5">
    <w:nsid w:val="2FDD7C22"/>
    <w:multiLevelType w:val="multilevel"/>
    <w:tmpl w:val="2FDD7C22"/>
    <w:lvl w:ilvl="0" w:tentative="0">
      <w:start w:val="1"/>
      <w:numFmt w:val="decimal"/>
      <w:lvlText w:val="%1)"/>
      <w:lvlJc w:val="left"/>
      <w:pPr>
        <w:ind w:left="561" w:hanging="440"/>
      </w:pPr>
    </w:lvl>
    <w:lvl w:ilvl="1" w:tentative="0">
      <w:start w:val="1"/>
      <w:numFmt w:val="lowerLetter"/>
      <w:lvlText w:val="%2)"/>
      <w:lvlJc w:val="left"/>
      <w:pPr>
        <w:ind w:left="1001" w:hanging="440"/>
      </w:pPr>
    </w:lvl>
    <w:lvl w:ilvl="2" w:tentative="0">
      <w:start w:val="1"/>
      <w:numFmt w:val="lowerRoman"/>
      <w:lvlText w:val="%3."/>
      <w:lvlJc w:val="right"/>
      <w:pPr>
        <w:ind w:left="1441" w:hanging="440"/>
      </w:pPr>
    </w:lvl>
    <w:lvl w:ilvl="3" w:tentative="0">
      <w:start w:val="1"/>
      <w:numFmt w:val="decimal"/>
      <w:lvlText w:val="%4."/>
      <w:lvlJc w:val="left"/>
      <w:pPr>
        <w:ind w:left="1881" w:hanging="440"/>
      </w:pPr>
    </w:lvl>
    <w:lvl w:ilvl="4" w:tentative="0">
      <w:start w:val="1"/>
      <w:numFmt w:val="lowerLetter"/>
      <w:lvlText w:val="%5)"/>
      <w:lvlJc w:val="left"/>
      <w:pPr>
        <w:ind w:left="2321" w:hanging="440"/>
      </w:pPr>
    </w:lvl>
    <w:lvl w:ilvl="5" w:tentative="0">
      <w:start w:val="1"/>
      <w:numFmt w:val="lowerRoman"/>
      <w:lvlText w:val="%6."/>
      <w:lvlJc w:val="right"/>
      <w:pPr>
        <w:ind w:left="2761" w:hanging="440"/>
      </w:pPr>
    </w:lvl>
    <w:lvl w:ilvl="6" w:tentative="0">
      <w:start w:val="1"/>
      <w:numFmt w:val="decimal"/>
      <w:lvlText w:val="%7."/>
      <w:lvlJc w:val="left"/>
      <w:pPr>
        <w:ind w:left="3201" w:hanging="440"/>
      </w:pPr>
    </w:lvl>
    <w:lvl w:ilvl="7" w:tentative="0">
      <w:start w:val="1"/>
      <w:numFmt w:val="lowerLetter"/>
      <w:lvlText w:val="%8)"/>
      <w:lvlJc w:val="left"/>
      <w:pPr>
        <w:ind w:left="3641" w:hanging="440"/>
      </w:pPr>
    </w:lvl>
    <w:lvl w:ilvl="8" w:tentative="0">
      <w:start w:val="1"/>
      <w:numFmt w:val="lowerRoman"/>
      <w:lvlText w:val="%9."/>
      <w:lvlJc w:val="right"/>
      <w:pPr>
        <w:ind w:left="4081" w:hanging="440"/>
      </w:pPr>
    </w:lvl>
  </w:abstractNum>
  <w:abstractNum w:abstractNumId="6">
    <w:nsid w:val="4E445FEB"/>
    <w:multiLevelType w:val="multilevel"/>
    <w:tmpl w:val="4E445FEB"/>
    <w:lvl w:ilvl="0" w:tentative="0">
      <w:start w:val="1"/>
      <w:numFmt w:val="decimal"/>
      <w:lvlText w:val="%1)"/>
      <w:lvlJc w:val="left"/>
      <w:pPr>
        <w:ind w:left="561" w:hanging="440"/>
      </w:pPr>
    </w:lvl>
    <w:lvl w:ilvl="1" w:tentative="0">
      <w:start w:val="1"/>
      <w:numFmt w:val="lowerLetter"/>
      <w:lvlText w:val="%2)"/>
      <w:lvlJc w:val="left"/>
      <w:pPr>
        <w:ind w:left="1001" w:hanging="440"/>
      </w:pPr>
    </w:lvl>
    <w:lvl w:ilvl="2" w:tentative="0">
      <w:start w:val="1"/>
      <w:numFmt w:val="lowerRoman"/>
      <w:lvlText w:val="%3."/>
      <w:lvlJc w:val="right"/>
      <w:pPr>
        <w:ind w:left="1441" w:hanging="440"/>
      </w:pPr>
    </w:lvl>
    <w:lvl w:ilvl="3" w:tentative="0">
      <w:start w:val="1"/>
      <w:numFmt w:val="decimal"/>
      <w:lvlText w:val="%4."/>
      <w:lvlJc w:val="left"/>
      <w:pPr>
        <w:ind w:left="1881" w:hanging="440"/>
      </w:pPr>
    </w:lvl>
    <w:lvl w:ilvl="4" w:tentative="0">
      <w:start w:val="1"/>
      <w:numFmt w:val="lowerLetter"/>
      <w:lvlText w:val="%5)"/>
      <w:lvlJc w:val="left"/>
      <w:pPr>
        <w:ind w:left="2321" w:hanging="440"/>
      </w:pPr>
    </w:lvl>
    <w:lvl w:ilvl="5" w:tentative="0">
      <w:start w:val="1"/>
      <w:numFmt w:val="lowerRoman"/>
      <w:lvlText w:val="%6."/>
      <w:lvlJc w:val="right"/>
      <w:pPr>
        <w:ind w:left="2761" w:hanging="440"/>
      </w:pPr>
    </w:lvl>
    <w:lvl w:ilvl="6" w:tentative="0">
      <w:start w:val="1"/>
      <w:numFmt w:val="decimal"/>
      <w:lvlText w:val="%7."/>
      <w:lvlJc w:val="left"/>
      <w:pPr>
        <w:ind w:left="3201" w:hanging="440"/>
      </w:pPr>
    </w:lvl>
    <w:lvl w:ilvl="7" w:tentative="0">
      <w:start w:val="1"/>
      <w:numFmt w:val="lowerLetter"/>
      <w:lvlText w:val="%8)"/>
      <w:lvlJc w:val="left"/>
      <w:pPr>
        <w:ind w:left="3641" w:hanging="440"/>
      </w:pPr>
    </w:lvl>
    <w:lvl w:ilvl="8" w:tentative="0">
      <w:start w:val="1"/>
      <w:numFmt w:val="lowerRoman"/>
      <w:lvlText w:val="%9."/>
      <w:lvlJc w:val="right"/>
      <w:pPr>
        <w:ind w:left="4081" w:hanging="440"/>
      </w:pPr>
    </w:lvl>
  </w:abstractNum>
  <w:abstractNum w:abstractNumId="7">
    <w:nsid w:val="63C11443"/>
    <w:multiLevelType w:val="multilevel"/>
    <w:tmpl w:val="63C11443"/>
    <w:lvl w:ilvl="0" w:tentative="0">
      <w:start w:val="1"/>
      <w:numFmt w:val="decimal"/>
      <w:lvlText w:val="%1)"/>
      <w:lvlJc w:val="left"/>
      <w:pPr>
        <w:ind w:left="561" w:hanging="440"/>
      </w:pPr>
    </w:lvl>
    <w:lvl w:ilvl="1" w:tentative="0">
      <w:start w:val="1"/>
      <w:numFmt w:val="lowerLetter"/>
      <w:lvlText w:val="%2)"/>
      <w:lvlJc w:val="left"/>
      <w:pPr>
        <w:ind w:left="1001" w:hanging="440"/>
      </w:pPr>
    </w:lvl>
    <w:lvl w:ilvl="2" w:tentative="0">
      <w:start w:val="1"/>
      <w:numFmt w:val="lowerRoman"/>
      <w:lvlText w:val="%3."/>
      <w:lvlJc w:val="right"/>
      <w:pPr>
        <w:ind w:left="1441" w:hanging="440"/>
      </w:pPr>
    </w:lvl>
    <w:lvl w:ilvl="3" w:tentative="0">
      <w:start w:val="1"/>
      <w:numFmt w:val="decimal"/>
      <w:lvlText w:val="%4."/>
      <w:lvlJc w:val="left"/>
      <w:pPr>
        <w:ind w:left="1881" w:hanging="440"/>
      </w:pPr>
    </w:lvl>
    <w:lvl w:ilvl="4" w:tentative="0">
      <w:start w:val="1"/>
      <w:numFmt w:val="lowerLetter"/>
      <w:lvlText w:val="%5)"/>
      <w:lvlJc w:val="left"/>
      <w:pPr>
        <w:ind w:left="2321" w:hanging="440"/>
      </w:pPr>
    </w:lvl>
    <w:lvl w:ilvl="5" w:tentative="0">
      <w:start w:val="1"/>
      <w:numFmt w:val="lowerRoman"/>
      <w:lvlText w:val="%6."/>
      <w:lvlJc w:val="right"/>
      <w:pPr>
        <w:ind w:left="2761" w:hanging="440"/>
      </w:pPr>
    </w:lvl>
    <w:lvl w:ilvl="6" w:tentative="0">
      <w:start w:val="1"/>
      <w:numFmt w:val="decimal"/>
      <w:lvlText w:val="%7."/>
      <w:lvlJc w:val="left"/>
      <w:pPr>
        <w:ind w:left="3201" w:hanging="440"/>
      </w:pPr>
    </w:lvl>
    <w:lvl w:ilvl="7" w:tentative="0">
      <w:start w:val="1"/>
      <w:numFmt w:val="lowerLetter"/>
      <w:lvlText w:val="%8)"/>
      <w:lvlJc w:val="left"/>
      <w:pPr>
        <w:ind w:left="3641" w:hanging="440"/>
      </w:pPr>
    </w:lvl>
    <w:lvl w:ilvl="8" w:tentative="0">
      <w:start w:val="1"/>
      <w:numFmt w:val="lowerRoman"/>
      <w:lvlText w:val="%9."/>
      <w:lvlJc w:val="right"/>
      <w:pPr>
        <w:ind w:left="4081" w:hanging="440"/>
      </w:pPr>
    </w:lvl>
  </w:abstractNum>
  <w:abstractNum w:abstractNumId="8">
    <w:nsid w:val="6A74B62A"/>
    <w:multiLevelType w:val="multilevel"/>
    <w:tmpl w:val="6A74B62A"/>
    <w:lvl w:ilvl="0" w:tentative="0">
      <w:start w:val="1"/>
      <w:numFmt w:val="decimal"/>
      <w:lvlText w:val="%1)"/>
      <w:lvlJc w:val="left"/>
      <w:pPr>
        <w:ind w:left="561" w:hanging="440"/>
      </w:pPr>
    </w:lvl>
    <w:lvl w:ilvl="1" w:tentative="0">
      <w:start w:val="1"/>
      <w:numFmt w:val="lowerLetter"/>
      <w:lvlText w:val="%2)"/>
      <w:lvlJc w:val="left"/>
      <w:pPr>
        <w:ind w:left="1001" w:hanging="440"/>
      </w:pPr>
    </w:lvl>
    <w:lvl w:ilvl="2" w:tentative="0">
      <w:start w:val="1"/>
      <w:numFmt w:val="lowerRoman"/>
      <w:lvlText w:val="%3."/>
      <w:lvlJc w:val="right"/>
      <w:pPr>
        <w:ind w:left="1441" w:hanging="440"/>
      </w:pPr>
    </w:lvl>
    <w:lvl w:ilvl="3" w:tentative="0">
      <w:start w:val="1"/>
      <w:numFmt w:val="decimal"/>
      <w:lvlText w:val="%4."/>
      <w:lvlJc w:val="left"/>
      <w:pPr>
        <w:ind w:left="1881" w:hanging="440"/>
      </w:pPr>
    </w:lvl>
    <w:lvl w:ilvl="4" w:tentative="0">
      <w:start w:val="1"/>
      <w:numFmt w:val="lowerLetter"/>
      <w:lvlText w:val="%5)"/>
      <w:lvlJc w:val="left"/>
      <w:pPr>
        <w:ind w:left="2321" w:hanging="440"/>
      </w:pPr>
    </w:lvl>
    <w:lvl w:ilvl="5" w:tentative="0">
      <w:start w:val="1"/>
      <w:numFmt w:val="lowerRoman"/>
      <w:lvlText w:val="%6."/>
      <w:lvlJc w:val="right"/>
      <w:pPr>
        <w:ind w:left="2761" w:hanging="440"/>
      </w:pPr>
    </w:lvl>
    <w:lvl w:ilvl="6" w:tentative="0">
      <w:start w:val="1"/>
      <w:numFmt w:val="decimal"/>
      <w:lvlText w:val="%7."/>
      <w:lvlJc w:val="left"/>
      <w:pPr>
        <w:ind w:left="3201" w:hanging="440"/>
      </w:pPr>
    </w:lvl>
    <w:lvl w:ilvl="7" w:tentative="0">
      <w:start w:val="1"/>
      <w:numFmt w:val="lowerLetter"/>
      <w:lvlText w:val="%8)"/>
      <w:lvlJc w:val="left"/>
      <w:pPr>
        <w:ind w:left="3641" w:hanging="440"/>
      </w:pPr>
    </w:lvl>
    <w:lvl w:ilvl="8" w:tentative="0">
      <w:start w:val="1"/>
      <w:numFmt w:val="lowerRoman"/>
      <w:lvlText w:val="%9."/>
      <w:lvlJc w:val="right"/>
      <w:pPr>
        <w:ind w:left="4081" w:hanging="440"/>
      </w:pPr>
    </w:lvl>
  </w:abstractNum>
  <w:abstractNum w:abstractNumId="9">
    <w:nsid w:val="6BBC29D3"/>
    <w:multiLevelType w:val="singleLevel"/>
    <w:tmpl w:val="6BBC29D3"/>
    <w:lvl w:ilvl="0" w:tentative="0">
      <w:start w:val="3"/>
      <w:numFmt w:val="chineseCounting"/>
      <w:suff w:val="space"/>
      <w:lvlText w:val="第%1章"/>
      <w:lvlJc w:val="left"/>
      <w:rPr>
        <w:rFonts w:hint="eastAsia"/>
      </w:rPr>
    </w:lvl>
  </w:abstractNum>
  <w:num w:numId="1">
    <w:abstractNumId w:val="1"/>
  </w:num>
  <w:num w:numId="2">
    <w:abstractNumId w:val="0"/>
  </w:num>
  <w:num w:numId="3">
    <w:abstractNumId w:val="9"/>
  </w:num>
  <w:num w:numId="4">
    <w:abstractNumId w:val="2"/>
  </w:num>
  <w:num w:numId="5">
    <w:abstractNumId w:val="5"/>
  </w:num>
  <w:num w:numId="6">
    <w:abstractNumId w:val="7"/>
  </w:num>
  <w:num w:numId="7">
    <w:abstractNumId w:val="8"/>
  </w:num>
  <w:num w:numId="8">
    <w:abstractNumId w:val="6"/>
  </w:num>
  <w:num w:numId="9">
    <w:abstractNumId w:val="4"/>
  </w:num>
  <w:num w:numId="1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45"/>
  <w:embedSystemFonts/>
  <w:bordersDoNotSurroundHeader w:val="0"/>
  <w:bordersDoNotSurroundFooter w:val="0"/>
  <w:documentProtection w:enforcement="0"/>
  <w:defaultTabStop w:val="420"/>
  <w:drawingGridHorizontalSpacing w:val="210"/>
  <w:drawingGridVerticalSpacing w:val="99999990"/>
  <w:displayHorizontalDrawingGridEvery w:val="1"/>
  <w:displayVerticalDrawingGridEvery w:val="1"/>
  <w:noPunctuationKerning w:val="1"/>
  <w:characterSpacingControl w:val="compressPunctuation"/>
  <w:hdrShapeDefaults>
    <o:shapelayout v:ext="edit">
      <o:idmap v:ext="edit" data="2"/>
    </o:shapelayout>
  </w:hdrShapeDefaults>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OWFmNWY4YTE4OTRkZTZhNDJiMDE4MjEyMjcyMmMzNGMifQ=="/>
  </w:docVars>
  <w:rsids>
    <w:rsidRoot w:val="00CF3BAF"/>
    <w:rsid w:val="000E2D26"/>
    <w:rsid w:val="00164C26"/>
    <w:rsid w:val="00264E69"/>
    <w:rsid w:val="00281BCC"/>
    <w:rsid w:val="0034193D"/>
    <w:rsid w:val="003641CF"/>
    <w:rsid w:val="00382698"/>
    <w:rsid w:val="003B0152"/>
    <w:rsid w:val="0066418C"/>
    <w:rsid w:val="00666E50"/>
    <w:rsid w:val="006B2CA3"/>
    <w:rsid w:val="006D7342"/>
    <w:rsid w:val="00723732"/>
    <w:rsid w:val="00732204"/>
    <w:rsid w:val="007944BD"/>
    <w:rsid w:val="007E7D25"/>
    <w:rsid w:val="00A3295D"/>
    <w:rsid w:val="00AB75B4"/>
    <w:rsid w:val="00C42B0F"/>
    <w:rsid w:val="00C94A06"/>
    <w:rsid w:val="00C94AF7"/>
    <w:rsid w:val="00C94F3C"/>
    <w:rsid w:val="00CF3BAF"/>
    <w:rsid w:val="00D904BB"/>
    <w:rsid w:val="00E61A34"/>
    <w:rsid w:val="00FB3E02"/>
    <w:rsid w:val="015A0ED7"/>
    <w:rsid w:val="017A697D"/>
    <w:rsid w:val="0183453D"/>
    <w:rsid w:val="019C74BD"/>
    <w:rsid w:val="01A249C3"/>
    <w:rsid w:val="01CD0413"/>
    <w:rsid w:val="01E46D89"/>
    <w:rsid w:val="0224187C"/>
    <w:rsid w:val="023A16F5"/>
    <w:rsid w:val="02534437"/>
    <w:rsid w:val="025474F3"/>
    <w:rsid w:val="02A079AD"/>
    <w:rsid w:val="02AD7AC3"/>
    <w:rsid w:val="02B2279A"/>
    <w:rsid w:val="02C572FD"/>
    <w:rsid w:val="02D07C54"/>
    <w:rsid w:val="02D346FD"/>
    <w:rsid w:val="02E1151B"/>
    <w:rsid w:val="03237D85"/>
    <w:rsid w:val="033F393B"/>
    <w:rsid w:val="038D6339"/>
    <w:rsid w:val="03B629A7"/>
    <w:rsid w:val="03C230FA"/>
    <w:rsid w:val="03C3096B"/>
    <w:rsid w:val="03EC16DB"/>
    <w:rsid w:val="03ED5BC4"/>
    <w:rsid w:val="03EF01A2"/>
    <w:rsid w:val="04351B1E"/>
    <w:rsid w:val="04446205"/>
    <w:rsid w:val="044C6E68"/>
    <w:rsid w:val="04730C9A"/>
    <w:rsid w:val="047563BF"/>
    <w:rsid w:val="047C67F1"/>
    <w:rsid w:val="04806EAA"/>
    <w:rsid w:val="048A2CCD"/>
    <w:rsid w:val="048B45A7"/>
    <w:rsid w:val="049A5F70"/>
    <w:rsid w:val="049D68A4"/>
    <w:rsid w:val="04C133B2"/>
    <w:rsid w:val="04DA0DFF"/>
    <w:rsid w:val="04E04210"/>
    <w:rsid w:val="04EC4D0A"/>
    <w:rsid w:val="04F14708"/>
    <w:rsid w:val="04F44273"/>
    <w:rsid w:val="05141A17"/>
    <w:rsid w:val="05476DA0"/>
    <w:rsid w:val="057D7DBB"/>
    <w:rsid w:val="0584083C"/>
    <w:rsid w:val="058663AA"/>
    <w:rsid w:val="0587053C"/>
    <w:rsid w:val="05C375FE"/>
    <w:rsid w:val="05CF063D"/>
    <w:rsid w:val="061F1094"/>
    <w:rsid w:val="064662A5"/>
    <w:rsid w:val="064B3EA8"/>
    <w:rsid w:val="06760F6D"/>
    <w:rsid w:val="067D155B"/>
    <w:rsid w:val="067F5595"/>
    <w:rsid w:val="069A3EBB"/>
    <w:rsid w:val="06AB256C"/>
    <w:rsid w:val="06D03D80"/>
    <w:rsid w:val="06D3561E"/>
    <w:rsid w:val="06F1337E"/>
    <w:rsid w:val="06FB674B"/>
    <w:rsid w:val="074327A4"/>
    <w:rsid w:val="074D4119"/>
    <w:rsid w:val="07680678"/>
    <w:rsid w:val="079923C4"/>
    <w:rsid w:val="07997BA5"/>
    <w:rsid w:val="08043664"/>
    <w:rsid w:val="081C4DA3"/>
    <w:rsid w:val="08355432"/>
    <w:rsid w:val="083A174E"/>
    <w:rsid w:val="083B347B"/>
    <w:rsid w:val="083D3697"/>
    <w:rsid w:val="08406CE4"/>
    <w:rsid w:val="0844594B"/>
    <w:rsid w:val="0885658D"/>
    <w:rsid w:val="08B6562F"/>
    <w:rsid w:val="094B5940"/>
    <w:rsid w:val="09DE60EB"/>
    <w:rsid w:val="0A253323"/>
    <w:rsid w:val="0A2B3318"/>
    <w:rsid w:val="0A5B6057"/>
    <w:rsid w:val="0A645EB1"/>
    <w:rsid w:val="0A742C74"/>
    <w:rsid w:val="0A8255E5"/>
    <w:rsid w:val="0AF674AA"/>
    <w:rsid w:val="0AFE4F5A"/>
    <w:rsid w:val="0B057D70"/>
    <w:rsid w:val="0B072F0F"/>
    <w:rsid w:val="0B2D5070"/>
    <w:rsid w:val="0B664CB3"/>
    <w:rsid w:val="0BA457DB"/>
    <w:rsid w:val="0BF605EA"/>
    <w:rsid w:val="0C051155"/>
    <w:rsid w:val="0C076843"/>
    <w:rsid w:val="0C1A1EAE"/>
    <w:rsid w:val="0C2D57D1"/>
    <w:rsid w:val="0CA43CE5"/>
    <w:rsid w:val="0CB90E13"/>
    <w:rsid w:val="0CBA5DD0"/>
    <w:rsid w:val="0CD05128"/>
    <w:rsid w:val="0CDA3277"/>
    <w:rsid w:val="0D270828"/>
    <w:rsid w:val="0D297A40"/>
    <w:rsid w:val="0D380844"/>
    <w:rsid w:val="0D3A1F53"/>
    <w:rsid w:val="0D3B653D"/>
    <w:rsid w:val="0D71793F"/>
    <w:rsid w:val="0D792EC2"/>
    <w:rsid w:val="0D81592D"/>
    <w:rsid w:val="0D8716C8"/>
    <w:rsid w:val="0DC71EAB"/>
    <w:rsid w:val="0E2F4C4F"/>
    <w:rsid w:val="0E350159"/>
    <w:rsid w:val="0E372AA8"/>
    <w:rsid w:val="0E412ABE"/>
    <w:rsid w:val="0E651252"/>
    <w:rsid w:val="0E682982"/>
    <w:rsid w:val="0E8C0D4D"/>
    <w:rsid w:val="0EA33B28"/>
    <w:rsid w:val="0ECE2169"/>
    <w:rsid w:val="0EDC105C"/>
    <w:rsid w:val="0EDE6CBA"/>
    <w:rsid w:val="0EF32EFA"/>
    <w:rsid w:val="0F0410E0"/>
    <w:rsid w:val="0F2464E9"/>
    <w:rsid w:val="0FDE2EA6"/>
    <w:rsid w:val="0FE73EE9"/>
    <w:rsid w:val="1012372A"/>
    <w:rsid w:val="101D658D"/>
    <w:rsid w:val="10305890"/>
    <w:rsid w:val="10544429"/>
    <w:rsid w:val="10776075"/>
    <w:rsid w:val="107A1722"/>
    <w:rsid w:val="10E36DA6"/>
    <w:rsid w:val="110F7AF4"/>
    <w:rsid w:val="115D157E"/>
    <w:rsid w:val="119A56B6"/>
    <w:rsid w:val="11A25357"/>
    <w:rsid w:val="11A77DD3"/>
    <w:rsid w:val="11B34CF4"/>
    <w:rsid w:val="11CD6280"/>
    <w:rsid w:val="11EC5893"/>
    <w:rsid w:val="11F2782C"/>
    <w:rsid w:val="12055F77"/>
    <w:rsid w:val="12253125"/>
    <w:rsid w:val="12253216"/>
    <w:rsid w:val="125F42F7"/>
    <w:rsid w:val="12A473AA"/>
    <w:rsid w:val="12A92C0B"/>
    <w:rsid w:val="12AA67B8"/>
    <w:rsid w:val="12C81DAF"/>
    <w:rsid w:val="131B45D5"/>
    <w:rsid w:val="13732E71"/>
    <w:rsid w:val="13901621"/>
    <w:rsid w:val="13D50C28"/>
    <w:rsid w:val="13DA77A9"/>
    <w:rsid w:val="140B464A"/>
    <w:rsid w:val="14223741"/>
    <w:rsid w:val="14397409"/>
    <w:rsid w:val="143C687A"/>
    <w:rsid w:val="144162BD"/>
    <w:rsid w:val="144353ED"/>
    <w:rsid w:val="144D63F0"/>
    <w:rsid w:val="14542E3B"/>
    <w:rsid w:val="147E4E1C"/>
    <w:rsid w:val="148443FC"/>
    <w:rsid w:val="14860849"/>
    <w:rsid w:val="14A42BB0"/>
    <w:rsid w:val="14E629C1"/>
    <w:rsid w:val="14F25809"/>
    <w:rsid w:val="15210B5F"/>
    <w:rsid w:val="152E231F"/>
    <w:rsid w:val="159A1461"/>
    <w:rsid w:val="15A31E91"/>
    <w:rsid w:val="15DF5D8E"/>
    <w:rsid w:val="16077093"/>
    <w:rsid w:val="161C1F83"/>
    <w:rsid w:val="164D1414"/>
    <w:rsid w:val="165F3BC6"/>
    <w:rsid w:val="16663DB9"/>
    <w:rsid w:val="16946B78"/>
    <w:rsid w:val="16997753"/>
    <w:rsid w:val="169D288C"/>
    <w:rsid w:val="16A018F6"/>
    <w:rsid w:val="16BE317F"/>
    <w:rsid w:val="16EB2510"/>
    <w:rsid w:val="1712066B"/>
    <w:rsid w:val="178070FD"/>
    <w:rsid w:val="179C380B"/>
    <w:rsid w:val="17AC6DF4"/>
    <w:rsid w:val="18247F4A"/>
    <w:rsid w:val="183D74A2"/>
    <w:rsid w:val="186B7A96"/>
    <w:rsid w:val="188327F5"/>
    <w:rsid w:val="18AE13FF"/>
    <w:rsid w:val="18C45473"/>
    <w:rsid w:val="18DF6EA4"/>
    <w:rsid w:val="18E732AE"/>
    <w:rsid w:val="191169DA"/>
    <w:rsid w:val="191B713B"/>
    <w:rsid w:val="193B33BD"/>
    <w:rsid w:val="196A7BE4"/>
    <w:rsid w:val="19B8641F"/>
    <w:rsid w:val="19CD0334"/>
    <w:rsid w:val="19DE4DBB"/>
    <w:rsid w:val="19EF2318"/>
    <w:rsid w:val="19FF69FF"/>
    <w:rsid w:val="1A2B26E2"/>
    <w:rsid w:val="1A843CE5"/>
    <w:rsid w:val="1A913822"/>
    <w:rsid w:val="1A957E6A"/>
    <w:rsid w:val="1AAE4C70"/>
    <w:rsid w:val="1AFA71C6"/>
    <w:rsid w:val="1B041DF3"/>
    <w:rsid w:val="1B33310F"/>
    <w:rsid w:val="1B6D129C"/>
    <w:rsid w:val="1BD529D4"/>
    <w:rsid w:val="1BDE09F4"/>
    <w:rsid w:val="1BE9127A"/>
    <w:rsid w:val="1BEC2A23"/>
    <w:rsid w:val="1C211654"/>
    <w:rsid w:val="1C2D32A0"/>
    <w:rsid w:val="1C5D17BA"/>
    <w:rsid w:val="1C63587E"/>
    <w:rsid w:val="1C6C7C4F"/>
    <w:rsid w:val="1C753023"/>
    <w:rsid w:val="1C93342E"/>
    <w:rsid w:val="1C9363D1"/>
    <w:rsid w:val="1C9D24FF"/>
    <w:rsid w:val="1CBF06C7"/>
    <w:rsid w:val="1CCE090A"/>
    <w:rsid w:val="1CD57C9C"/>
    <w:rsid w:val="1CEB326A"/>
    <w:rsid w:val="1D1E6C5C"/>
    <w:rsid w:val="1D2360F1"/>
    <w:rsid w:val="1D3757A2"/>
    <w:rsid w:val="1D5829E8"/>
    <w:rsid w:val="1D5A65E9"/>
    <w:rsid w:val="1D660D84"/>
    <w:rsid w:val="1D6923E1"/>
    <w:rsid w:val="1D7017A8"/>
    <w:rsid w:val="1D887F78"/>
    <w:rsid w:val="1D9C0C95"/>
    <w:rsid w:val="1DA53366"/>
    <w:rsid w:val="1DA90CED"/>
    <w:rsid w:val="1DC13FCB"/>
    <w:rsid w:val="1DD43CFE"/>
    <w:rsid w:val="1DD65CC8"/>
    <w:rsid w:val="1DDA0B91"/>
    <w:rsid w:val="1DDE7C10"/>
    <w:rsid w:val="1E212A6F"/>
    <w:rsid w:val="1E331F19"/>
    <w:rsid w:val="1E360353"/>
    <w:rsid w:val="1E396257"/>
    <w:rsid w:val="1E3F22B3"/>
    <w:rsid w:val="1E471A6E"/>
    <w:rsid w:val="1E4779B9"/>
    <w:rsid w:val="1EB33136"/>
    <w:rsid w:val="1EB63404"/>
    <w:rsid w:val="1EBB6248"/>
    <w:rsid w:val="1EC45352"/>
    <w:rsid w:val="1ED15FAD"/>
    <w:rsid w:val="1ED67807"/>
    <w:rsid w:val="1EE937D9"/>
    <w:rsid w:val="1F111512"/>
    <w:rsid w:val="1F1B5BE2"/>
    <w:rsid w:val="1F8D2032"/>
    <w:rsid w:val="1FAA11BB"/>
    <w:rsid w:val="1FCB063E"/>
    <w:rsid w:val="1FCF0C21"/>
    <w:rsid w:val="20465E1E"/>
    <w:rsid w:val="205B24B5"/>
    <w:rsid w:val="20BF0C96"/>
    <w:rsid w:val="20E06F43"/>
    <w:rsid w:val="20E259AF"/>
    <w:rsid w:val="21404779"/>
    <w:rsid w:val="219C4D8C"/>
    <w:rsid w:val="21AE4866"/>
    <w:rsid w:val="21BC5882"/>
    <w:rsid w:val="21BF16DB"/>
    <w:rsid w:val="21C70B32"/>
    <w:rsid w:val="21D4251F"/>
    <w:rsid w:val="21F93E3A"/>
    <w:rsid w:val="22074AD9"/>
    <w:rsid w:val="221B014E"/>
    <w:rsid w:val="22417174"/>
    <w:rsid w:val="228357B3"/>
    <w:rsid w:val="22851F14"/>
    <w:rsid w:val="22937A29"/>
    <w:rsid w:val="229D04C5"/>
    <w:rsid w:val="22AC524A"/>
    <w:rsid w:val="22D97B1D"/>
    <w:rsid w:val="23024E6A"/>
    <w:rsid w:val="232C0139"/>
    <w:rsid w:val="233038AA"/>
    <w:rsid w:val="237E05CC"/>
    <w:rsid w:val="23841D23"/>
    <w:rsid w:val="23A75A11"/>
    <w:rsid w:val="23AC4AA2"/>
    <w:rsid w:val="23C21A0E"/>
    <w:rsid w:val="24117A01"/>
    <w:rsid w:val="242B219E"/>
    <w:rsid w:val="2446522A"/>
    <w:rsid w:val="244B62E0"/>
    <w:rsid w:val="24572F93"/>
    <w:rsid w:val="24581EC9"/>
    <w:rsid w:val="245D7AC3"/>
    <w:rsid w:val="24612217"/>
    <w:rsid w:val="247753E3"/>
    <w:rsid w:val="24973CD7"/>
    <w:rsid w:val="24CA7C09"/>
    <w:rsid w:val="2504614D"/>
    <w:rsid w:val="250D077C"/>
    <w:rsid w:val="25290233"/>
    <w:rsid w:val="2584425C"/>
    <w:rsid w:val="25B93555"/>
    <w:rsid w:val="25C41D06"/>
    <w:rsid w:val="25C66622"/>
    <w:rsid w:val="25F12CF3"/>
    <w:rsid w:val="261A696E"/>
    <w:rsid w:val="26211AAB"/>
    <w:rsid w:val="263374CD"/>
    <w:rsid w:val="26393AC2"/>
    <w:rsid w:val="2647756E"/>
    <w:rsid w:val="2671382C"/>
    <w:rsid w:val="268362C1"/>
    <w:rsid w:val="268B7746"/>
    <w:rsid w:val="26AF355A"/>
    <w:rsid w:val="26CA3EF0"/>
    <w:rsid w:val="27032260"/>
    <w:rsid w:val="27070CA1"/>
    <w:rsid w:val="278D2C6B"/>
    <w:rsid w:val="27C052F3"/>
    <w:rsid w:val="27C20290"/>
    <w:rsid w:val="27CE4396"/>
    <w:rsid w:val="28134D39"/>
    <w:rsid w:val="282D2989"/>
    <w:rsid w:val="28377363"/>
    <w:rsid w:val="28497097"/>
    <w:rsid w:val="287019A1"/>
    <w:rsid w:val="288D3224"/>
    <w:rsid w:val="28BA7F95"/>
    <w:rsid w:val="28BD1C36"/>
    <w:rsid w:val="2942161F"/>
    <w:rsid w:val="29583D25"/>
    <w:rsid w:val="2959155B"/>
    <w:rsid w:val="298A77D8"/>
    <w:rsid w:val="29A97E89"/>
    <w:rsid w:val="29AD1F3E"/>
    <w:rsid w:val="29BF788B"/>
    <w:rsid w:val="29CC7F7F"/>
    <w:rsid w:val="29FA65CF"/>
    <w:rsid w:val="2A1118F0"/>
    <w:rsid w:val="2A334727"/>
    <w:rsid w:val="2A571F3F"/>
    <w:rsid w:val="2A573CED"/>
    <w:rsid w:val="2A5A37DD"/>
    <w:rsid w:val="2A877B3A"/>
    <w:rsid w:val="2A981D32"/>
    <w:rsid w:val="2ACA111E"/>
    <w:rsid w:val="2AE8528D"/>
    <w:rsid w:val="2B9A5BB7"/>
    <w:rsid w:val="2BB71CA4"/>
    <w:rsid w:val="2BFE5946"/>
    <w:rsid w:val="2C26606D"/>
    <w:rsid w:val="2C5243EF"/>
    <w:rsid w:val="2C9E3204"/>
    <w:rsid w:val="2C9E3E55"/>
    <w:rsid w:val="2CBD60AC"/>
    <w:rsid w:val="2CD06C13"/>
    <w:rsid w:val="2CE61600"/>
    <w:rsid w:val="2D217C65"/>
    <w:rsid w:val="2D4759F0"/>
    <w:rsid w:val="2D4B17C9"/>
    <w:rsid w:val="2D5C5A09"/>
    <w:rsid w:val="2D8F379E"/>
    <w:rsid w:val="2DBA2F11"/>
    <w:rsid w:val="2DDA23E8"/>
    <w:rsid w:val="2DF65BB0"/>
    <w:rsid w:val="2DFB7085"/>
    <w:rsid w:val="2E0221C2"/>
    <w:rsid w:val="2E36070D"/>
    <w:rsid w:val="2E7164C1"/>
    <w:rsid w:val="2E9A064C"/>
    <w:rsid w:val="2ED80964"/>
    <w:rsid w:val="2F4358AA"/>
    <w:rsid w:val="2F8D1F5F"/>
    <w:rsid w:val="2FA713A3"/>
    <w:rsid w:val="2FDC5ED2"/>
    <w:rsid w:val="2FDD5FA0"/>
    <w:rsid w:val="2FF8474F"/>
    <w:rsid w:val="30204B81"/>
    <w:rsid w:val="3054090C"/>
    <w:rsid w:val="30766F52"/>
    <w:rsid w:val="30B362CA"/>
    <w:rsid w:val="30BF25EC"/>
    <w:rsid w:val="311C4665"/>
    <w:rsid w:val="315301E3"/>
    <w:rsid w:val="315E08FB"/>
    <w:rsid w:val="31615451"/>
    <w:rsid w:val="3163566D"/>
    <w:rsid w:val="316B691F"/>
    <w:rsid w:val="31725F5A"/>
    <w:rsid w:val="3196654A"/>
    <w:rsid w:val="31AC19A4"/>
    <w:rsid w:val="31B1462B"/>
    <w:rsid w:val="31B301DE"/>
    <w:rsid w:val="31B97E17"/>
    <w:rsid w:val="31D75713"/>
    <w:rsid w:val="31FF7E7F"/>
    <w:rsid w:val="32137E54"/>
    <w:rsid w:val="321C650B"/>
    <w:rsid w:val="32323203"/>
    <w:rsid w:val="32384404"/>
    <w:rsid w:val="323B2146"/>
    <w:rsid w:val="32466B0F"/>
    <w:rsid w:val="327D1486"/>
    <w:rsid w:val="3281581E"/>
    <w:rsid w:val="32891103"/>
    <w:rsid w:val="32931F82"/>
    <w:rsid w:val="32AC094E"/>
    <w:rsid w:val="32DD09B1"/>
    <w:rsid w:val="32EE0F67"/>
    <w:rsid w:val="331704BD"/>
    <w:rsid w:val="337F7BF3"/>
    <w:rsid w:val="33951DBC"/>
    <w:rsid w:val="3398566D"/>
    <w:rsid w:val="33A06705"/>
    <w:rsid w:val="33B84EB1"/>
    <w:rsid w:val="33CB74FA"/>
    <w:rsid w:val="33E8058A"/>
    <w:rsid w:val="33F95E15"/>
    <w:rsid w:val="34123199"/>
    <w:rsid w:val="34242DD3"/>
    <w:rsid w:val="34375174"/>
    <w:rsid w:val="343D702F"/>
    <w:rsid w:val="34A57D4B"/>
    <w:rsid w:val="34BF0E0C"/>
    <w:rsid w:val="34E56399"/>
    <w:rsid w:val="3511004D"/>
    <w:rsid w:val="353E10FB"/>
    <w:rsid w:val="356103C1"/>
    <w:rsid w:val="35613C72"/>
    <w:rsid w:val="35624307"/>
    <w:rsid w:val="35A324DC"/>
    <w:rsid w:val="35B844E0"/>
    <w:rsid w:val="35EF40B4"/>
    <w:rsid w:val="36533F02"/>
    <w:rsid w:val="3679469E"/>
    <w:rsid w:val="367C137F"/>
    <w:rsid w:val="36990437"/>
    <w:rsid w:val="36F2243E"/>
    <w:rsid w:val="36F54FB9"/>
    <w:rsid w:val="371511B8"/>
    <w:rsid w:val="37316346"/>
    <w:rsid w:val="37552874"/>
    <w:rsid w:val="37696BED"/>
    <w:rsid w:val="376D0FF4"/>
    <w:rsid w:val="37740FCE"/>
    <w:rsid w:val="37825A15"/>
    <w:rsid w:val="37B07132"/>
    <w:rsid w:val="37BB5BE3"/>
    <w:rsid w:val="3812008E"/>
    <w:rsid w:val="382C0303"/>
    <w:rsid w:val="38365225"/>
    <w:rsid w:val="385E298D"/>
    <w:rsid w:val="389820A0"/>
    <w:rsid w:val="389B4E02"/>
    <w:rsid w:val="38A728B0"/>
    <w:rsid w:val="38C56745"/>
    <w:rsid w:val="38ED5B17"/>
    <w:rsid w:val="38EE089E"/>
    <w:rsid w:val="390007E7"/>
    <w:rsid w:val="391F5908"/>
    <w:rsid w:val="396E4BAF"/>
    <w:rsid w:val="398470DE"/>
    <w:rsid w:val="398D57FD"/>
    <w:rsid w:val="39B0341A"/>
    <w:rsid w:val="39E0294D"/>
    <w:rsid w:val="39F31703"/>
    <w:rsid w:val="39F5707E"/>
    <w:rsid w:val="3A183A73"/>
    <w:rsid w:val="3A7F08F8"/>
    <w:rsid w:val="3ABD3090"/>
    <w:rsid w:val="3AC405E4"/>
    <w:rsid w:val="3AEC222F"/>
    <w:rsid w:val="3AF31810"/>
    <w:rsid w:val="3B334A39"/>
    <w:rsid w:val="3B3B31B7"/>
    <w:rsid w:val="3B4007CD"/>
    <w:rsid w:val="3B451940"/>
    <w:rsid w:val="3B680882"/>
    <w:rsid w:val="3B7B35B3"/>
    <w:rsid w:val="3B8D2842"/>
    <w:rsid w:val="3BF03FA1"/>
    <w:rsid w:val="3BF84C04"/>
    <w:rsid w:val="3C3E4D0D"/>
    <w:rsid w:val="3C5740DD"/>
    <w:rsid w:val="3C806CA2"/>
    <w:rsid w:val="3C875BD5"/>
    <w:rsid w:val="3CF25AF7"/>
    <w:rsid w:val="3D1141CF"/>
    <w:rsid w:val="3D141F11"/>
    <w:rsid w:val="3D3E5D33"/>
    <w:rsid w:val="3D3F6549"/>
    <w:rsid w:val="3D544A5A"/>
    <w:rsid w:val="3D6E3B32"/>
    <w:rsid w:val="3D714C6E"/>
    <w:rsid w:val="3D773197"/>
    <w:rsid w:val="3D7F55DD"/>
    <w:rsid w:val="3D8628AB"/>
    <w:rsid w:val="3DA476DF"/>
    <w:rsid w:val="3DBE00AF"/>
    <w:rsid w:val="3DC4168B"/>
    <w:rsid w:val="3DDA0A65"/>
    <w:rsid w:val="3DFB700C"/>
    <w:rsid w:val="3E0E070F"/>
    <w:rsid w:val="3E3D23ED"/>
    <w:rsid w:val="3E3D2DA2"/>
    <w:rsid w:val="3E43485C"/>
    <w:rsid w:val="3E590BEC"/>
    <w:rsid w:val="3E592E85"/>
    <w:rsid w:val="3E691AD9"/>
    <w:rsid w:val="3E8D7BD1"/>
    <w:rsid w:val="3E8E1D06"/>
    <w:rsid w:val="3E957D58"/>
    <w:rsid w:val="3EDE4585"/>
    <w:rsid w:val="3EFD0EAF"/>
    <w:rsid w:val="3F3A7C74"/>
    <w:rsid w:val="3F51170A"/>
    <w:rsid w:val="3F5605BF"/>
    <w:rsid w:val="3F6727CC"/>
    <w:rsid w:val="3FD074F4"/>
    <w:rsid w:val="3FD66319"/>
    <w:rsid w:val="3FFA53EF"/>
    <w:rsid w:val="40464190"/>
    <w:rsid w:val="407C1AED"/>
    <w:rsid w:val="40920F06"/>
    <w:rsid w:val="40AE6405"/>
    <w:rsid w:val="40E2372C"/>
    <w:rsid w:val="41036525"/>
    <w:rsid w:val="411042AB"/>
    <w:rsid w:val="41432623"/>
    <w:rsid w:val="417B430D"/>
    <w:rsid w:val="419D1E08"/>
    <w:rsid w:val="41A82C28"/>
    <w:rsid w:val="41AB5F6A"/>
    <w:rsid w:val="420C4EF5"/>
    <w:rsid w:val="42181E5B"/>
    <w:rsid w:val="425E4C07"/>
    <w:rsid w:val="42710B79"/>
    <w:rsid w:val="42B15B0D"/>
    <w:rsid w:val="42B75819"/>
    <w:rsid w:val="42D53B65"/>
    <w:rsid w:val="42E02E33"/>
    <w:rsid w:val="42F03646"/>
    <w:rsid w:val="42F460AF"/>
    <w:rsid w:val="42F65BA4"/>
    <w:rsid w:val="43000F6E"/>
    <w:rsid w:val="43764BFE"/>
    <w:rsid w:val="43CF26EE"/>
    <w:rsid w:val="43E20C41"/>
    <w:rsid w:val="43F97022"/>
    <w:rsid w:val="44035AC2"/>
    <w:rsid w:val="440A24EA"/>
    <w:rsid w:val="44114AB5"/>
    <w:rsid w:val="44513A21"/>
    <w:rsid w:val="4453447A"/>
    <w:rsid w:val="44625310"/>
    <w:rsid w:val="44C10289"/>
    <w:rsid w:val="44E855CD"/>
    <w:rsid w:val="44F71DF7"/>
    <w:rsid w:val="45156827"/>
    <w:rsid w:val="451E56DB"/>
    <w:rsid w:val="45305047"/>
    <w:rsid w:val="456F1FD9"/>
    <w:rsid w:val="45847714"/>
    <w:rsid w:val="459B770E"/>
    <w:rsid w:val="45D313A6"/>
    <w:rsid w:val="45D94A67"/>
    <w:rsid w:val="45E375FE"/>
    <w:rsid w:val="460A3F80"/>
    <w:rsid w:val="46272799"/>
    <w:rsid w:val="46560EA5"/>
    <w:rsid w:val="46715CDF"/>
    <w:rsid w:val="46805690"/>
    <w:rsid w:val="46C17760"/>
    <w:rsid w:val="46C410DC"/>
    <w:rsid w:val="471C20EE"/>
    <w:rsid w:val="472509CB"/>
    <w:rsid w:val="474A6C5C"/>
    <w:rsid w:val="47673460"/>
    <w:rsid w:val="477A6E15"/>
    <w:rsid w:val="478A2A55"/>
    <w:rsid w:val="47986858"/>
    <w:rsid w:val="47DA19E3"/>
    <w:rsid w:val="47E51211"/>
    <w:rsid w:val="47EB734B"/>
    <w:rsid w:val="47FE17F4"/>
    <w:rsid w:val="484F02A2"/>
    <w:rsid w:val="48587156"/>
    <w:rsid w:val="486C7808"/>
    <w:rsid w:val="486E372E"/>
    <w:rsid w:val="4876582E"/>
    <w:rsid w:val="48934AEB"/>
    <w:rsid w:val="48A6207B"/>
    <w:rsid w:val="48AF59F3"/>
    <w:rsid w:val="492B03C7"/>
    <w:rsid w:val="492E33C0"/>
    <w:rsid w:val="495261A3"/>
    <w:rsid w:val="495F62C2"/>
    <w:rsid w:val="497E6723"/>
    <w:rsid w:val="499A379E"/>
    <w:rsid w:val="49AF724A"/>
    <w:rsid w:val="49BE56DF"/>
    <w:rsid w:val="49C466C0"/>
    <w:rsid w:val="49D427E4"/>
    <w:rsid w:val="49EF4693"/>
    <w:rsid w:val="4A0550BC"/>
    <w:rsid w:val="4A6022F2"/>
    <w:rsid w:val="4A877397"/>
    <w:rsid w:val="4AA2290B"/>
    <w:rsid w:val="4AB746EB"/>
    <w:rsid w:val="4ADD1B95"/>
    <w:rsid w:val="4AF33166"/>
    <w:rsid w:val="4B1425FF"/>
    <w:rsid w:val="4B3B68BB"/>
    <w:rsid w:val="4B6B1FFB"/>
    <w:rsid w:val="4B72052F"/>
    <w:rsid w:val="4B920BD1"/>
    <w:rsid w:val="4B9D78A2"/>
    <w:rsid w:val="4BB70638"/>
    <w:rsid w:val="4BDA4326"/>
    <w:rsid w:val="4C1823DA"/>
    <w:rsid w:val="4C1D4177"/>
    <w:rsid w:val="4C3677AE"/>
    <w:rsid w:val="4C4814B5"/>
    <w:rsid w:val="4C5B0FC3"/>
    <w:rsid w:val="4C7327B1"/>
    <w:rsid w:val="4C821008"/>
    <w:rsid w:val="4CB32302"/>
    <w:rsid w:val="4CC00F87"/>
    <w:rsid w:val="4CD16F98"/>
    <w:rsid w:val="4CD82614"/>
    <w:rsid w:val="4CD846C7"/>
    <w:rsid w:val="4CE4545C"/>
    <w:rsid w:val="4CF904BE"/>
    <w:rsid w:val="4D1C7DC0"/>
    <w:rsid w:val="4D3C68BD"/>
    <w:rsid w:val="4D3D7CDA"/>
    <w:rsid w:val="4D471547"/>
    <w:rsid w:val="4D88228C"/>
    <w:rsid w:val="4D8C494F"/>
    <w:rsid w:val="4DEE5DF2"/>
    <w:rsid w:val="4E4C44BA"/>
    <w:rsid w:val="4E7C3AE4"/>
    <w:rsid w:val="4EB46D9C"/>
    <w:rsid w:val="4F2A2BCF"/>
    <w:rsid w:val="4F714FA1"/>
    <w:rsid w:val="4FA766A8"/>
    <w:rsid w:val="4FB629B4"/>
    <w:rsid w:val="4FB96B4A"/>
    <w:rsid w:val="4FDA48F5"/>
    <w:rsid w:val="4FE5073B"/>
    <w:rsid w:val="4FE87012"/>
    <w:rsid w:val="50041972"/>
    <w:rsid w:val="504F0E3F"/>
    <w:rsid w:val="507765E7"/>
    <w:rsid w:val="509B22D6"/>
    <w:rsid w:val="50A373DC"/>
    <w:rsid w:val="50F97A16"/>
    <w:rsid w:val="51171D45"/>
    <w:rsid w:val="51404F43"/>
    <w:rsid w:val="51856AE2"/>
    <w:rsid w:val="51870AAC"/>
    <w:rsid w:val="519805C3"/>
    <w:rsid w:val="519C21AA"/>
    <w:rsid w:val="51A229BD"/>
    <w:rsid w:val="51B11685"/>
    <w:rsid w:val="51B97BFA"/>
    <w:rsid w:val="51F82BBB"/>
    <w:rsid w:val="522B7DE8"/>
    <w:rsid w:val="522D3402"/>
    <w:rsid w:val="52A86F2C"/>
    <w:rsid w:val="52C2650E"/>
    <w:rsid w:val="52CC2C1B"/>
    <w:rsid w:val="52DC6BD6"/>
    <w:rsid w:val="52EB6588"/>
    <w:rsid w:val="52F263F9"/>
    <w:rsid w:val="52F42899"/>
    <w:rsid w:val="52FE4D9E"/>
    <w:rsid w:val="53051C89"/>
    <w:rsid w:val="53157C48"/>
    <w:rsid w:val="538E28DC"/>
    <w:rsid w:val="53C41B44"/>
    <w:rsid w:val="542076D2"/>
    <w:rsid w:val="542D2B1D"/>
    <w:rsid w:val="54765F55"/>
    <w:rsid w:val="54A92AFF"/>
    <w:rsid w:val="54C45680"/>
    <w:rsid w:val="54D01B17"/>
    <w:rsid w:val="54D77655"/>
    <w:rsid w:val="550146D2"/>
    <w:rsid w:val="551C7980"/>
    <w:rsid w:val="55311C75"/>
    <w:rsid w:val="5549056E"/>
    <w:rsid w:val="55540CA5"/>
    <w:rsid w:val="55546EF7"/>
    <w:rsid w:val="55855303"/>
    <w:rsid w:val="55C07B2F"/>
    <w:rsid w:val="55C81AB9"/>
    <w:rsid w:val="564B20A8"/>
    <w:rsid w:val="5664557C"/>
    <w:rsid w:val="56BB3C75"/>
    <w:rsid w:val="56DE7067"/>
    <w:rsid w:val="570955B4"/>
    <w:rsid w:val="5725657E"/>
    <w:rsid w:val="57425FEC"/>
    <w:rsid w:val="57527C3E"/>
    <w:rsid w:val="57673F16"/>
    <w:rsid w:val="5783793E"/>
    <w:rsid w:val="57886463"/>
    <w:rsid w:val="57BC3D6B"/>
    <w:rsid w:val="57CC2BA0"/>
    <w:rsid w:val="580A1AEF"/>
    <w:rsid w:val="58133074"/>
    <w:rsid w:val="587A4EC7"/>
    <w:rsid w:val="587F6039"/>
    <w:rsid w:val="58952A96"/>
    <w:rsid w:val="58DC7930"/>
    <w:rsid w:val="58DF3A45"/>
    <w:rsid w:val="58EB36CF"/>
    <w:rsid w:val="590D7AE9"/>
    <w:rsid w:val="594013EC"/>
    <w:rsid w:val="595B71BC"/>
    <w:rsid w:val="597E5F02"/>
    <w:rsid w:val="5987319C"/>
    <w:rsid w:val="598D26AC"/>
    <w:rsid w:val="59945819"/>
    <w:rsid w:val="599F77C9"/>
    <w:rsid w:val="59C95F43"/>
    <w:rsid w:val="59EC0FD0"/>
    <w:rsid w:val="59FB3DE5"/>
    <w:rsid w:val="5A0C78B7"/>
    <w:rsid w:val="5A0F2A48"/>
    <w:rsid w:val="5A2D23D5"/>
    <w:rsid w:val="5A39614F"/>
    <w:rsid w:val="5A93268F"/>
    <w:rsid w:val="5AB2046A"/>
    <w:rsid w:val="5AC43179"/>
    <w:rsid w:val="5AC82B93"/>
    <w:rsid w:val="5AE14D89"/>
    <w:rsid w:val="5AE6318E"/>
    <w:rsid w:val="5B1F58B2"/>
    <w:rsid w:val="5B6F6839"/>
    <w:rsid w:val="5BB3212F"/>
    <w:rsid w:val="5BCC5A39"/>
    <w:rsid w:val="5C0B748D"/>
    <w:rsid w:val="5C533A65"/>
    <w:rsid w:val="5C7A1030"/>
    <w:rsid w:val="5C856C16"/>
    <w:rsid w:val="5C8E651C"/>
    <w:rsid w:val="5C9347A9"/>
    <w:rsid w:val="5CD85C43"/>
    <w:rsid w:val="5CE2303B"/>
    <w:rsid w:val="5D072AA1"/>
    <w:rsid w:val="5D120EE1"/>
    <w:rsid w:val="5D172CE4"/>
    <w:rsid w:val="5D7C6FEB"/>
    <w:rsid w:val="5DB443B5"/>
    <w:rsid w:val="5DC012A8"/>
    <w:rsid w:val="5DCA7D57"/>
    <w:rsid w:val="5DFC1EDA"/>
    <w:rsid w:val="5E313880"/>
    <w:rsid w:val="5E4A37D5"/>
    <w:rsid w:val="5E5B21D1"/>
    <w:rsid w:val="5E803BCC"/>
    <w:rsid w:val="5E8A187A"/>
    <w:rsid w:val="5EAE4FD3"/>
    <w:rsid w:val="5EB50A07"/>
    <w:rsid w:val="5EF37781"/>
    <w:rsid w:val="5F032E65"/>
    <w:rsid w:val="5F09244A"/>
    <w:rsid w:val="5F0E4D9B"/>
    <w:rsid w:val="5F117C07"/>
    <w:rsid w:val="5F3B04A6"/>
    <w:rsid w:val="5F4678B1"/>
    <w:rsid w:val="5F647DA6"/>
    <w:rsid w:val="5F9177D9"/>
    <w:rsid w:val="5F9B6EC2"/>
    <w:rsid w:val="5FBA426A"/>
    <w:rsid w:val="600D4872"/>
    <w:rsid w:val="60192D83"/>
    <w:rsid w:val="601E438A"/>
    <w:rsid w:val="602A334A"/>
    <w:rsid w:val="6036225F"/>
    <w:rsid w:val="60831CFD"/>
    <w:rsid w:val="6085145A"/>
    <w:rsid w:val="6092666E"/>
    <w:rsid w:val="60A41C39"/>
    <w:rsid w:val="60B25AEA"/>
    <w:rsid w:val="60D85EE9"/>
    <w:rsid w:val="60DF4E94"/>
    <w:rsid w:val="61344096"/>
    <w:rsid w:val="615C36F1"/>
    <w:rsid w:val="615C6151"/>
    <w:rsid w:val="6166423A"/>
    <w:rsid w:val="617B3C02"/>
    <w:rsid w:val="61935EEC"/>
    <w:rsid w:val="61B72CE8"/>
    <w:rsid w:val="61BD2A1D"/>
    <w:rsid w:val="61C40F61"/>
    <w:rsid w:val="61C62F2B"/>
    <w:rsid w:val="61DC274E"/>
    <w:rsid w:val="61DF3B35"/>
    <w:rsid w:val="62047871"/>
    <w:rsid w:val="622B0FE0"/>
    <w:rsid w:val="622B3906"/>
    <w:rsid w:val="62494283"/>
    <w:rsid w:val="62967EC8"/>
    <w:rsid w:val="62976675"/>
    <w:rsid w:val="62E3619B"/>
    <w:rsid w:val="62E713AB"/>
    <w:rsid w:val="62ED4EF7"/>
    <w:rsid w:val="62EF46F3"/>
    <w:rsid w:val="63027F93"/>
    <w:rsid w:val="634C24E2"/>
    <w:rsid w:val="634C7342"/>
    <w:rsid w:val="637D586B"/>
    <w:rsid w:val="63A03DA6"/>
    <w:rsid w:val="63C60FC0"/>
    <w:rsid w:val="63CC78C3"/>
    <w:rsid w:val="63F20007"/>
    <w:rsid w:val="641D44A1"/>
    <w:rsid w:val="64703874"/>
    <w:rsid w:val="64805BFE"/>
    <w:rsid w:val="64CA3CB4"/>
    <w:rsid w:val="64EC0669"/>
    <w:rsid w:val="65044496"/>
    <w:rsid w:val="65162C86"/>
    <w:rsid w:val="65221B38"/>
    <w:rsid w:val="6559487C"/>
    <w:rsid w:val="65693C54"/>
    <w:rsid w:val="65711400"/>
    <w:rsid w:val="65821595"/>
    <w:rsid w:val="659A62FC"/>
    <w:rsid w:val="65A13CC9"/>
    <w:rsid w:val="65C854C3"/>
    <w:rsid w:val="65D200F0"/>
    <w:rsid w:val="65EF7DA6"/>
    <w:rsid w:val="662F72F1"/>
    <w:rsid w:val="663C2EEE"/>
    <w:rsid w:val="666A49D1"/>
    <w:rsid w:val="667016B7"/>
    <w:rsid w:val="66870296"/>
    <w:rsid w:val="66BA6E26"/>
    <w:rsid w:val="66F10A4A"/>
    <w:rsid w:val="672F4C93"/>
    <w:rsid w:val="67477DD7"/>
    <w:rsid w:val="675F52E9"/>
    <w:rsid w:val="676F196F"/>
    <w:rsid w:val="67923FAF"/>
    <w:rsid w:val="67931555"/>
    <w:rsid w:val="67A856DC"/>
    <w:rsid w:val="67AB689B"/>
    <w:rsid w:val="67C24182"/>
    <w:rsid w:val="67D30150"/>
    <w:rsid w:val="682E6AFE"/>
    <w:rsid w:val="6841155D"/>
    <w:rsid w:val="686D2352"/>
    <w:rsid w:val="68827BC9"/>
    <w:rsid w:val="689C49E5"/>
    <w:rsid w:val="689D7DF8"/>
    <w:rsid w:val="68AC75FB"/>
    <w:rsid w:val="68AF4719"/>
    <w:rsid w:val="68B476C6"/>
    <w:rsid w:val="695B6585"/>
    <w:rsid w:val="696279DD"/>
    <w:rsid w:val="69676C0C"/>
    <w:rsid w:val="698D10CC"/>
    <w:rsid w:val="69AE1092"/>
    <w:rsid w:val="69B30239"/>
    <w:rsid w:val="69C959DF"/>
    <w:rsid w:val="6A130CD7"/>
    <w:rsid w:val="6A1C3F03"/>
    <w:rsid w:val="6A38073E"/>
    <w:rsid w:val="6A753B41"/>
    <w:rsid w:val="6A890F99"/>
    <w:rsid w:val="6A8F4802"/>
    <w:rsid w:val="6A9357CC"/>
    <w:rsid w:val="6A967468"/>
    <w:rsid w:val="6AA06A0F"/>
    <w:rsid w:val="6AC00E8A"/>
    <w:rsid w:val="6ACA583A"/>
    <w:rsid w:val="6B1C1C99"/>
    <w:rsid w:val="6B23319C"/>
    <w:rsid w:val="6BB645A3"/>
    <w:rsid w:val="6BC664F4"/>
    <w:rsid w:val="6BD36CF4"/>
    <w:rsid w:val="6BEE3D55"/>
    <w:rsid w:val="6C021003"/>
    <w:rsid w:val="6C306864"/>
    <w:rsid w:val="6C9F6C69"/>
    <w:rsid w:val="6CDE2D6D"/>
    <w:rsid w:val="6CE71005"/>
    <w:rsid w:val="6CFA617E"/>
    <w:rsid w:val="6CFF5543"/>
    <w:rsid w:val="6D0A63C2"/>
    <w:rsid w:val="6D2917A9"/>
    <w:rsid w:val="6D4E6E2B"/>
    <w:rsid w:val="6D514B1A"/>
    <w:rsid w:val="6D675648"/>
    <w:rsid w:val="6D806915"/>
    <w:rsid w:val="6D9C2E25"/>
    <w:rsid w:val="6DC527AC"/>
    <w:rsid w:val="6DD975D0"/>
    <w:rsid w:val="6DDE05B9"/>
    <w:rsid w:val="6DF826BE"/>
    <w:rsid w:val="6E14529D"/>
    <w:rsid w:val="6E2056EF"/>
    <w:rsid w:val="6E6C0E13"/>
    <w:rsid w:val="6E8615C7"/>
    <w:rsid w:val="6EA4707E"/>
    <w:rsid w:val="6EDD1581"/>
    <w:rsid w:val="6EE37D9F"/>
    <w:rsid w:val="6F154B2D"/>
    <w:rsid w:val="6F2F643B"/>
    <w:rsid w:val="6F3036D4"/>
    <w:rsid w:val="6F33431F"/>
    <w:rsid w:val="6F4B6090"/>
    <w:rsid w:val="6F712CE6"/>
    <w:rsid w:val="6F875D92"/>
    <w:rsid w:val="6F9E0BC2"/>
    <w:rsid w:val="6FD42CB7"/>
    <w:rsid w:val="6FD44445"/>
    <w:rsid w:val="6FE0340A"/>
    <w:rsid w:val="70227EC6"/>
    <w:rsid w:val="702A6D7B"/>
    <w:rsid w:val="70375C5A"/>
    <w:rsid w:val="703F60A8"/>
    <w:rsid w:val="705D2071"/>
    <w:rsid w:val="70763D6E"/>
    <w:rsid w:val="70822713"/>
    <w:rsid w:val="70A66401"/>
    <w:rsid w:val="70B46F74"/>
    <w:rsid w:val="70C64CF5"/>
    <w:rsid w:val="70C90342"/>
    <w:rsid w:val="70D97412"/>
    <w:rsid w:val="70EB02B8"/>
    <w:rsid w:val="70FA7AFA"/>
    <w:rsid w:val="71005C9C"/>
    <w:rsid w:val="71032634"/>
    <w:rsid w:val="71125845"/>
    <w:rsid w:val="71333A0D"/>
    <w:rsid w:val="71386D0D"/>
    <w:rsid w:val="714125CE"/>
    <w:rsid w:val="714B092C"/>
    <w:rsid w:val="71943AB8"/>
    <w:rsid w:val="71D30481"/>
    <w:rsid w:val="71E7047C"/>
    <w:rsid w:val="720A0C12"/>
    <w:rsid w:val="72343EE1"/>
    <w:rsid w:val="72395053"/>
    <w:rsid w:val="72587877"/>
    <w:rsid w:val="727E65D5"/>
    <w:rsid w:val="72875C50"/>
    <w:rsid w:val="72C316B4"/>
    <w:rsid w:val="72D03219"/>
    <w:rsid w:val="72D134DE"/>
    <w:rsid w:val="72D9617A"/>
    <w:rsid w:val="72FD1EE3"/>
    <w:rsid w:val="7316264A"/>
    <w:rsid w:val="731A5E0F"/>
    <w:rsid w:val="73465C7A"/>
    <w:rsid w:val="73900C02"/>
    <w:rsid w:val="73903399"/>
    <w:rsid w:val="73AA445A"/>
    <w:rsid w:val="73BE334D"/>
    <w:rsid w:val="73D94CFF"/>
    <w:rsid w:val="73DA4614"/>
    <w:rsid w:val="73DC038C"/>
    <w:rsid w:val="74130252"/>
    <w:rsid w:val="742E2236"/>
    <w:rsid w:val="74533F57"/>
    <w:rsid w:val="746C5BB4"/>
    <w:rsid w:val="74E538AA"/>
    <w:rsid w:val="74F00593"/>
    <w:rsid w:val="751A116C"/>
    <w:rsid w:val="75360D61"/>
    <w:rsid w:val="75682033"/>
    <w:rsid w:val="75763A2E"/>
    <w:rsid w:val="757E5B9F"/>
    <w:rsid w:val="75AB44BA"/>
    <w:rsid w:val="75CC203F"/>
    <w:rsid w:val="75E11C8A"/>
    <w:rsid w:val="75F6021B"/>
    <w:rsid w:val="76345A14"/>
    <w:rsid w:val="765B7C8E"/>
    <w:rsid w:val="767E397C"/>
    <w:rsid w:val="76A52F33"/>
    <w:rsid w:val="76AD3EE0"/>
    <w:rsid w:val="76E00193"/>
    <w:rsid w:val="76E6506A"/>
    <w:rsid w:val="770D2568"/>
    <w:rsid w:val="77185B7F"/>
    <w:rsid w:val="77463913"/>
    <w:rsid w:val="774A385E"/>
    <w:rsid w:val="77815EF6"/>
    <w:rsid w:val="77B3710F"/>
    <w:rsid w:val="77B70EF4"/>
    <w:rsid w:val="77BE04D4"/>
    <w:rsid w:val="77EE0719"/>
    <w:rsid w:val="7863107C"/>
    <w:rsid w:val="78702E03"/>
    <w:rsid w:val="78AA56F0"/>
    <w:rsid w:val="78AE679B"/>
    <w:rsid w:val="78CA10FB"/>
    <w:rsid w:val="791A3E30"/>
    <w:rsid w:val="792151BF"/>
    <w:rsid w:val="79992F3A"/>
    <w:rsid w:val="79A23380"/>
    <w:rsid w:val="79B25E17"/>
    <w:rsid w:val="79BA211C"/>
    <w:rsid w:val="79D02A72"/>
    <w:rsid w:val="79DD6C0C"/>
    <w:rsid w:val="79EB30D7"/>
    <w:rsid w:val="79EC68CF"/>
    <w:rsid w:val="7A014471"/>
    <w:rsid w:val="7A1B4C87"/>
    <w:rsid w:val="7A5C3FD5"/>
    <w:rsid w:val="7A805F15"/>
    <w:rsid w:val="7A921700"/>
    <w:rsid w:val="7A9D7487"/>
    <w:rsid w:val="7AB331FD"/>
    <w:rsid w:val="7ABB519F"/>
    <w:rsid w:val="7AD63D87"/>
    <w:rsid w:val="7AE77D48"/>
    <w:rsid w:val="7B8F65E6"/>
    <w:rsid w:val="7BBD4F47"/>
    <w:rsid w:val="7BBF4CC5"/>
    <w:rsid w:val="7BE7258B"/>
    <w:rsid w:val="7BF40B89"/>
    <w:rsid w:val="7C1A207B"/>
    <w:rsid w:val="7C30076C"/>
    <w:rsid w:val="7C537629"/>
    <w:rsid w:val="7C6A50C7"/>
    <w:rsid w:val="7C9D2185"/>
    <w:rsid w:val="7CC04CEF"/>
    <w:rsid w:val="7CC83F86"/>
    <w:rsid w:val="7CCA3711"/>
    <w:rsid w:val="7CFE770C"/>
    <w:rsid w:val="7D1F193A"/>
    <w:rsid w:val="7D2E5A63"/>
    <w:rsid w:val="7D324EEC"/>
    <w:rsid w:val="7D4C2098"/>
    <w:rsid w:val="7D7A30EF"/>
    <w:rsid w:val="7D86745E"/>
    <w:rsid w:val="7D935920"/>
    <w:rsid w:val="7DB77BF0"/>
    <w:rsid w:val="7DB84178"/>
    <w:rsid w:val="7DC61E5E"/>
    <w:rsid w:val="7DDA033E"/>
    <w:rsid w:val="7E467C69"/>
    <w:rsid w:val="7E474946"/>
    <w:rsid w:val="7E51192F"/>
    <w:rsid w:val="7E68697C"/>
    <w:rsid w:val="7EE655C5"/>
    <w:rsid w:val="7EF95A5A"/>
    <w:rsid w:val="7F215C35"/>
    <w:rsid w:val="7F2E09F5"/>
    <w:rsid w:val="7F636288"/>
    <w:rsid w:val="7FA04963"/>
    <w:rsid w:val="7FAF2DF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9" w:semiHidden="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qFormat="1" w:uiPriority="99" w:semiHidden="0" w:name="index 9"/>
    <w:lsdException w:qFormat="1" w:unhideWhenUsed="0" w:uiPriority="0" w:semiHidden="0" w:name="toc 1"/>
    <w:lsdException w:qFormat="1" w:unhideWhenUsed="0" w:uiPriority="0" w:semiHidden="0" w:name="toc 2"/>
    <w:lsdException w:qFormat="1"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iPriority="99" w:semiHidden="0" w:name="Normal Indent"/>
    <w:lsdException w:unhideWhenUsed="0" w:uiPriority="0" w:semiHidden="0" w:name="footnote text"/>
    <w:lsdException w:qFormat="1" w:unhideWhenUsed="0" w:uiPriority="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nhideWhenUsed="0" w:uiPriority="0" w:semiHidden="0" w:name="caption"/>
    <w:lsdException w:qFormat="1" w:unhideWhenUsed="0" w:uiPriority="0" w:semiHidden="0" w:name="table of figures"/>
    <w:lsdException w:unhideWhenUsed="0" w:uiPriority="0" w:semiHidden="0" w:name="envelope address"/>
    <w:lsdException w:qFormat="1" w:unhideWhenUsed="0" w:uiPriority="99"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qFormat="1" w:uiPriority="99"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qFormat="1" w:unhideWhenUsed="0" w:uiPriority="0" w:semiHidden="0" w:name="Body Text"/>
    <w:lsdException w:qFormat="1"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qFormat="1" w:uiPriority="99"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0" w:semiHidden="0" w:name="Body Text First Indent"/>
    <w:lsdException w:qFormat="1" w:unhideWhenUsed="0" w:uiPriority="0" w:semiHidden="0" w:name="Body Text First Indent 2"/>
    <w:lsdException w:unhideWhenUsed="0" w:uiPriority="0" w:semiHidden="0" w:name="Note Heading"/>
    <w:lsdException w:qFormat="1" w:uiPriority="0" w:semiHidden="0" w:name="Body Text 2"/>
    <w:lsdException w:qFormat="1"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qFormat="1" w:unhideWhenUsed="0" w:uiPriority="99"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qFormat="1"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qFormat="1" w:unhideWhenUsed="0" w:uiPriority="0" w:semiHidden="0" w:name="annotation subject"/>
    <w:lsdException w:uiPriority="0" w:name="Table Simple 1"/>
    <w:lsdException w:uiPriority="0" w:name="Table Simple 2"/>
    <w:lsdException w:uiPriority="0" w:name="Table Simple 3"/>
    <w:lsdException w:uiPriority="0" w:name="Table Classic 1"/>
    <w:lsdException w:uiPriority="0" w:name="Table Classic 2"/>
    <w:lsdException w:uiPriority="0" w:name="Table Classic 3"/>
    <w:lsdException w:uiPriority="0" w:name="Table Classic 4"/>
    <w:lsdException w:uiPriority="0" w:name="Table Colorful 1"/>
    <w:lsdException w:uiPriority="0" w:name="Table Colorful 2"/>
    <w:lsdException w:uiPriority="0" w:name="Table Colorful 3"/>
    <w:lsdException w:uiPriority="0" w:name="Table Columns 1"/>
    <w:lsdException w:uiPriority="0" w:name="Table Columns 2"/>
    <w:lsdException w:uiPriority="0" w:name="Table Columns 3"/>
    <w:lsdException w:uiPriority="0" w:name="Table Columns 4"/>
    <w:lsdException w:uiPriority="0" w:name="Table Columns 5"/>
    <w:lsdException w:uiPriority="0" w:name="Table Grid 1"/>
    <w:lsdException w:uiPriority="0" w:name="Table Grid 2"/>
    <w:lsdException w:uiPriority="0" w:name="Table Grid 3"/>
    <w:lsdException w:uiPriority="0" w:name="Table Grid 4"/>
    <w:lsdException w:uiPriority="0" w:name="Table Grid 5"/>
    <w:lsdException w:uiPriority="0" w:name="Table Grid 6"/>
    <w:lsdException w:uiPriority="0" w:name="Table Grid 7"/>
    <w:lsdException w:uiPriority="0" w:name="Table Grid 8"/>
    <w:lsdException w:uiPriority="0" w:name="Table List 1"/>
    <w:lsdException w:uiPriority="0" w:name="Table List 2"/>
    <w:lsdException w:uiPriority="0" w:name="Table List 3"/>
    <w:lsdException w:uiPriority="0" w:name="Table List 4"/>
    <w:lsdException w:uiPriority="0" w:name="Table List 5"/>
    <w:lsdException w:uiPriority="0" w:name="Table List 6"/>
    <w:lsdException w:uiPriority="0" w:name="Table List 7"/>
    <w:lsdException w:uiPriority="0" w:name="Table List 8"/>
    <w:lsdException w:uiPriority="0" w:name="Table 3D effects 1"/>
    <w:lsdException w:uiPriority="0" w:name="Table 3D effects 2"/>
    <w:lsdException w:uiPriority="0" w:name="Table 3D effects 3"/>
    <w:lsdException w:uiPriority="0" w:name="Table Contemporary"/>
    <w:lsdException w:uiPriority="0" w:name="Table Elegant"/>
    <w:lsdException w:uiPriority="0" w:name="Table Professional"/>
    <w:lsdException w:uiPriority="0" w:name="Table Subtle 1"/>
    <w:lsdException w:uiPriority="0" w:name="Table Subtle 2"/>
    <w:lsdException w:uiPriority="0" w:name="Table Web 1"/>
    <w:lsdException w:uiPriority="0" w:name="Table Web 2"/>
    <w:lsdException w:uiPriority="0" w:name="Table Web 3"/>
    <w:lsdException w:unhideWhenUsed="0" w:uiPriority="0" w:semiHidden="0" w:name="Balloon Text"/>
    <w:lsdException w:qFormat="1" w:unhideWhenUsed="0" w:uiPriority="59" w:semiHidden="0" w:name="Table Grid"/>
    <w:lsdException w:uiPriority="0" w:name="Table Theme"/>
    <w:lsdException w:qFormat="1" w:unhideWhenUsed="0" w:uiPriority="1"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0"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Book Antiqua" w:hAnsi="Book Antiqua" w:eastAsia="宋体" w:cs="Times New Roman"/>
      <w:kern w:val="2"/>
      <w:sz w:val="21"/>
      <w:szCs w:val="24"/>
      <w:lang w:val="en-US" w:eastAsia="zh-CN" w:bidi="ar-SA"/>
    </w:rPr>
  </w:style>
  <w:style w:type="paragraph" w:styleId="2">
    <w:name w:val="heading 1"/>
    <w:basedOn w:val="1"/>
    <w:next w:val="1"/>
    <w:qFormat/>
    <w:uiPriority w:val="0"/>
    <w:pPr>
      <w:keepNext/>
      <w:keepLines/>
      <w:spacing w:before="340" w:after="330" w:line="578" w:lineRule="auto"/>
      <w:jc w:val="center"/>
      <w:outlineLvl w:val="0"/>
    </w:pPr>
    <w:rPr>
      <w:b/>
      <w:bCs/>
      <w:kern w:val="44"/>
      <w:sz w:val="44"/>
      <w:szCs w:val="44"/>
    </w:rPr>
  </w:style>
  <w:style w:type="paragraph" w:styleId="3">
    <w:name w:val="heading 2"/>
    <w:basedOn w:val="1"/>
    <w:next w:val="1"/>
    <w:qFormat/>
    <w:uiPriority w:val="99"/>
    <w:pPr>
      <w:keepNext/>
      <w:keepLines/>
      <w:spacing w:before="260" w:after="260" w:line="416" w:lineRule="auto"/>
      <w:outlineLvl w:val="1"/>
    </w:pPr>
    <w:rPr>
      <w:rFonts w:ascii="Calibri Light" w:hAnsi="Calibri Light"/>
      <w:b/>
      <w:bCs/>
      <w:sz w:val="32"/>
      <w:szCs w:val="32"/>
    </w:rPr>
  </w:style>
  <w:style w:type="paragraph" w:styleId="4">
    <w:name w:val="heading 4"/>
    <w:basedOn w:val="1"/>
    <w:next w:val="1"/>
    <w:qFormat/>
    <w:uiPriority w:val="0"/>
    <w:pPr>
      <w:keepNext/>
      <w:keepLines/>
      <w:spacing w:before="280" w:after="290" w:line="376" w:lineRule="auto"/>
      <w:outlineLvl w:val="3"/>
    </w:pPr>
    <w:rPr>
      <w:rFonts w:ascii="Times New Roman" w:hAnsi="Times New Roman"/>
      <w:sz w:val="32"/>
      <w:szCs w:val="20"/>
    </w:rPr>
  </w:style>
  <w:style w:type="character" w:default="1" w:styleId="30">
    <w:name w:val="Default Paragraph Font"/>
    <w:semiHidden/>
    <w:unhideWhenUsed/>
    <w:qFormat/>
    <w:uiPriority w:val="1"/>
  </w:style>
  <w:style w:type="table" w:default="1" w:styleId="28">
    <w:name w:val="Normal Table"/>
    <w:semiHidden/>
    <w:unhideWhenUsed/>
    <w:qFormat/>
    <w:uiPriority w:val="99"/>
    <w:tblPr>
      <w:tblCellMar>
        <w:top w:w="0" w:type="dxa"/>
        <w:left w:w="108" w:type="dxa"/>
        <w:bottom w:w="0" w:type="dxa"/>
        <w:right w:w="108" w:type="dxa"/>
      </w:tblCellMar>
    </w:tblPr>
  </w:style>
  <w:style w:type="paragraph" w:styleId="5">
    <w:name w:val="Normal Indent"/>
    <w:basedOn w:val="1"/>
    <w:next w:val="6"/>
    <w:unhideWhenUsed/>
    <w:qFormat/>
    <w:uiPriority w:val="99"/>
    <w:pPr>
      <w:ind w:firstLine="420"/>
    </w:pPr>
    <w:rPr>
      <w:rFonts w:ascii="Calibri" w:hAnsi="Calibri"/>
      <w:szCs w:val="20"/>
    </w:rPr>
  </w:style>
  <w:style w:type="paragraph" w:styleId="6">
    <w:name w:val="Body Text"/>
    <w:basedOn w:val="1"/>
    <w:qFormat/>
    <w:uiPriority w:val="0"/>
    <w:rPr>
      <w:rFonts w:ascii="Times New Roman" w:hAnsi="Times New Roman"/>
    </w:rPr>
  </w:style>
  <w:style w:type="paragraph" w:styleId="7">
    <w:name w:val="caption"/>
    <w:basedOn w:val="1"/>
    <w:next w:val="1"/>
    <w:qFormat/>
    <w:uiPriority w:val="0"/>
    <w:rPr>
      <w:rFonts w:ascii="Arial" w:hAnsi="Arial" w:eastAsia="黑体" w:cstheme="minorBidi"/>
      <w:sz w:val="20"/>
    </w:rPr>
  </w:style>
  <w:style w:type="paragraph" w:styleId="8">
    <w:name w:val="toa heading"/>
    <w:basedOn w:val="1"/>
    <w:next w:val="1"/>
    <w:unhideWhenUsed/>
    <w:qFormat/>
    <w:uiPriority w:val="99"/>
    <w:pPr>
      <w:spacing w:before="120"/>
    </w:pPr>
    <w:rPr>
      <w:rFonts w:ascii="Arial" w:hAnsi="Arial" w:cs="Arial"/>
      <w:sz w:val="24"/>
    </w:rPr>
  </w:style>
  <w:style w:type="paragraph" w:styleId="9">
    <w:name w:val="annotation text"/>
    <w:basedOn w:val="1"/>
    <w:semiHidden/>
    <w:qFormat/>
    <w:uiPriority w:val="0"/>
    <w:pPr>
      <w:jc w:val="left"/>
    </w:pPr>
  </w:style>
  <w:style w:type="paragraph" w:styleId="10">
    <w:name w:val="Body Text 3"/>
    <w:basedOn w:val="1"/>
    <w:unhideWhenUsed/>
    <w:qFormat/>
    <w:uiPriority w:val="0"/>
    <w:pPr>
      <w:spacing w:after="120"/>
    </w:pPr>
    <w:rPr>
      <w:rFonts w:ascii="Times New Roman" w:hAnsi="Times New Roman"/>
      <w:sz w:val="16"/>
      <w:szCs w:val="16"/>
    </w:rPr>
  </w:style>
  <w:style w:type="paragraph" w:styleId="11">
    <w:name w:val="Body Text Indent"/>
    <w:basedOn w:val="1"/>
    <w:qFormat/>
    <w:uiPriority w:val="0"/>
    <w:pPr>
      <w:ind w:firstLine="560" w:firstLineChars="200"/>
    </w:pPr>
    <w:rPr>
      <w:rFonts w:ascii="Times New Roman" w:hAnsi="Times New Roman"/>
    </w:rPr>
  </w:style>
  <w:style w:type="paragraph" w:styleId="12">
    <w:name w:val="toc 3"/>
    <w:basedOn w:val="1"/>
    <w:next w:val="1"/>
    <w:qFormat/>
    <w:uiPriority w:val="0"/>
    <w:pPr>
      <w:ind w:left="840" w:leftChars="400"/>
    </w:pPr>
  </w:style>
  <w:style w:type="paragraph" w:styleId="13">
    <w:name w:val="Plain Text"/>
    <w:basedOn w:val="1"/>
    <w:qFormat/>
    <w:uiPriority w:val="0"/>
    <w:rPr>
      <w:rFonts w:hint="eastAsia" w:ascii="宋体" w:hAnsi="Courier New"/>
      <w:szCs w:val="21"/>
    </w:rPr>
  </w:style>
  <w:style w:type="paragraph" w:styleId="14">
    <w:name w:val="footer"/>
    <w:basedOn w:val="1"/>
    <w:qFormat/>
    <w:uiPriority w:val="0"/>
    <w:pPr>
      <w:tabs>
        <w:tab w:val="center" w:pos="4153"/>
        <w:tab w:val="right" w:pos="8306"/>
      </w:tabs>
      <w:snapToGrid w:val="0"/>
      <w:jc w:val="left"/>
    </w:pPr>
    <w:rPr>
      <w:rFonts w:ascii="Times New Roman" w:hAnsi="Times New Roman"/>
      <w:sz w:val="18"/>
      <w:szCs w:val="18"/>
    </w:rPr>
  </w:style>
  <w:style w:type="paragraph" w:styleId="15">
    <w:name w:val="envelope return"/>
    <w:basedOn w:val="1"/>
    <w:qFormat/>
    <w:uiPriority w:val="99"/>
    <w:pPr>
      <w:snapToGrid w:val="0"/>
    </w:pPr>
    <w:rPr>
      <w:rFonts w:ascii="Arial" w:hAnsi="Arial" w:cs="Arial"/>
    </w:rPr>
  </w:style>
  <w:style w:type="paragraph" w:styleId="16">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pPr>
    <w:rPr>
      <w:rFonts w:ascii="Times New Roman" w:hAnsi="Times New Roman"/>
      <w:sz w:val="18"/>
      <w:szCs w:val="18"/>
    </w:rPr>
  </w:style>
  <w:style w:type="paragraph" w:styleId="17">
    <w:name w:val="toc 1"/>
    <w:basedOn w:val="1"/>
    <w:next w:val="1"/>
    <w:qFormat/>
    <w:uiPriority w:val="0"/>
    <w:rPr>
      <w:rFonts w:ascii="Times New Roman" w:hAnsi="Times New Roman"/>
    </w:rPr>
  </w:style>
  <w:style w:type="paragraph" w:styleId="18">
    <w:name w:val="index 9"/>
    <w:basedOn w:val="1"/>
    <w:next w:val="1"/>
    <w:unhideWhenUsed/>
    <w:qFormat/>
    <w:uiPriority w:val="99"/>
    <w:pPr>
      <w:ind w:left="1600" w:leftChars="1600"/>
    </w:pPr>
  </w:style>
  <w:style w:type="paragraph" w:styleId="19">
    <w:name w:val="table of figures"/>
    <w:basedOn w:val="1"/>
    <w:next w:val="1"/>
    <w:qFormat/>
    <w:uiPriority w:val="0"/>
    <w:pPr>
      <w:ind w:left="200" w:leftChars="200" w:hanging="200" w:hangingChars="200"/>
    </w:pPr>
    <w:rPr>
      <w:rFonts w:ascii="Times New Roman" w:hAnsi="Times New Roman"/>
    </w:rPr>
  </w:style>
  <w:style w:type="paragraph" w:styleId="20">
    <w:name w:val="toc 2"/>
    <w:basedOn w:val="1"/>
    <w:next w:val="1"/>
    <w:qFormat/>
    <w:uiPriority w:val="0"/>
    <w:pPr>
      <w:ind w:left="420" w:leftChars="200"/>
    </w:pPr>
  </w:style>
  <w:style w:type="paragraph" w:styleId="21">
    <w:name w:val="Body Text 2"/>
    <w:basedOn w:val="1"/>
    <w:next w:val="6"/>
    <w:unhideWhenUsed/>
    <w:qFormat/>
    <w:uiPriority w:val="0"/>
    <w:pPr>
      <w:spacing w:after="120" w:line="480" w:lineRule="auto"/>
    </w:pPr>
    <w:rPr>
      <w:rFonts w:ascii="Times New Roman" w:hAnsi="Times New Roman"/>
    </w:rPr>
  </w:style>
  <w:style w:type="paragraph" w:styleId="22">
    <w:name w:val="Message Header"/>
    <w:basedOn w:val="1"/>
    <w:unhideWhenUsed/>
    <w:qFormat/>
    <w:uiPriority w:val="99"/>
    <w:pPr>
      <w:pBdr>
        <w:top w:val="single" w:color="auto" w:sz="6" w:space="1"/>
        <w:left w:val="single" w:color="auto" w:sz="6" w:space="1"/>
        <w:bottom w:val="single" w:color="auto" w:sz="6" w:space="1"/>
        <w:right w:val="single" w:color="auto" w:sz="6" w:space="1"/>
      </w:pBdr>
      <w:shd w:val="pct20" w:color="auto" w:fill="auto"/>
      <w:ind w:left="500" w:leftChars="500" w:hanging="1080" w:hangingChars="500"/>
    </w:pPr>
    <w:rPr>
      <w:rFonts w:ascii="Arial" w:hAnsi="Arial" w:cs="Arial"/>
      <w:sz w:val="24"/>
      <w:szCs w:val="21"/>
    </w:rPr>
  </w:style>
  <w:style w:type="paragraph" w:styleId="23">
    <w:name w:val="Normal (Web)"/>
    <w:basedOn w:val="1"/>
    <w:qFormat/>
    <w:uiPriority w:val="0"/>
    <w:pPr>
      <w:widowControl/>
      <w:spacing w:before="100" w:beforeAutospacing="1" w:after="100" w:afterAutospacing="1"/>
      <w:jc w:val="left"/>
    </w:pPr>
    <w:rPr>
      <w:rFonts w:ascii="宋体" w:hAnsi="宋体" w:cs="宋体"/>
      <w:kern w:val="0"/>
      <w:sz w:val="24"/>
    </w:rPr>
  </w:style>
  <w:style w:type="paragraph" w:styleId="24">
    <w:name w:val="Title"/>
    <w:basedOn w:val="1"/>
    <w:next w:val="1"/>
    <w:qFormat/>
    <w:uiPriority w:val="0"/>
    <w:pPr>
      <w:spacing w:before="240" w:after="60"/>
      <w:jc w:val="center"/>
      <w:outlineLvl w:val="0"/>
    </w:pPr>
    <w:rPr>
      <w:rFonts w:ascii="Calibri Light" w:hAnsi="Calibri Light" w:eastAsia="Calibri Light"/>
      <w:b/>
      <w:sz w:val="32"/>
      <w:szCs w:val="32"/>
    </w:rPr>
  </w:style>
  <w:style w:type="paragraph" w:styleId="25">
    <w:name w:val="annotation subject"/>
    <w:basedOn w:val="9"/>
    <w:next w:val="1"/>
    <w:qFormat/>
    <w:uiPriority w:val="0"/>
    <w:rPr>
      <w:b/>
      <w:bCs/>
    </w:rPr>
  </w:style>
  <w:style w:type="paragraph" w:styleId="26">
    <w:name w:val="Body Text First Indent"/>
    <w:basedOn w:val="6"/>
    <w:next w:val="27"/>
    <w:unhideWhenUsed/>
    <w:qFormat/>
    <w:uiPriority w:val="0"/>
    <w:pPr>
      <w:ind w:firstLine="420" w:firstLineChars="100"/>
    </w:pPr>
    <w:rPr>
      <w:rFonts w:hint="eastAsia" w:ascii="楷体_GB2312" w:eastAsia="楷体_GB2312"/>
      <w:sz w:val="32"/>
    </w:rPr>
  </w:style>
  <w:style w:type="paragraph" w:styleId="27">
    <w:name w:val="Body Text First Indent 2"/>
    <w:basedOn w:val="11"/>
    <w:qFormat/>
    <w:uiPriority w:val="0"/>
    <w:pPr>
      <w:ind w:firstLine="420"/>
    </w:pPr>
  </w:style>
  <w:style w:type="table" w:styleId="29">
    <w:name w:val="Table Grid"/>
    <w:basedOn w:val="28"/>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31">
    <w:name w:val="Strong"/>
    <w:basedOn w:val="30"/>
    <w:qFormat/>
    <w:uiPriority w:val="0"/>
    <w:rPr>
      <w:b/>
      <w:vanish/>
    </w:rPr>
  </w:style>
  <w:style w:type="character" w:styleId="32">
    <w:name w:val="Hyperlink"/>
    <w:qFormat/>
    <w:uiPriority w:val="99"/>
    <w:rPr>
      <w:rFonts w:cs="Times New Roman"/>
      <w:color w:val="0000FF"/>
      <w:u w:val="single"/>
    </w:rPr>
  </w:style>
  <w:style w:type="paragraph" w:customStyle="1" w:styleId="33">
    <w:name w:val="Default"/>
    <w:basedOn w:val="1"/>
    <w:next w:val="1"/>
    <w:qFormat/>
    <w:uiPriority w:val="0"/>
    <w:pPr>
      <w:autoSpaceDE w:val="0"/>
      <w:autoSpaceDN w:val="0"/>
      <w:adjustRightInd w:val="0"/>
      <w:jc w:val="left"/>
    </w:pPr>
    <w:rPr>
      <w:rFonts w:hint="eastAsia" w:ascii="宋体" w:hAnsi="Calibri"/>
      <w:color w:val="000000"/>
      <w:kern w:val="0"/>
      <w:sz w:val="24"/>
    </w:rPr>
  </w:style>
  <w:style w:type="paragraph" w:customStyle="1" w:styleId="34">
    <w:name w:val="目录 71"/>
    <w:next w:val="1"/>
    <w:qFormat/>
    <w:uiPriority w:val="0"/>
    <w:pPr>
      <w:wordWrap w:val="0"/>
      <w:ind w:left="2550"/>
      <w:jc w:val="both"/>
    </w:pPr>
    <w:rPr>
      <w:rFonts w:ascii="Times New Roman" w:hAnsi="Times New Roman" w:eastAsia="宋体" w:cs="Times New Roman"/>
      <w:sz w:val="21"/>
      <w:szCs w:val="22"/>
      <w:lang w:val="en-US" w:eastAsia="zh-CN" w:bidi="ar-SA"/>
    </w:rPr>
  </w:style>
  <w:style w:type="paragraph" w:customStyle="1" w:styleId="35">
    <w:name w:val="无间隔1"/>
    <w:basedOn w:val="1"/>
    <w:next w:val="36"/>
    <w:qFormat/>
    <w:uiPriority w:val="0"/>
    <w:pPr>
      <w:spacing w:line="400" w:lineRule="exact"/>
    </w:pPr>
    <w:rPr>
      <w:sz w:val="24"/>
    </w:rPr>
  </w:style>
  <w:style w:type="paragraph" w:customStyle="1" w:styleId="36">
    <w:name w:val="正文（首行缩进） Char"/>
    <w:basedOn w:val="1"/>
    <w:next w:val="37"/>
    <w:qFormat/>
    <w:uiPriority w:val="0"/>
    <w:pPr>
      <w:spacing w:line="360" w:lineRule="auto"/>
      <w:ind w:firstLine="480"/>
    </w:pPr>
    <w:rPr>
      <w:rFonts w:ascii="Arial"/>
      <w:color w:val="000000"/>
      <w:sz w:val="24"/>
    </w:rPr>
  </w:style>
  <w:style w:type="paragraph" w:customStyle="1" w:styleId="37">
    <w:name w:val="2号黑体加粗"/>
    <w:basedOn w:val="1"/>
    <w:next w:val="38"/>
    <w:qFormat/>
    <w:uiPriority w:val="0"/>
    <w:pPr>
      <w:jc w:val="center"/>
    </w:pPr>
    <w:rPr>
      <w:rFonts w:ascii="Calibri" w:eastAsia="黑体"/>
      <w:b/>
      <w:sz w:val="44"/>
    </w:rPr>
  </w:style>
  <w:style w:type="paragraph" w:customStyle="1" w:styleId="38">
    <w:name w:val="表格文字"/>
    <w:basedOn w:val="1"/>
    <w:next w:val="1"/>
    <w:qFormat/>
    <w:uiPriority w:val="0"/>
    <w:pPr>
      <w:adjustRightInd w:val="0"/>
      <w:spacing w:line="420" w:lineRule="atLeast"/>
      <w:jc w:val="left"/>
      <w:textAlignment w:val="baseline"/>
    </w:pPr>
    <w:rPr>
      <w:kern w:val="0"/>
    </w:rPr>
  </w:style>
  <w:style w:type="paragraph" w:customStyle="1" w:styleId="39">
    <w:name w:val="TOC Heading1"/>
    <w:next w:val="1"/>
    <w:qFormat/>
    <w:uiPriority w:val="0"/>
    <w:pPr>
      <w:wordWrap w:val="0"/>
    </w:pPr>
    <w:rPr>
      <w:rFonts w:ascii="Calibri" w:hAnsi="Calibri" w:eastAsia="宋体" w:cs="Times New Roman"/>
      <w:sz w:val="32"/>
      <w:szCs w:val="22"/>
      <w:lang w:val="en-US" w:eastAsia="zh-CN" w:bidi="ar-SA"/>
    </w:rPr>
  </w:style>
  <w:style w:type="paragraph" w:customStyle="1" w:styleId="40">
    <w:name w:val="style4"/>
    <w:basedOn w:val="41"/>
    <w:next w:val="42"/>
    <w:qFormat/>
    <w:uiPriority w:val="0"/>
    <w:pPr>
      <w:widowControl/>
      <w:spacing w:before="100" w:beforeAutospacing="1" w:after="100" w:afterAutospacing="1"/>
      <w:jc w:val="left"/>
    </w:pPr>
    <w:rPr>
      <w:rFonts w:ascii="宋体" w:hAnsi="宋体" w:cs="宋体"/>
      <w:kern w:val="0"/>
      <w:sz w:val="18"/>
      <w:szCs w:val="18"/>
    </w:rPr>
  </w:style>
  <w:style w:type="paragraph" w:customStyle="1" w:styleId="41">
    <w:name w:val="正文_0"/>
    <w:next w:val="26"/>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2">
    <w:name w:val="2"/>
    <w:next w:val="1"/>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3">
    <w:name w:val="Style1"/>
    <w:next w:val="44"/>
    <w:qFormat/>
    <w:uiPriority w:val="0"/>
    <w:pPr>
      <w:numPr>
        <w:ilvl w:val="0"/>
        <w:numId w:val="1"/>
      </w:numPr>
      <w:tabs>
        <w:tab w:val="left" w:pos="720"/>
        <w:tab w:val="left" w:pos="1616"/>
        <w:tab w:val="left" w:pos="1914"/>
        <w:tab w:val="left" w:pos="2162"/>
        <w:tab w:val="left" w:pos="2411"/>
        <w:tab w:val="left" w:pos="2880"/>
        <w:tab w:val="left" w:pos="3600"/>
        <w:tab w:val="left" w:pos="3685"/>
        <w:tab w:val="left" w:pos="4320"/>
        <w:tab w:val="right" w:pos="4536"/>
        <w:tab w:val="left" w:pos="4819"/>
        <w:tab w:val="left" w:pos="5040"/>
        <w:tab w:val="left" w:pos="5760"/>
        <w:tab w:val="left" w:pos="5952"/>
        <w:tab w:val="left" w:pos="6480"/>
        <w:tab w:val="left" w:pos="7177"/>
        <w:tab w:val="left" w:pos="7920"/>
        <w:tab w:val="left" w:pos="8220"/>
        <w:tab w:val="left" w:pos="8640"/>
        <w:tab w:val="left" w:pos="9337"/>
        <w:tab w:val="left" w:pos="10488"/>
        <w:tab w:val="left" w:pos="11622"/>
        <w:tab w:val="left" w:pos="12756"/>
        <w:tab w:val="left" w:pos="13890"/>
        <w:tab w:val="left" w:pos="14377"/>
        <w:tab w:val="left" w:pos="15097"/>
        <w:tab w:val="left" w:pos="15817"/>
        <w:tab w:val="left" w:pos="16537"/>
        <w:tab w:val="left" w:pos="17257"/>
        <w:tab w:val="left" w:pos="17977"/>
        <w:tab w:val="left" w:pos="18697"/>
        <w:tab w:val="left" w:pos="19417"/>
        <w:tab w:val="left" w:pos="20137"/>
      </w:tabs>
      <w:spacing w:line="360" w:lineRule="auto"/>
      <w:jc w:val="center"/>
    </w:pPr>
    <w:rPr>
      <w:rFonts w:ascii="Calibri" w:hAnsi="Calibri" w:eastAsia="宋体" w:cs="宋体"/>
      <w:b/>
      <w:kern w:val="24"/>
      <w:sz w:val="24"/>
      <w:lang w:val="en-GB" w:eastAsia="zh-CN" w:bidi="ar-SA"/>
    </w:rPr>
  </w:style>
  <w:style w:type="paragraph" w:customStyle="1" w:styleId="44">
    <w:name w:val="*正文"/>
    <w:basedOn w:val="1"/>
    <w:qFormat/>
    <w:uiPriority w:val="0"/>
    <w:pPr>
      <w:ind w:firstLine="200" w:firstLineChars="200"/>
    </w:pPr>
    <w:rPr>
      <w:rFonts w:ascii="宋体" w:hAnsi="宋体"/>
      <w:szCs w:val="22"/>
    </w:rPr>
  </w:style>
  <w:style w:type="paragraph" w:customStyle="1" w:styleId="45">
    <w:name w:val="Body Text First Indent1"/>
    <w:basedOn w:val="6"/>
    <w:qFormat/>
    <w:uiPriority w:val="0"/>
    <w:pPr>
      <w:ind w:firstLine="420" w:firstLineChars="100"/>
    </w:pPr>
  </w:style>
  <w:style w:type="paragraph" w:customStyle="1" w:styleId="46">
    <w:name w:val="列出段落2"/>
    <w:basedOn w:val="1"/>
    <w:qFormat/>
    <w:uiPriority w:val="34"/>
    <w:pPr>
      <w:autoSpaceDE w:val="0"/>
      <w:autoSpaceDN w:val="0"/>
      <w:ind w:left="111" w:firstLine="420"/>
      <w:jc w:val="left"/>
    </w:pPr>
    <w:rPr>
      <w:rFonts w:ascii="宋体" w:hAnsi="宋体" w:cs="宋体"/>
      <w:kern w:val="0"/>
      <w:sz w:val="22"/>
      <w:szCs w:val="22"/>
      <w:lang w:eastAsia="en-US"/>
    </w:rPr>
  </w:style>
  <w:style w:type="paragraph" w:customStyle="1" w:styleId="47">
    <w:name w:val="p0"/>
    <w:basedOn w:val="48"/>
    <w:qFormat/>
    <w:uiPriority w:val="0"/>
    <w:pPr>
      <w:widowControl/>
    </w:pPr>
    <w:rPr>
      <w:kern w:val="0"/>
      <w:szCs w:val="21"/>
    </w:rPr>
  </w:style>
  <w:style w:type="paragraph" w:customStyle="1" w:styleId="48">
    <w:name w:val="正文1"/>
    <w:next w:val="49"/>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49">
    <w:name w:val="正文文本1"/>
    <w:basedOn w:val="48"/>
    <w:qFormat/>
    <w:uiPriority w:val="99"/>
    <w:rPr>
      <w:rFonts w:eastAsia="楷体_GB2312"/>
      <w:sz w:val="28"/>
    </w:rPr>
  </w:style>
  <w:style w:type="character" w:customStyle="1" w:styleId="50">
    <w:name w:val="NormalCharacter"/>
    <w:qFormat/>
    <w:uiPriority w:val="0"/>
    <w:rPr>
      <w:rFonts w:ascii="Book Antiqua" w:hAnsi="Book Antiqua" w:eastAsia="宋体" w:cs="Times New Roman"/>
      <w:kern w:val="2"/>
      <w:sz w:val="21"/>
      <w:szCs w:val="24"/>
      <w:lang w:val="en-US" w:eastAsia="zh-CN" w:bidi="ar-SA"/>
    </w:rPr>
  </w:style>
  <w:style w:type="paragraph" w:customStyle="1" w:styleId="51">
    <w:name w:val="BodyText1I"/>
    <w:basedOn w:val="52"/>
    <w:next w:val="54"/>
    <w:qFormat/>
    <w:uiPriority w:val="0"/>
    <w:pPr>
      <w:ind w:firstLine="420" w:firstLineChars="100"/>
    </w:pPr>
    <w:rPr>
      <w:rFonts w:ascii="楷体_GB2312"/>
      <w:sz w:val="32"/>
    </w:rPr>
  </w:style>
  <w:style w:type="paragraph" w:customStyle="1" w:styleId="52">
    <w:name w:val="BodyText"/>
    <w:basedOn w:val="1"/>
    <w:next w:val="53"/>
    <w:qFormat/>
    <w:uiPriority w:val="0"/>
    <w:pPr>
      <w:textAlignment w:val="baseline"/>
    </w:pPr>
    <w:rPr>
      <w:rFonts w:ascii="Calibri" w:hAnsi="Calibri" w:eastAsia="楷体_GB2312"/>
      <w:kern w:val="0"/>
      <w:sz w:val="28"/>
    </w:rPr>
  </w:style>
  <w:style w:type="paragraph" w:customStyle="1" w:styleId="53">
    <w:name w:val="BodyText2"/>
    <w:basedOn w:val="1"/>
    <w:next w:val="52"/>
    <w:qFormat/>
    <w:uiPriority w:val="0"/>
    <w:pPr>
      <w:spacing w:after="120" w:line="480" w:lineRule="auto"/>
      <w:textAlignment w:val="baseline"/>
    </w:pPr>
  </w:style>
  <w:style w:type="paragraph" w:customStyle="1" w:styleId="54">
    <w:name w:val="BodyText1I2"/>
    <w:basedOn w:val="55"/>
    <w:qFormat/>
    <w:uiPriority w:val="0"/>
    <w:pPr>
      <w:ind w:firstLine="420" w:firstLineChars="200"/>
    </w:pPr>
  </w:style>
  <w:style w:type="paragraph" w:customStyle="1" w:styleId="55">
    <w:name w:val="BodyTextIndent"/>
    <w:basedOn w:val="1"/>
    <w:qFormat/>
    <w:uiPriority w:val="0"/>
    <w:pPr>
      <w:spacing w:after="120"/>
      <w:ind w:left="420" w:leftChars="200"/>
      <w:textAlignment w:val="baseline"/>
    </w:pPr>
  </w:style>
  <w:style w:type="paragraph" w:customStyle="1" w:styleId="56">
    <w:name w:val="TOAHeading"/>
    <w:basedOn w:val="1"/>
    <w:next w:val="1"/>
    <w:qFormat/>
    <w:uiPriority w:val="0"/>
    <w:pPr>
      <w:spacing w:before="120"/>
      <w:textAlignment w:val="baseline"/>
    </w:pPr>
    <w:rPr>
      <w:rFonts w:ascii="Arial" w:hAnsi="Arial"/>
      <w:sz w:val="24"/>
      <w:szCs w:val="22"/>
    </w:rPr>
  </w:style>
  <w:style w:type="paragraph" w:customStyle="1" w:styleId="57">
    <w:name w:val="Table Paragraph"/>
    <w:basedOn w:val="48"/>
    <w:qFormat/>
    <w:uiPriority w:val="1"/>
    <w:rPr>
      <w:rFonts w:ascii="宋体" w:hAnsi="宋体" w:cs="宋体"/>
      <w:lang w:val="zh-CN" w:bidi="zh-CN"/>
    </w:rPr>
  </w:style>
  <w:style w:type="paragraph" w:styleId="58">
    <w:name w:val="List Paragraph"/>
    <w:basedOn w:val="1"/>
    <w:qFormat/>
    <w:uiPriority w:val="0"/>
    <w:pPr>
      <w:widowControl/>
      <w:ind w:left="720"/>
      <w:jc w:val="left"/>
    </w:pPr>
    <w:rPr>
      <w:rFonts w:hint="eastAsia" w:ascii="Calibri" w:hAnsi="Calibri"/>
      <w:kern w:val="0"/>
      <w:sz w:val="24"/>
      <w:lang w:eastAsia="en-US" w:bidi="en-US"/>
    </w:rPr>
  </w:style>
  <w:style w:type="paragraph" w:customStyle="1" w:styleId="59">
    <w:name w:val="_Style 41"/>
    <w:basedOn w:val="1"/>
    <w:next w:val="58"/>
    <w:qFormat/>
    <w:uiPriority w:val="34"/>
    <w:pPr>
      <w:ind w:firstLine="420" w:firstLineChars="200"/>
    </w:pPr>
    <w:rPr>
      <w:rFonts w:ascii="等线" w:hAnsi="等线" w:eastAsia="等线"/>
      <w:szCs w:val="22"/>
    </w:rPr>
  </w:style>
  <w:style w:type="paragraph" w:customStyle="1" w:styleId="60">
    <w:name w:val="信息标题1"/>
    <w:basedOn w:val="1"/>
    <w:qFormat/>
    <w:uiPriority w:val="0"/>
    <w:pPr>
      <w:pBdr>
        <w:top w:val="single" w:color="auto" w:sz="6" w:space="1"/>
        <w:left w:val="single" w:color="auto" w:sz="6" w:space="1"/>
        <w:bottom w:val="single" w:color="auto" w:sz="6" w:space="1"/>
        <w:right w:val="single" w:color="auto" w:sz="6" w:space="1"/>
      </w:pBdr>
      <w:shd w:val="pct20" w:color="auto" w:fill="auto"/>
      <w:ind w:left="1080" w:leftChars="500" w:hanging="1080" w:hangingChars="500"/>
    </w:pPr>
    <w:rPr>
      <w:rFonts w:ascii="Arial" w:hAnsi="Arial"/>
      <w:kern w:val="0"/>
    </w:rPr>
  </w:style>
  <w:style w:type="paragraph" w:styleId="61">
    <w:name w:val="No Spacing"/>
    <w:qFormat/>
    <w:uiPriority w:val="1"/>
    <w:pPr>
      <w:widowControl w:val="0"/>
      <w:jc w:val="both"/>
    </w:pPr>
    <w:rPr>
      <w:rFonts w:ascii="Calibri" w:hAnsi="Calibri" w:eastAsia="宋体" w:cs="Times New Roman"/>
      <w:kern w:val="2"/>
      <w:sz w:val="21"/>
      <w:szCs w:val="22"/>
      <w:lang w:val="en-US" w:eastAsia="zh-CN" w:bidi="ar-SA"/>
    </w:rPr>
  </w:style>
  <w:style w:type="paragraph" w:customStyle="1" w:styleId="62">
    <w:name w:val="列出段落1"/>
    <w:basedOn w:val="1"/>
    <w:qFormat/>
    <w:uiPriority w:val="34"/>
    <w:pPr>
      <w:ind w:firstLine="420" w:firstLineChars="200"/>
    </w:pPr>
    <w:rPr>
      <w:rFonts w:ascii="Calibri" w:hAnsi="Calibri"/>
      <w:szCs w:val="22"/>
    </w:rPr>
  </w:style>
  <w:style w:type="paragraph" w:customStyle="1" w:styleId="63">
    <w:name w:val="正文_5_0"/>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64">
    <w:name w:val="p15"/>
    <w:basedOn w:val="48"/>
    <w:qFormat/>
    <w:uiPriority w:val="0"/>
    <w:pPr>
      <w:widowControl/>
      <w:spacing w:line="365" w:lineRule="atLeast"/>
      <w:ind w:left="1"/>
    </w:pPr>
    <w:rPr>
      <w:kern w:val="0"/>
      <w:sz w:val="20"/>
      <w:szCs w:val="20"/>
    </w:rPr>
  </w:style>
  <w:style w:type="paragraph" w:customStyle="1" w:styleId="65">
    <w:name w:val="Table Text"/>
    <w:basedOn w:val="1"/>
    <w:semiHidden/>
    <w:qFormat/>
    <w:uiPriority w:val="0"/>
    <w:pPr>
      <w:widowControl/>
      <w:kinsoku w:val="0"/>
      <w:autoSpaceDE w:val="0"/>
      <w:autoSpaceDN w:val="0"/>
      <w:adjustRightInd w:val="0"/>
      <w:snapToGrid w:val="0"/>
      <w:spacing w:after="0" w:line="240" w:lineRule="auto"/>
      <w:textAlignment w:val="baseline"/>
    </w:pPr>
    <w:rPr>
      <w:rFonts w:ascii="宋体" w:hAnsi="宋体" w:eastAsia="宋体" w:cs="宋体"/>
      <w:snapToGrid w:val="0"/>
      <w:color w:val="000000"/>
      <w:kern w:val="0"/>
      <w:sz w:val="24"/>
      <w:lang w:eastAsia="en-US"/>
    </w:rPr>
  </w:style>
  <w:style w:type="paragraph" w:customStyle="1" w:styleId="66">
    <w:name w:val="Other|1"/>
    <w:basedOn w:val="1"/>
    <w:qFormat/>
    <w:uiPriority w:val="0"/>
    <w:pPr>
      <w:spacing w:after="100" w:line="430" w:lineRule="auto"/>
      <w:ind w:firstLine="400"/>
      <w:jc w:val="both"/>
    </w:pPr>
    <w:rPr>
      <w:rFonts w:ascii="宋体" w:hAnsi="宋体" w:eastAsia="宋体" w:cs="宋体"/>
      <w:sz w:val="20"/>
      <w:szCs w:val="20"/>
      <w:lang w:val="zh-TW" w:eastAsia="zh-TW" w:bidi="zh-TW"/>
    </w:rPr>
  </w:style>
  <w:style w:type="paragraph" w:customStyle="1" w:styleId="67">
    <w:name w:val="列表段落111"/>
    <w:basedOn w:val="1"/>
    <w:qFormat/>
    <w:uiPriority w:val="34"/>
    <w:pPr>
      <w:spacing w:after="0" w:line="240" w:lineRule="auto"/>
      <w:ind w:firstLine="420" w:firstLineChars="200"/>
      <w:jc w:val="both"/>
    </w:pPr>
    <w:rPr>
      <w:sz w:val="21"/>
    </w:rPr>
  </w:style>
  <w:style w:type="character" w:customStyle="1" w:styleId="68">
    <w:name w:val="font11"/>
    <w:qFormat/>
    <w:uiPriority w:val="0"/>
    <w:rPr>
      <w:rFonts w:hint="eastAsia" w:ascii="宋体" w:hAnsi="宋体" w:eastAsia="宋体" w:cs="宋体"/>
      <w:color w:val="000000"/>
      <w:sz w:val="20"/>
      <w:szCs w:val="20"/>
      <w:u w:val="none"/>
    </w:rPr>
  </w:style>
  <w:style w:type="character" w:customStyle="1" w:styleId="69">
    <w:name w:val="font01"/>
    <w:basedOn w:val="30"/>
    <w:qFormat/>
    <w:uiPriority w:val="0"/>
    <w:rPr>
      <w:rFonts w:hint="eastAsia" w:ascii="宋体" w:hAnsi="宋体" w:eastAsia="宋体" w:cs="宋体"/>
      <w:color w:val="000000"/>
      <w:sz w:val="24"/>
      <w:szCs w:val="24"/>
      <w:u w:val="none"/>
    </w:rPr>
  </w:style>
  <w:style w:type="character" w:customStyle="1" w:styleId="70">
    <w:name w:val="font21"/>
    <w:qFormat/>
    <w:uiPriority w:val="0"/>
    <w:rPr>
      <w:rFonts w:ascii="MS Gothic" w:hAnsi="MS Gothic" w:eastAsia="MS Gothic" w:cs="MS Gothic"/>
      <w:color w:val="000000"/>
      <w:sz w:val="20"/>
      <w:szCs w:val="20"/>
      <w:u w:val="none"/>
    </w:rPr>
  </w:style>
  <w:style w:type="character" w:customStyle="1" w:styleId="71">
    <w:name w:val="15"/>
    <w:basedOn w:val="30"/>
    <w:qFormat/>
    <w:uiPriority w:val="0"/>
  </w:style>
  <w:style w:type="table" w:customStyle="1" w:styleId="72">
    <w:name w:val="表格样式"/>
    <w:basedOn w:val="28"/>
    <w:qFormat/>
    <w:uiPriority w:val="99"/>
    <w:pPr>
      <w:jc w:val="center"/>
    </w:pPr>
    <w:rPr>
      <w:rFonts w:ascii="Calibri" w:hAnsi="Calibri" w:eastAsia="宋体" w:cs="Times New Roman"/>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tcPr>
      <w:shd w:val="clear" w:color="auto" w:fill="FFFFFF"/>
      <w:vAlign w:val="center"/>
    </w:tcPr>
  </w:style>
  <w:style w:type="paragraph" w:customStyle="1" w:styleId="73">
    <w:name w:val="Heading2"/>
    <w:basedOn w:val="1"/>
    <w:next w:val="1"/>
    <w:qFormat/>
    <w:uiPriority w:val="0"/>
    <w:pPr>
      <w:keepNext/>
      <w:keepLines/>
      <w:tabs>
        <w:tab w:val="left" w:pos="840"/>
      </w:tabs>
      <w:spacing w:before="260" w:after="260" w:line="416" w:lineRule="auto"/>
      <w:ind w:left="840" w:hanging="420"/>
      <w:jc w:val="center"/>
      <w:textAlignment w:val="baseline"/>
    </w:pPr>
    <w:rPr>
      <w:rFonts w:ascii="Arial" w:hAnsi="Arial" w:eastAsia="黑体" w:cs="Arial"/>
      <w:b/>
      <w:bCs/>
      <w:kern w:val="2"/>
      <w:sz w:val="32"/>
      <w:szCs w:val="32"/>
      <w:lang w:val="en-US" w:eastAsia="zh-CN" w:bidi="ar-SA"/>
    </w:rPr>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4.xml"/><Relationship Id="rId7" Type="http://schemas.openxmlformats.org/officeDocument/2006/relationships/header" Target="header2.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3" Type="http://schemas.openxmlformats.org/officeDocument/2006/relationships/fontTable" Target="fontTable.xml"/><Relationship Id="rId12" Type="http://schemas.openxmlformats.org/officeDocument/2006/relationships/numbering" Target="numbering.xml"/><Relationship Id="rId11" Type="http://schemas.openxmlformats.org/officeDocument/2006/relationships/customXml" Target="../customXml/item1.xml"/><Relationship Id="rId10" Type="http://schemas.openxmlformats.org/officeDocument/2006/relationships/image" Target="media/image1.png"/><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60</Pages>
  <Words>21032</Words>
  <Characters>22933</Characters>
  <Lines>240</Lines>
  <Paragraphs>67</Paragraphs>
  <TotalTime>4</TotalTime>
  <ScaleCrop>false</ScaleCrop>
  <LinksUpToDate>false</LinksUpToDate>
  <CharactersWithSpaces>23629</CharactersWithSpaces>
  <Application>WPS Office_12.1.0.19302_F1E327BC-269C-435d-A152-05C5408002CA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2023-10-07T08:00:00Z</dcterms:created>
  <dc:creator>DELL</dc:creator>
  <cp:lastModifiedBy>一帆风顺</cp:lastModifiedBy>
  <cp:lastPrinted>2023-10-28T03:07:00Z</cp:lastPrinted>
  <dcterms:modified xsi:type="dcterms:W3CDTF">2024-12-17T07:46:13Z</dcterms:modified>
  <cp:revision>4</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2052-12.1.0.19302</vt:lpwstr>
  </property>
  <property fmtid="{D5CDD505-2E9C-101B-9397-08002B2CF9AE}" pid="3" name="ICV">
    <vt:lpwstr>F71946F964D341138E9DC77D90AFE629_13</vt:lpwstr>
  </property>
</Properties>
</file>