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794FB">
      <w:pPr>
        <w:spacing w:line="360" w:lineRule="auto"/>
        <w:jc w:val="center"/>
        <w:rPr>
          <w:rFonts w:hint="eastAsia" w:asciiTheme="majorEastAsia" w:hAnsiTheme="majorEastAsia" w:eastAsiaTheme="majorEastAsia" w:cstheme="majorEastAsia"/>
          <w:b/>
          <w:bCs/>
          <w:sz w:val="48"/>
          <w:szCs w:val="48"/>
          <w:highlight w:val="none"/>
          <w:lang w:eastAsia="zh-CN"/>
        </w:rPr>
      </w:pPr>
      <w:bookmarkStart w:id="0" w:name="_Toc281574833"/>
    </w:p>
    <w:p w14:paraId="4BF8FA9C">
      <w:pPr>
        <w:spacing w:line="360" w:lineRule="auto"/>
        <w:jc w:val="center"/>
        <w:rPr>
          <w:rFonts w:hint="eastAsia" w:asciiTheme="majorEastAsia" w:hAnsiTheme="majorEastAsia" w:eastAsiaTheme="majorEastAsia" w:cstheme="majorEastAsia"/>
          <w:b/>
          <w:bCs/>
          <w:sz w:val="36"/>
          <w:szCs w:val="36"/>
          <w:highlight w:val="none"/>
          <w:lang w:val="en-US" w:eastAsia="zh-CN"/>
        </w:rPr>
      </w:pPr>
      <w:r>
        <w:rPr>
          <w:rFonts w:hint="eastAsia" w:asciiTheme="majorEastAsia" w:hAnsiTheme="majorEastAsia" w:eastAsiaTheme="majorEastAsia" w:cstheme="majorEastAsia"/>
          <w:b/>
          <w:bCs/>
          <w:sz w:val="44"/>
          <w:szCs w:val="44"/>
          <w:highlight w:val="none"/>
          <w:lang w:val="en-US" w:eastAsia="zh-CN"/>
        </w:rPr>
        <w:t>博爱县生活污水处理厂设备设施更新及配套管网改造提升工程</w:t>
      </w:r>
      <w:r>
        <w:rPr>
          <w:rFonts w:hint="eastAsia" w:asciiTheme="majorEastAsia" w:hAnsiTheme="majorEastAsia" w:eastAsiaTheme="majorEastAsia" w:cstheme="majorEastAsia"/>
          <w:b/>
          <w:bCs/>
          <w:sz w:val="44"/>
          <w:szCs w:val="44"/>
          <w:highlight w:val="none"/>
          <w:lang w:eastAsia="zh-CN"/>
        </w:rPr>
        <w:t>设备采购项目（</w:t>
      </w:r>
      <w:r>
        <w:rPr>
          <w:rFonts w:hint="eastAsia" w:asciiTheme="majorEastAsia" w:hAnsiTheme="majorEastAsia" w:eastAsiaTheme="majorEastAsia" w:cstheme="majorEastAsia"/>
          <w:b/>
          <w:bCs/>
          <w:sz w:val="44"/>
          <w:szCs w:val="44"/>
          <w:highlight w:val="none"/>
          <w:lang w:val="en-US" w:eastAsia="zh-CN"/>
        </w:rPr>
        <w:t>三标段</w:t>
      </w:r>
      <w:r>
        <w:rPr>
          <w:rFonts w:hint="eastAsia" w:asciiTheme="majorEastAsia" w:hAnsiTheme="majorEastAsia" w:eastAsiaTheme="majorEastAsia" w:cstheme="majorEastAsia"/>
          <w:b/>
          <w:bCs/>
          <w:sz w:val="44"/>
          <w:szCs w:val="44"/>
          <w:highlight w:val="none"/>
          <w:lang w:eastAsia="zh-CN"/>
        </w:rPr>
        <w:t>）</w:t>
      </w:r>
    </w:p>
    <w:p w14:paraId="7FA3D732">
      <w:pPr>
        <w:spacing w:line="360" w:lineRule="auto"/>
        <w:jc w:val="both"/>
        <w:rPr>
          <w:rFonts w:hint="eastAsia" w:asciiTheme="majorEastAsia" w:hAnsiTheme="majorEastAsia" w:eastAsiaTheme="majorEastAsia" w:cstheme="majorEastAsia"/>
          <w:b/>
          <w:bCs/>
          <w:sz w:val="44"/>
          <w:szCs w:val="44"/>
          <w:highlight w:val="none"/>
        </w:rPr>
      </w:pPr>
    </w:p>
    <w:p w14:paraId="251CCBCE">
      <w:pPr>
        <w:spacing w:line="360" w:lineRule="auto"/>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 xml:space="preserve"> </w:t>
      </w:r>
    </w:p>
    <w:p w14:paraId="25C25F59">
      <w:pPr>
        <w:spacing w:line="360" w:lineRule="auto"/>
        <w:jc w:val="center"/>
        <w:rPr>
          <w:rFonts w:hint="eastAsia" w:asciiTheme="minorEastAsia" w:hAnsiTheme="minorEastAsia" w:eastAsiaTheme="minorEastAsia" w:cstheme="minorEastAsia"/>
          <w:b/>
          <w:sz w:val="100"/>
          <w:szCs w:val="100"/>
          <w:highlight w:val="none"/>
        </w:rPr>
      </w:pPr>
    </w:p>
    <w:p w14:paraId="61464ED9">
      <w:pPr>
        <w:spacing w:line="360" w:lineRule="auto"/>
        <w:jc w:val="center"/>
        <w:rPr>
          <w:rFonts w:hint="eastAsia" w:asciiTheme="minorEastAsia" w:hAnsiTheme="minorEastAsia" w:eastAsiaTheme="minorEastAsia" w:cstheme="minorEastAsia"/>
          <w:b/>
          <w:sz w:val="100"/>
          <w:szCs w:val="100"/>
          <w:highlight w:val="none"/>
        </w:rPr>
      </w:pPr>
      <w:r>
        <w:rPr>
          <w:rFonts w:hint="eastAsia" w:asciiTheme="minorEastAsia" w:hAnsiTheme="minorEastAsia" w:eastAsiaTheme="minorEastAsia" w:cstheme="minorEastAsia"/>
          <w:b/>
          <w:sz w:val="100"/>
          <w:szCs w:val="100"/>
          <w:highlight w:val="none"/>
        </w:rPr>
        <w:t>招标文件</w:t>
      </w:r>
    </w:p>
    <w:p w14:paraId="18A85C8F">
      <w:pPr>
        <w:spacing w:line="360" w:lineRule="auto"/>
        <w:ind w:firstLine="2811" w:firstLineChars="1000"/>
        <w:jc w:val="both"/>
        <w:rPr>
          <w:rFonts w:hint="eastAsia" w:asciiTheme="minorEastAsia" w:hAnsiTheme="minorEastAsia" w:eastAsiaTheme="minorEastAsia" w:cstheme="minorEastAsia"/>
          <w:b/>
          <w:bCs/>
          <w:sz w:val="28"/>
          <w:szCs w:val="28"/>
          <w:highlight w:val="none"/>
        </w:rPr>
      </w:pPr>
    </w:p>
    <w:p w14:paraId="0B4A06A6">
      <w:pPr>
        <w:pStyle w:val="26"/>
        <w:rPr>
          <w:rFonts w:hint="eastAsia"/>
          <w:highlight w:val="none"/>
        </w:rPr>
      </w:pPr>
    </w:p>
    <w:p w14:paraId="7385377F">
      <w:pPr>
        <w:jc w:val="center"/>
        <w:rPr>
          <w:highlight w:val="none"/>
        </w:rPr>
      </w:pPr>
    </w:p>
    <w:p w14:paraId="084A9E0E">
      <w:pPr>
        <w:spacing w:line="560" w:lineRule="exact"/>
        <w:jc w:val="center"/>
        <w:rPr>
          <w:rFonts w:hint="eastAsia" w:asciiTheme="minorEastAsia" w:hAnsiTheme="minorEastAsia" w:eastAsiaTheme="minorEastAsia" w:cstheme="minorEastAsia"/>
          <w:b/>
          <w:bCs/>
          <w:sz w:val="32"/>
          <w:szCs w:val="32"/>
          <w:highlight w:val="none"/>
        </w:rPr>
      </w:pPr>
    </w:p>
    <w:p w14:paraId="72ECE712">
      <w:pPr>
        <w:spacing w:line="560" w:lineRule="exact"/>
        <w:jc w:val="center"/>
        <w:rPr>
          <w:rFonts w:hint="eastAsia" w:asciiTheme="minorEastAsia" w:hAnsiTheme="minorEastAsia" w:eastAsiaTheme="minorEastAsia" w:cstheme="minorEastAsia"/>
          <w:b/>
          <w:bCs/>
          <w:sz w:val="32"/>
          <w:szCs w:val="32"/>
          <w:highlight w:val="none"/>
        </w:rPr>
      </w:pPr>
    </w:p>
    <w:p w14:paraId="180B6BFB">
      <w:pPr>
        <w:spacing w:line="560" w:lineRule="exact"/>
        <w:ind w:firstLine="1606" w:firstLineChars="500"/>
        <w:jc w:val="both"/>
        <w:rPr>
          <w:rFonts w:hint="eastAsia" w:asciiTheme="minorEastAsia" w:hAnsiTheme="minorEastAsia" w:eastAsiaTheme="minorEastAsia" w:cstheme="minorEastAsia"/>
          <w:b/>
          <w:bCs/>
          <w:sz w:val="32"/>
          <w:szCs w:val="32"/>
          <w:highlight w:val="none"/>
          <w:lang w:eastAsia="zh-CN"/>
        </w:rPr>
      </w:pPr>
      <w:r>
        <w:rPr>
          <w:rFonts w:hint="eastAsia" w:asciiTheme="minorEastAsia" w:hAnsiTheme="minorEastAsia" w:eastAsiaTheme="minorEastAsia" w:cstheme="minorEastAsia"/>
          <w:b/>
          <w:bCs/>
          <w:sz w:val="32"/>
          <w:szCs w:val="32"/>
          <w:highlight w:val="none"/>
        </w:rPr>
        <w:t>采 购 人：</w:t>
      </w:r>
      <w:r>
        <w:rPr>
          <w:rFonts w:hint="eastAsia" w:asciiTheme="minorEastAsia" w:hAnsiTheme="minorEastAsia" w:eastAsiaTheme="minorEastAsia" w:cstheme="minorEastAsia"/>
          <w:b/>
          <w:bCs/>
          <w:sz w:val="32"/>
          <w:szCs w:val="32"/>
          <w:highlight w:val="none"/>
          <w:lang w:eastAsia="zh-CN"/>
        </w:rPr>
        <w:t>中持(江苏)环境建设有限公司</w:t>
      </w:r>
    </w:p>
    <w:p w14:paraId="60F6B2D1">
      <w:pPr>
        <w:spacing w:line="560" w:lineRule="exact"/>
        <w:ind w:firstLine="1606" w:firstLineChars="500"/>
        <w:jc w:val="both"/>
        <w:rPr>
          <w:rFonts w:hint="default" w:eastAsiaTheme="minorEastAsia"/>
          <w:sz w:val="32"/>
          <w:szCs w:val="32"/>
          <w:highlight w:val="none"/>
          <w:lang w:val="en-US" w:eastAsia="zh-CN"/>
        </w:rPr>
      </w:pPr>
      <w:r>
        <w:rPr>
          <w:rFonts w:hint="eastAsia" w:asciiTheme="minorEastAsia" w:hAnsiTheme="minorEastAsia" w:eastAsiaTheme="minorEastAsia" w:cstheme="minorEastAsia"/>
          <w:b/>
          <w:bCs/>
          <w:sz w:val="32"/>
          <w:szCs w:val="32"/>
          <w:highlight w:val="none"/>
        </w:rPr>
        <w:t>代理机构：</w:t>
      </w:r>
      <w:r>
        <w:rPr>
          <w:rFonts w:hint="eastAsia" w:asciiTheme="minorEastAsia" w:hAnsiTheme="minorEastAsia" w:eastAsiaTheme="minorEastAsia" w:cstheme="minorEastAsia"/>
          <w:b/>
          <w:bCs/>
          <w:sz w:val="32"/>
          <w:szCs w:val="32"/>
          <w:highlight w:val="none"/>
          <w:lang w:val="en-US" w:eastAsia="zh-CN"/>
        </w:rPr>
        <w:t>河南金鸿项目管理有限公司</w:t>
      </w:r>
    </w:p>
    <w:p w14:paraId="0F70088E">
      <w:pPr>
        <w:spacing w:line="560" w:lineRule="exact"/>
        <w:ind w:firstLine="1606" w:firstLineChars="500"/>
        <w:jc w:val="both"/>
        <w:rPr>
          <w:rFonts w:asciiTheme="minorEastAsia" w:hAnsiTheme="minorEastAsia" w:eastAsiaTheme="minorEastAsia" w:cstheme="minorEastAsia"/>
          <w:b/>
          <w:bCs/>
          <w:sz w:val="36"/>
          <w:szCs w:val="36"/>
          <w:highlight w:val="none"/>
        </w:rPr>
        <w:sectPr>
          <w:footerReference r:id="rId3" w:type="first"/>
          <w:pgSz w:w="11907" w:h="16840"/>
          <w:pgMar w:top="1446" w:right="1627" w:bottom="1417" w:left="1616"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highlight w:val="none"/>
        </w:rPr>
        <w:t>日    期：二〇二</w:t>
      </w:r>
      <w:r>
        <w:rPr>
          <w:rFonts w:hint="eastAsia" w:asciiTheme="minorEastAsia" w:hAnsiTheme="minorEastAsia" w:eastAsiaTheme="minorEastAsia" w:cstheme="minorEastAsia"/>
          <w:b/>
          <w:bCs/>
          <w:sz w:val="32"/>
          <w:szCs w:val="32"/>
          <w:highlight w:val="none"/>
          <w:lang w:val="en-US" w:eastAsia="zh-CN"/>
        </w:rPr>
        <w:t>五</w:t>
      </w:r>
      <w:r>
        <w:rPr>
          <w:rFonts w:hint="eastAsia" w:asciiTheme="minorEastAsia" w:hAnsiTheme="minorEastAsia" w:eastAsiaTheme="minorEastAsia" w:cstheme="minorEastAsia"/>
          <w:b/>
          <w:bCs/>
          <w:sz w:val="32"/>
          <w:szCs w:val="32"/>
          <w:highlight w:val="none"/>
        </w:rPr>
        <w:t>年</w:t>
      </w:r>
      <w:r>
        <w:rPr>
          <w:rFonts w:hint="eastAsia" w:asciiTheme="minorEastAsia" w:hAnsiTheme="minorEastAsia" w:eastAsiaTheme="minorEastAsia" w:cstheme="minorEastAsia"/>
          <w:b/>
          <w:bCs/>
          <w:sz w:val="32"/>
          <w:szCs w:val="32"/>
          <w:highlight w:val="none"/>
          <w:lang w:val="en-US" w:eastAsia="zh-CN"/>
        </w:rPr>
        <w:t>九</w:t>
      </w:r>
      <w:r>
        <w:rPr>
          <w:rFonts w:hint="eastAsia" w:asciiTheme="minorEastAsia" w:hAnsiTheme="minorEastAsia" w:eastAsiaTheme="minorEastAsia" w:cstheme="minorEastAsia"/>
          <w:b/>
          <w:bCs/>
          <w:sz w:val="32"/>
          <w:szCs w:val="32"/>
          <w:highlight w:val="none"/>
        </w:rPr>
        <w:t>月</w:t>
      </w:r>
    </w:p>
    <w:p w14:paraId="113B426B">
      <w:pPr>
        <w:jc w:val="center"/>
        <w:rPr>
          <w:rFonts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目     录</w:t>
      </w:r>
    </w:p>
    <w:p w14:paraId="04861617">
      <w:pPr>
        <w:pStyle w:val="20"/>
        <w:tabs>
          <w:tab w:val="right" w:leader="hyphen" w:pos="8812"/>
        </w:tabs>
        <w:spacing w:line="480" w:lineRule="auto"/>
        <w:rPr>
          <w:rFonts w:ascii="宋体" w:hAnsi="宋体" w:cs="宋体"/>
          <w:sz w:val="24"/>
          <w:highlight w:val="none"/>
        </w:rPr>
      </w:pPr>
      <w:r>
        <w:rPr>
          <w:rFonts w:hint="eastAsia" w:ascii="宋体" w:hAnsi="宋体" w:cs="宋体"/>
          <w:bCs/>
          <w:highlight w:val="none"/>
        </w:rPr>
        <w:fldChar w:fldCharType="begin"/>
      </w:r>
      <w:r>
        <w:rPr>
          <w:rFonts w:hint="eastAsia" w:ascii="宋体" w:hAnsi="宋体" w:cs="宋体"/>
          <w:bCs/>
          <w:highlight w:val="none"/>
        </w:rPr>
        <w:instrText xml:space="preserve">TOC \o "1-1" \h \u </w:instrText>
      </w:r>
      <w:r>
        <w:rPr>
          <w:rFonts w:hint="eastAsia" w:ascii="宋体" w:hAnsi="宋体" w:cs="宋体"/>
          <w:bCs/>
          <w:highlight w:val="none"/>
        </w:rPr>
        <w:fldChar w:fldCharType="separate"/>
      </w:r>
      <w:r>
        <w:rPr>
          <w:highlight w:val="none"/>
        </w:rPr>
        <w:fldChar w:fldCharType="begin"/>
      </w:r>
      <w:r>
        <w:rPr>
          <w:highlight w:val="none"/>
        </w:rPr>
        <w:instrText xml:space="preserve"> HYPERLINK \l "_Toc15847" </w:instrText>
      </w:r>
      <w:r>
        <w:rPr>
          <w:highlight w:val="none"/>
        </w:rPr>
        <w:fldChar w:fldCharType="separate"/>
      </w:r>
      <w:r>
        <w:rPr>
          <w:rFonts w:hint="eastAsia" w:ascii="宋体" w:hAnsi="宋体" w:cs="宋体"/>
          <w:sz w:val="24"/>
          <w:highlight w:val="none"/>
        </w:rPr>
        <w:t>重要事项提示</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_Toc15847 \h </w:instrText>
      </w:r>
      <w:r>
        <w:rPr>
          <w:rFonts w:hint="eastAsia" w:ascii="宋体" w:hAnsi="宋体" w:cs="宋体"/>
          <w:sz w:val="24"/>
          <w:highlight w:val="none"/>
        </w:rPr>
        <w:fldChar w:fldCharType="separate"/>
      </w:r>
      <w:r>
        <w:rPr>
          <w:rFonts w:hint="eastAsia" w:ascii="宋体" w:hAnsi="宋体" w:cs="宋体"/>
          <w:sz w:val="24"/>
          <w:highlight w:val="none"/>
        </w:rPr>
        <w:t>- 2 -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66B91E1D">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"_Toc24066" </w:instrText>
      </w:r>
      <w:r>
        <w:rPr>
          <w:highlight w:val="none"/>
        </w:rPr>
        <w:fldChar w:fldCharType="separate"/>
      </w:r>
      <w:r>
        <w:rPr>
          <w:rFonts w:hint="eastAsia" w:ascii="宋体" w:hAnsi="宋体" w:cs="宋体"/>
          <w:sz w:val="24"/>
          <w:highlight w:val="none"/>
        </w:rPr>
        <w:t>第一章 招标公告</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_Toc24066 \h </w:instrText>
      </w:r>
      <w:r>
        <w:rPr>
          <w:rFonts w:hint="eastAsia" w:ascii="宋体" w:hAnsi="宋体" w:cs="宋体"/>
          <w:sz w:val="24"/>
          <w:highlight w:val="none"/>
        </w:rPr>
        <w:fldChar w:fldCharType="separate"/>
      </w:r>
      <w:r>
        <w:rPr>
          <w:rFonts w:hint="eastAsia" w:ascii="宋体" w:hAnsi="宋体" w:cs="宋体"/>
          <w:sz w:val="24"/>
          <w:highlight w:val="none"/>
        </w:rPr>
        <w:t>- 4 -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10487058">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"_Toc21579" </w:instrText>
      </w:r>
      <w:r>
        <w:rPr>
          <w:highlight w:val="none"/>
        </w:rPr>
        <w:fldChar w:fldCharType="separate"/>
      </w:r>
      <w:r>
        <w:rPr>
          <w:rFonts w:hint="eastAsia" w:ascii="宋体" w:hAnsi="宋体" w:cs="宋体"/>
          <w:sz w:val="24"/>
          <w:highlight w:val="none"/>
        </w:rPr>
        <w:t>第二章 供应商须知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_Toc21579 \h </w:instrText>
      </w:r>
      <w:r>
        <w:rPr>
          <w:rFonts w:hint="eastAsia" w:ascii="宋体" w:hAnsi="宋体" w:cs="宋体"/>
          <w:sz w:val="24"/>
          <w:highlight w:val="none"/>
        </w:rPr>
        <w:fldChar w:fldCharType="separate"/>
      </w:r>
      <w:r>
        <w:rPr>
          <w:rFonts w:hint="eastAsia" w:ascii="宋体" w:hAnsi="宋体" w:cs="宋体"/>
          <w:sz w:val="24"/>
          <w:highlight w:val="none"/>
        </w:rPr>
        <w:t>- 4 -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4BD4A172">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"_Toc25260" </w:instrText>
      </w:r>
      <w:r>
        <w:rPr>
          <w:highlight w:val="none"/>
        </w:rPr>
        <w:fldChar w:fldCharType="separate"/>
      </w:r>
      <w:r>
        <w:rPr>
          <w:rFonts w:hint="eastAsia" w:ascii="宋体" w:hAnsi="宋体" w:cs="宋体"/>
          <w:sz w:val="24"/>
          <w:highlight w:val="none"/>
        </w:rPr>
        <w:t>第三章 评标办法（综合评分法）</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_Toc25260 \h </w:instrText>
      </w:r>
      <w:r>
        <w:rPr>
          <w:rFonts w:hint="eastAsia" w:ascii="宋体" w:hAnsi="宋体" w:cs="宋体"/>
          <w:sz w:val="24"/>
          <w:highlight w:val="none"/>
        </w:rPr>
        <w:fldChar w:fldCharType="separate"/>
      </w:r>
      <w:r>
        <w:rPr>
          <w:rFonts w:hint="eastAsia" w:ascii="宋体" w:hAnsi="宋体" w:cs="宋体"/>
          <w:sz w:val="24"/>
          <w:highlight w:val="none"/>
        </w:rPr>
        <w:t>- 26 -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43F4DAAC">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"_Toc25544" </w:instrText>
      </w:r>
      <w:r>
        <w:rPr>
          <w:highlight w:val="none"/>
        </w:rPr>
        <w:fldChar w:fldCharType="separate"/>
      </w:r>
      <w:r>
        <w:rPr>
          <w:rFonts w:hint="eastAsia" w:ascii="宋体" w:hAnsi="宋体" w:cs="宋体"/>
          <w:sz w:val="24"/>
          <w:highlight w:val="none"/>
        </w:rPr>
        <w:t>第四章 合同条款及格式 （仅供参考）</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_Toc25544 \h </w:instrText>
      </w:r>
      <w:r>
        <w:rPr>
          <w:rFonts w:hint="eastAsia" w:ascii="宋体" w:hAnsi="宋体" w:cs="宋体"/>
          <w:sz w:val="24"/>
          <w:highlight w:val="none"/>
        </w:rPr>
        <w:fldChar w:fldCharType="separate"/>
      </w:r>
      <w:r>
        <w:rPr>
          <w:rFonts w:hint="eastAsia" w:ascii="宋体" w:hAnsi="宋体" w:cs="宋体"/>
          <w:sz w:val="24"/>
          <w:highlight w:val="none"/>
        </w:rPr>
        <w:t>- 27 -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04F68A91">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"_Toc8682" </w:instrText>
      </w:r>
      <w:r>
        <w:rPr>
          <w:highlight w:val="none"/>
        </w:rPr>
        <w:fldChar w:fldCharType="separate"/>
      </w:r>
      <w:r>
        <w:rPr>
          <w:rFonts w:hint="eastAsia" w:ascii="宋体" w:hAnsi="宋体" w:cs="宋体"/>
          <w:sz w:val="24"/>
          <w:highlight w:val="none"/>
        </w:rPr>
        <w:t>第五章 采购内容及技术要求</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_Toc8682 \h </w:instrText>
      </w:r>
      <w:r>
        <w:rPr>
          <w:rFonts w:hint="eastAsia" w:ascii="宋体" w:hAnsi="宋体" w:cs="宋体"/>
          <w:sz w:val="24"/>
          <w:highlight w:val="none"/>
        </w:rPr>
        <w:fldChar w:fldCharType="separate"/>
      </w:r>
      <w:r>
        <w:rPr>
          <w:rFonts w:hint="eastAsia" w:ascii="宋体" w:hAnsi="宋体" w:cs="宋体"/>
          <w:sz w:val="24"/>
          <w:highlight w:val="none"/>
        </w:rPr>
        <w:t>- 34 -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1354450D">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"_Toc18132" </w:instrText>
      </w:r>
      <w:r>
        <w:rPr>
          <w:highlight w:val="none"/>
        </w:rPr>
        <w:fldChar w:fldCharType="separate"/>
      </w:r>
      <w:r>
        <w:rPr>
          <w:rFonts w:hint="eastAsia" w:ascii="宋体" w:hAnsi="宋体" w:cs="宋体"/>
          <w:sz w:val="24"/>
          <w:highlight w:val="none"/>
        </w:rPr>
        <w:t>第六章 质疑与投诉</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_Toc18132 \h </w:instrText>
      </w:r>
      <w:r>
        <w:rPr>
          <w:rFonts w:hint="eastAsia" w:ascii="宋体" w:hAnsi="宋体" w:cs="宋体"/>
          <w:sz w:val="24"/>
          <w:highlight w:val="none"/>
        </w:rPr>
        <w:fldChar w:fldCharType="separate"/>
      </w:r>
      <w:r>
        <w:rPr>
          <w:rFonts w:hint="eastAsia" w:ascii="宋体" w:hAnsi="宋体" w:cs="宋体"/>
          <w:sz w:val="24"/>
          <w:highlight w:val="none"/>
        </w:rPr>
        <w:t>- 46 -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4AC0CE0D">
      <w:pPr>
        <w:pStyle w:val="20"/>
        <w:tabs>
          <w:tab w:val="right" w:leader="hyphen" w:pos="8812"/>
        </w:tabs>
        <w:spacing w:line="480" w:lineRule="auto"/>
        <w:rPr>
          <w:rFonts w:ascii="宋体" w:hAnsi="宋体" w:cs="宋体"/>
          <w:sz w:val="24"/>
          <w:highlight w:val="none"/>
        </w:rPr>
      </w:pPr>
      <w:r>
        <w:rPr>
          <w:highlight w:val="none"/>
        </w:rPr>
        <w:fldChar w:fldCharType="begin"/>
      </w:r>
      <w:r>
        <w:rPr>
          <w:highlight w:val="none"/>
        </w:rPr>
        <w:instrText xml:space="preserve"> HYPERLINK \l "_Toc3861" </w:instrText>
      </w:r>
      <w:r>
        <w:rPr>
          <w:highlight w:val="none"/>
        </w:rPr>
        <w:fldChar w:fldCharType="separate"/>
      </w:r>
      <w:r>
        <w:rPr>
          <w:rFonts w:hint="eastAsia" w:ascii="宋体" w:hAnsi="宋体" w:cs="宋体"/>
          <w:sz w:val="24"/>
          <w:highlight w:val="none"/>
        </w:rPr>
        <w:t>第七章 履约验收</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_Toc3861 \h </w:instrText>
      </w:r>
      <w:r>
        <w:rPr>
          <w:rFonts w:hint="eastAsia" w:ascii="宋体" w:hAnsi="宋体" w:cs="宋体"/>
          <w:sz w:val="24"/>
          <w:highlight w:val="none"/>
        </w:rPr>
        <w:fldChar w:fldCharType="separate"/>
      </w:r>
      <w:r>
        <w:rPr>
          <w:rFonts w:hint="eastAsia" w:ascii="宋体" w:hAnsi="宋体" w:cs="宋体"/>
          <w:sz w:val="24"/>
          <w:highlight w:val="none"/>
        </w:rPr>
        <w:t>- 48 -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73592696">
      <w:pPr>
        <w:pStyle w:val="20"/>
        <w:tabs>
          <w:tab w:val="right" w:leader="hyphen" w:pos="8812"/>
        </w:tabs>
        <w:spacing w:line="480" w:lineRule="auto"/>
        <w:rPr>
          <w:rFonts w:ascii="宋体" w:hAnsi="宋体" w:cs="宋体"/>
          <w:highlight w:val="none"/>
        </w:rPr>
      </w:pPr>
      <w:r>
        <w:rPr>
          <w:highlight w:val="none"/>
        </w:rPr>
        <w:fldChar w:fldCharType="begin"/>
      </w:r>
      <w:r>
        <w:rPr>
          <w:highlight w:val="none"/>
        </w:rPr>
        <w:instrText xml:space="preserve"> HYPERLINK \l "_Toc21125" </w:instrText>
      </w:r>
      <w:r>
        <w:rPr>
          <w:highlight w:val="none"/>
        </w:rPr>
        <w:fldChar w:fldCharType="separate"/>
      </w:r>
      <w:r>
        <w:rPr>
          <w:rFonts w:hint="eastAsia" w:ascii="宋体" w:hAnsi="宋体" w:cs="宋体"/>
          <w:sz w:val="24"/>
          <w:highlight w:val="none"/>
        </w:rPr>
        <w:t>第八章 投标文件格式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_Toc21125 \h </w:instrText>
      </w:r>
      <w:r>
        <w:rPr>
          <w:rFonts w:hint="eastAsia" w:ascii="宋体" w:hAnsi="宋体" w:cs="宋体"/>
          <w:sz w:val="24"/>
          <w:highlight w:val="none"/>
        </w:rPr>
        <w:fldChar w:fldCharType="separate"/>
      </w:r>
      <w:r>
        <w:rPr>
          <w:rFonts w:hint="eastAsia" w:ascii="宋体" w:hAnsi="宋体" w:cs="宋体"/>
          <w:sz w:val="24"/>
          <w:highlight w:val="none"/>
        </w:rPr>
        <w:t>- 49 -</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22255919">
      <w:pPr>
        <w:spacing w:line="480" w:lineRule="auto"/>
        <w:ind w:right="-273" w:rightChars="-130"/>
        <w:rPr>
          <w:rFonts w:asciiTheme="minorEastAsia" w:hAnsiTheme="minorEastAsia" w:eastAsiaTheme="minorEastAsia" w:cstheme="minorEastAsia"/>
          <w:bCs/>
          <w:highlight w:val="none"/>
        </w:rPr>
      </w:pPr>
      <w:r>
        <w:rPr>
          <w:rFonts w:hint="eastAsia" w:ascii="宋体" w:hAnsi="宋体" w:cs="宋体"/>
          <w:bCs/>
          <w:highlight w:val="none"/>
        </w:rPr>
        <w:fldChar w:fldCharType="end"/>
      </w:r>
    </w:p>
    <w:p w14:paraId="0A1235D2">
      <w:pPr>
        <w:pStyle w:val="24"/>
        <w:spacing w:line="360" w:lineRule="auto"/>
        <w:ind w:right="-63" w:rightChars="-30"/>
        <w:jc w:val="both"/>
        <w:outlineLvl w:val="9"/>
        <w:rPr>
          <w:rFonts w:asciiTheme="minorEastAsia" w:hAnsiTheme="minorEastAsia" w:eastAsiaTheme="minorEastAsia" w:cstheme="minorEastAsia"/>
          <w:bCs/>
          <w:highlight w:val="none"/>
        </w:rPr>
      </w:pPr>
    </w:p>
    <w:p w14:paraId="72169868">
      <w:pPr>
        <w:rPr>
          <w:rFonts w:asciiTheme="minorEastAsia" w:hAnsiTheme="minorEastAsia" w:eastAsiaTheme="minorEastAsia" w:cstheme="minorEastAsia"/>
          <w:bCs/>
          <w:highlight w:val="none"/>
        </w:rPr>
      </w:pPr>
    </w:p>
    <w:p w14:paraId="24EA180F">
      <w:pPr>
        <w:pStyle w:val="33"/>
        <w:rPr>
          <w:rFonts w:asciiTheme="minorEastAsia" w:hAnsiTheme="minorEastAsia" w:eastAsiaTheme="minorEastAsia" w:cstheme="minorEastAsia"/>
          <w:bCs/>
          <w:highlight w:val="none"/>
        </w:rPr>
      </w:pPr>
    </w:p>
    <w:p w14:paraId="3BCEB455">
      <w:pPr>
        <w:pStyle w:val="34"/>
        <w:rPr>
          <w:rFonts w:asciiTheme="minorEastAsia" w:hAnsiTheme="minorEastAsia" w:eastAsiaTheme="minorEastAsia" w:cstheme="minorEastAsia"/>
          <w:bCs/>
          <w:highlight w:val="none"/>
        </w:rPr>
      </w:pPr>
    </w:p>
    <w:p w14:paraId="74F024DE">
      <w:pPr>
        <w:pStyle w:val="35"/>
        <w:rPr>
          <w:rFonts w:asciiTheme="minorEastAsia" w:hAnsiTheme="minorEastAsia" w:eastAsiaTheme="minorEastAsia" w:cstheme="minorEastAsia"/>
          <w:bCs/>
          <w:highlight w:val="none"/>
        </w:rPr>
      </w:pPr>
    </w:p>
    <w:p w14:paraId="250942B8">
      <w:pPr>
        <w:pStyle w:val="36"/>
        <w:rPr>
          <w:highlight w:val="none"/>
        </w:rPr>
      </w:pPr>
    </w:p>
    <w:p w14:paraId="69C860AA">
      <w:pPr>
        <w:pStyle w:val="34"/>
        <w:rPr>
          <w:rFonts w:asciiTheme="minorEastAsia" w:hAnsiTheme="minorEastAsia" w:eastAsiaTheme="minorEastAsia" w:cstheme="minorEastAsia"/>
          <w:bCs/>
          <w:color w:val="auto"/>
          <w:highlight w:val="none"/>
        </w:rPr>
      </w:pPr>
    </w:p>
    <w:p w14:paraId="61A5E098">
      <w:pPr>
        <w:pStyle w:val="35"/>
        <w:rPr>
          <w:rFonts w:asciiTheme="minorEastAsia" w:hAnsiTheme="minorEastAsia" w:eastAsiaTheme="minorEastAsia" w:cstheme="minorEastAsia"/>
          <w:bCs/>
          <w:color w:val="auto"/>
          <w:highlight w:val="none"/>
        </w:rPr>
      </w:pPr>
    </w:p>
    <w:p w14:paraId="784C77FE">
      <w:pPr>
        <w:pStyle w:val="36"/>
        <w:rPr>
          <w:rFonts w:asciiTheme="minorEastAsia" w:hAnsiTheme="minorEastAsia" w:eastAsiaTheme="minorEastAsia" w:cstheme="minorEastAsia"/>
          <w:bCs/>
          <w:color w:val="auto"/>
          <w:highlight w:val="none"/>
        </w:rPr>
      </w:pPr>
    </w:p>
    <w:p w14:paraId="288A960B">
      <w:pPr>
        <w:pStyle w:val="3"/>
        <w:spacing w:line="500" w:lineRule="exact"/>
        <w:rPr>
          <w:sz w:val="32"/>
          <w:szCs w:val="32"/>
          <w:highlight w:val="none"/>
        </w:rPr>
      </w:pPr>
      <w:bookmarkStart w:id="1" w:name="_Toc15847"/>
      <w:bookmarkStart w:id="2" w:name="_Toc27735"/>
      <w:r>
        <w:rPr>
          <w:rFonts w:hint="eastAsia"/>
          <w:sz w:val="32"/>
          <w:szCs w:val="32"/>
          <w:highlight w:val="none"/>
        </w:rPr>
        <w:t>重要事项提示</w:t>
      </w:r>
      <w:bookmarkEnd w:id="1"/>
      <w:bookmarkEnd w:id="2"/>
    </w:p>
    <w:p w14:paraId="4ACC300A">
      <w:pPr>
        <w:spacing w:line="500" w:lineRule="exact"/>
        <w:rPr>
          <w:rFonts w:ascii="宋体" w:hAnsi="宋体" w:cs="宋体"/>
          <w:sz w:val="24"/>
          <w:highlight w:val="none"/>
        </w:rPr>
      </w:pPr>
      <w:r>
        <w:rPr>
          <w:rFonts w:hint="eastAsia" w:ascii="宋体" w:hAnsi="宋体" w:cs="宋体"/>
          <w:sz w:val="24"/>
          <w:highlight w:val="none"/>
        </w:rPr>
        <w:t>各潜在投标人：</w:t>
      </w:r>
    </w:p>
    <w:p w14:paraId="78646071">
      <w:pPr>
        <w:spacing w:line="500" w:lineRule="exact"/>
        <w:ind w:firstLine="480" w:firstLineChars="200"/>
        <w:rPr>
          <w:rFonts w:ascii="宋体" w:hAnsi="宋体" w:cs="宋体"/>
          <w:sz w:val="24"/>
          <w:highlight w:val="none"/>
        </w:rPr>
      </w:pPr>
      <w:r>
        <w:rPr>
          <w:rFonts w:hint="eastAsia" w:ascii="宋体" w:hAnsi="宋体" w:cs="宋体"/>
          <w:sz w:val="24"/>
          <w:highlight w:val="none"/>
        </w:rPr>
        <w:t>以下环节是此采购文件中需要重点关注的环节，对以下内容的忽视，可能是影响贵公司中标的重要因素。请在编制相应文件参与政府采购时高度重视。</w:t>
      </w:r>
    </w:p>
    <w:p w14:paraId="3B290051">
      <w:pPr>
        <w:spacing w:line="500" w:lineRule="exact"/>
        <w:ind w:firstLine="480" w:firstLineChars="200"/>
        <w:rPr>
          <w:rFonts w:ascii="宋体" w:hAnsi="宋体" w:cs="宋体"/>
          <w:sz w:val="24"/>
          <w:highlight w:val="none"/>
        </w:rPr>
      </w:pPr>
      <w:r>
        <w:rPr>
          <w:rFonts w:hint="eastAsia" w:ascii="宋体" w:hAnsi="宋体" w:cs="宋体"/>
          <w:sz w:val="24"/>
          <w:highlight w:val="none"/>
        </w:rPr>
        <w:t>1.采购文件应通过焦作市公共资源交易中心网站会员系统进行网上下载；未使用</w:t>
      </w:r>
      <w:r>
        <w:rPr>
          <w:rFonts w:hint="eastAsia" w:ascii="宋体" w:hAnsi="宋体"/>
          <w:bCs/>
          <w:kern w:val="0"/>
          <w:sz w:val="24"/>
          <w:highlight w:val="none"/>
        </w:rPr>
        <w:t>企业 CA 密匙</w:t>
      </w:r>
      <w:r>
        <w:rPr>
          <w:rFonts w:hint="eastAsia" w:ascii="宋体" w:hAnsi="宋体" w:cs="宋体"/>
          <w:sz w:val="24"/>
          <w:highlight w:val="none"/>
        </w:rPr>
        <w:t>登录焦作市公共资源交易中心网站会员系统进行网上下载文件的，投标视为无效；</w:t>
      </w:r>
    </w:p>
    <w:p w14:paraId="21403501">
      <w:pPr>
        <w:pStyle w:val="23"/>
        <w:spacing w:before="0" w:beforeAutospacing="0" w:after="0" w:afterAutospacing="0" w:line="500" w:lineRule="exact"/>
        <w:ind w:firstLine="480" w:firstLineChars="200"/>
        <w:jc w:val="both"/>
        <w:rPr>
          <w:highlight w:val="none"/>
        </w:rPr>
      </w:pPr>
      <w:r>
        <w:rPr>
          <w:rFonts w:hint="eastAsia"/>
          <w:highlight w:val="none"/>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14:paraId="45DF4E6A">
      <w:pPr>
        <w:pStyle w:val="23"/>
        <w:spacing w:before="0" w:beforeAutospacing="0" w:after="0" w:afterAutospacing="0" w:line="500" w:lineRule="exact"/>
        <w:ind w:firstLine="480" w:firstLineChars="200"/>
        <w:jc w:val="both"/>
        <w:rPr>
          <w:highlight w:val="none"/>
        </w:rPr>
      </w:pPr>
      <w:r>
        <w:rPr>
          <w:rFonts w:hint="eastAsia"/>
          <w:highlight w:val="none"/>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3C6FC5CC">
      <w:pPr>
        <w:pStyle w:val="23"/>
        <w:spacing w:before="0" w:beforeAutospacing="0" w:after="0" w:afterAutospacing="0" w:line="500" w:lineRule="exact"/>
        <w:ind w:firstLine="480" w:firstLineChars="200"/>
        <w:jc w:val="both"/>
        <w:rPr>
          <w:highlight w:val="none"/>
        </w:rPr>
      </w:pPr>
      <w:r>
        <w:rPr>
          <w:rFonts w:hint="eastAsia"/>
          <w:highlight w:val="none"/>
        </w:rPr>
        <w:t>3.有下列情形之一的，将作为自动放弃、无效投标或废标处理：</w:t>
      </w:r>
    </w:p>
    <w:p w14:paraId="0CAB644D">
      <w:pPr>
        <w:pStyle w:val="23"/>
        <w:numPr>
          <w:ilvl w:val="0"/>
          <w:numId w:val="2"/>
        </w:numPr>
        <w:spacing w:before="0" w:beforeAutospacing="0" w:after="0" w:afterAutospacing="0" w:line="500" w:lineRule="exact"/>
        <w:ind w:left="0" w:firstLine="480" w:firstLineChars="200"/>
        <w:jc w:val="both"/>
        <w:rPr>
          <w:rFonts w:cs="Times New Roman"/>
          <w:highlight w:val="none"/>
        </w:rPr>
      </w:pPr>
      <w:r>
        <w:rPr>
          <w:rFonts w:hint="eastAsia" w:cs="Times New Roman"/>
          <w:highlight w:val="none"/>
        </w:rPr>
        <w:t>在投标文件中对同一采购项目有两个或多个报价，且未声明哪一个有效的；</w:t>
      </w:r>
    </w:p>
    <w:p w14:paraId="67CA64EA">
      <w:pPr>
        <w:pStyle w:val="23"/>
        <w:numPr>
          <w:ilvl w:val="0"/>
          <w:numId w:val="2"/>
        </w:numPr>
        <w:spacing w:before="0" w:beforeAutospacing="0" w:after="0" w:afterAutospacing="0" w:line="500" w:lineRule="exact"/>
        <w:ind w:left="0" w:firstLine="480" w:firstLineChars="200"/>
        <w:jc w:val="both"/>
        <w:rPr>
          <w:rFonts w:cs="Times New Roman"/>
          <w:highlight w:val="none"/>
        </w:rPr>
      </w:pPr>
      <w:r>
        <w:rPr>
          <w:rFonts w:hint="eastAsia" w:cs="Times New Roman"/>
          <w:highlight w:val="none"/>
        </w:rPr>
        <w:t>响应文件的关键内容（采购报价、</w:t>
      </w:r>
      <w:r>
        <w:rPr>
          <w:rFonts w:hint="eastAsia" w:cs="Times New Roman"/>
          <w:highlight w:val="none"/>
          <w:lang w:val="en-US" w:eastAsia="zh-CN"/>
        </w:rPr>
        <w:t>合同履行期限（</w:t>
      </w:r>
      <w:r>
        <w:rPr>
          <w:rFonts w:hint="eastAsia"/>
          <w:highlight w:val="none"/>
        </w:rPr>
        <w:t>供货安装期</w:t>
      </w:r>
      <w:r>
        <w:rPr>
          <w:rFonts w:hint="eastAsia"/>
          <w:highlight w:val="none"/>
          <w:lang w:eastAsia="zh-CN"/>
        </w:rPr>
        <w:t>）</w:t>
      </w:r>
      <w:r>
        <w:rPr>
          <w:rFonts w:hint="eastAsia" w:cs="Times New Roman"/>
          <w:highlight w:val="none"/>
        </w:rPr>
        <w:t>、质量标准、品牌、型号等）未填写或填写字迹模糊无法辨认的；</w:t>
      </w:r>
    </w:p>
    <w:p w14:paraId="3D2A1655">
      <w:pPr>
        <w:pStyle w:val="23"/>
        <w:numPr>
          <w:ilvl w:val="0"/>
          <w:numId w:val="2"/>
        </w:numPr>
        <w:spacing w:before="0" w:beforeAutospacing="0" w:after="0" w:afterAutospacing="0" w:line="500" w:lineRule="exact"/>
        <w:ind w:left="0" w:firstLine="480" w:firstLineChars="200"/>
        <w:jc w:val="both"/>
        <w:rPr>
          <w:rFonts w:cs="Times New Roman"/>
          <w:highlight w:val="none"/>
        </w:rPr>
      </w:pPr>
      <w:r>
        <w:rPr>
          <w:rFonts w:hint="eastAsia" w:cs="Times New Roman"/>
          <w:highlight w:val="none"/>
        </w:rPr>
        <w:t>采购报价超出控制价的；</w:t>
      </w:r>
    </w:p>
    <w:p w14:paraId="3B7EA64F">
      <w:pPr>
        <w:pStyle w:val="23"/>
        <w:numPr>
          <w:ilvl w:val="0"/>
          <w:numId w:val="2"/>
        </w:numPr>
        <w:spacing w:before="0" w:beforeAutospacing="0" w:after="0" w:afterAutospacing="0" w:line="500" w:lineRule="exact"/>
        <w:ind w:left="0" w:firstLine="480" w:firstLineChars="200"/>
        <w:jc w:val="both"/>
        <w:rPr>
          <w:rFonts w:cs="Times New Roman"/>
          <w:highlight w:val="none"/>
        </w:rPr>
      </w:pPr>
      <w:r>
        <w:rPr>
          <w:rFonts w:hint="eastAsia" w:cs="Times New Roman"/>
          <w:highlight w:val="none"/>
        </w:rPr>
        <w:t>投标文件中附有采购人不能接受的条件的；</w:t>
      </w:r>
    </w:p>
    <w:p w14:paraId="09C16F95">
      <w:pPr>
        <w:pStyle w:val="23"/>
        <w:numPr>
          <w:ilvl w:val="0"/>
          <w:numId w:val="2"/>
        </w:numPr>
        <w:spacing w:before="0" w:beforeAutospacing="0" w:after="0" w:afterAutospacing="0" w:line="500" w:lineRule="exact"/>
        <w:ind w:left="0" w:firstLine="480" w:firstLineChars="200"/>
        <w:jc w:val="both"/>
        <w:rPr>
          <w:highlight w:val="none"/>
        </w:rPr>
      </w:pPr>
      <w:r>
        <w:rPr>
          <w:rFonts w:hint="eastAsia" w:cs="Times New Roman"/>
          <w:highlight w:val="none"/>
        </w:rPr>
        <w:t>投标文件有明显不符合采购文件其它要求和有关法律法规的；</w:t>
      </w:r>
    </w:p>
    <w:p w14:paraId="16BE534F">
      <w:pPr>
        <w:pStyle w:val="23"/>
        <w:numPr>
          <w:ilvl w:val="0"/>
          <w:numId w:val="2"/>
        </w:numPr>
        <w:spacing w:before="0" w:beforeAutospacing="0" w:after="0" w:afterAutospacing="0" w:line="500" w:lineRule="exact"/>
        <w:ind w:left="0" w:firstLine="480" w:firstLineChars="200"/>
        <w:jc w:val="both"/>
        <w:rPr>
          <w:highlight w:val="none"/>
        </w:rPr>
      </w:pPr>
      <w:r>
        <w:rPr>
          <w:rFonts w:hint="eastAsia" w:cs="Times New Roman"/>
          <w:highlight w:val="none"/>
        </w:rPr>
        <w:t>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14:paraId="08ADC6D8">
      <w:pPr>
        <w:pStyle w:val="23"/>
        <w:numPr>
          <w:ilvl w:val="0"/>
          <w:numId w:val="2"/>
        </w:numPr>
        <w:spacing w:before="0" w:beforeAutospacing="0" w:after="0" w:afterAutospacing="0" w:line="500" w:lineRule="exact"/>
        <w:ind w:left="0" w:firstLine="480" w:firstLineChars="200"/>
        <w:jc w:val="both"/>
        <w:rPr>
          <w:highlight w:val="none"/>
        </w:rPr>
      </w:pPr>
      <w:r>
        <w:rPr>
          <w:rFonts w:hint="eastAsia"/>
          <w:highlight w:val="none"/>
        </w:rPr>
        <w:t>在评标过程中，评标委员会发现投标单位的报价明显低于其它采购报价，使得其采购报价可能低于其个别成本的，应当要求该投标人作出书面说明并提供相关证明材料。投标人不能合理说明或者不能提供相关证明材料的，由评标委员会认定该投标人以低于成本报价竞标的。</w:t>
      </w:r>
    </w:p>
    <w:p w14:paraId="41F0B92B">
      <w:pPr>
        <w:rPr>
          <w:highlight w:val="none"/>
        </w:rPr>
      </w:pPr>
    </w:p>
    <w:p w14:paraId="797DE40F">
      <w:pPr>
        <w:pStyle w:val="26"/>
        <w:rPr>
          <w:highlight w:val="none"/>
        </w:rPr>
      </w:pPr>
    </w:p>
    <w:p w14:paraId="39933149">
      <w:pPr>
        <w:pStyle w:val="27"/>
        <w:rPr>
          <w:highlight w:val="none"/>
        </w:rPr>
      </w:pPr>
    </w:p>
    <w:p w14:paraId="70720774">
      <w:pPr>
        <w:pStyle w:val="8"/>
        <w:rPr>
          <w:highlight w:val="none"/>
        </w:rPr>
      </w:pPr>
    </w:p>
    <w:p w14:paraId="2C5408A6">
      <w:pPr>
        <w:pStyle w:val="8"/>
        <w:rPr>
          <w:highlight w:val="none"/>
        </w:rPr>
      </w:pPr>
    </w:p>
    <w:p w14:paraId="163D9BFF">
      <w:pPr>
        <w:pStyle w:val="8"/>
        <w:rPr>
          <w:highlight w:val="none"/>
        </w:rPr>
      </w:pPr>
    </w:p>
    <w:p w14:paraId="6E5FB3E8">
      <w:pPr>
        <w:pStyle w:val="8"/>
        <w:rPr>
          <w:highlight w:val="none"/>
        </w:rPr>
      </w:pPr>
    </w:p>
    <w:p w14:paraId="753FA7DB">
      <w:pPr>
        <w:pStyle w:val="8"/>
        <w:rPr>
          <w:highlight w:val="none"/>
        </w:rPr>
      </w:pPr>
    </w:p>
    <w:p w14:paraId="536C506B">
      <w:pPr>
        <w:pStyle w:val="8"/>
        <w:rPr>
          <w:highlight w:val="none"/>
        </w:rPr>
      </w:pPr>
    </w:p>
    <w:p w14:paraId="667D5E9E">
      <w:pPr>
        <w:pStyle w:val="8"/>
        <w:rPr>
          <w:highlight w:val="none"/>
        </w:rPr>
      </w:pPr>
    </w:p>
    <w:p w14:paraId="248776C0">
      <w:pPr>
        <w:pStyle w:val="8"/>
        <w:rPr>
          <w:highlight w:val="none"/>
        </w:rPr>
      </w:pPr>
    </w:p>
    <w:p w14:paraId="7FC69F51">
      <w:pPr>
        <w:pStyle w:val="8"/>
        <w:rPr>
          <w:highlight w:val="none"/>
        </w:rPr>
      </w:pPr>
    </w:p>
    <w:p w14:paraId="318C1636">
      <w:pPr>
        <w:pStyle w:val="8"/>
        <w:rPr>
          <w:highlight w:val="none"/>
        </w:rPr>
      </w:pPr>
    </w:p>
    <w:p w14:paraId="2545CA04">
      <w:pPr>
        <w:pStyle w:val="8"/>
        <w:rPr>
          <w:highlight w:val="none"/>
        </w:rPr>
      </w:pPr>
    </w:p>
    <w:p w14:paraId="4BBDDC3D">
      <w:pPr>
        <w:pStyle w:val="8"/>
        <w:rPr>
          <w:highlight w:val="none"/>
        </w:rPr>
      </w:pPr>
    </w:p>
    <w:p w14:paraId="4D2447AB">
      <w:pPr>
        <w:pStyle w:val="8"/>
        <w:rPr>
          <w:highlight w:val="none"/>
        </w:rPr>
      </w:pPr>
    </w:p>
    <w:p w14:paraId="73FF53A5">
      <w:pPr>
        <w:pStyle w:val="8"/>
        <w:rPr>
          <w:highlight w:val="none"/>
        </w:rPr>
      </w:pPr>
    </w:p>
    <w:p w14:paraId="4EF3DFEE">
      <w:pPr>
        <w:pStyle w:val="8"/>
        <w:rPr>
          <w:highlight w:val="none"/>
        </w:rPr>
      </w:pPr>
    </w:p>
    <w:p w14:paraId="511C099F">
      <w:pPr>
        <w:pStyle w:val="8"/>
        <w:rPr>
          <w:highlight w:val="none"/>
        </w:rPr>
      </w:pPr>
    </w:p>
    <w:p w14:paraId="50060D4E">
      <w:pPr>
        <w:pStyle w:val="8"/>
        <w:rPr>
          <w:highlight w:val="none"/>
        </w:rPr>
      </w:pPr>
    </w:p>
    <w:p w14:paraId="476266CC">
      <w:pPr>
        <w:pStyle w:val="8"/>
        <w:rPr>
          <w:highlight w:val="none"/>
        </w:rPr>
      </w:pPr>
    </w:p>
    <w:p w14:paraId="29F67320">
      <w:pPr>
        <w:pStyle w:val="8"/>
        <w:rPr>
          <w:highlight w:val="none"/>
        </w:rPr>
      </w:pPr>
    </w:p>
    <w:p w14:paraId="617DAB90">
      <w:pPr>
        <w:pStyle w:val="8"/>
        <w:rPr>
          <w:highlight w:val="none"/>
        </w:rPr>
      </w:pPr>
    </w:p>
    <w:p w14:paraId="6A183A0B">
      <w:pPr>
        <w:pStyle w:val="3"/>
        <w:numPr>
          <w:ilvl w:val="0"/>
          <w:numId w:val="0"/>
        </w:numPr>
        <w:spacing w:line="500" w:lineRule="exact"/>
        <w:ind w:left="630" w:leftChars="0"/>
        <w:rPr>
          <w:sz w:val="32"/>
          <w:szCs w:val="32"/>
          <w:highlight w:val="none"/>
        </w:rPr>
      </w:pPr>
      <w:bookmarkStart w:id="3" w:name="_Toc21579"/>
      <w:bookmarkStart w:id="4" w:name="_Toc21974"/>
      <w:r>
        <w:rPr>
          <w:rFonts w:hint="eastAsia" w:ascii="Book Antiqua" w:hAnsi="Book Antiqua" w:eastAsia="宋体" w:cs="Times New Roman"/>
          <w:b/>
          <w:bCs/>
          <w:kern w:val="44"/>
          <w:sz w:val="32"/>
          <w:szCs w:val="32"/>
          <w:highlight w:val="none"/>
          <w:lang w:val="en-US" w:eastAsia="zh-CN" w:bidi="ar-SA"/>
        </w:rPr>
        <w:t>第一章</w:t>
      </w:r>
      <w:r>
        <w:rPr>
          <w:rFonts w:hint="eastAsia"/>
          <w:sz w:val="32"/>
          <w:szCs w:val="32"/>
          <w:highlight w:val="none"/>
        </w:rPr>
        <w:t xml:space="preserve">  </w:t>
      </w:r>
      <w:bookmarkStart w:id="5" w:name="_Toc24066"/>
      <w:bookmarkStart w:id="6" w:name="_Toc23622"/>
      <w:r>
        <w:rPr>
          <w:rFonts w:hint="eastAsia"/>
          <w:sz w:val="32"/>
          <w:szCs w:val="32"/>
          <w:highlight w:val="none"/>
        </w:rPr>
        <w:t>招标公告</w:t>
      </w:r>
      <w:bookmarkEnd w:id="5"/>
      <w:bookmarkEnd w:id="6"/>
    </w:p>
    <w:p w14:paraId="451A06ED">
      <w:pPr>
        <w:spacing w:line="440" w:lineRule="exact"/>
        <w:jc w:val="center"/>
        <w:rPr>
          <w:highlight w:val="none"/>
        </w:rPr>
      </w:pPr>
      <w:r>
        <w:rPr>
          <w:rFonts w:hint="eastAsia" w:ascii="宋体" w:hAnsi="宋体" w:cs="宋体"/>
          <w:b/>
          <w:bCs/>
          <w:sz w:val="28"/>
          <w:szCs w:val="28"/>
          <w:highlight w:val="none"/>
          <w:lang w:val="en-US" w:eastAsia="zh-CN"/>
        </w:rPr>
        <w:t>博爱县生活污水处理厂设备设施更新及配套管网改造提升工程</w:t>
      </w:r>
      <w:r>
        <w:rPr>
          <w:rFonts w:hint="eastAsia" w:ascii="宋体" w:hAnsi="宋体" w:cs="宋体"/>
          <w:b/>
          <w:bCs/>
          <w:sz w:val="28"/>
          <w:szCs w:val="28"/>
          <w:highlight w:val="none"/>
          <w:lang w:eastAsia="zh-CN"/>
        </w:rPr>
        <w:t>设备采购项目</w:t>
      </w:r>
      <w:r>
        <w:rPr>
          <w:rFonts w:hint="eastAsia" w:ascii="宋体" w:hAnsi="宋体" w:cs="宋体"/>
          <w:b/>
          <w:bCs/>
          <w:sz w:val="28"/>
          <w:szCs w:val="28"/>
          <w:highlight w:val="none"/>
          <w:lang w:val="en-US" w:eastAsia="zh-CN"/>
        </w:rPr>
        <w:t>招标公告</w:t>
      </w:r>
      <w:r>
        <w:rPr>
          <w:rFonts w:hint="eastAsia" w:ascii="宋体" w:hAnsi="宋体" w:cs="宋体"/>
          <w:b/>
          <w:bCs/>
          <w:sz w:val="28"/>
          <w:szCs w:val="28"/>
          <w:highlight w:val="none"/>
        </w:rPr>
        <w:t>（不见面开标）</w:t>
      </w:r>
    </w:p>
    <w:tbl>
      <w:tblPr>
        <w:tblStyle w:val="28"/>
        <w:tblW w:w="9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0"/>
      </w:tblGrid>
      <w:tr w14:paraId="10363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4" w:hRule="atLeast"/>
          <w:jc w:val="center"/>
        </w:trPr>
        <w:tc>
          <w:tcPr>
            <w:tcW w:w="9320" w:type="dxa"/>
          </w:tcPr>
          <w:p w14:paraId="33F28528">
            <w:pPr>
              <w:pStyle w:val="27"/>
              <w:spacing w:line="440" w:lineRule="exact"/>
              <w:ind w:left="0" w:leftChars="0" w:firstLine="480" w:firstLineChars="200"/>
              <w:rPr>
                <w:rFonts w:ascii="宋体" w:hAnsi="宋体" w:cs="宋体"/>
                <w:sz w:val="24"/>
                <w:highlight w:val="none"/>
              </w:rPr>
            </w:pPr>
            <w:r>
              <w:rPr>
                <w:rFonts w:hint="eastAsia" w:ascii="宋体" w:hAnsi="宋体" w:cs="宋体"/>
                <w:sz w:val="24"/>
                <w:szCs w:val="24"/>
                <w:highlight w:val="none"/>
              </w:rPr>
              <w:t>项目概况：</w:t>
            </w:r>
            <w:r>
              <w:rPr>
                <w:rFonts w:hint="eastAsia" w:ascii="宋体" w:hAnsi="宋体" w:cs="宋体"/>
                <w:sz w:val="24"/>
                <w:szCs w:val="24"/>
                <w:highlight w:val="none"/>
                <w:lang w:val="en-US" w:eastAsia="zh-CN"/>
              </w:rPr>
              <w:t>博爱县生活污水处理厂设备设施更新及配套管网改造提升工程</w:t>
            </w:r>
            <w:r>
              <w:rPr>
                <w:rFonts w:hint="eastAsia" w:ascii="宋体" w:hAnsi="宋体" w:cs="宋体"/>
                <w:sz w:val="24"/>
                <w:szCs w:val="24"/>
                <w:highlight w:val="none"/>
                <w:lang w:eastAsia="zh-CN"/>
              </w:rPr>
              <w:t>设备采购项目（</w:t>
            </w:r>
            <w:r>
              <w:rPr>
                <w:rFonts w:hint="eastAsia" w:ascii="宋体" w:hAnsi="宋体" w:cs="宋体"/>
                <w:sz w:val="24"/>
                <w:szCs w:val="24"/>
                <w:highlight w:val="none"/>
                <w:lang w:val="en-US" w:eastAsia="zh-CN"/>
              </w:rPr>
              <w:t>一标段</w:t>
            </w:r>
            <w:r>
              <w:rPr>
                <w:rFonts w:hint="eastAsia" w:ascii="宋体" w:hAnsi="宋体" w:cs="宋体"/>
                <w:sz w:val="24"/>
                <w:szCs w:val="24"/>
                <w:highlight w:val="none"/>
                <w:lang w:eastAsia="zh-CN"/>
              </w:rPr>
              <w:t>）</w:t>
            </w:r>
            <w:r>
              <w:rPr>
                <w:rFonts w:hint="eastAsia" w:ascii="宋体" w:hAnsi="宋体" w:cs="宋体"/>
                <w:sz w:val="24"/>
                <w:szCs w:val="24"/>
                <w:highlight w:val="none"/>
              </w:rPr>
              <w:t>的潜在供应商应在焦作市公共资源交易中心网站获取采购文件，</w:t>
            </w:r>
            <w:r>
              <w:rPr>
                <w:rFonts w:hint="eastAsia" w:ascii="宋体" w:hAnsi="宋体" w:cs="宋体"/>
                <w:sz w:val="24"/>
                <w:szCs w:val="24"/>
                <w:highlight w:val="none"/>
                <w:lang w:val="en-US" w:eastAsia="zh-CN"/>
              </w:rPr>
              <w:t>并于</w:t>
            </w:r>
            <w:r>
              <w:rPr>
                <w:rFonts w:hint="eastAsia" w:ascii="宋体" w:hAnsi="宋体" w:cs="宋体"/>
                <w:sz w:val="24"/>
                <w:szCs w:val="24"/>
                <w:highlight w:val="none"/>
                <w:u w:val="single"/>
                <w:lang w:val="en-US" w:eastAsia="zh-CN"/>
              </w:rPr>
              <w:t>2025年10月 14日上午 9 点 00 分（北京时间）</w:t>
            </w:r>
            <w:r>
              <w:rPr>
                <w:rFonts w:hint="eastAsia" w:ascii="宋体" w:hAnsi="宋体" w:cs="宋体"/>
                <w:sz w:val="24"/>
                <w:szCs w:val="24"/>
                <w:highlight w:val="none"/>
                <w:lang w:val="en-US" w:eastAsia="zh-CN"/>
              </w:rPr>
              <w:t>前提交响应文件。</w:t>
            </w:r>
          </w:p>
        </w:tc>
      </w:tr>
    </w:tbl>
    <w:p w14:paraId="1DD5C9A7">
      <w:pPr>
        <w:pStyle w:val="43"/>
        <w:spacing w:line="440" w:lineRule="exact"/>
        <w:ind w:left="0" w:firstLine="0"/>
        <w:rPr>
          <w:b/>
          <w:bCs/>
          <w:sz w:val="24"/>
          <w:highlight w:val="none"/>
          <w:lang w:eastAsia="zh-CN"/>
        </w:rPr>
      </w:pPr>
      <w:r>
        <w:rPr>
          <w:rFonts w:hint="eastAsia"/>
          <w:b/>
          <w:bCs/>
          <w:sz w:val="24"/>
          <w:highlight w:val="none"/>
          <w:lang w:eastAsia="zh-CN"/>
        </w:rPr>
        <w:t>一、项目基本情况</w:t>
      </w:r>
    </w:p>
    <w:p w14:paraId="4C3B3C24">
      <w:pPr>
        <w:pStyle w:val="43"/>
        <w:spacing w:line="440" w:lineRule="exact"/>
        <w:ind w:left="0" w:firstLine="480" w:firstLineChars="200"/>
        <w:rPr>
          <w:rFonts w:hint="eastAsia"/>
          <w:sz w:val="24"/>
          <w:highlight w:val="none"/>
          <w:lang w:eastAsia="zh-CN"/>
        </w:rPr>
      </w:pPr>
      <w:r>
        <w:rPr>
          <w:rFonts w:hint="eastAsia"/>
          <w:sz w:val="24"/>
          <w:highlight w:val="none"/>
          <w:lang w:val="en-US" w:eastAsia="zh-CN"/>
        </w:rPr>
        <w:t>1</w:t>
      </w:r>
      <w:r>
        <w:rPr>
          <w:rFonts w:hint="eastAsia"/>
          <w:sz w:val="24"/>
          <w:highlight w:val="none"/>
          <w:lang w:eastAsia="zh-CN"/>
        </w:rPr>
        <w:t>.项目名称：</w:t>
      </w:r>
      <w:r>
        <w:rPr>
          <w:rFonts w:hint="eastAsia"/>
          <w:sz w:val="24"/>
          <w:highlight w:val="none"/>
          <w:lang w:val="en-US" w:eastAsia="zh-CN"/>
        </w:rPr>
        <w:t>博爱县生活污水处理厂设备设施更新及配套管网改造提升工程</w:t>
      </w:r>
      <w:r>
        <w:rPr>
          <w:rFonts w:hint="eastAsia"/>
          <w:sz w:val="24"/>
          <w:highlight w:val="none"/>
          <w:lang w:eastAsia="zh-CN"/>
        </w:rPr>
        <w:t>设备采购项目</w:t>
      </w:r>
    </w:p>
    <w:p w14:paraId="4487BF3B">
      <w:pPr>
        <w:pStyle w:val="43"/>
        <w:spacing w:line="440" w:lineRule="exact"/>
        <w:ind w:left="0" w:firstLine="480" w:firstLineChars="200"/>
        <w:rPr>
          <w:sz w:val="24"/>
          <w:highlight w:val="none"/>
          <w:lang w:eastAsia="zh-CN"/>
        </w:rPr>
      </w:pPr>
      <w:r>
        <w:rPr>
          <w:rFonts w:hint="eastAsia"/>
          <w:sz w:val="24"/>
          <w:highlight w:val="none"/>
          <w:lang w:val="en-US" w:eastAsia="zh-CN"/>
        </w:rPr>
        <w:t>2</w:t>
      </w:r>
      <w:r>
        <w:rPr>
          <w:rFonts w:hint="eastAsia"/>
          <w:sz w:val="24"/>
          <w:highlight w:val="none"/>
          <w:lang w:eastAsia="zh-CN"/>
        </w:rPr>
        <w:t>.采购方式：公开招标</w:t>
      </w:r>
    </w:p>
    <w:p w14:paraId="776A24EE">
      <w:pPr>
        <w:pStyle w:val="43"/>
        <w:spacing w:line="440" w:lineRule="exact"/>
        <w:ind w:left="0" w:firstLine="480" w:firstLineChars="200"/>
        <w:rPr>
          <w:rFonts w:hint="default"/>
          <w:sz w:val="24"/>
          <w:highlight w:val="none"/>
          <w:lang w:val="en-US" w:eastAsia="zh-CN"/>
        </w:rPr>
      </w:pPr>
      <w:r>
        <w:rPr>
          <w:rFonts w:hint="eastAsia"/>
          <w:sz w:val="24"/>
          <w:highlight w:val="none"/>
          <w:lang w:val="en-US" w:eastAsia="zh-CN"/>
        </w:rPr>
        <w:t>3</w:t>
      </w:r>
      <w:r>
        <w:rPr>
          <w:rFonts w:hint="eastAsia"/>
          <w:sz w:val="24"/>
          <w:highlight w:val="none"/>
          <w:lang w:eastAsia="zh-CN"/>
        </w:rPr>
        <w:t>.预算金额：</w:t>
      </w:r>
      <w:r>
        <w:rPr>
          <w:rFonts w:hint="eastAsia"/>
          <w:sz w:val="24"/>
          <w:highlight w:val="none"/>
          <w:lang w:val="en-US" w:eastAsia="zh-CN"/>
        </w:rPr>
        <w:t>16862657元</w:t>
      </w:r>
    </w:p>
    <w:p w14:paraId="173CE338">
      <w:pPr>
        <w:pStyle w:val="43"/>
        <w:spacing w:line="440" w:lineRule="exact"/>
        <w:ind w:left="0" w:firstLine="720" w:firstLineChars="300"/>
        <w:rPr>
          <w:rFonts w:hint="eastAsia"/>
          <w:sz w:val="24"/>
          <w:highlight w:val="none"/>
          <w:lang w:eastAsia="zh-CN"/>
        </w:rPr>
      </w:pPr>
      <w:r>
        <w:rPr>
          <w:rFonts w:hint="eastAsia"/>
          <w:sz w:val="24"/>
          <w:highlight w:val="none"/>
          <w:lang w:eastAsia="zh-CN"/>
        </w:rPr>
        <w:t>最高限价：</w:t>
      </w:r>
      <w:r>
        <w:rPr>
          <w:rFonts w:hint="eastAsia"/>
          <w:sz w:val="24"/>
          <w:highlight w:val="none"/>
          <w:lang w:val="en-US" w:eastAsia="zh-CN"/>
        </w:rPr>
        <w:t>16862657元</w:t>
      </w:r>
    </w:p>
    <w:tbl>
      <w:tblPr>
        <w:tblStyle w:val="29"/>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00"/>
        <w:gridCol w:w="3315"/>
        <w:gridCol w:w="1602"/>
        <w:gridCol w:w="1900"/>
      </w:tblGrid>
      <w:tr w14:paraId="10D7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59" w:type="dxa"/>
            <w:vAlign w:val="center"/>
          </w:tcPr>
          <w:p w14:paraId="5CA22B13">
            <w:pPr>
              <w:pStyle w:val="23"/>
              <w:spacing w:before="0" w:beforeAutospacing="0" w:after="0" w:afterAutospacing="0" w:line="440" w:lineRule="exact"/>
              <w:jc w:val="center"/>
              <w:rPr>
                <w:highlight w:val="none"/>
              </w:rPr>
            </w:pPr>
            <w:r>
              <w:rPr>
                <w:rFonts w:hint="eastAsia"/>
                <w:highlight w:val="none"/>
              </w:rPr>
              <w:t>序号</w:t>
            </w:r>
          </w:p>
        </w:tc>
        <w:tc>
          <w:tcPr>
            <w:tcW w:w="1500" w:type="dxa"/>
            <w:vAlign w:val="center"/>
          </w:tcPr>
          <w:p w14:paraId="6020713F">
            <w:pPr>
              <w:pStyle w:val="23"/>
              <w:spacing w:before="0" w:beforeAutospacing="0" w:after="0" w:afterAutospacing="0" w:line="440" w:lineRule="exact"/>
              <w:jc w:val="center"/>
              <w:rPr>
                <w:highlight w:val="none"/>
              </w:rPr>
            </w:pPr>
            <w:r>
              <w:rPr>
                <w:rFonts w:hint="eastAsia"/>
                <w:highlight w:val="none"/>
              </w:rPr>
              <w:t>包号</w:t>
            </w:r>
          </w:p>
        </w:tc>
        <w:tc>
          <w:tcPr>
            <w:tcW w:w="3315" w:type="dxa"/>
            <w:vAlign w:val="center"/>
          </w:tcPr>
          <w:p w14:paraId="4DC24432">
            <w:pPr>
              <w:pStyle w:val="23"/>
              <w:spacing w:before="0" w:beforeAutospacing="0" w:after="0" w:afterAutospacing="0" w:line="440" w:lineRule="exact"/>
              <w:jc w:val="center"/>
              <w:rPr>
                <w:highlight w:val="none"/>
              </w:rPr>
            </w:pPr>
            <w:r>
              <w:rPr>
                <w:rFonts w:hint="eastAsia"/>
                <w:highlight w:val="none"/>
              </w:rPr>
              <w:t>包名称</w:t>
            </w:r>
          </w:p>
        </w:tc>
        <w:tc>
          <w:tcPr>
            <w:tcW w:w="1602" w:type="dxa"/>
            <w:vAlign w:val="center"/>
          </w:tcPr>
          <w:p w14:paraId="79FE08EA">
            <w:pPr>
              <w:pStyle w:val="23"/>
              <w:spacing w:before="0" w:beforeAutospacing="0" w:after="0" w:afterAutospacing="0" w:line="440" w:lineRule="exact"/>
              <w:jc w:val="center"/>
              <w:rPr>
                <w:highlight w:val="none"/>
              </w:rPr>
            </w:pPr>
            <w:r>
              <w:rPr>
                <w:rFonts w:hint="eastAsia"/>
                <w:highlight w:val="none"/>
              </w:rPr>
              <w:t>包预算</w:t>
            </w:r>
          </w:p>
          <w:p w14:paraId="36D148A1">
            <w:pPr>
              <w:pStyle w:val="23"/>
              <w:spacing w:before="0" w:beforeAutospacing="0" w:after="0" w:afterAutospacing="0" w:line="440" w:lineRule="exact"/>
              <w:jc w:val="center"/>
              <w:rPr>
                <w:highlight w:val="none"/>
              </w:rPr>
            </w:pPr>
            <w:r>
              <w:rPr>
                <w:rFonts w:hint="eastAsia"/>
                <w:highlight w:val="none"/>
              </w:rPr>
              <w:t>（元）</w:t>
            </w:r>
          </w:p>
        </w:tc>
        <w:tc>
          <w:tcPr>
            <w:tcW w:w="1900" w:type="dxa"/>
            <w:vAlign w:val="center"/>
          </w:tcPr>
          <w:p w14:paraId="010B5208">
            <w:pPr>
              <w:pStyle w:val="23"/>
              <w:spacing w:before="0" w:beforeAutospacing="0" w:after="0" w:afterAutospacing="0" w:line="440" w:lineRule="exact"/>
              <w:jc w:val="center"/>
              <w:rPr>
                <w:highlight w:val="none"/>
              </w:rPr>
            </w:pPr>
            <w:r>
              <w:rPr>
                <w:rFonts w:hint="eastAsia"/>
                <w:highlight w:val="none"/>
              </w:rPr>
              <w:t>包最高限价</w:t>
            </w:r>
          </w:p>
          <w:p w14:paraId="3164C1B2">
            <w:pPr>
              <w:pStyle w:val="23"/>
              <w:spacing w:before="0" w:beforeAutospacing="0" w:after="0" w:afterAutospacing="0" w:line="440" w:lineRule="exact"/>
              <w:jc w:val="center"/>
              <w:rPr>
                <w:highlight w:val="none"/>
              </w:rPr>
            </w:pPr>
            <w:r>
              <w:rPr>
                <w:rFonts w:hint="eastAsia"/>
                <w:highlight w:val="none"/>
              </w:rPr>
              <w:t>（元）</w:t>
            </w:r>
          </w:p>
        </w:tc>
      </w:tr>
      <w:tr w14:paraId="3EA3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59" w:type="dxa"/>
            <w:vAlign w:val="center"/>
          </w:tcPr>
          <w:p w14:paraId="15885907">
            <w:pPr>
              <w:spacing w:line="440" w:lineRule="exact"/>
              <w:jc w:val="center"/>
              <w:rPr>
                <w:rFonts w:hint="eastAsia" w:ascii="宋体" w:hAnsi="宋体" w:eastAsia="宋体" w:cs="宋体"/>
                <w:kern w:val="0"/>
                <w:sz w:val="24"/>
                <w:szCs w:val="22"/>
                <w:highlight w:val="none"/>
                <w:lang w:val="en-US" w:eastAsia="zh-CN" w:bidi="ar-SA"/>
              </w:rPr>
            </w:pPr>
            <w:r>
              <w:rPr>
                <w:rFonts w:hint="eastAsia" w:ascii="宋体" w:hAnsi="宋体" w:eastAsia="宋体" w:cs="宋体"/>
                <w:kern w:val="0"/>
                <w:sz w:val="24"/>
                <w:szCs w:val="22"/>
                <w:highlight w:val="none"/>
                <w:lang w:val="en-US" w:eastAsia="zh-CN" w:bidi="ar-SA"/>
              </w:rPr>
              <w:t>1</w:t>
            </w:r>
          </w:p>
        </w:tc>
        <w:tc>
          <w:tcPr>
            <w:tcW w:w="1500" w:type="dxa"/>
            <w:vAlign w:val="center"/>
          </w:tcPr>
          <w:p w14:paraId="6DC05BC6">
            <w:pPr>
              <w:spacing w:line="440" w:lineRule="exact"/>
              <w:jc w:val="center"/>
              <w:rPr>
                <w:rFonts w:hint="default" w:ascii="宋体" w:hAnsi="宋体" w:eastAsia="宋体" w:cs="宋体"/>
                <w:kern w:val="0"/>
                <w:sz w:val="24"/>
                <w:szCs w:val="22"/>
                <w:highlight w:val="none"/>
                <w:lang w:val="en-US" w:eastAsia="zh-CN" w:bidi="ar-SA"/>
              </w:rPr>
            </w:pPr>
            <w:r>
              <w:rPr>
                <w:rFonts w:hint="eastAsia" w:ascii="宋体" w:hAnsi="宋体" w:cs="宋体"/>
                <w:kern w:val="0"/>
                <w:sz w:val="24"/>
                <w:szCs w:val="22"/>
                <w:highlight w:val="none"/>
                <w:lang w:val="en-US" w:eastAsia="zh-CN" w:bidi="ar-SA"/>
              </w:rPr>
              <w:t>/</w:t>
            </w:r>
          </w:p>
        </w:tc>
        <w:tc>
          <w:tcPr>
            <w:tcW w:w="3315" w:type="dxa"/>
            <w:vAlign w:val="center"/>
          </w:tcPr>
          <w:p w14:paraId="018154A3">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2"/>
                <w:szCs w:val="22"/>
                <w:highlight w:val="none"/>
                <w:lang w:val="en-US" w:eastAsia="zh-CN"/>
              </w:rPr>
              <w:t>博爱县生活污水处理厂设备设施更新及配套管网改造提升工程</w:t>
            </w:r>
            <w:r>
              <w:rPr>
                <w:rFonts w:hint="eastAsia" w:ascii="宋体" w:hAnsi="宋体" w:eastAsia="宋体" w:cs="宋体"/>
                <w:sz w:val="22"/>
                <w:szCs w:val="22"/>
                <w:highlight w:val="none"/>
                <w:lang w:eastAsia="zh-CN"/>
              </w:rPr>
              <w:t>设备采购项目（</w:t>
            </w:r>
            <w:r>
              <w:rPr>
                <w:rFonts w:hint="eastAsia" w:ascii="宋体" w:hAnsi="宋体" w:eastAsia="宋体" w:cs="宋体"/>
                <w:sz w:val="22"/>
                <w:szCs w:val="22"/>
                <w:highlight w:val="none"/>
                <w:lang w:val="en-US" w:eastAsia="zh-CN"/>
              </w:rPr>
              <w:t>一标段</w:t>
            </w:r>
            <w:r>
              <w:rPr>
                <w:rFonts w:hint="eastAsia" w:ascii="宋体" w:hAnsi="宋体" w:eastAsia="宋体" w:cs="宋体"/>
                <w:sz w:val="22"/>
                <w:szCs w:val="22"/>
                <w:highlight w:val="none"/>
                <w:lang w:eastAsia="zh-CN"/>
              </w:rPr>
              <w:t>）</w:t>
            </w:r>
          </w:p>
        </w:tc>
        <w:tc>
          <w:tcPr>
            <w:tcW w:w="1602" w:type="dxa"/>
            <w:vAlign w:val="center"/>
          </w:tcPr>
          <w:p w14:paraId="5DA795AE">
            <w:pPr>
              <w:spacing w:line="44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6119668</w:t>
            </w:r>
          </w:p>
        </w:tc>
        <w:tc>
          <w:tcPr>
            <w:tcW w:w="1900" w:type="dxa"/>
            <w:vAlign w:val="center"/>
          </w:tcPr>
          <w:p w14:paraId="13F1CD8E">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6119668</w:t>
            </w:r>
          </w:p>
        </w:tc>
      </w:tr>
      <w:tr w14:paraId="1098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59" w:type="dxa"/>
            <w:vAlign w:val="center"/>
          </w:tcPr>
          <w:p w14:paraId="7250DE60">
            <w:pPr>
              <w:spacing w:line="440" w:lineRule="exact"/>
              <w:jc w:val="center"/>
              <w:rPr>
                <w:rFonts w:hint="default" w:ascii="宋体" w:hAnsi="宋体" w:eastAsia="宋体" w:cs="宋体"/>
                <w:kern w:val="0"/>
                <w:sz w:val="24"/>
                <w:szCs w:val="22"/>
                <w:highlight w:val="none"/>
                <w:lang w:val="en-US" w:eastAsia="zh-CN" w:bidi="ar-SA"/>
              </w:rPr>
            </w:pPr>
            <w:r>
              <w:rPr>
                <w:rFonts w:hint="eastAsia" w:ascii="宋体" w:hAnsi="宋体" w:cs="宋体"/>
                <w:kern w:val="0"/>
                <w:sz w:val="24"/>
                <w:szCs w:val="22"/>
                <w:highlight w:val="none"/>
                <w:lang w:val="en-US" w:eastAsia="zh-CN" w:bidi="ar-SA"/>
              </w:rPr>
              <w:t>2</w:t>
            </w:r>
          </w:p>
        </w:tc>
        <w:tc>
          <w:tcPr>
            <w:tcW w:w="1500" w:type="dxa"/>
            <w:vAlign w:val="center"/>
          </w:tcPr>
          <w:p w14:paraId="68E6B80F">
            <w:pPr>
              <w:spacing w:line="440" w:lineRule="exact"/>
              <w:jc w:val="center"/>
              <w:rPr>
                <w:rFonts w:hint="default" w:ascii="宋体" w:hAnsi="宋体" w:cs="宋体"/>
                <w:kern w:val="0"/>
                <w:sz w:val="24"/>
                <w:szCs w:val="22"/>
                <w:highlight w:val="none"/>
                <w:lang w:val="en-US" w:eastAsia="zh-CN" w:bidi="ar-SA"/>
              </w:rPr>
            </w:pPr>
            <w:r>
              <w:rPr>
                <w:rFonts w:hint="eastAsia" w:ascii="宋体" w:hAnsi="宋体" w:cs="宋体"/>
                <w:kern w:val="0"/>
                <w:sz w:val="24"/>
                <w:szCs w:val="22"/>
                <w:highlight w:val="none"/>
                <w:lang w:val="en-US" w:eastAsia="zh-CN" w:bidi="ar-SA"/>
              </w:rPr>
              <w:t>/</w:t>
            </w:r>
          </w:p>
        </w:tc>
        <w:tc>
          <w:tcPr>
            <w:tcW w:w="3315" w:type="dxa"/>
            <w:vAlign w:val="center"/>
          </w:tcPr>
          <w:p w14:paraId="328FBD33">
            <w:pPr>
              <w:spacing w:line="44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博爱县生活污水处理厂设备设施更新及配套管网改造提升工程</w:t>
            </w:r>
            <w:r>
              <w:rPr>
                <w:rFonts w:hint="eastAsia" w:ascii="宋体" w:hAnsi="宋体" w:eastAsia="宋体" w:cs="宋体"/>
                <w:sz w:val="22"/>
                <w:szCs w:val="22"/>
                <w:highlight w:val="none"/>
                <w:lang w:eastAsia="zh-CN"/>
              </w:rPr>
              <w:t>设备采购项目（</w:t>
            </w:r>
            <w:r>
              <w:rPr>
                <w:rFonts w:hint="eastAsia" w:ascii="宋体" w:hAnsi="宋体" w:cs="宋体"/>
                <w:sz w:val="22"/>
                <w:szCs w:val="22"/>
                <w:highlight w:val="none"/>
                <w:lang w:val="en-US" w:eastAsia="zh-CN"/>
              </w:rPr>
              <w:t>二</w:t>
            </w:r>
            <w:r>
              <w:rPr>
                <w:rFonts w:hint="eastAsia" w:ascii="宋体" w:hAnsi="宋体" w:eastAsia="宋体" w:cs="宋体"/>
                <w:sz w:val="22"/>
                <w:szCs w:val="22"/>
                <w:highlight w:val="none"/>
                <w:lang w:val="en-US" w:eastAsia="zh-CN"/>
              </w:rPr>
              <w:t>标段</w:t>
            </w:r>
            <w:r>
              <w:rPr>
                <w:rFonts w:hint="eastAsia" w:ascii="宋体" w:hAnsi="宋体" w:eastAsia="宋体" w:cs="宋体"/>
                <w:sz w:val="22"/>
                <w:szCs w:val="22"/>
                <w:highlight w:val="none"/>
                <w:lang w:eastAsia="zh-CN"/>
              </w:rPr>
              <w:t>）</w:t>
            </w:r>
          </w:p>
        </w:tc>
        <w:tc>
          <w:tcPr>
            <w:tcW w:w="1602" w:type="dxa"/>
            <w:vAlign w:val="center"/>
          </w:tcPr>
          <w:p w14:paraId="0439A942">
            <w:pPr>
              <w:spacing w:line="44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5384600</w:t>
            </w:r>
          </w:p>
        </w:tc>
        <w:tc>
          <w:tcPr>
            <w:tcW w:w="1900" w:type="dxa"/>
            <w:vAlign w:val="center"/>
          </w:tcPr>
          <w:p w14:paraId="52069C79">
            <w:pPr>
              <w:spacing w:line="44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5384600</w:t>
            </w:r>
          </w:p>
        </w:tc>
      </w:tr>
      <w:tr w14:paraId="6916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59" w:type="dxa"/>
            <w:vAlign w:val="center"/>
          </w:tcPr>
          <w:p w14:paraId="48BF1BC1">
            <w:pPr>
              <w:spacing w:line="440" w:lineRule="exact"/>
              <w:jc w:val="center"/>
              <w:rPr>
                <w:rFonts w:hint="default" w:ascii="宋体" w:hAnsi="宋体" w:eastAsia="宋体" w:cs="宋体"/>
                <w:kern w:val="0"/>
                <w:sz w:val="24"/>
                <w:szCs w:val="22"/>
                <w:highlight w:val="none"/>
                <w:lang w:val="en-US" w:eastAsia="zh-CN" w:bidi="ar-SA"/>
              </w:rPr>
            </w:pPr>
            <w:r>
              <w:rPr>
                <w:rFonts w:hint="eastAsia" w:ascii="宋体" w:hAnsi="宋体" w:cs="宋体"/>
                <w:kern w:val="0"/>
                <w:sz w:val="24"/>
                <w:szCs w:val="22"/>
                <w:highlight w:val="none"/>
                <w:lang w:val="en-US" w:eastAsia="zh-CN" w:bidi="ar-SA"/>
              </w:rPr>
              <w:t>3</w:t>
            </w:r>
          </w:p>
        </w:tc>
        <w:tc>
          <w:tcPr>
            <w:tcW w:w="1500" w:type="dxa"/>
            <w:vAlign w:val="center"/>
          </w:tcPr>
          <w:p w14:paraId="6B632519">
            <w:pPr>
              <w:spacing w:line="440" w:lineRule="exact"/>
              <w:jc w:val="center"/>
              <w:rPr>
                <w:rFonts w:hint="eastAsia" w:ascii="宋体" w:hAnsi="宋体" w:cs="宋体"/>
                <w:b w:val="0"/>
                <w:bCs w:val="0"/>
                <w:kern w:val="0"/>
                <w:sz w:val="24"/>
                <w:szCs w:val="22"/>
                <w:highlight w:val="none"/>
                <w:lang w:val="en-US" w:eastAsia="zh-CN" w:bidi="ar-SA"/>
              </w:rPr>
            </w:pPr>
            <w:r>
              <w:rPr>
                <w:rFonts w:hint="eastAsia" w:ascii="宋体" w:hAnsi="宋体" w:cs="宋体"/>
                <w:kern w:val="0"/>
                <w:sz w:val="24"/>
                <w:szCs w:val="22"/>
                <w:highlight w:val="none"/>
                <w:lang w:val="en-US" w:eastAsia="zh-CN" w:bidi="ar-SA"/>
              </w:rPr>
              <w:t>/</w:t>
            </w:r>
          </w:p>
        </w:tc>
        <w:tc>
          <w:tcPr>
            <w:tcW w:w="3315" w:type="dxa"/>
            <w:vAlign w:val="center"/>
          </w:tcPr>
          <w:p w14:paraId="3CE4B6CF">
            <w:pPr>
              <w:spacing w:line="44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博爱县生活污水处理厂设备设施更新及配套管网改造提升工程</w:t>
            </w:r>
            <w:r>
              <w:rPr>
                <w:rFonts w:hint="eastAsia" w:ascii="宋体" w:hAnsi="宋体" w:eastAsia="宋体" w:cs="宋体"/>
                <w:sz w:val="22"/>
                <w:szCs w:val="22"/>
                <w:highlight w:val="none"/>
                <w:lang w:eastAsia="zh-CN"/>
              </w:rPr>
              <w:t>设备采购项目</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三标段</w:t>
            </w:r>
            <w:r>
              <w:rPr>
                <w:rFonts w:hint="eastAsia" w:ascii="宋体" w:hAnsi="宋体" w:cs="宋体"/>
                <w:sz w:val="22"/>
                <w:szCs w:val="22"/>
                <w:highlight w:val="none"/>
                <w:lang w:eastAsia="zh-CN"/>
              </w:rPr>
              <w:t>）</w:t>
            </w:r>
          </w:p>
        </w:tc>
        <w:tc>
          <w:tcPr>
            <w:tcW w:w="1602" w:type="dxa"/>
            <w:vAlign w:val="center"/>
          </w:tcPr>
          <w:p w14:paraId="38C20D16">
            <w:pPr>
              <w:spacing w:line="44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5358388</w:t>
            </w:r>
          </w:p>
        </w:tc>
        <w:tc>
          <w:tcPr>
            <w:tcW w:w="1900" w:type="dxa"/>
            <w:vAlign w:val="center"/>
          </w:tcPr>
          <w:p w14:paraId="1C33CDDF">
            <w:pPr>
              <w:spacing w:line="44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5358388</w:t>
            </w:r>
          </w:p>
        </w:tc>
      </w:tr>
    </w:tbl>
    <w:p w14:paraId="543A3D17">
      <w:pPr>
        <w:pStyle w:val="43"/>
        <w:spacing w:line="440" w:lineRule="exact"/>
        <w:ind w:left="0" w:leftChars="0" w:firstLine="480" w:firstLineChars="200"/>
        <w:rPr>
          <w:rFonts w:hint="eastAsia" w:ascii="宋体" w:hAnsi="宋体" w:eastAsia="宋体" w:cs="宋体"/>
          <w:kern w:val="0"/>
          <w:sz w:val="24"/>
          <w:highlight w:val="none"/>
        </w:rPr>
      </w:pPr>
      <w:r>
        <w:rPr>
          <w:rFonts w:hint="eastAsia" w:cs="宋体"/>
          <w:kern w:val="0"/>
          <w:sz w:val="24"/>
          <w:highlight w:val="none"/>
          <w:lang w:val="en-US" w:eastAsia="zh-CN"/>
        </w:rPr>
        <w:t>4</w:t>
      </w:r>
      <w:r>
        <w:rPr>
          <w:rFonts w:hint="eastAsia" w:ascii="宋体" w:hAnsi="宋体" w:eastAsia="宋体" w:cs="宋体"/>
          <w:kern w:val="0"/>
          <w:sz w:val="24"/>
          <w:highlight w:val="none"/>
        </w:rPr>
        <w:t xml:space="preserve">.采购需求（包括但不限于标的的名称、数量、简要技术需求或服务要求等） </w:t>
      </w:r>
    </w:p>
    <w:p w14:paraId="37C848A2">
      <w:pPr>
        <w:widowControl w:val="0"/>
        <w:autoSpaceDE w:val="0"/>
        <w:autoSpaceDN w:val="0"/>
        <w:spacing w:line="440" w:lineRule="exact"/>
        <w:ind w:left="0" w:leftChars="0"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（1）采购范围：</w:t>
      </w:r>
      <w:r>
        <w:rPr>
          <w:rFonts w:hint="eastAsia" w:ascii="宋体" w:hAnsi="宋体" w:cs="宋体"/>
          <w:kern w:val="0"/>
          <w:sz w:val="24"/>
          <w:szCs w:val="22"/>
          <w:highlight w:val="none"/>
          <w:lang w:val="en-US" w:eastAsia="zh-CN" w:bidi="ar-SA"/>
        </w:rPr>
        <w:t>第一标段：</w:t>
      </w:r>
      <w:r>
        <w:rPr>
          <w:rFonts w:hint="eastAsia" w:ascii="宋体" w:hAnsi="宋体" w:eastAsia="宋体" w:cs="宋体"/>
          <w:b w:val="0"/>
          <w:bCs w:val="0"/>
          <w:i w:val="0"/>
          <w:iCs w:val="0"/>
          <w:color w:val="000000"/>
          <w:kern w:val="0"/>
          <w:sz w:val="24"/>
          <w:szCs w:val="24"/>
          <w:highlight w:val="none"/>
          <w:u w:val="none"/>
          <w:lang w:val="en-US" w:eastAsia="zh-CN" w:bidi="ar"/>
        </w:rPr>
        <w:t>厂区设备更新、氧化沟改</w:t>
      </w:r>
      <w:r>
        <w:rPr>
          <w:rFonts w:hint="eastAsia" w:ascii="宋体" w:hAnsi="宋体" w:cs="宋体"/>
          <w:b w:val="0"/>
          <w:bCs w:val="0"/>
          <w:i w:val="0"/>
          <w:iCs w:val="0"/>
          <w:color w:val="000000"/>
          <w:kern w:val="0"/>
          <w:sz w:val="24"/>
          <w:szCs w:val="24"/>
          <w:highlight w:val="none"/>
          <w:u w:val="none"/>
          <w:lang w:val="en-US" w:eastAsia="zh-CN" w:bidi="ar"/>
        </w:rPr>
        <w:t>造；第二标段：</w:t>
      </w:r>
      <w:r>
        <w:rPr>
          <w:rFonts w:hint="eastAsia" w:ascii="宋体" w:hAnsi="宋体" w:eastAsia="宋体" w:cs="宋体"/>
          <w:b w:val="0"/>
          <w:bCs w:val="0"/>
          <w:i w:val="0"/>
          <w:iCs w:val="0"/>
          <w:color w:val="000000"/>
          <w:kern w:val="0"/>
          <w:sz w:val="24"/>
          <w:szCs w:val="24"/>
          <w:highlight w:val="none"/>
          <w:u w:val="none"/>
          <w:lang w:val="en-US" w:eastAsia="zh-CN" w:bidi="ar"/>
        </w:rPr>
        <w:t>嵌入式一体化智能站</w:t>
      </w:r>
      <w:r>
        <w:rPr>
          <w:rFonts w:hint="eastAsia" w:ascii="宋体" w:hAnsi="宋体" w:cs="宋体"/>
          <w:b w:val="0"/>
          <w:bCs w:val="0"/>
          <w:i w:val="0"/>
          <w:iCs w:val="0"/>
          <w:color w:val="000000"/>
          <w:kern w:val="0"/>
          <w:sz w:val="24"/>
          <w:szCs w:val="24"/>
          <w:highlight w:val="none"/>
          <w:u w:val="none"/>
          <w:lang w:val="en-US" w:eastAsia="zh-CN" w:bidi="ar"/>
        </w:rPr>
        <w:t>;第三标段：</w:t>
      </w:r>
      <w:r>
        <w:rPr>
          <w:rFonts w:hint="eastAsia" w:ascii="宋体" w:hAnsi="宋体" w:eastAsia="宋体" w:cs="宋体"/>
          <w:b w:val="0"/>
          <w:bCs w:val="0"/>
          <w:i w:val="0"/>
          <w:iCs w:val="0"/>
          <w:color w:val="000000"/>
          <w:kern w:val="0"/>
          <w:sz w:val="24"/>
          <w:szCs w:val="24"/>
          <w:highlight w:val="none"/>
          <w:u w:val="none"/>
          <w:lang w:val="en-US" w:eastAsia="zh-CN" w:bidi="ar"/>
        </w:rPr>
        <w:t>除臭、活性炭投加及智能站适配改造</w:t>
      </w:r>
      <w:r>
        <w:rPr>
          <w:rFonts w:hint="eastAsia" w:ascii="宋体"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kern w:val="0"/>
          <w:sz w:val="24"/>
          <w:szCs w:val="22"/>
          <w:highlight w:val="none"/>
          <w:lang w:val="en-US" w:eastAsia="en-US" w:bidi="ar-SA"/>
        </w:rPr>
        <w:t>（详见招标文件第五章“采购内容及技术要求”）。</w:t>
      </w:r>
    </w:p>
    <w:p w14:paraId="4116EA25">
      <w:pPr>
        <w:pStyle w:val="43"/>
        <w:spacing w:line="440" w:lineRule="exact"/>
        <w:ind w:left="0" w:lef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（2）质量要求：合格，符合国家及行业规范标准。</w:t>
      </w:r>
    </w:p>
    <w:p w14:paraId="43BE1984">
      <w:pPr>
        <w:pStyle w:val="43"/>
        <w:spacing w:line="440" w:lineRule="exact"/>
        <w:ind w:left="0" w:leftChars="0" w:firstLine="480" w:firstLineChars="200"/>
        <w:rPr>
          <w:rFonts w:hint="eastAsia" w:ascii="宋体" w:hAnsi="宋体" w:eastAsia="宋体" w:cs="宋体"/>
          <w:kern w:val="0"/>
          <w:sz w:val="24"/>
          <w:highlight w:val="none"/>
          <w:lang w:val="en-US" w:eastAsia="en-US"/>
        </w:rPr>
      </w:pPr>
      <w:r>
        <w:rPr>
          <w:rFonts w:hint="eastAsia" w:ascii="宋体" w:hAnsi="宋体" w:eastAsia="宋体" w:cs="宋体"/>
          <w:kern w:val="0"/>
          <w:sz w:val="24"/>
          <w:highlight w:val="none"/>
        </w:rPr>
        <w:t>（3）项目地点：采购人指定地点</w:t>
      </w:r>
    </w:p>
    <w:p w14:paraId="1757DABE">
      <w:pPr>
        <w:pStyle w:val="43"/>
        <w:spacing w:line="440" w:lineRule="exact"/>
        <w:ind w:left="0" w:leftChars="0" w:firstLine="480" w:firstLineChars="200"/>
        <w:rPr>
          <w:rFonts w:hint="eastAsia" w:ascii="宋体" w:hAnsi="宋体" w:eastAsia="宋体" w:cs="宋体"/>
          <w:i w:val="0"/>
          <w:iCs w:val="0"/>
          <w:color w:val="0000FF"/>
          <w:kern w:val="0"/>
          <w:sz w:val="24"/>
          <w:szCs w:val="24"/>
          <w:highlight w:val="none"/>
          <w:u w:val="none"/>
          <w:lang w:val="en-US" w:eastAsia="zh-CN" w:bidi="ar"/>
        </w:rPr>
      </w:pPr>
      <w:r>
        <w:rPr>
          <w:rFonts w:hint="eastAsia" w:cs="宋体"/>
          <w:kern w:val="0"/>
          <w:sz w:val="24"/>
          <w:highlight w:val="none"/>
          <w:lang w:val="en-US" w:eastAsia="zh-CN"/>
        </w:rPr>
        <w:t>5</w:t>
      </w:r>
      <w:r>
        <w:rPr>
          <w:rFonts w:hint="eastAsia" w:ascii="宋体" w:hAnsi="宋体" w:eastAsia="宋体" w:cs="宋体"/>
          <w:kern w:val="0"/>
          <w:sz w:val="24"/>
          <w:highlight w:val="none"/>
          <w:lang w:val="en-US" w:eastAsia="zh-CN"/>
        </w:rPr>
        <w:t>.合同履行期限（供货</w:t>
      </w:r>
      <w:r>
        <w:rPr>
          <w:rFonts w:hint="eastAsia" w:ascii="宋体" w:hAnsi="宋体" w:eastAsia="宋体" w:cs="宋体"/>
          <w:i w:val="0"/>
          <w:iCs w:val="0"/>
          <w:color w:val="auto"/>
          <w:kern w:val="0"/>
          <w:sz w:val="24"/>
          <w:szCs w:val="24"/>
          <w:highlight w:val="none"/>
          <w:u w:val="none"/>
          <w:lang w:val="en-US" w:eastAsia="zh-CN" w:bidi="ar"/>
        </w:rPr>
        <w:t>安装期</w:t>
      </w:r>
      <w:r>
        <w:rPr>
          <w:rFonts w:hint="eastAsia" w:ascii="宋体" w:hAnsi="宋体" w:eastAsia="宋体" w:cs="宋体"/>
          <w:snapToGrid w:val="0"/>
          <w:color w:val="000000"/>
          <w:spacing w:val="-3"/>
          <w:kern w:val="0"/>
          <w:sz w:val="24"/>
          <w:szCs w:val="24"/>
          <w:highlight w:val="none"/>
          <w:lang w:val="en-US" w:eastAsia="zh-CN" w:bidi="ar-SA"/>
        </w:rPr>
        <w:t>）：合同签订后</w:t>
      </w:r>
      <w:r>
        <w:rPr>
          <w:rFonts w:hint="eastAsia" w:cs="宋体"/>
          <w:snapToGrid w:val="0"/>
          <w:color w:val="000000"/>
          <w:spacing w:val="-3"/>
          <w:kern w:val="0"/>
          <w:sz w:val="24"/>
          <w:szCs w:val="24"/>
          <w:highlight w:val="none"/>
          <w:lang w:val="en-US" w:eastAsia="zh-CN" w:bidi="ar-SA"/>
        </w:rPr>
        <w:t>30</w:t>
      </w:r>
      <w:r>
        <w:rPr>
          <w:rFonts w:hint="eastAsia" w:ascii="宋体" w:hAnsi="宋体" w:eastAsia="宋体" w:cs="宋体"/>
          <w:snapToGrid w:val="0"/>
          <w:color w:val="000000"/>
          <w:spacing w:val="-3"/>
          <w:kern w:val="0"/>
          <w:sz w:val="24"/>
          <w:szCs w:val="24"/>
          <w:highlight w:val="none"/>
          <w:lang w:val="en-US" w:eastAsia="zh-CN" w:bidi="ar-SA"/>
        </w:rPr>
        <w:t>日历天</w:t>
      </w:r>
    </w:p>
    <w:p w14:paraId="664560B2">
      <w:pPr>
        <w:pStyle w:val="43"/>
        <w:spacing w:line="440" w:lineRule="exact"/>
        <w:ind w:left="0" w:firstLine="480" w:firstLineChars="200"/>
        <w:rPr>
          <w:color w:val="auto"/>
          <w:sz w:val="24"/>
          <w:highlight w:val="none"/>
          <w:lang w:eastAsia="zh-CN"/>
        </w:rPr>
      </w:pPr>
      <w:r>
        <w:rPr>
          <w:rFonts w:hint="eastAsia"/>
          <w:color w:val="auto"/>
          <w:sz w:val="24"/>
          <w:highlight w:val="none"/>
          <w:lang w:val="en-US" w:eastAsia="zh-CN"/>
        </w:rPr>
        <w:t>6</w:t>
      </w:r>
      <w:r>
        <w:rPr>
          <w:rFonts w:hint="eastAsia"/>
          <w:color w:val="auto"/>
          <w:sz w:val="24"/>
          <w:highlight w:val="none"/>
          <w:lang w:eastAsia="zh-CN"/>
        </w:rPr>
        <w:t>.</w:t>
      </w:r>
      <w:r>
        <w:rPr>
          <w:color w:val="auto"/>
          <w:sz w:val="24"/>
          <w:highlight w:val="none"/>
          <w:lang w:eastAsia="zh-CN"/>
        </w:rPr>
        <w:t>质保期限</w:t>
      </w:r>
      <w:r>
        <w:rPr>
          <w:rFonts w:hint="eastAsia"/>
          <w:color w:val="auto"/>
          <w:sz w:val="24"/>
          <w:highlight w:val="none"/>
          <w:lang w:eastAsia="zh-CN"/>
        </w:rPr>
        <w:t>：自本项目竣工验收之日起24个月</w:t>
      </w:r>
    </w:p>
    <w:p w14:paraId="1FD7FCBF">
      <w:pPr>
        <w:pStyle w:val="43"/>
        <w:spacing w:line="440" w:lineRule="exact"/>
        <w:ind w:left="0" w:firstLine="480" w:firstLineChars="200"/>
        <w:rPr>
          <w:sz w:val="24"/>
          <w:highlight w:val="none"/>
          <w:lang w:eastAsia="zh-CN"/>
        </w:rPr>
      </w:pPr>
      <w:r>
        <w:rPr>
          <w:rFonts w:hint="eastAsia"/>
          <w:sz w:val="24"/>
          <w:highlight w:val="none"/>
          <w:lang w:val="en-US" w:eastAsia="zh-CN"/>
        </w:rPr>
        <w:t>7</w:t>
      </w:r>
      <w:r>
        <w:rPr>
          <w:rFonts w:hint="eastAsia"/>
          <w:sz w:val="24"/>
          <w:highlight w:val="none"/>
          <w:lang w:eastAsia="zh-CN"/>
        </w:rPr>
        <w:t>.本项目是否接受联合体投标：否</w:t>
      </w:r>
    </w:p>
    <w:p w14:paraId="6C9E55F6">
      <w:pPr>
        <w:pStyle w:val="43"/>
        <w:spacing w:line="440" w:lineRule="exact"/>
        <w:ind w:left="0" w:firstLine="480" w:firstLineChars="200"/>
        <w:rPr>
          <w:sz w:val="24"/>
          <w:highlight w:val="none"/>
          <w:lang w:eastAsia="zh-CN"/>
        </w:rPr>
      </w:pPr>
      <w:r>
        <w:rPr>
          <w:rFonts w:hint="eastAsia"/>
          <w:sz w:val="24"/>
          <w:highlight w:val="none"/>
          <w:lang w:val="en-US" w:eastAsia="zh-CN"/>
        </w:rPr>
        <w:t>8</w:t>
      </w:r>
      <w:r>
        <w:rPr>
          <w:rFonts w:hint="eastAsia"/>
          <w:sz w:val="24"/>
          <w:highlight w:val="none"/>
          <w:lang w:eastAsia="zh-CN"/>
        </w:rPr>
        <w:t>.是否接受进口产品：否</w:t>
      </w:r>
    </w:p>
    <w:p w14:paraId="75F5C216">
      <w:pPr>
        <w:pStyle w:val="43"/>
        <w:spacing w:line="440" w:lineRule="exact"/>
        <w:ind w:left="0" w:firstLine="480" w:firstLineChars="200"/>
        <w:rPr>
          <w:rFonts w:hint="default"/>
          <w:sz w:val="24"/>
          <w:highlight w:val="none"/>
          <w:lang w:val="en-US" w:eastAsia="zh-CN"/>
        </w:rPr>
      </w:pPr>
      <w:r>
        <w:rPr>
          <w:rFonts w:hint="eastAsia"/>
          <w:sz w:val="24"/>
          <w:highlight w:val="none"/>
          <w:lang w:val="en-US" w:eastAsia="zh-CN"/>
        </w:rPr>
        <w:t>9</w:t>
      </w:r>
      <w:r>
        <w:rPr>
          <w:rFonts w:hint="eastAsia"/>
          <w:sz w:val="24"/>
          <w:highlight w:val="none"/>
          <w:lang w:eastAsia="zh-CN"/>
        </w:rPr>
        <w:t>.是否专门面向中小企业：</w:t>
      </w:r>
      <w:r>
        <w:rPr>
          <w:rFonts w:hint="eastAsia"/>
          <w:sz w:val="24"/>
          <w:highlight w:val="none"/>
          <w:lang w:val="en-US" w:eastAsia="zh-CN"/>
        </w:rPr>
        <w:t>否</w:t>
      </w:r>
    </w:p>
    <w:p w14:paraId="66938D3E">
      <w:pPr>
        <w:adjustRightInd w:val="0"/>
        <w:snapToGrid w:val="0"/>
        <w:spacing w:line="440" w:lineRule="exact"/>
        <w:rPr>
          <w:rFonts w:ascii="宋体" w:hAnsi="宋体" w:cs="宋体"/>
          <w:kern w:val="0"/>
          <w:sz w:val="24"/>
          <w:highlight w:val="none"/>
        </w:rPr>
      </w:pPr>
      <w:r>
        <w:rPr>
          <w:rFonts w:hint="eastAsia" w:ascii="宋体" w:hAnsi="宋体" w:cs="宋体"/>
          <w:b/>
          <w:bCs/>
          <w:kern w:val="0"/>
          <w:sz w:val="24"/>
          <w:highlight w:val="none"/>
        </w:rPr>
        <w:t>二、申请人资格要求：</w:t>
      </w:r>
    </w:p>
    <w:p w14:paraId="13EDADEC">
      <w:pPr>
        <w:widowControl/>
        <w:spacing w:line="440" w:lineRule="exact"/>
        <w:ind w:firstLine="480" w:firstLineChars="2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1.符合《中华人民共和国政府采购法》第二十二条之规定；</w:t>
      </w:r>
    </w:p>
    <w:p w14:paraId="57163563">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2</w:t>
      </w:r>
      <w:r>
        <w:rPr>
          <w:rFonts w:hint="eastAsia" w:ascii="宋体" w:hAnsi="宋体" w:cs="宋体"/>
          <w:sz w:val="24"/>
          <w:highlight w:val="none"/>
          <w:shd w:val="clear" w:color="auto" w:fill="FFFFFF"/>
          <w:lang w:eastAsia="zh-CN"/>
        </w:rPr>
        <w:t>.</w:t>
      </w:r>
      <w:r>
        <w:rPr>
          <w:rFonts w:hint="eastAsia" w:ascii="宋体" w:hAnsi="宋体" w:cs="宋体"/>
          <w:sz w:val="24"/>
          <w:highlight w:val="none"/>
          <w:shd w:val="clear" w:color="auto" w:fill="FFFFFF"/>
        </w:rPr>
        <w:t>落实政府采购政策满足的资格要求：促进中小企业和监狱企业发展扶持政策、政府强制采购节能产品、节能产品及环境标志产品优先采购；</w:t>
      </w:r>
    </w:p>
    <w:p w14:paraId="52BD9557">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3.本项目的特定资格要求：</w:t>
      </w:r>
    </w:p>
    <w:p w14:paraId="2CA20330">
      <w:pPr>
        <w:widowControl/>
        <w:spacing w:line="440" w:lineRule="exact"/>
        <w:ind w:firstLine="480" w:firstLineChars="2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3.1 供应商须具有有效的营业执照，并具有实施完成本项目的经营实力和完善的售后服务体系；</w:t>
      </w:r>
    </w:p>
    <w:p w14:paraId="4CBF5FE8">
      <w:pPr>
        <w:widowControl/>
        <w:spacing w:line="440" w:lineRule="exact"/>
        <w:ind w:firstLine="480" w:firstLineChars="200"/>
        <w:rPr>
          <w:rFonts w:hint="eastAsia" w:ascii="宋体" w:hAnsi="宋体" w:cs="宋体"/>
          <w:sz w:val="24"/>
          <w:highlight w:val="none"/>
        </w:rPr>
      </w:pPr>
      <w:r>
        <w:rPr>
          <w:rFonts w:hint="eastAsia" w:ascii="宋体" w:hAnsi="宋体" w:cs="宋体"/>
          <w:sz w:val="24"/>
          <w:highlight w:val="none"/>
          <w:shd w:val="clear" w:color="auto" w:fill="FFFFFF"/>
        </w:rPr>
        <w:t>3.2 信誉要求：</w:t>
      </w:r>
      <w:r>
        <w:rPr>
          <w:rFonts w:hint="eastAsia" w:ascii="宋体" w:hAnsi="宋体" w:cs="宋体"/>
          <w:sz w:val="24"/>
          <w:highlight w:val="none"/>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备注：信誉要求由采购代理机构开标当日提供查询结果) </w:t>
      </w:r>
    </w:p>
    <w:p w14:paraId="067000F5">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3.3 本项目不接受联合体投标；</w:t>
      </w:r>
    </w:p>
    <w:p w14:paraId="73F0D6BE">
      <w:pPr>
        <w:widowControl/>
        <w:spacing w:line="440" w:lineRule="exact"/>
        <w:ind w:firstLine="480" w:firstLineChars="2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3.4 资格审查方式：资格后审。</w:t>
      </w:r>
    </w:p>
    <w:p w14:paraId="2948E89E">
      <w:pPr>
        <w:pStyle w:val="2"/>
        <w:ind w:firstLine="422" w:firstLineChars="200"/>
        <w:rPr>
          <w:highlight w:val="none"/>
        </w:rPr>
      </w:pPr>
      <w:r>
        <w:rPr>
          <w:rFonts w:hint="eastAsia"/>
          <w:b/>
          <w:bCs/>
          <w:color w:val="000000" w:themeColor="text1"/>
          <w:highlight w:val="none"/>
          <w14:textFill>
            <w14:solidFill>
              <w14:schemeClr w14:val="tx1"/>
            </w14:solidFill>
          </w14:textFill>
        </w:rPr>
        <w:t>注：本项目一个投标单位只允许中一个标段，若一个投标单位多个标段同时被推荐为第一中标候选人的，按标段的先后顺序确定中标人。</w:t>
      </w:r>
      <w:r>
        <w:rPr>
          <w:rFonts w:hint="eastAsia"/>
          <w:b/>
          <w:bCs/>
          <w:color w:val="000000" w:themeColor="text1"/>
          <w:highlight w:val="none"/>
          <w:lang w:val="en-US" w:eastAsia="zh-CN"/>
          <w14:textFill>
            <w14:solidFill>
              <w14:schemeClr w14:val="tx1"/>
            </w14:solidFill>
          </w14:textFill>
        </w:rPr>
        <w:t xml:space="preserve"> </w:t>
      </w:r>
    </w:p>
    <w:p w14:paraId="26484902">
      <w:pPr>
        <w:widowControl/>
        <w:spacing w:line="440" w:lineRule="exact"/>
        <w:jc w:val="left"/>
        <w:rPr>
          <w:rFonts w:ascii="宋体" w:hAnsi="宋体" w:cs="宋体"/>
          <w:b/>
          <w:bCs/>
          <w:kern w:val="0"/>
          <w:sz w:val="24"/>
          <w:highlight w:val="none"/>
        </w:rPr>
      </w:pPr>
      <w:r>
        <w:rPr>
          <w:rFonts w:hint="eastAsia" w:ascii="宋体" w:hAnsi="宋体" w:cs="宋体"/>
          <w:b/>
          <w:bCs/>
          <w:kern w:val="0"/>
          <w:sz w:val="24"/>
          <w:highlight w:val="none"/>
        </w:rPr>
        <w:t>三、获取</w:t>
      </w:r>
      <w:r>
        <w:rPr>
          <w:rFonts w:hint="eastAsia" w:ascii="宋体" w:hAnsi="宋体" w:cs="宋体"/>
          <w:b/>
          <w:bCs/>
          <w:kern w:val="0"/>
          <w:sz w:val="24"/>
          <w:highlight w:val="none"/>
          <w:lang w:val="en-US" w:eastAsia="zh-CN"/>
        </w:rPr>
        <w:t>招标</w:t>
      </w:r>
      <w:r>
        <w:rPr>
          <w:rFonts w:hint="eastAsia" w:ascii="宋体" w:hAnsi="宋体" w:cs="宋体"/>
          <w:b/>
          <w:bCs/>
          <w:kern w:val="0"/>
          <w:sz w:val="24"/>
          <w:highlight w:val="none"/>
        </w:rPr>
        <w:t>文件</w:t>
      </w:r>
    </w:p>
    <w:p w14:paraId="1975BFB0">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 时间：2025年9月 23 日至 2025 年 9 月 28 日</w:t>
      </w:r>
      <w:r>
        <w:rPr>
          <w:rFonts w:hint="eastAsia" w:ascii="宋体" w:hAnsi="宋体" w:eastAsia="宋体" w:cs="宋体"/>
          <w:sz w:val="24"/>
          <w:szCs w:val="24"/>
          <w:highlight w:val="none"/>
          <w:lang w:val="en-US" w:eastAsia="zh-CN"/>
        </w:rPr>
        <w:t>，每天上午</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:00至</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，下午12:00至23:59（北京时间，法定节假日除外） ；</w:t>
      </w:r>
    </w:p>
    <w:p w14:paraId="4EBFE9D9">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14:paraId="2AB843D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3.方式：本项目采用电子开评标（不见面开标），凡有意参加投标者，请登陆焦作市公共资源交易中心网站交易平台“交易主体登录”栏目下载</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CN"/>
        </w:rPr>
        <w:t>文件。</w:t>
      </w:r>
    </w:p>
    <w:p w14:paraId="591B94D2">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4.售价：0元。</w:t>
      </w:r>
    </w:p>
    <w:p w14:paraId="713103F7">
      <w:pPr>
        <w:widowControl/>
        <w:spacing w:line="440" w:lineRule="exact"/>
        <w:rPr>
          <w:rFonts w:ascii="宋体" w:hAnsi="宋体" w:cs="宋体"/>
          <w:sz w:val="24"/>
          <w:highlight w:val="none"/>
        </w:rPr>
      </w:pPr>
      <w:r>
        <w:rPr>
          <w:rFonts w:hint="eastAsia" w:ascii="宋体" w:hAnsi="宋体" w:cs="宋体"/>
          <w:b/>
          <w:bCs/>
          <w:sz w:val="24"/>
          <w:highlight w:val="none"/>
        </w:rPr>
        <w:t>四、</w:t>
      </w:r>
      <w:r>
        <w:rPr>
          <w:rFonts w:hint="eastAsia" w:ascii="宋体" w:hAnsi="宋体" w:cs="宋体"/>
          <w:b/>
          <w:bCs/>
          <w:sz w:val="24"/>
          <w:highlight w:val="none"/>
          <w:lang w:val="en-US" w:eastAsia="zh-CN"/>
        </w:rPr>
        <w:t>投标</w:t>
      </w:r>
      <w:r>
        <w:rPr>
          <w:rFonts w:hint="eastAsia" w:ascii="宋体" w:hAnsi="宋体" w:eastAsia="宋体" w:cs="宋体"/>
          <w:b/>
          <w:bCs/>
          <w:sz w:val="24"/>
          <w:szCs w:val="24"/>
          <w:highlight w:val="none"/>
          <w:lang w:val="en-US" w:eastAsia="zh-CN"/>
        </w:rPr>
        <w:t>截止时间及地点</w:t>
      </w:r>
    </w:p>
    <w:p w14:paraId="7DCBD838">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1.截止时间：</w:t>
      </w:r>
      <w:r>
        <w:rPr>
          <w:rFonts w:hint="eastAsia" w:ascii="宋体" w:hAnsi="宋体" w:cs="宋体"/>
          <w:b/>
          <w:bCs/>
          <w:kern w:val="0"/>
          <w:sz w:val="24"/>
          <w:highlight w:val="none"/>
          <w:u w:val="none"/>
        </w:rPr>
        <w:t>202</w:t>
      </w:r>
      <w:r>
        <w:rPr>
          <w:rFonts w:hint="eastAsia" w:ascii="宋体" w:hAnsi="宋体" w:cs="宋体"/>
          <w:b/>
          <w:bCs/>
          <w:kern w:val="0"/>
          <w:sz w:val="24"/>
          <w:highlight w:val="none"/>
          <w:u w:val="none"/>
          <w:lang w:val="en-US" w:eastAsia="zh-CN"/>
        </w:rPr>
        <w:t>5</w:t>
      </w:r>
      <w:r>
        <w:rPr>
          <w:rFonts w:hint="eastAsia" w:ascii="宋体" w:hAnsi="宋体" w:cs="宋体"/>
          <w:b/>
          <w:bCs/>
          <w:kern w:val="0"/>
          <w:sz w:val="24"/>
          <w:highlight w:val="none"/>
          <w:u w:val="none"/>
        </w:rPr>
        <w:t>年</w:t>
      </w:r>
      <w:r>
        <w:rPr>
          <w:rFonts w:hint="eastAsia" w:ascii="宋体" w:hAnsi="宋体" w:cs="宋体"/>
          <w:b/>
          <w:bCs/>
          <w:kern w:val="0"/>
          <w:sz w:val="24"/>
          <w:highlight w:val="none"/>
          <w:u w:val="none"/>
          <w:lang w:val="en-US" w:eastAsia="zh-CN"/>
        </w:rPr>
        <w:t xml:space="preserve">10 </w:t>
      </w:r>
      <w:r>
        <w:rPr>
          <w:rFonts w:hint="eastAsia" w:ascii="宋体" w:hAnsi="宋体" w:cs="宋体"/>
          <w:b/>
          <w:bCs/>
          <w:kern w:val="0"/>
          <w:sz w:val="24"/>
          <w:highlight w:val="none"/>
          <w:u w:val="none"/>
        </w:rPr>
        <w:t>月</w:t>
      </w:r>
      <w:r>
        <w:rPr>
          <w:rFonts w:hint="eastAsia" w:ascii="宋体" w:hAnsi="宋体" w:cs="宋体"/>
          <w:b/>
          <w:bCs/>
          <w:kern w:val="0"/>
          <w:sz w:val="24"/>
          <w:highlight w:val="none"/>
          <w:u w:val="none"/>
          <w:lang w:val="en-US" w:eastAsia="zh-CN"/>
        </w:rPr>
        <w:t xml:space="preserve"> 14 </w:t>
      </w:r>
      <w:r>
        <w:rPr>
          <w:rFonts w:hint="eastAsia" w:ascii="宋体" w:hAnsi="宋体" w:cs="宋体"/>
          <w:b/>
          <w:bCs/>
          <w:kern w:val="0"/>
          <w:sz w:val="24"/>
          <w:highlight w:val="none"/>
          <w:u w:val="none"/>
        </w:rPr>
        <w:t>日上午</w:t>
      </w:r>
      <w:r>
        <w:rPr>
          <w:rFonts w:hint="eastAsia" w:ascii="宋体" w:hAnsi="宋体" w:cs="宋体"/>
          <w:b/>
          <w:bCs/>
          <w:kern w:val="0"/>
          <w:sz w:val="24"/>
          <w:highlight w:val="none"/>
          <w:u w:val="none"/>
          <w:lang w:val="en-US" w:eastAsia="zh-CN"/>
        </w:rPr>
        <w:t xml:space="preserve"> 9 </w:t>
      </w:r>
      <w:r>
        <w:rPr>
          <w:rFonts w:hint="eastAsia" w:ascii="宋体" w:hAnsi="宋体" w:cs="宋体"/>
          <w:b/>
          <w:bCs/>
          <w:kern w:val="0"/>
          <w:sz w:val="24"/>
          <w:highlight w:val="none"/>
          <w:u w:val="none"/>
        </w:rPr>
        <w:t>点</w:t>
      </w:r>
      <w:r>
        <w:rPr>
          <w:rFonts w:hint="eastAsia" w:ascii="宋体" w:hAnsi="宋体" w:cs="宋体"/>
          <w:b/>
          <w:bCs/>
          <w:kern w:val="0"/>
          <w:sz w:val="24"/>
          <w:highlight w:val="none"/>
          <w:u w:val="none"/>
          <w:lang w:val="en-US" w:eastAsia="zh-CN"/>
        </w:rPr>
        <w:t xml:space="preserve"> 00 </w:t>
      </w:r>
      <w:r>
        <w:rPr>
          <w:rFonts w:hint="eastAsia" w:ascii="宋体" w:hAnsi="宋体" w:cs="宋体"/>
          <w:b/>
          <w:bCs/>
          <w:kern w:val="0"/>
          <w:sz w:val="24"/>
          <w:highlight w:val="none"/>
          <w:u w:val="none"/>
        </w:rPr>
        <w:t>分</w:t>
      </w:r>
      <w:r>
        <w:rPr>
          <w:rFonts w:hint="eastAsia" w:ascii="宋体" w:hAnsi="宋体" w:cs="宋体"/>
          <w:kern w:val="0"/>
          <w:sz w:val="24"/>
          <w:highlight w:val="none"/>
          <w:u w:val="none"/>
        </w:rPr>
        <w:t>（北京时间）；</w:t>
      </w:r>
    </w:p>
    <w:p w14:paraId="385FBC6C">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2.地点：加密电子响应性文件须在响应性文件提交截止时间前通过“焦作市公共资源交易中心（https://ggzy.jiaozuo.gov.cn/）”网站-交易平台加密上传</w:t>
      </w:r>
      <w:r>
        <w:rPr>
          <w:rFonts w:hint="eastAsia" w:ascii="宋体" w:hAnsi="宋体" w:cs="宋体"/>
          <w:sz w:val="24"/>
          <w:szCs w:val="24"/>
          <w:highlight w:val="none"/>
          <w:lang w:val="en-US" w:eastAsia="zh-CN"/>
        </w:rPr>
        <w:t>。</w:t>
      </w:r>
    </w:p>
    <w:p w14:paraId="28F114EF">
      <w:pPr>
        <w:widowControl/>
        <w:spacing w:line="440" w:lineRule="exact"/>
        <w:rPr>
          <w:rFonts w:ascii="宋体" w:hAnsi="宋体" w:cs="宋体"/>
          <w:b/>
          <w:bCs/>
          <w:sz w:val="24"/>
          <w:highlight w:val="none"/>
        </w:rPr>
      </w:pPr>
      <w:r>
        <w:rPr>
          <w:rFonts w:hint="eastAsia" w:ascii="宋体" w:hAnsi="宋体" w:cs="宋体"/>
          <w:b/>
          <w:bCs/>
          <w:sz w:val="24"/>
          <w:highlight w:val="none"/>
        </w:rPr>
        <w:t>五、</w:t>
      </w:r>
      <w:r>
        <w:rPr>
          <w:rFonts w:hint="eastAsia" w:ascii="宋体" w:hAnsi="宋体" w:eastAsia="宋体" w:cs="宋体"/>
          <w:b/>
          <w:bCs/>
          <w:sz w:val="24"/>
          <w:szCs w:val="24"/>
          <w:highlight w:val="none"/>
          <w:lang w:val="en-US" w:eastAsia="zh-CN"/>
        </w:rPr>
        <w:t>开标时间及地点</w:t>
      </w:r>
    </w:p>
    <w:p w14:paraId="7CC03AD3">
      <w:pPr>
        <w:adjustRightInd w:val="0"/>
        <w:snapToGrid w:val="0"/>
        <w:spacing w:line="440" w:lineRule="exact"/>
        <w:ind w:firstLine="480" w:firstLineChars="200"/>
        <w:rPr>
          <w:rFonts w:ascii="宋体" w:hAnsi="宋体" w:cs="宋体"/>
          <w:b w:val="0"/>
          <w:bCs w:val="0"/>
          <w:kern w:val="0"/>
          <w:sz w:val="24"/>
          <w:highlight w:val="none"/>
          <w:u w:val="none"/>
        </w:rPr>
      </w:pPr>
      <w:r>
        <w:rPr>
          <w:rFonts w:hint="eastAsia" w:ascii="宋体" w:hAnsi="宋体" w:cs="宋体"/>
          <w:kern w:val="0"/>
          <w:sz w:val="24"/>
          <w:highlight w:val="none"/>
        </w:rPr>
        <w:t>1.时间</w:t>
      </w:r>
      <w:r>
        <w:rPr>
          <w:rFonts w:hint="eastAsia" w:ascii="宋体" w:hAnsi="宋体" w:cs="宋体"/>
          <w:b w:val="0"/>
          <w:bCs w:val="0"/>
          <w:kern w:val="0"/>
          <w:sz w:val="24"/>
          <w:highlight w:val="none"/>
        </w:rPr>
        <w:t>：</w:t>
      </w:r>
      <w:r>
        <w:rPr>
          <w:rFonts w:hint="eastAsia" w:ascii="宋体" w:hAnsi="宋体" w:cs="宋体"/>
          <w:b w:val="0"/>
          <w:bCs w:val="0"/>
          <w:kern w:val="0"/>
          <w:sz w:val="24"/>
          <w:highlight w:val="none"/>
          <w:u w:val="single"/>
        </w:rPr>
        <w:t>202</w:t>
      </w:r>
      <w:r>
        <w:rPr>
          <w:rFonts w:hint="eastAsia" w:ascii="宋体" w:hAnsi="宋体" w:cs="宋体"/>
          <w:b w:val="0"/>
          <w:bCs w:val="0"/>
          <w:kern w:val="0"/>
          <w:sz w:val="24"/>
          <w:highlight w:val="none"/>
          <w:u w:val="single"/>
          <w:lang w:val="en-US" w:eastAsia="zh-CN"/>
        </w:rPr>
        <w:t>5</w:t>
      </w:r>
      <w:r>
        <w:rPr>
          <w:rFonts w:hint="eastAsia" w:ascii="宋体" w:hAnsi="宋体" w:cs="宋体"/>
          <w:b w:val="0"/>
          <w:bCs w:val="0"/>
          <w:kern w:val="0"/>
          <w:sz w:val="24"/>
          <w:highlight w:val="none"/>
          <w:u w:val="single"/>
        </w:rPr>
        <w:t>年</w:t>
      </w:r>
      <w:r>
        <w:rPr>
          <w:rFonts w:hint="eastAsia" w:ascii="宋体" w:hAnsi="宋体" w:cs="宋体"/>
          <w:b w:val="0"/>
          <w:bCs w:val="0"/>
          <w:kern w:val="0"/>
          <w:sz w:val="24"/>
          <w:highlight w:val="none"/>
          <w:u w:val="single"/>
          <w:lang w:val="en-US" w:eastAsia="zh-CN"/>
        </w:rPr>
        <w:t>10</w:t>
      </w:r>
      <w:r>
        <w:rPr>
          <w:rFonts w:hint="eastAsia" w:ascii="宋体" w:hAnsi="宋体" w:cs="宋体"/>
          <w:b w:val="0"/>
          <w:bCs w:val="0"/>
          <w:kern w:val="0"/>
          <w:sz w:val="24"/>
          <w:highlight w:val="none"/>
          <w:u w:val="single"/>
        </w:rPr>
        <w:t>月</w:t>
      </w:r>
      <w:r>
        <w:rPr>
          <w:rFonts w:hint="eastAsia" w:ascii="宋体" w:hAnsi="宋体" w:cs="宋体"/>
          <w:b w:val="0"/>
          <w:bCs w:val="0"/>
          <w:kern w:val="0"/>
          <w:sz w:val="24"/>
          <w:highlight w:val="none"/>
          <w:u w:val="single"/>
          <w:lang w:val="en-US" w:eastAsia="zh-CN"/>
        </w:rPr>
        <w:t xml:space="preserve"> 14 </w:t>
      </w:r>
      <w:r>
        <w:rPr>
          <w:rFonts w:hint="eastAsia" w:ascii="宋体" w:hAnsi="宋体" w:cs="宋体"/>
          <w:b w:val="0"/>
          <w:bCs w:val="0"/>
          <w:kern w:val="0"/>
          <w:sz w:val="24"/>
          <w:highlight w:val="none"/>
          <w:u w:val="single"/>
        </w:rPr>
        <w:t>日上午</w:t>
      </w:r>
      <w:r>
        <w:rPr>
          <w:rFonts w:hint="eastAsia" w:ascii="宋体" w:hAnsi="宋体" w:cs="宋体"/>
          <w:b w:val="0"/>
          <w:bCs w:val="0"/>
          <w:kern w:val="0"/>
          <w:sz w:val="24"/>
          <w:highlight w:val="none"/>
          <w:u w:val="single"/>
          <w:lang w:val="en-US" w:eastAsia="zh-CN"/>
        </w:rPr>
        <w:t xml:space="preserve"> 9 </w:t>
      </w:r>
      <w:r>
        <w:rPr>
          <w:rFonts w:hint="eastAsia" w:ascii="宋体" w:hAnsi="宋体" w:cs="宋体"/>
          <w:b w:val="0"/>
          <w:bCs w:val="0"/>
          <w:kern w:val="0"/>
          <w:sz w:val="24"/>
          <w:highlight w:val="none"/>
          <w:u w:val="single"/>
        </w:rPr>
        <w:t>点</w:t>
      </w:r>
      <w:r>
        <w:rPr>
          <w:rFonts w:hint="eastAsia" w:ascii="宋体" w:hAnsi="宋体" w:cs="宋体"/>
          <w:b w:val="0"/>
          <w:bCs w:val="0"/>
          <w:kern w:val="0"/>
          <w:sz w:val="24"/>
          <w:highlight w:val="none"/>
          <w:u w:val="single"/>
          <w:lang w:val="en-US" w:eastAsia="zh-CN"/>
        </w:rPr>
        <w:t xml:space="preserve"> 00 </w:t>
      </w:r>
      <w:r>
        <w:rPr>
          <w:rFonts w:hint="eastAsia" w:ascii="宋体" w:hAnsi="宋体" w:cs="宋体"/>
          <w:b w:val="0"/>
          <w:bCs w:val="0"/>
          <w:kern w:val="0"/>
          <w:sz w:val="24"/>
          <w:highlight w:val="none"/>
          <w:u w:val="single"/>
        </w:rPr>
        <w:t>分（北京时间）</w:t>
      </w:r>
      <w:r>
        <w:rPr>
          <w:rFonts w:hint="eastAsia" w:ascii="宋体" w:hAnsi="宋体" w:cs="宋体"/>
          <w:b w:val="0"/>
          <w:bCs w:val="0"/>
          <w:kern w:val="0"/>
          <w:sz w:val="24"/>
          <w:highlight w:val="none"/>
          <w:u w:val="none"/>
        </w:rPr>
        <w:t>；</w:t>
      </w:r>
    </w:p>
    <w:p w14:paraId="16DF9BF6">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2.地点：博爱县公共资源交易中心二楼不见面开标</w:t>
      </w:r>
      <w:r>
        <w:rPr>
          <w:rFonts w:hint="eastAsia" w:ascii="宋体" w:hAnsi="宋体" w:cs="宋体"/>
          <w:kern w:val="0"/>
          <w:sz w:val="24"/>
          <w:highlight w:val="none"/>
          <w:u w:val="single"/>
          <w:lang w:val="en-US" w:eastAsia="zh-CN"/>
        </w:rPr>
        <w:t xml:space="preserve"> 一 </w:t>
      </w:r>
      <w:r>
        <w:rPr>
          <w:rFonts w:hint="eastAsia" w:ascii="宋体" w:hAnsi="宋体" w:cs="宋体"/>
          <w:kern w:val="0"/>
          <w:sz w:val="24"/>
          <w:highlight w:val="none"/>
        </w:rPr>
        <w:t>室；</w:t>
      </w:r>
    </w:p>
    <w:p w14:paraId="4AACEA7C">
      <w:pPr>
        <w:spacing w:line="440" w:lineRule="exact"/>
        <w:rPr>
          <w:rFonts w:ascii="宋体" w:hAnsi="宋体" w:cs="宋体"/>
          <w:b/>
          <w:bCs/>
          <w:sz w:val="24"/>
          <w:highlight w:val="none"/>
        </w:rPr>
      </w:pPr>
      <w:r>
        <w:rPr>
          <w:rFonts w:hint="eastAsia" w:ascii="宋体" w:hAnsi="宋体" w:cs="宋体"/>
          <w:b/>
          <w:bCs/>
          <w:sz w:val="24"/>
          <w:highlight w:val="none"/>
        </w:rPr>
        <w:t>六、</w:t>
      </w:r>
      <w:r>
        <w:rPr>
          <w:rFonts w:hint="eastAsia" w:ascii="宋体" w:hAnsi="宋体" w:eastAsia="宋体" w:cs="宋体"/>
          <w:b/>
          <w:bCs/>
          <w:sz w:val="24"/>
          <w:szCs w:val="24"/>
          <w:highlight w:val="none"/>
          <w:lang w:val="en-US" w:eastAsia="zh-CN"/>
        </w:rPr>
        <w:t>发布公告的媒介及</w:t>
      </w:r>
      <w:r>
        <w:rPr>
          <w:rFonts w:hint="eastAsia" w:ascii="宋体" w:hAnsi="宋体" w:cs="宋体"/>
          <w:b/>
          <w:bCs/>
          <w:sz w:val="24"/>
          <w:szCs w:val="24"/>
          <w:highlight w:val="none"/>
          <w:lang w:val="en-US" w:eastAsia="zh-CN"/>
        </w:rPr>
        <w:t>招标</w:t>
      </w:r>
      <w:r>
        <w:rPr>
          <w:rFonts w:hint="eastAsia" w:ascii="宋体" w:hAnsi="宋体" w:eastAsia="宋体" w:cs="宋体"/>
          <w:b/>
          <w:bCs/>
          <w:sz w:val="24"/>
          <w:szCs w:val="24"/>
          <w:highlight w:val="none"/>
          <w:lang w:val="en-US" w:eastAsia="zh-CN"/>
        </w:rPr>
        <w:t>公告期限</w:t>
      </w:r>
    </w:p>
    <w:p w14:paraId="71DDD025">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sz w:val="24"/>
          <w:highlight w:val="none"/>
          <w:lang w:val="en-US" w:eastAsia="zh-CN"/>
        </w:rPr>
        <w:t>本公告在《中国招标投标公共服务平台》、《焦作市公共资源交易中心网》、《博爱县公共资源交易中心网》</w:t>
      </w:r>
      <w:r>
        <w:rPr>
          <w:rFonts w:hint="eastAsia" w:ascii="宋体" w:hAnsi="宋体" w:cs="宋体"/>
          <w:color w:val="000000" w:themeColor="text1"/>
          <w:sz w:val="24"/>
          <w:highlight w:val="none"/>
          <w14:textFill>
            <w14:solidFill>
              <w14:schemeClr w14:val="tx1"/>
            </w14:solidFill>
          </w14:textFill>
        </w:rPr>
        <w:t>http://ggzy.boai.gov.cn/</w:t>
      </w:r>
      <w:r>
        <w:rPr>
          <w:rFonts w:hint="eastAsia" w:ascii="宋体" w:hAnsi="宋体" w:cs="宋体"/>
          <w:sz w:val="24"/>
          <w:highlight w:val="none"/>
          <w:lang w:val="en-US" w:eastAsia="zh-CN"/>
        </w:rPr>
        <w:t>上发布。</w:t>
      </w:r>
      <w:r>
        <w:rPr>
          <w:rFonts w:hint="eastAsia" w:ascii="宋体" w:hAnsi="宋体" w:cs="宋体"/>
          <w:sz w:val="24"/>
          <w:highlight w:val="none"/>
        </w:rPr>
        <w:t>公告</w:t>
      </w:r>
      <w:r>
        <w:rPr>
          <w:rFonts w:hint="eastAsia" w:ascii="宋体" w:hAnsi="宋体" w:cs="宋体"/>
          <w:sz w:val="24"/>
          <w:highlight w:val="none"/>
          <w:lang w:val="en-US" w:eastAsia="zh-CN"/>
        </w:rPr>
        <w:t>期限为</w:t>
      </w:r>
      <w:r>
        <w:rPr>
          <w:rFonts w:hint="eastAsia" w:ascii="宋体" w:hAnsi="宋体" w:cs="宋体"/>
          <w:kern w:val="0"/>
          <w:sz w:val="24"/>
          <w:highlight w:val="none"/>
          <w:lang w:val="en-US" w:eastAsia="zh-CN"/>
        </w:rPr>
        <w:t>五</w:t>
      </w:r>
      <w:r>
        <w:rPr>
          <w:rFonts w:hint="eastAsia" w:ascii="宋体" w:hAnsi="宋体" w:cs="宋体"/>
          <w:kern w:val="0"/>
          <w:sz w:val="24"/>
          <w:highlight w:val="none"/>
        </w:rPr>
        <w:t>个工作日。</w:t>
      </w:r>
    </w:p>
    <w:p w14:paraId="13937DEB">
      <w:pPr>
        <w:widowControl/>
        <w:spacing w:line="440" w:lineRule="exact"/>
        <w:rPr>
          <w:rFonts w:ascii="宋体" w:hAnsi="宋体" w:cs="宋体"/>
          <w:b/>
          <w:bCs/>
          <w:color w:val="auto"/>
          <w:sz w:val="24"/>
          <w:highlight w:val="none"/>
        </w:rPr>
      </w:pPr>
      <w:r>
        <w:rPr>
          <w:rFonts w:hint="eastAsia" w:ascii="宋体" w:hAnsi="宋体" w:cs="宋体"/>
          <w:b/>
          <w:bCs/>
          <w:color w:val="auto"/>
          <w:sz w:val="24"/>
          <w:highlight w:val="none"/>
        </w:rPr>
        <w:t>七、其他补充事宜</w:t>
      </w:r>
    </w:p>
    <w:p w14:paraId="2EB0243B">
      <w:pPr>
        <w:keepNext w:val="0"/>
        <w:keepLines w:val="0"/>
        <w:pageBreakBefore w:val="0"/>
        <w:widowControl w:val="0"/>
        <w:kinsoku/>
        <w:wordWrap/>
        <w:overflowPunct/>
        <w:topLinePunct w:val="0"/>
        <w:autoSpaceDE/>
        <w:autoSpaceDN/>
        <w:bidi w:val="0"/>
        <w:adjustRightInd/>
        <w:snapToGrid/>
        <w:spacing w:before="154" w:line="440" w:lineRule="exact"/>
        <w:ind w:right="61" w:firstLine="499"/>
        <w:jc w:val="both"/>
        <w:textAlignment w:val="auto"/>
        <w:rPr>
          <w:rFonts w:ascii="宋体" w:hAnsi="宋体" w:eastAsia="宋体" w:cs="宋体"/>
          <w:sz w:val="24"/>
          <w:szCs w:val="24"/>
          <w:highlight w:val="none"/>
        </w:rPr>
      </w:pPr>
      <w:r>
        <w:rPr>
          <w:rFonts w:ascii="宋体" w:hAnsi="宋体" w:eastAsia="宋体" w:cs="宋体"/>
          <w:spacing w:val="-4"/>
          <w:sz w:val="24"/>
          <w:szCs w:val="24"/>
          <w:highlight w:val="none"/>
        </w:rPr>
        <w:t>1.本项目采用“远程不见面</w:t>
      </w:r>
      <w:r>
        <w:rPr>
          <w:rFonts w:ascii="宋体" w:hAnsi="宋体" w:eastAsia="宋体" w:cs="宋体"/>
          <w:spacing w:val="-80"/>
          <w:sz w:val="24"/>
          <w:szCs w:val="24"/>
          <w:highlight w:val="none"/>
        </w:rPr>
        <w:t xml:space="preserve"> </w:t>
      </w:r>
      <w:r>
        <w:rPr>
          <w:rFonts w:ascii="宋体" w:hAnsi="宋体" w:eastAsia="宋体" w:cs="宋体"/>
          <w:spacing w:val="-4"/>
          <w:sz w:val="24"/>
          <w:szCs w:val="24"/>
          <w:highlight w:val="none"/>
        </w:rPr>
        <w:t>”的开标方式，潜在供应商可提前在焦作市交易中心官</w:t>
      </w:r>
      <w:r>
        <w:rPr>
          <w:rFonts w:ascii="宋体" w:hAnsi="宋体" w:eastAsia="宋体" w:cs="宋体"/>
          <w:sz w:val="24"/>
          <w:szCs w:val="24"/>
          <w:highlight w:val="none"/>
        </w:rPr>
        <w:t xml:space="preserve"> 网首页---下载中心--下载《焦作市电子招投标系统操作手册》和</w:t>
      </w:r>
      <w:r>
        <w:rPr>
          <w:rFonts w:ascii="宋体" w:hAnsi="宋体" w:eastAsia="宋体" w:cs="宋体"/>
          <w:spacing w:val="-1"/>
          <w:sz w:val="24"/>
          <w:szCs w:val="24"/>
          <w:highlight w:val="none"/>
        </w:rPr>
        <w:t>《焦作市公共资源交</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易平台不见面开标操作手册》、《投标文件制作工作</w:t>
      </w:r>
      <w:r>
        <w:rPr>
          <w:rFonts w:ascii="宋体" w:hAnsi="宋体" w:eastAsia="宋体" w:cs="宋体"/>
          <w:spacing w:val="-3"/>
          <w:sz w:val="24"/>
          <w:szCs w:val="24"/>
          <w:highlight w:val="none"/>
        </w:rPr>
        <w:t>工具》等，查看操作说明，按要求</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进行投标文件制作和上传等。为避免网络拥堵等不可控因素</w:t>
      </w:r>
      <w:r>
        <w:rPr>
          <w:rFonts w:ascii="宋体" w:hAnsi="宋体" w:eastAsia="宋体" w:cs="宋体"/>
          <w:spacing w:val="-3"/>
          <w:sz w:val="24"/>
          <w:szCs w:val="24"/>
          <w:highlight w:val="none"/>
        </w:rPr>
        <w:t>影响投标文件的上传，请提</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前上传投标文件，并在开标截止时间前登录不见面开标大厅</w:t>
      </w:r>
    </w:p>
    <w:p w14:paraId="0C58B458">
      <w:pPr>
        <w:keepNext w:val="0"/>
        <w:keepLines w:val="0"/>
        <w:pageBreakBefore w:val="0"/>
        <w:widowControl w:val="0"/>
        <w:kinsoku/>
        <w:wordWrap/>
        <w:overflowPunct/>
        <w:topLinePunct w:val="0"/>
        <w:autoSpaceDE/>
        <w:autoSpaceDN/>
        <w:bidi w:val="0"/>
        <w:adjustRightInd/>
        <w:snapToGrid/>
        <w:spacing w:before="93" w:line="440" w:lineRule="exact"/>
        <w:ind w:left="2" w:firstLine="479"/>
        <w:jc w:val="both"/>
        <w:textAlignment w:val="auto"/>
        <w:rPr>
          <w:rFonts w:ascii="宋体" w:hAnsi="宋体" w:eastAsia="宋体" w:cs="宋体"/>
          <w:sz w:val="24"/>
          <w:szCs w:val="24"/>
          <w:highlight w:val="none"/>
        </w:rPr>
      </w:pPr>
      <w:r>
        <w:rPr>
          <w:rFonts w:ascii="宋体" w:hAnsi="宋体" w:eastAsia="宋体" w:cs="宋体"/>
          <w:sz w:val="24"/>
          <w:szCs w:val="24"/>
          <w:highlight w:val="none"/>
        </w:rPr>
        <w:t>（</w:t>
      </w:r>
      <w:r>
        <w:rPr>
          <w:highlight w:val="none"/>
        </w:rPr>
        <w:fldChar w:fldCharType="begin"/>
      </w:r>
      <w:r>
        <w:rPr>
          <w:highlight w:val="none"/>
        </w:rPr>
        <w:instrText xml:space="preserve"> HYPERLINK "http://ggzy.jiaozuo.gov.cn/BidOpeningHall/bidhall/default/login" </w:instrText>
      </w:r>
      <w:r>
        <w:rPr>
          <w:highlight w:val="none"/>
        </w:rPr>
        <w:fldChar w:fldCharType="separate"/>
      </w:r>
      <w:r>
        <w:rPr>
          <w:rFonts w:ascii="宋体" w:hAnsi="宋体" w:eastAsia="宋体" w:cs="宋体"/>
          <w:sz w:val="24"/>
          <w:szCs w:val="24"/>
          <w:highlight w:val="none"/>
        </w:rPr>
        <w:t>http://ggzy.jiaozuo.gov.cn/BidOpeningHall/bidha</w:t>
      </w:r>
      <w:r>
        <w:rPr>
          <w:rFonts w:ascii="宋体" w:hAnsi="宋体" w:eastAsia="宋体" w:cs="宋体"/>
          <w:spacing w:val="-1"/>
          <w:sz w:val="24"/>
          <w:szCs w:val="24"/>
          <w:highlight w:val="none"/>
        </w:rPr>
        <w:t>ll/default/login</w:t>
      </w:r>
      <w:r>
        <w:rPr>
          <w:rFonts w:ascii="宋体" w:hAnsi="宋体" w:eastAsia="宋体" w:cs="宋体"/>
          <w:spacing w:val="-1"/>
          <w:sz w:val="24"/>
          <w:szCs w:val="24"/>
          <w:highlight w:val="none"/>
        </w:rPr>
        <w:fldChar w:fldCharType="end"/>
      </w:r>
      <w:r>
        <w:rPr>
          <w:rFonts w:ascii="宋体" w:hAnsi="宋体" w:eastAsia="宋体" w:cs="宋体"/>
          <w:spacing w:val="-71"/>
          <w:sz w:val="24"/>
          <w:szCs w:val="24"/>
          <w:highlight w:val="none"/>
        </w:rPr>
        <w:t xml:space="preserve"> </w:t>
      </w:r>
      <w:r>
        <w:rPr>
          <w:rFonts w:ascii="宋体" w:hAnsi="宋体" w:eastAsia="宋体" w:cs="宋体"/>
          <w:spacing w:val="-1"/>
          <w:sz w:val="24"/>
          <w:szCs w:val="24"/>
          <w:highlight w:val="none"/>
        </w:rPr>
        <w:t>）进行</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签到，按要求解密投标文件。因文件未及时上传导致投标失败的责任由供应商自行承担，</w:t>
      </w:r>
      <w:r>
        <w:rPr>
          <w:rFonts w:ascii="宋体" w:hAnsi="宋体" w:eastAsia="宋体" w:cs="宋体"/>
          <w:spacing w:val="4"/>
          <w:sz w:val="24"/>
          <w:szCs w:val="24"/>
          <w:highlight w:val="none"/>
        </w:rPr>
        <w:t xml:space="preserve"> </w:t>
      </w:r>
      <w:r>
        <w:rPr>
          <w:rFonts w:ascii="宋体" w:hAnsi="宋体" w:eastAsia="宋体" w:cs="宋体"/>
          <w:spacing w:val="-7"/>
          <w:sz w:val="24"/>
          <w:szCs w:val="24"/>
          <w:highlight w:val="none"/>
        </w:rPr>
        <w:t>具体要求详见招标文件。平台统一技术服务电话：400-9</w:t>
      </w:r>
      <w:r>
        <w:rPr>
          <w:rFonts w:ascii="宋体" w:hAnsi="宋体" w:eastAsia="宋体" w:cs="宋体"/>
          <w:spacing w:val="-8"/>
          <w:sz w:val="24"/>
          <w:szCs w:val="24"/>
          <w:highlight w:val="none"/>
        </w:rPr>
        <w:t>98-0000，服务 QQ：4008503300，</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服务时间：周一至周日 8：00-17：30。</w:t>
      </w:r>
    </w:p>
    <w:p w14:paraId="7255E0E0">
      <w:pPr>
        <w:keepNext w:val="0"/>
        <w:keepLines w:val="0"/>
        <w:pageBreakBefore w:val="0"/>
        <w:widowControl w:val="0"/>
        <w:kinsoku/>
        <w:wordWrap/>
        <w:overflowPunct/>
        <w:topLinePunct w:val="0"/>
        <w:autoSpaceDE/>
        <w:autoSpaceDN/>
        <w:bidi w:val="0"/>
        <w:adjustRightInd/>
        <w:snapToGrid/>
        <w:spacing w:before="96" w:line="440" w:lineRule="exact"/>
        <w:ind w:left="1" w:right="61" w:firstLine="471"/>
        <w:jc w:val="both"/>
        <w:textAlignment w:val="auto"/>
        <w:rPr>
          <w:rFonts w:ascii="宋体" w:hAnsi="宋体" w:eastAsia="宋体" w:cs="宋体"/>
          <w:sz w:val="24"/>
          <w:szCs w:val="24"/>
          <w:highlight w:val="none"/>
        </w:rPr>
      </w:pPr>
      <w:r>
        <w:rPr>
          <w:rFonts w:ascii="宋体" w:hAnsi="宋体" w:eastAsia="宋体" w:cs="宋体"/>
          <w:spacing w:val="-2"/>
          <w:sz w:val="24"/>
          <w:szCs w:val="24"/>
          <w:highlight w:val="none"/>
        </w:rPr>
        <w:t>2.供应商无需到现场参加开标会议，无需到达现场提交原件资料。</w:t>
      </w:r>
      <w:r>
        <w:rPr>
          <w:rFonts w:ascii="宋体" w:hAnsi="宋体" w:eastAsia="宋体" w:cs="宋体"/>
          <w:spacing w:val="-3"/>
          <w:sz w:val="24"/>
          <w:szCs w:val="24"/>
          <w:highlight w:val="none"/>
        </w:rPr>
        <w:t>供应商应当在线</w:t>
      </w:r>
      <w:r>
        <w:rPr>
          <w:rFonts w:ascii="宋体" w:hAnsi="宋体" w:eastAsia="宋体" w:cs="宋体"/>
          <w:spacing w:val="-2"/>
          <w:sz w:val="24"/>
          <w:szCs w:val="24"/>
          <w:highlight w:val="none"/>
        </w:rPr>
        <w:t>准时参加开标活动并进行文件解密、答疑澄清等。加密电</w:t>
      </w:r>
      <w:r>
        <w:rPr>
          <w:rFonts w:ascii="宋体" w:hAnsi="宋体" w:eastAsia="宋体" w:cs="宋体"/>
          <w:spacing w:val="-3"/>
          <w:sz w:val="24"/>
          <w:szCs w:val="24"/>
          <w:highlight w:val="none"/>
        </w:rPr>
        <w:t>子投标文件须在焦作市公共资</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源交易中心电子交易平台中加密上传，上传时必须得到电脑“上传成功</w:t>
      </w:r>
      <w:r>
        <w:rPr>
          <w:rFonts w:ascii="宋体" w:hAnsi="宋体" w:eastAsia="宋体" w:cs="宋体"/>
          <w:spacing w:val="-88"/>
          <w:sz w:val="24"/>
          <w:szCs w:val="24"/>
          <w:highlight w:val="none"/>
        </w:rPr>
        <w:t xml:space="preserve"> </w:t>
      </w:r>
      <w:r>
        <w:rPr>
          <w:rFonts w:ascii="宋体" w:hAnsi="宋体" w:eastAsia="宋体" w:cs="宋体"/>
          <w:spacing w:val="-4"/>
          <w:sz w:val="24"/>
          <w:szCs w:val="24"/>
          <w:highlight w:val="none"/>
        </w:rPr>
        <w:t>”的确认回复后</w:t>
      </w:r>
      <w:r>
        <w:rPr>
          <w:rFonts w:ascii="宋体" w:hAnsi="宋体" w:eastAsia="宋体" w:cs="宋体"/>
          <w:sz w:val="24"/>
          <w:szCs w:val="24"/>
          <w:highlight w:val="none"/>
        </w:rPr>
        <w:t xml:space="preserve"> 方为上传成功。在规定时间内投标文件未解密的供</w:t>
      </w:r>
      <w:r>
        <w:rPr>
          <w:rFonts w:ascii="宋体" w:hAnsi="宋体" w:eastAsia="宋体" w:cs="宋体"/>
          <w:spacing w:val="-1"/>
          <w:sz w:val="24"/>
          <w:szCs w:val="24"/>
          <w:highlight w:val="none"/>
        </w:rPr>
        <w:t>应商，视为放弃投标。</w:t>
      </w:r>
    </w:p>
    <w:p w14:paraId="34E272DB">
      <w:pPr>
        <w:adjustRightInd w:val="0"/>
        <w:snapToGrid w:val="0"/>
        <w:spacing w:line="440" w:lineRule="exact"/>
        <w:rPr>
          <w:rFonts w:ascii="宋体" w:hAnsi="宋体" w:cs="宋体"/>
          <w:b/>
          <w:kern w:val="0"/>
          <w:sz w:val="24"/>
          <w:highlight w:val="none"/>
        </w:rPr>
      </w:pPr>
      <w:r>
        <w:rPr>
          <w:rFonts w:hint="eastAsia" w:ascii="宋体" w:hAnsi="宋体" w:cs="宋体"/>
          <w:b/>
          <w:kern w:val="0"/>
          <w:sz w:val="24"/>
          <w:highlight w:val="none"/>
        </w:rPr>
        <w:t>八、</w:t>
      </w:r>
      <w:r>
        <w:rPr>
          <w:rFonts w:hint="eastAsia" w:ascii="宋体" w:hAnsi="宋体" w:cs="宋体"/>
          <w:b/>
          <w:sz w:val="24"/>
          <w:highlight w:val="none"/>
          <w:shd w:val="clear" w:color="auto" w:fill="FFFFFF"/>
        </w:rPr>
        <w:t>凡对本次招标提出询问，请按以下方式联系</w:t>
      </w:r>
    </w:p>
    <w:p w14:paraId="17501705">
      <w:pPr>
        <w:widowControl/>
        <w:spacing w:line="440" w:lineRule="exact"/>
        <w:ind w:firstLine="420"/>
        <w:rPr>
          <w:rFonts w:hint="eastAsia" w:ascii="宋体" w:hAnsi="宋体" w:cs="宋体"/>
          <w:kern w:val="0"/>
          <w:sz w:val="24"/>
          <w:highlight w:val="none"/>
        </w:rPr>
      </w:pPr>
      <w:r>
        <w:rPr>
          <w:rFonts w:hint="eastAsia" w:ascii="宋体" w:hAnsi="宋体" w:cs="宋体"/>
          <w:kern w:val="0"/>
          <w:sz w:val="24"/>
          <w:highlight w:val="none"/>
        </w:rPr>
        <w:t>1.采购人信息：</w:t>
      </w:r>
    </w:p>
    <w:p w14:paraId="21D66382">
      <w:pPr>
        <w:widowControl/>
        <w:spacing w:line="440" w:lineRule="exact"/>
        <w:ind w:firstLine="420"/>
        <w:rPr>
          <w:rFonts w:hint="eastAsia" w:ascii="宋体" w:hAnsi="宋体" w:cs="宋体"/>
          <w:kern w:val="0"/>
          <w:sz w:val="24"/>
          <w:highlight w:val="none"/>
          <w:lang w:eastAsia="zh-CN"/>
        </w:rPr>
      </w:pPr>
      <w:r>
        <w:rPr>
          <w:rFonts w:hint="eastAsia" w:ascii="宋体" w:hAnsi="宋体" w:cs="宋体"/>
          <w:kern w:val="0"/>
          <w:sz w:val="24"/>
          <w:highlight w:val="none"/>
          <w:lang w:val="en-US" w:eastAsia="zh-CN"/>
        </w:rPr>
        <w:t>采购人：</w:t>
      </w:r>
      <w:r>
        <w:rPr>
          <w:rFonts w:hint="eastAsia" w:ascii="宋体" w:hAnsi="宋体" w:cs="宋体"/>
          <w:kern w:val="0"/>
          <w:sz w:val="24"/>
          <w:highlight w:val="none"/>
          <w:lang w:eastAsia="zh-CN"/>
        </w:rPr>
        <w:t>中持(江苏)环境建设有限公司</w:t>
      </w:r>
    </w:p>
    <w:p w14:paraId="2C7719F3">
      <w:pPr>
        <w:widowControl/>
        <w:spacing w:line="440" w:lineRule="exact"/>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rPr>
        <w:t>地址</w:t>
      </w:r>
      <w:r>
        <w:rPr>
          <w:rFonts w:hint="eastAsia" w:ascii="宋体" w:hAnsi="宋体" w:eastAsia="宋体" w:cs="宋体"/>
          <w:kern w:val="0"/>
          <w:sz w:val="24"/>
          <w:szCs w:val="24"/>
          <w:highlight w:val="none"/>
          <w:lang w:val="en-US" w:eastAsia="zh-CN" w:bidi="ar-SA"/>
        </w:rPr>
        <w:t>：南京市江宁区汤山街道古泉路16号</w:t>
      </w:r>
    </w:p>
    <w:p w14:paraId="50CDC768">
      <w:pPr>
        <w:widowControl/>
        <w:spacing w:line="440" w:lineRule="exact"/>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联系人：</w:t>
      </w:r>
      <w:r>
        <w:rPr>
          <w:rFonts w:hint="eastAsia" w:ascii="宋体" w:hAnsi="宋体" w:cs="宋体"/>
          <w:kern w:val="0"/>
          <w:sz w:val="24"/>
          <w:szCs w:val="24"/>
          <w:highlight w:val="none"/>
          <w:lang w:val="en-US" w:eastAsia="zh-CN" w:bidi="ar-SA"/>
        </w:rPr>
        <w:t>李先生</w:t>
      </w:r>
    </w:p>
    <w:p w14:paraId="1C8DC985">
      <w:pPr>
        <w:widowControl/>
        <w:spacing w:line="440" w:lineRule="exact"/>
        <w:ind w:firstLine="420"/>
        <w:rPr>
          <w:rFonts w:hint="default" w:ascii="宋体" w:hAnsi="宋体" w:eastAsia="宋体" w:cs="宋体"/>
          <w:kern w:val="0"/>
          <w:sz w:val="24"/>
          <w:highlight w:val="none"/>
          <w:lang w:val="en-US" w:eastAsia="zh-CN"/>
        </w:rPr>
      </w:pPr>
      <w:r>
        <w:rPr>
          <w:rFonts w:hint="eastAsia" w:ascii="宋体" w:hAnsi="宋体" w:eastAsia="宋体" w:cs="宋体"/>
          <w:kern w:val="0"/>
          <w:sz w:val="24"/>
          <w:szCs w:val="24"/>
          <w:highlight w:val="none"/>
          <w:lang w:val="en-US" w:eastAsia="zh-CN" w:bidi="ar-SA"/>
        </w:rPr>
        <w:t>电</w:t>
      </w:r>
      <w:r>
        <w:rPr>
          <w:rFonts w:hint="eastAsia" w:ascii="宋体" w:hAnsi="宋体" w:cs="宋体"/>
          <w:kern w:val="0"/>
          <w:sz w:val="24"/>
          <w:szCs w:val="24"/>
          <w:highlight w:val="none"/>
          <w:lang w:val="en-US" w:eastAsia="zh-CN" w:bidi="ar-SA"/>
        </w:rPr>
        <w:t xml:space="preserve">  </w:t>
      </w:r>
      <w:r>
        <w:rPr>
          <w:rFonts w:hint="eastAsia" w:ascii="宋体" w:hAnsi="宋体" w:eastAsia="宋体" w:cs="宋体"/>
          <w:kern w:val="0"/>
          <w:sz w:val="24"/>
          <w:szCs w:val="24"/>
          <w:highlight w:val="none"/>
          <w:lang w:val="en-US" w:eastAsia="zh-CN" w:bidi="ar-SA"/>
        </w:rPr>
        <w:t>话：</w:t>
      </w:r>
      <w:r>
        <w:rPr>
          <w:rFonts w:hint="eastAsia" w:ascii="宋体" w:hAnsi="宋体" w:cs="宋体"/>
          <w:kern w:val="0"/>
          <w:sz w:val="24"/>
          <w:szCs w:val="24"/>
          <w:highlight w:val="none"/>
          <w:lang w:val="en-US" w:eastAsia="zh-CN" w:bidi="ar-SA"/>
        </w:rPr>
        <w:t>17734803370</w:t>
      </w:r>
    </w:p>
    <w:p w14:paraId="007FAC1C">
      <w:pPr>
        <w:widowControl/>
        <w:spacing w:line="440" w:lineRule="exact"/>
        <w:ind w:firstLine="42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2.采购代理机构信息</w:t>
      </w:r>
    </w:p>
    <w:p w14:paraId="03501B0E">
      <w:pPr>
        <w:widowControl/>
        <w:spacing w:line="440" w:lineRule="exact"/>
        <w:ind w:firstLine="42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eastAsia="zh-CN"/>
        </w:rPr>
        <w:t>代理机构：河南</w:t>
      </w:r>
      <w:r>
        <w:rPr>
          <w:rFonts w:hint="eastAsia" w:ascii="宋体" w:hAnsi="宋体" w:cs="宋体"/>
          <w:kern w:val="0"/>
          <w:sz w:val="24"/>
          <w:highlight w:val="none"/>
          <w:lang w:val="en-US" w:eastAsia="zh-CN"/>
        </w:rPr>
        <w:t>金鸿项目管理有限公司</w:t>
      </w:r>
    </w:p>
    <w:p w14:paraId="148DC230">
      <w:pPr>
        <w:widowControl/>
        <w:spacing w:line="440" w:lineRule="exact"/>
        <w:ind w:firstLine="42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eastAsia="zh-CN"/>
        </w:rPr>
        <w:t>联系人：</w:t>
      </w:r>
      <w:r>
        <w:rPr>
          <w:rFonts w:hint="eastAsia" w:ascii="宋体" w:hAnsi="宋体" w:cs="宋体"/>
          <w:kern w:val="0"/>
          <w:sz w:val="24"/>
          <w:highlight w:val="none"/>
          <w:lang w:val="en-US" w:eastAsia="zh-CN"/>
        </w:rPr>
        <w:t>冯女士</w:t>
      </w:r>
    </w:p>
    <w:p w14:paraId="32637693">
      <w:pPr>
        <w:widowControl/>
        <w:spacing w:line="440" w:lineRule="exact"/>
        <w:ind w:firstLine="42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eastAsia="zh-CN"/>
        </w:rPr>
        <w:t>电  话：</w:t>
      </w:r>
      <w:r>
        <w:rPr>
          <w:rFonts w:hint="eastAsia" w:ascii="宋体" w:hAnsi="宋体" w:cs="宋体"/>
          <w:kern w:val="0"/>
          <w:sz w:val="24"/>
          <w:highlight w:val="none"/>
          <w:lang w:val="en-US" w:eastAsia="zh-CN"/>
        </w:rPr>
        <w:t>17838022868</w:t>
      </w:r>
    </w:p>
    <w:p w14:paraId="29DC216C">
      <w:pPr>
        <w:widowControl/>
        <w:spacing w:line="440" w:lineRule="exact"/>
        <w:ind w:firstLine="480" w:firstLineChars="20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eastAsia="zh-CN"/>
        </w:rPr>
        <w:t>地  址：</w:t>
      </w:r>
      <w:r>
        <w:rPr>
          <w:rFonts w:hint="eastAsia" w:ascii="宋体" w:hAnsi="宋体" w:cs="宋体"/>
          <w:kern w:val="0"/>
          <w:sz w:val="24"/>
          <w:highlight w:val="none"/>
          <w:lang w:val="en-US" w:eastAsia="zh-CN"/>
        </w:rPr>
        <w:t>博爱县团结路中段</w:t>
      </w:r>
    </w:p>
    <w:p w14:paraId="0FC1CBB2">
      <w:pPr>
        <w:widowControl/>
        <w:numPr>
          <w:ilvl w:val="0"/>
          <w:numId w:val="0"/>
        </w:numPr>
        <w:spacing w:line="440" w:lineRule="exact"/>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3.项目联系方式</w:t>
      </w:r>
    </w:p>
    <w:p w14:paraId="02E7FA29">
      <w:pPr>
        <w:widowControl/>
        <w:numPr>
          <w:ilvl w:val="0"/>
          <w:numId w:val="0"/>
        </w:numPr>
        <w:spacing w:line="440" w:lineRule="exact"/>
        <w:ind w:firstLine="480" w:firstLineChars="200"/>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项目联系人：李先生</w:t>
      </w:r>
    </w:p>
    <w:p w14:paraId="4B211252">
      <w:pPr>
        <w:widowControl/>
        <w:spacing w:line="440" w:lineRule="exact"/>
        <w:ind w:firstLine="476" w:firstLineChars="200"/>
        <w:rPr>
          <w:rFonts w:hint="eastAsia" w:ascii="宋体" w:hAnsi="宋体" w:eastAsia="宋体" w:cs="宋体"/>
          <w:spacing w:val="-1"/>
          <w:sz w:val="24"/>
          <w:szCs w:val="24"/>
          <w:highlight w:val="none"/>
          <w:lang w:val="en-US" w:eastAsia="zh-CN"/>
        </w:rPr>
      </w:pPr>
      <w:r>
        <w:rPr>
          <w:rFonts w:ascii="宋体" w:hAnsi="宋体" w:eastAsia="宋体" w:cs="宋体"/>
          <w:spacing w:val="-1"/>
          <w:sz w:val="24"/>
          <w:szCs w:val="24"/>
          <w:highlight w:val="none"/>
        </w:rPr>
        <w:t>联系方式：</w:t>
      </w:r>
      <w:r>
        <w:rPr>
          <w:rFonts w:hint="eastAsia" w:ascii="宋体" w:hAnsi="宋体" w:eastAsia="宋体" w:cs="宋体"/>
          <w:spacing w:val="-1"/>
          <w:sz w:val="24"/>
          <w:szCs w:val="24"/>
          <w:highlight w:val="none"/>
          <w:lang w:val="en-US" w:eastAsia="zh-CN"/>
        </w:rPr>
        <w:t>17734803370</w:t>
      </w:r>
    </w:p>
    <w:p w14:paraId="3CB63C5B">
      <w:pPr>
        <w:pStyle w:val="27"/>
        <w:numPr>
          <w:ilvl w:val="0"/>
          <w:numId w:val="0"/>
        </w:numPr>
        <w:ind w:left="0" w:leftChars="0" w:firstLine="0" w:firstLineChars="0"/>
        <w:rPr>
          <w:rFonts w:hint="eastAsia" w:ascii="宋体" w:hAnsi="宋体" w:cs="宋体"/>
          <w:b/>
          <w:kern w:val="2"/>
          <w:sz w:val="24"/>
          <w:szCs w:val="24"/>
          <w:highlight w:val="none"/>
          <w:shd w:val="clear" w:color="auto" w:fill="FFFFFF"/>
          <w:lang w:val="en-US" w:eastAsia="zh-CN" w:bidi="ar-SA"/>
        </w:rPr>
      </w:pPr>
      <w:r>
        <w:rPr>
          <w:rFonts w:hint="eastAsia" w:ascii="宋体" w:hAnsi="宋体" w:eastAsia="宋体" w:cs="宋体"/>
          <w:b/>
          <w:kern w:val="2"/>
          <w:sz w:val="24"/>
          <w:szCs w:val="24"/>
          <w:highlight w:val="none"/>
          <w:shd w:val="clear" w:fill="FFFFFF"/>
          <w:lang w:val="en-US" w:eastAsia="zh-CN" w:bidi="ar-SA"/>
        </w:rPr>
        <w:t>九、</w:t>
      </w:r>
      <w:r>
        <w:rPr>
          <w:rFonts w:hint="eastAsia" w:ascii="宋体" w:hAnsi="宋体" w:eastAsia="宋体" w:cs="宋体"/>
          <w:b/>
          <w:kern w:val="2"/>
          <w:sz w:val="24"/>
          <w:szCs w:val="24"/>
          <w:highlight w:val="none"/>
          <w:shd w:val="clear" w:color="auto" w:fill="FFFFFF"/>
          <w:lang w:val="en-US" w:eastAsia="zh-CN" w:bidi="ar-SA"/>
        </w:rPr>
        <w:t>监督部门</w:t>
      </w:r>
    </w:p>
    <w:p w14:paraId="3B2FC3C8">
      <w:pPr>
        <w:widowControl/>
        <w:numPr>
          <w:ilvl w:val="0"/>
          <w:numId w:val="0"/>
        </w:numPr>
        <w:spacing w:line="440" w:lineRule="exact"/>
        <w:ind w:firstLine="480" w:firstLineChars="200"/>
        <w:rPr>
          <w:rFonts w:hint="default" w:ascii="宋体" w:hAnsi="宋体" w:eastAsia="宋体" w:cs="宋体"/>
          <w:kern w:val="0"/>
          <w:sz w:val="24"/>
          <w:highlight w:val="none"/>
          <w:lang w:val="en-US" w:eastAsia="zh-CN"/>
        </w:rPr>
      </w:pPr>
      <w:r>
        <w:rPr>
          <w:rFonts w:hint="default" w:ascii="宋体" w:hAnsi="宋体" w:eastAsia="宋体" w:cs="宋体"/>
          <w:kern w:val="0"/>
          <w:sz w:val="24"/>
          <w:highlight w:val="none"/>
          <w:lang w:val="en-US" w:eastAsia="zh-CN"/>
        </w:rPr>
        <w:t>博爱县住房和城乡建设局    电话：0391-8682396</w:t>
      </w:r>
    </w:p>
    <w:p w14:paraId="547520A3">
      <w:pPr>
        <w:widowControl/>
        <w:numPr>
          <w:ilvl w:val="0"/>
          <w:numId w:val="0"/>
        </w:numPr>
        <w:spacing w:line="440" w:lineRule="exact"/>
        <w:ind w:firstLine="480" w:firstLineChars="200"/>
        <w:jc w:val="both"/>
        <w:rPr>
          <w:rFonts w:hint="default" w:ascii="宋体" w:hAnsi="宋体" w:eastAsia="宋体" w:cs="宋体"/>
          <w:kern w:val="0"/>
          <w:sz w:val="24"/>
          <w:szCs w:val="24"/>
          <w:highlight w:val="none"/>
          <w:lang w:val="en-US" w:eastAsia="zh-CN" w:bidi="ar-SA"/>
        </w:rPr>
      </w:pPr>
      <w:r>
        <w:rPr>
          <w:rFonts w:hint="default" w:ascii="宋体" w:hAnsi="宋体" w:eastAsia="宋体" w:cs="宋体"/>
          <w:kern w:val="0"/>
          <w:sz w:val="24"/>
          <w:szCs w:val="24"/>
          <w:highlight w:val="none"/>
          <w:lang w:val="en-US" w:eastAsia="zh-CN" w:bidi="ar-SA"/>
        </w:rPr>
        <w:t>河南杜煜建设有限公司</w:t>
      </w:r>
      <w:r>
        <w:rPr>
          <w:rFonts w:hint="eastAsia" w:ascii="宋体" w:hAnsi="宋体" w:eastAsia="宋体" w:cs="宋体"/>
          <w:kern w:val="0"/>
          <w:sz w:val="24"/>
          <w:szCs w:val="24"/>
          <w:highlight w:val="none"/>
          <w:lang w:val="en-US" w:eastAsia="zh-CN" w:bidi="ar-SA"/>
        </w:rPr>
        <w:t xml:space="preserve">      电话：0391-8697166</w:t>
      </w:r>
    </w:p>
    <w:p w14:paraId="7BDBA689">
      <w:pPr>
        <w:numPr>
          <w:ilvl w:val="0"/>
          <w:numId w:val="0"/>
        </w:numPr>
        <w:rPr>
          <w:rFonts w:hint="default"/>
          <w:highlight w:val="none"/>
          <w:lang w:val="en-US" w:eastAsia="zh-CN"/>
        </w:rPr>
      </w:pPr>
    </w:p>
    <w:p w14:paraId="6A0EDF64">
      <w:pPr>
        <w:rPr>
          <w:rFonts w:hint="eastAsia"/>
          <w:highlight w:val="none"/>
          <w:lang w:val="en-US" w:eastAsia="zh-CN"/>
        </w:rPr>
      </w:pPr>
    </w:p>
    <w:p w14:paraId="4115C4ED">
      <w:pPr>
        <w:widowControl/>
        <w:spacing w:line="440" w:lineRule="exact"/>
        <w:ind w:firstLine="2880" w:firstLineChars="1200"/>
        <w:jc w:val="right"/>
        <w:rPr>
          <w:rFonts w:hint="eastAsia" w:ascii="宋体" w:hAnsi="宋体" w:cs="宋体"/>
          <w:sz w:val="24"/>
          <w:highlight w:val="none"/>
        </w:rPr>
      </w:pPr>
    </w:p>
    <w:p w14:paraId="5387CE3F">
      <w:pPr>
        <w:widowControl/>
        <w:spacing w:line="440" w:lineRule="exact"/>
        <w:ind w:firstLine="2880" w:firstLineChars="1200"/>
        <w:jc w:val="right"/>
        <w:rPr>
          <w:rFonts w:hint="eastAsia" w:ascii="宋体" w:hAnsi="宋体" w:cs="宋体"/>
          <w:sz w:val="24"/>
          <w:highlight w:val="none"/>
          <w:shd w:val="clear" w:color="auto" w:fill="FFFFFF"/>
          <w:lang w:eastAsia="zh-CN"/>
        </w:rPr>
      </w:pPr>
      <w:r>
        <w:rPr>
          <w:rFonts w:hint="eastAsia" w:ascii="宋体" w:hAnsi="宋体" w:cs="宋体"/>
          <w:sz w:val="24"/>
          <w:highlight w:val="none"/>
        </w:rPr>
        <w:t>采购人：</w:t>
      </w:r>
      <w:r>
        <w:rPr>
          <w:rFonts w:hint="eastAsia" w:ascii="宋体" w:hAnsi="宋体" w:cs="宋体"/>
          <w:sz w:val="24"/>
          <w:highlight w:val="none"/>
          <w:shd w:val="clear" w:color="auto" w:fill="FFFFFF"/>
          <w:lang w:eastAsia="zh-CN"/>
        </w:rPr>
        <w:t>中持(江苏)环境建设有限公司</w:t>
      </w:r>
    </w:p>
    <w:p w14:paraId="14F459F3">
      <w:pPr>
        <w:widowControl/>
        <w:spacing w:line="440" w:lineRule="exact"/>
        <w:ind w:firstLine="2880" w:firstLineChars="1200"/>
        <w:jc w:val="right"/>
        <w:rPr>
          <w:rFonts w:hint="default" w:ascii="宋体" w:hAnsi="宋体" w:eastAsia="宋体" w:cs="宋体"/>
          <w:kern w:val="0"/>
          <w:sz w:val="24"/>
          <w:highlight w:val="none"/>
          <w:shd w:val="clear" w:color="auto" w:fill="FFFFFF"/>
          <w:lang w:val="en-US" w:eastAsia="zh-CN"/>
        </w:rPr>
      </w:pPr>
      <w:r>
        <w:rPr>
          <w:rFonts w:hint="eastAsia" w:ascii="宋体" w:hAnsi="宋体" w:cs="宋体"/>
          <w:sz w:val="24"/>
          <w:highlight w:val="none"/>
          <w:shd w:val="clear" w:color="auto" w:fill="FFFFFF"/>
        </w:rPr>
        <w:t>采购代理机构：</w:t>
      </w:r>
      <w:r>
        <w:rPr>
          <w:rFonts w:hint="eastAsia" w:ascii="宋体" w:hAnsi="宋体" w:cs="宋体"/>
          <w:sz w:val="24"/>
          <w:highlight w:val="none"/>
          <w:shd w:val="clear" w:color="auto" w:fill="FFFFFF"/>
          <w:lang w:val="en-US" w:eastAsia="zh-CN"/>
        </w:rPr>
        <w:t>河南金鸿项目管理有限公司</w:t>
      </w:r>
    </w:p>
    <w:p w14:paraId="72B0C40A">
      <w:pPr>
        <w:widowControl/>
        <w:spacing w:line="440" w:lineRule="exact"/>
        <w:ind w:firstLine="420"/>
        <w:jc w:val="right"/>
        <w:rPr>
          <w:rFonts w:ascii="宋体" w:hAnsi="宋体" w:cs="宋体"/>
          <w:sz w:val="24"/>
          <w:highlight w:val="none"/>
        </w:rPr>
      </w:pPr>
      <w:r>
        <w:rPr>
          <w:rFonts w:hint="eastAsia" w:ascii="宋体" w:hAnsi="宋体" w:cs="宋体"/>
          <w:sz w:val="24"/>
          <w:highlight w:val="none"/>
        </w:rPr>
        <w:t>发布时间：202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 xml:space="preserve"> 22 </w:t>
      </w:r>
      <w:r>
        <w:rPr>
          <w:rFonts w:hint="eastAsia" w:ascii="宋体" w:hAnsi="宋体" w:cs="宋体"/>
          <w:sz w:val="24"/>
          <w:highlight w:val="none"/>
        </w:rPr>
        <w:t>日</w:t>
      </w:r>
    </w:p>
    <w:p w14:paraId="2767F641">
      <w:pPr>
        <w:rPr>
          <w:rFonts w:hint="eastAsia"/>
          <w:sz w:val="32"/>
          <w:szCs w:val="32"/>
          <w:highlight w:val="none"/>
        </w:rPr>
      </w:pPr>
      <w:r>
        <w:rPr>
          <w:rFonts w:hint="eastAsia"/>
          <w:sz w:val="32"/>
          <w:szCs w:val="32"/>
          <w:highlight w:val="none"/>
        </w:rPr>
        <w:br w:type="page"/>
      </w:r>
    </w:p>
    <w:p w14:paraId="31184741">
      <w:pPr>
        <w:pStyle w:val="3"/>
        <w:spacing w:line="500" w:lineRule="exact"/>
        <w:rPr>
          <w:sz w:val="32"/>
          <w:szCs w:val="32"/>
          <w:highlight w:val="none"/>
        </w:rPr>
      </w:pPr>
      <w:r>
        <w:rPr>
          <w:rFonts w:hint="eastAsia"/>
          <w:sz w:val="32"/>
          <w:szCs w:val="32"/>
          <w:highlight w:val="none"/>
        </w:rPr>
        <w:t>第二章  供应商须知</w:t>
      </w:r>
      <w:bookmarkEnd w:id="3"/>
      <w:bookmarkEnd w:id="4"/>
    </w:p>
    <w:bookmarkEnd w:id="0"/>
    <w:p w14:paraId="1FA573D8">
      <w:pPr>
        <w:spacing w:line="500" w:lineRule="exact"/>
        <w:jc w:val="center"/>
        <w:rPr>
          <w:b/>
          <w:bCs/>
          <w:sz w:val="30"/>
          <w:szCs w:val="30"/>
          <w:highlight w:val="none"/>
        </w:rPr>
      </w:pPr>
      <w:bookmarkStart w:id="7" w:name="_Toc14655"/>
      <w:bookmarkStart w:id="8" w:name="_Toc426369478"/>
      <w:bookmarkStart w:id="9" w:name="_Toc32497"/>
      <w:bookmarkStart w:id="10" w:name="_Toc403122490"/>
      <w:bookmarkStart w:id="11" w:name="_Toc9161"/>
      <w:r>
        <w:rPr>
          <w:rFonts w:hint="eastAsia"/>
          <w:b/>
          <w:bCs/>
          <w:sz w:val="30"/>
          <w:szCs w:val="30"/>
          <w:highlight w:val="none"/>
        </w:rPr>
        <w:t>供应商须知前附表</w:t>
      </w:r>
      <w:bookmarkEnd w:id="7"/>
      <w:bookmarkEnd w:id="8"/>
      <w:bookmarkEnd w:id="9"/>
      <w:bookmarkEnd w:id="10"/>
      <w:bookmarkEnd w:id="11"/>
    </w:p>
    <w:tbl>
      <w:tblPr>
        <w:tblStyle w:val="28"/>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206"/>
        <w:gridCol w:w="6224"/>
      </w:tblGrid>
      <w:tr w14:paraId="003D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51E47EF">
            <w:pPr>
              <w:pStyle w:val="16"/>
              <w:spacing w:line="500" w:lineRule="exact"/>
              <w:jc w:val="center"/>
              <w:rPr>
                <w:rFonts w:hint="default" w:asciiTheme="minorEastAsia" w:hAnsiTheme="minorEastAsia" w:eastAsiaTheme="minorEastAsia" w:cstheme="minorEastAsia"/>
                <w:b/>
                <w:sz w:val="24"/>
                <w:szCs w:val="24"/>
                <w:highlight w:val="none"/>
              </w:rPr>
            </w:pPr>
            <w:r>
              <w:rPr>
                <w:rFonts w:asciiTheme="minorEastAsia" w:hAnsiTheme="minorEastAsia" w:eastAsiaTheme="minorEastAsia" w:cstheme="minorEastAsia"/>
                <w:b/>
                <w:sz w:val="24"/>
                <w:szCs w:val="24"/>
                <w:highlight w:val="none"/>
              </w:rPr>
              <w:t>条款号</w:t>
            </w:r>
          </w:p>
        </w:tc>
        <w:tc>
          <w:tcPr>
            <w:tcW w:w="2206" w:type="dxa"/>
            <w:vAlign w:val="center"/>
          </w:tcPr>
          <w:p w14:paraId="3866C89B">
            <w:pPr>
              <w:pStyle w:val="16"/>
              <w:spacing w:line="500" w:lineRule="exact"/>
              <w:jc w:val="center"/>
              <w:rPr>
                <w:rFonts w:hint="default" w:asciiTheme="minorEastAsia" w:hAnsiTheme="minorEastAsia" w:eastAsiaTheme="minorEastAsia" w:cstheme="minorEastAsia"/>
                <w:b/>
                <w:sz w:val="24"/>
                <w:szCs w:val="24"/>
                <w:highlight w:val="none"/>
              </w:rPr>
            </w:pPr>
            <w:r>
              <w:rPr>
                <w:rFonts w:asciiTheme="minorEastAsia" w:hAnsiTheme="minorEastAsia" w:eastAsiaTheme="minorEastAsia" w:cstheme="minorEastAsia"/>
                <w:b/>
                <w:sz w:val="24"/>
                <w:szCs w:val="24"/>
                <w:highlight w:val="none"/>
              </w:rPr>
              <w:t>条款名称</w:t>
            </w:r>
          </w:p>
        </w:tc>
        <w:tc>
          <w:tcPr>
            <w:tcW w:w="6224" w:type="dxa"/>
            <w:vAlign w:val="center"/>
          </w:tcPr>
          <w:p w14:paraId="3A6CB509">
            <w:pPr>
              <w:pStyle w:val="16"/>
              <w:spacing w:line="500" w:lineRule="exact"/>
              <w:jc w:val="center"/>
              <w:rPr>
                <w:rFonts w:hint="default" w:asciiTheme="minorEastAsia" w:hAnsiTheme="minorEastAsia" w:eastAsiaTheme="minorEastAsia" w:cstheme="minorEastAsia"/>
                <w:b/>
                <w:sz w:val="24"/>
                <w:szCs w:val="24"/>
                <w:highlight w:val="none"/>
              </w:rPr>
            </w:pPr>
            <w:r>
              <w:rPr>
                <w:rFonts w:asciiTheme="minorEastAsia" w:hAnsiTheme="minorEastAsia" w:eastAsiaTheme="minorEastAsia" w:cstheme="minorEastAsia"/>
                <w:b/>
                <w:sz w:val="24"/>
                <w:szCs w:val="24"/>
                <w:highlight w:val="none"/>
              </w:rPr>
              <w:t>编列内容</w:t>
            </w:r>
          </w:p>
        </w:tc>
      </w:tr>
      <w:tr w14:paraId="0B69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5E5D404">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1.1.2</w:t>
            </w:r>
          </w:p>
        </w:tc>
        <w:tc>
          <w:tcPr>
            <w:tcW w:w="2206" w:type="dxa"/>
            <w:vAlign w:val="center"/>
          </w:tcPr>
          <w:p w14:paraId="33DC6975">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采购人</w:t>
            </w:r>
          </w:p>
        </w:tc>
        <w:tc>
          <w:tcPr>
            <w:tcW w:w="6224" w:type="dxa"/>
            <w:vAlign w:val="center"/>
          </w:tcPr>
          <w:p w14:paraId="4483C75C">
            <w:pPr>
              <w:pStyle w:val="16"/>
              <w:spacing w:line="50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中持(江苏)环境建设有限公司</w:t>
            </w:r>
          </w:p>
          <w:p w14:paraId="23EC28E6">
            <w:pPr>
              <w:pStyle w:val="16"/>
              <w:spacing w:line="500" w:lineRule="exac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地址：</w:t>
            </w:r>
            <w:r>
              <w:rPr>
                <w:rFonts w:hint="eastAsia" w:ascii="宋体" w:hAnsi="宋体" w:eastAsia="宋体" w:cs="宋体"/>
                <w:kern w:val="0"/>
                <w:sz w:val="24"/>
                <w:szCs w:val="24"/>
                <w:highlight w:val="none"/>
                <w:lang w:val="en-US" w:eastAsia="zh-CN" w:bidi="ar-SA"/>
              </w:rPr>
              <w:t>南京市江宁区汤山街道古泉路16号</w:t>
            </w:r>
          </w:p>
          <w:p w14:paraId="48FFBF70">
            <w:pPr>
              <w:widowControl/>
              <w:spacing w:line="440" w:lineRule="exac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联系人：李先生</w:t>
            </w:r>
          </w:p>
          <w:p w14:paraId="5A7D26B9">
            <w:pPr>
              <w:widowControl/>
              <w:spacing w:line="440" w:lineRule="exact"/>
              <w:rPr>
                <w:rFonts w:hint="default" w:asciiTheme="minorEastAsia" w:hAnsiTheme="minorEastAsia" w:eastAsiaTheme="minorEastAsia" w:cstheme="minorEastAsia"/>
                <w:sz w:val="24"/>
                <w:szCs w:val="24"/>
                <w:highlight w:val="none"/>
                <w:lang w:val="en-US" w:eastAsia="zh-CN"/>
              </w:rPr>
            </w:pPr>
            <w:r>
              <w:rPr>
                <w:rFonts w:hint="eastAsia" w:ascii="宋体" w:hAnsi="宋体" w:eastAsia="宋体" w:cs="宋体"/>
                <w:kern w:val="0"/>
                <w:sz w:val="24"/>
                <w:szCs w:val="24"/>
                <w:highlight w:val="none"/>
                <w:lang w:val="en-US" w:eastAsia="zh-CN" w:bidi="ar-SA"/>
              </w:rPr>
              <w:t>电</w:t>
            </w:r>
            <w:r>
              <w:rPr>
                <w:rFonts w:hint="eastAsia" w:ascii="宋体" w:hAnsi="宋体" w:cs="宋体"/>
                <w:kern w:val="0"/>
                <w:sz w:val="24"/>
                <w:szCs w:val="24"/>
                <w:highlight w:val="none"/>
                <w:lang w:val="en-US" w:eastAsia="zh-CN" w:bidi="ar-SA"/>
              </w:rPr>
              <w:t xml:space="preserve">  </w:t>
            </w:r>
            <w:r>
              <w:rPr>
                <w:rFonts w:hint="eastAsia" w:ascii="宋体" w:hAnsi="宋体" w:eastAsia="宋体" w:cs="宋体"/>
                <w:kern w:val="0"/>
                <w:sz w:val="24"/>
                <w:szCs w:val="24"/>
                <w:highlight w:val="none"/>
                <w:lang w:val="en-US" w:eastAsia="zh-CN" w:bidi="ar-SA"/>
              </w:rPr>
              <w:t>话：17734803370</w:t>
            </w:r>
          </w:p>
        </w:tc>
      </w:tr>
      <w:tr w14:paraId="285A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340A3B1">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1.1.3</w:t>
            </w:r>
          </w:p>
        </w:tc>
        <w:tc>
          <w:tcPr>
            <w:tcW w:w="2206" w:type="dxa"/>
            <w:vAlign w:val="center"/>
          </w:tcPr>
          <w:p w14:paraId="6CC6EAF1">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采购代理机构</w:t>
            </w:r>
          </w:p>
        </w:tc>
        <w:tc>
          <w:tcPr>
            <w:tcW w:w="6224" w:type="dxa"/>
            <w:vAlign w:val="center"/>
          </w:tcPr>
          <w:p w14:paraId="79FC9063">
            <w:pPr>
              <w:pStyle w:val="16"/>
              <w:spacing w:line="500" w:lineRule="exact"/>
              <w:rPr>
                <w:rFonts w:hint="eastAsia" w:asciiTheme="minorEastAsia" w:hAnsiTheme="minorEastAsia" w:eastAsiaTheme="minorEastAsia" w:cstheme="minorEastAsia"/>
                <w:sz w:val="24"/>
                <w:szCs w:val="24"/>
                <w:highlight w:val="none"/>
                <w:lang w:val="en-US" w:eastAsia="zh-CN"/>
              </w:rPr>
            </w:pPr>
            <w:r>
              <w:rPr>
                <w:rFonts w:asciiTheme="minorEastAsia" w:hAnsiTheme="minorEastAsia" w:eastAsiaTheme="minorEastAsia" w:cstheme="minorEastAsia"/>
                <w:sz w:val="24"/>
                <w:szCs w:val="24"/>
                <w:highlight w:val="none"/>
              </w:rPr>
              <w:t>采购代理机构：</w:t>
            </w:r>
            <w:r>
              <w:rPr>
                <w:rFonts w:hint="eastAsia" w:asciiTheme="minorEastAsia" w:hAnsiTheme="minorEastAsia" w:eastAsiaTheme="minorEastAsia" w:cstheme="minorEastAsia"/>
                <w:sz w:val="24"/>
                <w:szCs w:val="24"/>
                <w:highlight w:val="none"/>
                <w:lang w:val="en-US" w:eastAsia="zh-CN"/>
              </w:rPr>
              <w:t>河南金鸿项目管理有限公司</w:t>
            </w:r>
          </w:p>
          <w:p w14:paraId="50D72B5C">
            <w:pPr>
              <w:pStyle w:val="16"/>
              <w:spacing w:line="500" w:lineRule="exac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地址：</w:t>
            </w:r>
            <w:r>
              <w:rPr>
                <w:rFonts w:ascii="宋体" w:hAnsi="宋体" w:eastAsia="宋体" w:cs="宋体"/>
                <w:sz w:val="24"/>
                <w:szCs w:val="24"/>
                <w:highlight w:val="none"/>
              </w:rPr>
              <w:t>博爱县团结路中段</w:t>
            </w:r>
          </w:p>
          <w:p w14:paraId="1C8F7C0F">
            <w:pPr>
              <w:pStyle w:val="16"/>
              <w:spacing w:line="500" w:lineRule="exact"/>
              <w:rPr>
                <w:rFonts w:hint="default" w:asciiTheme="minorEastAsia" w:hAnsiTheme="minorEastAsia" w:eastAsiaTheme="minorEastAsia" w:cstheme="minorEastAsia"/>
                <w:bCs/>
                <w:iCs/>
                <w:sz w:val="24"/>
                <w:szCs w:val="24"/>
                <w:highlight w:val="none"/>
              </w:rPr>
            </w:pPr>
            <w:r>
              <w:rPr>
                <w:rFonts w:asciiTheme="minorEastAsia" w:hAnsiTheme="minorEastAsia" w:eastAsiaTheme="minorEastAsia" w:cstheme="minorEastAsia"/>
                <w:sz w:val="24"/>
                <w:szCs w:val="24"/>
                <w:highlight w:val="none"/>
              </w:rPr>
              <w:t>联</w:t>
            </w:r>
            <w:r>
              <w:rPr>
                <w:rFonts w:asciiTheme="minorEastAsia" w:hAnsiTheme="minorEastAsia" w:eastAsiaTheme="minorEastAsia" w:cstheme="minorEastAsia"/>
                <w:bCs/>
                <w:iCs/>
                <w:sz w:val="24"/>
                <w:szCs w:val="24"/>
                <w:highlight w:val="none"/>
              </w:rPr>
              <w:t>系人：</w:t>
            </w:r>
            <w:r>
              <w:rPr>
                <w:rFonts w:hint="eastAsia" w:asciiTheme="minorEastAsia" w:hAnsiTheme="minorEastAsia" w:eastAsiaTheme="minorEastAsia" w:cstheme="minorEastAsia"/>
                <w:bCs/>
                <w:iCs/>
                <w:sz w:val="24"/>
                <w:szCs w:val="24"/>
                <w:highlight w:val="none"/>
                <w:lang w:val="en-US" w:eastAsia="zh-CN"/>
              </w:rPr>
              <w:t>冯女士</w:t>
            </w:r>
            <w:r>
              <w:rPr>
                <w:rFonts w:asciiTheme="minorEastAsia" w:hAnsiTheme="minorEastAsia" w:eastAsiaTheme="minorEastAsia" w:cstheme="minorEastAsia"/>
                <w:bCs/>
                <w:iCs/>
                <w:sz w:val="24"/>
                <w:szCs w:val="24"/>
                <w:highlight w:val="none"/>
              </w:rPr>
              <w:t xml:space="preserve">  </w:t>
            </w:r>
          </w:p>
          <w:p w14:paraId="4AAC8843">
            <w:pPr>
              <w:widowControl/>
              <w:spacing w:line="440" w:lineRule="exact"/>
              <w:rPr>
                <w:rFonts w:hint="default" w:asciiTheme="minorEastAsia" w:hAnsiTheme="minorEastAsia" w:eastAsiaTheme="minorEastAsia" w:cstheme="minorEastAsia"/>
                <w:sz w:val="24"/>
                <w:szCs w:val="24"/>
                <w:highlight w:val="none"/>
                <w:lang w:val="en-US" w:eastAsia="zh-CN"/>
              </w:rPr>
            </w:pPr>
            <w:r>
              <w:rPr>
                <w:rFonts w:asciiTheme="minorEastAsia" w:hAnsiTheme="minorEastAsia" w:eastAsiaTheme="minorEastAsia" w:cstheme="minorEastAsia"/>
                <w:bCs/>
                <w:iCs/>
                <w:sz w:val="24"/>
                <w:szCs w:val="24"/>
                <w:highlight w:val="none"/>
              </w:rPr>
              <w:t>电话：</w:t>
            </w:r>
            <w:r>
              <w:rPr>
                <w:rFonts w:hint="eastAsia" w:ascii="宋体" w:hAnsi="宋体" w:cs="宋体"/>
                <w:kern w:val="0"/>
                <w:sz w:val="24"/>
                <w:highlight w:val="none"/>
                <w:lang w:val="en-US" w:eastAsia="zh-CN"/>
              </w:rPr>
              <w:t>17838022868</w:t>
            </w:r>
          </w:p>
        </w:tc>
      </w:tr>
      <w:tr w14:paraId="1379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7DFE4BA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1.1.4</w:t>
            </w:r>
          </w:p>
        </w:tc>
        <w:tc>
          <w:tcPr>
            <w:tcW w:w="2206" w:type="dxa"/>
            <w:vAlign w:val="center"/>
          </w:tcPr>
          <w:p w14:paraId="1CC2D2D0">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标段</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名称</w:t>
            </w:r>
          </w:p>
        </w:tc>
        <w:tc>
          <w:tcPr>
            <w:tcW w:w="6224" w:type="dxa"/>
            <w:vAlign w:val="center"/>
          </w:tcPr>
          <w:p w14:paraId="3B4F4E1C">
            <w:pPr>
              <w:adjustRightInd w:val="0"/>
              <w:snapToGrid w:val="0"/>
              <w:spacing w:line="500" w:lineRule="exac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Cs/>
                <w:iCs/>
                <w:sz w:val="24"/>
                <w:highlight w:val="none"/>
                <w:lang w:val="en-US" w:eastAsia="zh-CN"/>
              </w:rPr>
              <w:t>博爱县生活污水处理厂设备设施更新及配套管网改造提升工程</w:t>
            </w:r>
            <w:r>
              <w:rPr>
                <w:rFonts w:hint="eastAsia" w:asciiTheme="minorEastAsia" w:hAnsiTheme="minorEastAsia" w:eastAsiaTheme="minorEastAsia" w:cstheme="minorEastAsia"/>
                <w:bCs/>
                <w:iCs/>
                <w:sz w:val="24"/>
                <w:highlight w:val="none"/>
                <w:lang w:eastAsia="zh-CN"/>
              </w:rPr>
              <w:t>设备采购项目（</w:t>
            </w:r>
            <w:r>
              <w:rPr>
                <w:rFonts w:hint="eastAsia" w:asciiTheme="minorEastAsia" w:hAnsiTheme="minorEastAsia" w:eastAsiaTheme="minorEastAsia" w:cstheme="minorEastAsia"/>
                <w:bCs/>
                <w:iCs/>
                <w:sz w:val="24"/>
                <w:highlight w:val="none"/>
                <w:lang w:val="en-US" w:eastAsia="zh-CN"/>
              </w:rPr>
              <w:t>三标段</w:t>
            </w:r>
            <w:r>
              <w:rPr>
                <w:rFonts w:hint="eastAsia" w:asciiTheme="minorEastAsia" w:hAnsiTheme="minorEastAsia" w:eastAsiaTheme="minorEastAsia" w:cstheme="minorEastAsia"/>
                <w:bCs/>
                <w:iCs/>
                <w:sz w:val="24"/>
                <w:highlight w:val="none"/>
                <w:lang w:eastAsia="zh-CN"/>
              </w:rPr>
              <w:t>）</w:t>
            </w:r>
          </w:p>
        </w:tc>
      </w:tr>
      <w:tr w14:paraId="2F28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61070512">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1.1.5</w:t>
            </w:r>
          </w:p>
        </w:tc>
        <w:tc>
          <w:tcPr>
            <w:tcW w:w="2206" w:type="dxa"/>
            <w:vAlign w:val="center"/>
          </w:tcPr>
          <w:p w14:paraId="77B152AB">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Cs/>
                <w:iCs/>
                <w:sz w:val="24"/>
                <w:highlight w:val="none"/>
              </w:rPr>
              <w:t>项目地点</w:t>
            </w:r>
          </w:p>
        </w:tc>
        <w:tc>
          <w:tcPr>
            <w:tcW w:w="6224" w:type="dxa"/>
            <w:vAlign w:val="center"/>
          </w:tcPr>
          <w:p w14:paraId="0BFDF709">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采购人指定地点</w:t>
            </w:r>
          </w:p>
        </w:tc>
      </w:tr>
      <w:tr w14:paraId="1BD5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DC916A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1.2.1</w:t>
            </w:r>
          </w:p>
        </w:tc>
        <w:tc>
          <w:tcPr>
            <w:tcW w:w="2206" w:type="dxa"/>
            <w:vAlign w:val="center"/>
          </w:tcPr>
          <w:p w14:paraId="1FEF35A2">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资金来源</w:t>
            </w:r>
          </w:p>
        </w:tc>
        <w:tc>
          <w:tcPr>
            <w:tcW w:w="6224" w:type="dxa"/>
            <w:vAlign w:val="center"/>
          </w:tcPr>
          <w:p w14:paraId="7C7E8E01">
            <w:pPr>
              <w:pStyle w:val="16"/>
              <w:spacing w:line="500" w:lineRule="exac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国债资金及地方财政资金    </w:t>
            </w:r>
          </w:p>
        </w:tc>
      </w:tr>
      <w:tr w14:paraId="216C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3D8C7F4">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1.2.2</w:t>
            </w:r>
          </w:p>
        </w:tc>
        <w:tc>
          <w:tcPr>
            <w:tcW w:w="2206" w:type="dxa"/>
            <w:vAlign w:val="center"/>
          </w:tcPr>
          <w:p w14:paraId="31F6F554">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bCs/>
                <w:iCs/>
                <w:sz w:val="24"/>
                <w:szCs w:val="24"/>
                <w:highlight w:val="none"/>
              </w:rPr>
              <w:t>资金落实情况</w:t>
            </w:r>
          </w:p>
        </w:tc>
        <w:tc>
          <w:tcPr>
            <w:tcW w:w="6224" w:type="dxa"/>
            <w:vAlign w:val="center"/>
          </w:tcPr>
          <w:p w14:paraId="722F4EC9">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已落实</w:t>
            </w:r>
          </w:p>
        </w:tc>
      </w:tr>
      <w:tr w14:paraId="3A20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5F3A698F">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1.3.1</w:t>
            </w:r>
          </w:p>
        </w:tc>
        <w:tc>
          <w:tcPr>
            <w:tcW w:w="2206" w:type="dxa"/>
            <w:shd w:val="clear" w:color="auto" w:fill="auto"/>
            <w:vAlign w:val="center"/>
          </w:tcPr>
          <w:p w14:paraId="0326B2DE">
            <w:pPr>
              <w:pStyle w:val="16"/>
              <w:spacing w:line="500" w:lineRule="exact"/>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Cs/>
                <w:iCs/>
                <w:color w:val="auto"/>
                <w:sz w:val="24"/>
                <w:szCs w:val="24"/>
                <w:highlight w:val="none"/>
              </w:rPr>
              <w:t>采购内容</w:t>
            </w:r>
          </w:p>
        </w:tc>
        <w:tc>
          <w:tcPr>
            <w:tcW w:w="6224" w:type="dxa"/>
            <w:shd w:val="clear" w:color="auto" w:fill="auto"/>
          </w:tcPr>
          <w:p w14:paraId="6672534B">
            <w:pPr>
              <w:pStyle w:val="43"/>
              <w:spacing w:line="500" w:lineRule="exact"/>
              <w:ind w:left="0" w:firstLine="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除臭、活性炭投加及智能站适配改造</w:t>
            </w:r>
            <w:r>
              <w:rPr>
                <w:rFonts w:asciiTheme="minorEastAsia" w:hAnsiTheme="minorEastAsia" w:eastAsiaTheme="minorEastAsia" w:cstheme="minorEastAsia"/>
                <w:color w:val="auto"/>
                <w:sz w:val="24"/>
                <w:szCs w:val="24"/>
                <w:highlight w:val="none"/>
                <w:lang w:eastAsia="zh-CN"/>
              </w:rPr>
              <w:t>（详见第五章采购内容及技术要求）</w:t>
            </w:r>
          </w:p>
        </w:tc>
      </w:tr>
      <w:tr w14:paraId="136A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63C4351">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1.3.2</w:t>
            </w:r>
          </w:p>
        </w:tc>
        <w:tc>
          <w:tcPr>
            <w:tcW w:w="2206" w:type="dxa"/>
            <w:vAlign w:val="center"/>
          </w:tcPr>
          <w:p w14:paraId="6C486D0D">
            <w:pPr>
              <w:pStyle w:val="16"/>
              <w:spacing w:line="500" w:lineRule="exact"/>
              <w:jc w:val="center"/>
              <w:rPr>
                <w:rFonts w:hint="default"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合同履行期限</w:t>
            </w:r>
          </w:p>
          <w:p w14:paraId="6B6A5AB6">
            <w:pPr>
              <w:pStyle w:val="16"/>
              <w:spacing w:line="500" w:lineRule="exact"/>
              <w:jc w:val="center"/>
              <w:rPr>
                <w:rFonts w:hint="default"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（供货安装期）</w:t>
            </w:r>
          </w:p>
        </w:tc>
        <w:tc>
          <w:tcPr>
            <w:tcW w:w="6224" w:type="dxa"/>
            <w:vAlign w:val="center"/>
          </w:tcPr>
          <w:p w14:paraId="65FF2823">
            <w:pPr>
              <w:adjustRightInd w:val="0"/>
              <w:snapToGrid w:val="0"/>
              <w:spacing w:line="500" w:lineRule="exact"/>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合同签订后</w:t>
            </w:r>
            <w:r>
              <w:rPr>
                <w:rFonts w:hint="eastAsia" w:ascii="宋体" w:hAnsi="宋体" w:cs="宋体"/>
                <w:snapToGrid w:val="0"/>
                <w:color w:val="000000"/>
                <w:spacing w:val="-3"/>
                <w:kern w:val="0"/>
                <w:sz w:val="24"/>
                <w:szCs w:val="24"/>
                <w:highlight w:val="none"/>
                <w:lang w:val="en-US" w:eastAsia="zh-CN" w:bidi="ar-SA"/>
              </w:rPr>
              <w:t>30</w:t>
            </w:r>
            <w:r>
              <w:rPr>
                <w:rFonts w:hint="eastAsia" w:ascii="宋体" w:hAnsi="宋体" w:eastAsia="宋体" w:cs="宋体"/>
                <w:snapToGrid w:val="0"/>
                <w:color w:val="000000"/>
                <w:spacing w:val="-3"/>
                <w:kern w:val="0"/>
                <w:sz w:val="24"/>
                <w:szCs w:val="24"/>
                <w:highlight w:val="none"/>
                <w:lang w:val="en-US" w:eastAsia="zh-CN" w:bidi="ar-SA"/>
              </w:rPr>
              <w:t>日历天</w:t>
            </w:r>
          </w:p>
        </w:tc>
      </w:tr>
      <w:tr w14:paraId="6F48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0D021BB">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1.3.3</w:t>
            </w:r>
          </w:p>
        </w:tc>
        <w:tc>
          <w:tcPr>
            <w:tcW w:w="2206" w:type="dxa"/>
            <w:vAlign w:val="center"/>
          </w:tcPr>
          <w:p w14:paraId="7A06023E">
            <w:pPr>
              <w:pStyle w:val="16"/>
              <w:spacing w:line="500" w:lineRule="exact"/>
              <w:jc w:val="center"/>
              <w:rPr>
                <w:rFonts w:hint="default" w:hAnsi="宋体" w:cs="宋体"/>
                <w:kern w:val="0"/>
                <w:sz w:val="24"/>
                <w:szCs w:val="24"/>
                <w:highlight w:val="none"/>
              </w:rPr>
            </w:pPr>
            <w:r>
              <w:rPr>
                <w:rFonts w:hint="default" w:hAnsi="宋体" w:cs="宋体"/>
                <w:kern w:val="0"/>
                <w:sz w:val="24"/>
                <w:szCs w:val="24"/>
                <w:highlight w:val="none"/>
              </w:rPr>
              <w:t>质量标准</w:t>
            </w:r>
          </w:p>
        </w:tc>
        <w:tc>
          <w:tcPr>
            <w:tcW w:w="6224" w:type="dxa"/>
            <w:vAlign w:val="center"/>
          </w:tcPr>
          <w:p w14:paraId="66111B1C">
            <w:pPr>
              <w:spacing w:line="500" w:lineRule="exact"/>
              <w:rPr>
                <w:rFonts w:ascii="宋体" w:hAnsi="宋体" w:cs="宋体"/>
                <w:kern w:val="0"/>
                <w:sz w:val="24"/>
                <w:highlight w:val="none"/>
              </w:rPr>
            </w:pPr>
            <w:r>
              <w:rPr>
                <w:rFonts w:ascii="宋体" w:hAnsi="宋体" w:cs="宋体"/>
                <w:kern w:val="0"/>
                <w:sz w:val="24"/>
                <w:highlight w:val="none"/>
              </w:rPr>
              <w:t>合格，符合国家</w:t>
            </w:r>
            <w:r>
              <w:rPr>
                <w:rFonts w:hint="eastAsia" w:ascii="宋体" w:hAnsi="宋体" w:cs="宋体"/>
                <w:kern w:val="0"/>
                <w:sz w:val="24"/>
                <w:highlight w:val="none"/>
              </w:rPr>
              <w:t>及</w:t>
            </w:r>
            <w:r>
              <w:rPr>
                <w:rFonts w:ascii="宋体" w:hAnsi="宋体" w:cs="宋体"/>
                <w:kern w:val="0"/>
                <w:sz w:val="24"/>
                <w:highlight w:val="none"/>
              </w:rPr>
              <w:t>行业规范标准。</w:t>
            </w:r>
          </w:p>
        </w:tc>
      </w:tr>
      <w:tr w14:paraId="1141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BBF5A8B">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1.3.4</w:t>
            </w:r>
          </w:p>
        </w:tc>
        <w:tc>
          <w:tcPr>
            <w:tcW w:w="2206" w:type="dxa"/>
            <w:vAlign w:val="center"/>
          </w:tcPr>
          <w:p w14:paraId="43EA0975">
            <w:pPr>
              <w:pStyle w:val="16"/>
              <w:spacing w:line="500" w:lineRule="exact"/>
              <w:jc w:val="center"/>
              <w:rPr>
                <w:rFonts w:hint="default" w:hAnsi="宋体" w:cs="宋体"/>
                <w:b w:val="0"/>
                <w:bCs w:val="0"/>
                <w:color w:val="auto"/>
                <w:kern w:val="0"/>
                <w:sz w:val="24"/>
                <w:szCs w:val="24"/>
                <w:highlight w:val="none"/>
              </w:rPr>
            </w:pPr>
            <w:r>
              <w:rPr>
                <w:rFonts w:hAnsi="宋体" w:cs="宋体"/>
                <w:b w:val="0"/>
                <w:bCs w:val="0"/>
                <w:color w:val="auto"/>
                <w:kern w:val="0"/>
                <w:sz w:val="24"/>
                <w:szCs w:val="24"/>
                <w:highlight w:val="none"/>
              </w:rPr>
              <w:t>质保期</w:t>
            </w:r>
          </w:p>
        </w:tc>
        <w:tc>
          <w:tcPr>
            <w:tcW w:w="6224" w:type="dxa"/>
            <w:vAlign w:val="center"/>
          </w:tcPr>
          <w:p w14:paraId="63E2065E">
            <w:pPr>
              <w:spacing w:line="500" w:lineRule="exact"/>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自本项目竣工验收之日起24个月</w:t>
            </w:r>
          </w:p>
        </w:tc>
      </w:tr>
      <w:tr w14:paraId="0587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26E3F45C">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1.4.1</w:t>
            </w:r>
          </w:p>
        </w:tc>
        <w:tc>
          <w:tcPr>
            <w:tcW w:w="2206" w:type="dxa"/>
            <w:vAlign w:val="center"/>
          </w:tcPr>
          <w:p w14:paraId="41008E62">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供应商资质条件</w:t>
            </w:r>
          </w:p>
        </w:tc>
        <w:tc>
          <w:tcPr>
            <w:tcW w:w="6224" w:type="dxa"/>
            <w:vAlign w:val="center"/>
          </w:tcPr>
          <w:p w14:paraId="4D557C9E">
            <w:pPr>
              <w:widowControl/>
              <w:spacing w:line="440" w:lineRule="exact"/>
              <w:jc w:val="left"/>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1.符合《中华人民共和国政府采购法》第二十二条之规定；</w:t>
            </w:r>
          </w:p>
          <w:p w14:paraId="68EC6284">
            <w:pPr>
              <w:widowControl/>
              <w:spacing w:line="440" w:lineRule="exact"/>
              <w:jc w:val="left"/>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2.落实政府采购政策需满足的资格要求：促进中小企业和监狱企业发展扶持政策、政府强制采购节能产品、节能产品及环境标志产品优先采购；</w:t>
            </w:r>
            <w:r>
              <w:rPr>
                <w:rFonts w:hint="eastAsia" w:ascii="宋体" w:hAnsi="宋体" w:eastAsia="宋体" w:cs="宋体"/>
                <w:sz w:val="24"/>
                <w:highlight w:val="none"/>
                <w:shd w:val="clear" w:color="auto" w:fill="FFFFFF"/>
                <w:lang w:val="en-US" w:eastAsia="zh-CN"/>
              </w:rPr>
              <w:br w:type="page"/>
            </w:r>
          </w:p>
          <w:p w14:paraId="282ACB77">
            <w:pPr>
              <w:widowControl/>
              <w:spacing w:line="440" w:lineRule="exact"/>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3.本项目的特定资格要求：</w:t>
            </w:r>
          </w:p>
          <w:p w14:paraId="7BB1FF80">
            <w:pPr>
              <w:widowControl/>
              <w:spacing w:line="440" w:lineRule="exact"/>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3.1 供应商须具有有效的营业执照，并具有实施完成本项目的经营实力和完善的售后服务体系；</w:t>
            </w:r>
          </w:p>
          <w:p w14:paraId="6ADA8A11">
            <w:pPr>
              <w:widowControl/>
              <w:spacing w:line="440" w:lineRule="exact"/>
              <w:rPr>
                <w:rFonts w:ascii="宋体" w:hAnsi="宋体" w:cs="宋体"/>
                <w:sz w:val="24"/>
                <w:highlight w:val="none"/>
                <w:shd w:val="clear" w:color="auto" w:fill="FFFFFF"/>
              </w:rPr>
            </w:pPr>
            <w:r>
              <w:rPr>
                <w:rFonts w:hint="eastAsia" w:ascii="宋体" w:hAnsi="宋体" w:cs="宋体"/>
                <w:sz w:val="24"/>
                <w:highlight w:val="none"/>
                <w:shd w:val="clear" w:color="auto" w:fill="FFFFFF"/>
              </w:rPr>
              <w:t>3.2 信誉要求：</w:t>
            </w:r>
            <w:r>
              <w:rPr>
                <w:rFonts w:hint="eastAsia" w:ascii="宋体" w:hAnsi="宋体" w:cs="宋体"/>
                <w:sz w:val="24"/>
                <w:highlight w:val="none"/>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sz w:val="24"/>
                <w:highlight w:val="none"/>
                <w:shd w:val="clear" w:color="auto" w:fill="FFFFFF"/>
              </w:rPr>
              <w:t> </w:t>
            </w:r>
          </w:p>
          <w:p w14:paraId="08CFB119">
            <w:pPr>
              <w:widowControl/>
              <w:spacing w:line="440" w:lineRule="exact"/>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3.3 本项目不接受联合体投标；</w:t>
            </w:r>
          </w:p>
          <w:p w14:paraId="3154DA1C">
            <w:pPr>
              <w:widowControl/>
              <w:spacing w:line="500" w:lineRule="exact"/>
              <w:jc w:val="left"/>
              <w:rPr>
                <w:rFonts w:asciiTheme="minorEastAsia" w:hAnsiTheme="minorEastAsia" w:eastAsiaTheme="minorEastAsia" w:cstheme="minorEastAsia"/>
                <w:sz w:val="24"/>
                <w:highlight w:val="none"/>
              </w:rPr>
            </w:pPr>
            <w:r>
              <w:rPr>
                <w:rFonts w:hint="eastAsia" w:ascii="宋体" w:hAnsi="宋体" w:cs="宋体"/>
                <w:sz w:val="24"/>
                <w:highlight w:val="none"/>
                <w:shd w:val="clear" w:color="auto" w:fill="FFFFFF"/>
              </w:rPr>
              <w:t>3.4 资格审查方式：资格后审。</w:t>
            </w:r>
          </w:p>
        </w:tc>
      </w:tr>
      <w:tr w14:paraId="28C3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0B767F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1.4.2</w:t>
            </w:r>
          </w:p>
        </w:tc>
        <w:tc>
          <w:tcPr>
            <w:tcW w:w="2206" w:type="dxa"/>
            <w:vAlign w:val="center"/>
          </w:tcPr>
          <w:p w14:paraId="4EEE3210">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是否接受联合体</w:t>
            </w:r>
          </w:p>
        </w:tc>
        <w:tc>
          <w:tcPr>
            <w:tcW w:w="6224" w:type="dxa"/>
            <w:vAlign w:val="center"/>
          </w:tcPr>
          <w:p w14:paraId="65749A65">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不接受</w:t>
            </w:r>
          </w:p>
        </w:tc>
      </w:tr>
      <w:tr w14:paraId="5518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14:paraId="203BE5C6">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1.10.1</w:t>
            </w:r>
          </w:p>
        </w:tc>
        <w:tc>
          <w:tcPr>
            <w:tcW w:w="2206" w:type="dxa"/>
            <w:vAlign w:val="center"/>
          </w:tcPr>
          <w:p w14:paraId="65754A9B">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投标预备会</w:t>
            </w:r>
          </w:p>
        </w:tc>
        <w:tc>
          <w:tcPr>
            <w:tcW w:w="6224" w:type="dxa"/>
            <w:vAlign w:val="center"/>
          </w:tcPr>
          <w:p w14:paraId="538ED4D0">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不召开</w:t>
            </w:r>
          </w:p>
        </w:tc>
      </w:tr>
      <w:tr w14:paraId="1CB9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D5721E1">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1.10.2</w:t>
            </w:r>
          </w:p>
        </w:tc>
        <w:tc>
          <w:tcPr>
            <w:tcW w:w="2206" w:type="dxa"/>
            <w:vAlign w:val="center"/>
          </w:tcPr>
          <w:p w14:paraId="3F56C158">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供应商提出问题的</w:t>
            </w:r>
          </w:p>
          <w:p w14:paraId="691A7517">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截止时间</w:t>
            </w:r>
          </w:p>
        </w:tc>
        <w:tc>
          <w:tcPr>
            <w:tcW w:w="6224" w:type="dxa"/>
            <w:vAlign w:val="center"/>
          </w:tcPr>
          <w:p w14:paraId="6E095B62">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若有疑问，应当在获取招标文件或者招标文件公告期限届满之日起七个工作日内，以书面形式向采购人、代理机构提出质疑。</w:t>
            </w:r>
          </w:p>
        </w:tc>
      </w:tr>
      <w:tr w14:paraId="718B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0428964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1.10.3</w:t>
            </w:r>
          </w:p>
        </w:tc>
        <w:tc>
          <w:tcPr>
            <w:tcW w:w="2206" w:type="dxa"/>
            <w:vAlign w:val="center"/>
          </w:tcPr>
          <w:p w14:paraId="35D196A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采购人说明澄清的时间</w:t>
            </w:r>
          </w:p>
        </w:tc>
        <w:tc>
          <w:tcPr>
            <w:tcW w:w="6224" w:type="dxa"/>
            <w:vAlign w:val="center"/>
          </w:tcPr>
          <w:p w14:paraId="7A93C042">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招标文件规定的投标截止时间15天前</w:t>
            </w:r>
          </w:p>
        </w:tc>
      </w:tr>
      <w:tr w14:paraId="1D8B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14:paraId="1669E484">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1.11</w:t>
            </w:r>
          </w:p>
        </w:tc>
        <w:tc>
          <w:tcPr>
            <w:tcW w:w="2206" w:type="dxa"/>
            <w:vAlign w:val="center"/>
          </w:tcPr>
          <w:p w14:paraId="023BEC9F">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分包</w:t>
            </w:r>
          </w:p>
        </w:tc>
        <w:tc>
          <w:tcPr>
            <w:tcW w:w="6224" w:type="dxa"/>
            <w:vAlign w:val="center"/>
          </w:tcPr>
          <w:p w14:paraId="2F641686">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不允许</w:t>
            </w:r>
          </w:p>
        </w:tc>
      </w:tr>
      <w:tr w14:paraId="3261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9403BF6">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2.2.1</w:t>
            </w:r>
          </w:p>
        </w:tc>
        <w:tc>
          <w:tcPr>
            <w:tcW w:w="2206" w:type="dxa"/>
            <w:vAlign w:val="center"/>
          </w:tcPr>
          <w:p w14:paraId="1AC176CB">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供应商要求澄清招标文件的截止时间</w:t>
            </w:r>
          </w:p>
        </w:tc>
        <w:tc>
          <w:tcPr>
            <w:tcW w:w="6224" w:type="dxa"/>
            <w:vAlign w:val="center"/>
          </w:tcPr>
          <w:p w14:paraId="1E484B52">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若有疑问，应当在获取招标文件或者招标文件公告期限届满之日起七个工作日内，以书面形式向采购人、代理机构提出质疑。</w:t>
            </w:r>
          </w:p>
        </w:tc>
      </w:tr>
      <w:tr w14:paraId="2E26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14:paraId="630C2995">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2.2.2</w:t>
            </w:r>
          </w:p>
        </w:tc>
        <w:tc>
          <w:tcPr>
            <w:tcW w:w="2206" w:type="dxa"/>
            <w:vAlign w:val="center"/>
          </w:tcPr>
          <w:p w14:paraId="2FD7CFA6">
            <w:pPr>
              <w:pStyle w:val="16"/>
              <w:spacing w:line="500" w:lineRule="exact"/>
              <w:jc w:val="center"/>
              <w:rPr>
                <w:rFonts w:hint="default" w:asciiTheme="minorEastAsia" w:hAnsiTheme="minorEastAsia" w:eastAsiaTheme="minorEastAsia" w:cstheme="minorEastAsia"/>
                <w:b/>
                <w:bCs/>
                <w:sz w:val="24"/>
                <w:szCs w:val="24"/>
                <w:highlight w:val="none"/>
              </w:rPr>
            </w:pPr>
            <w:r>
              <w:rPr>
                <w:rFonts w:asciiTheme="minorEastAsia" w:hAnsiTheme="minorEastAsia" w:eastAsiaTheme="minorEastAsia" w:cstheme="minorEastAsia"/>
                <w:sz w:val="24"/>
                <w:szCs w:val="24"/>
                <w:highlight w:val="none"/>
              </w:rPr>
              <w:t>投标截止时间</w:t>
            </w:r>
          </w:p>
        </w:tc>
        <w:tc>
          <w:tcPr>
            <w:tcW w:w="6224" w:type="dxa"/>
            <w:vAlign w:val="center"/>
          </w:tcPr>
          <w:p w14:paraId="1DC9A1DD">
            <w:pPr>
              <w:spacing w:line="500" w:lineRule="exact"/>
              <w:jc w:val="left"/>
              <w:rPr>
                <w:rFonts w:asciiTheme="minorEastAsia" w:hAnsiTheme="minorEastAsia" w:eastAsiaTheme="minorEastAsia" w:cstheme="minorEastAsia"/>
                <w:b/>
                <w:bCs/>
                <w:sz w:val="24"/>
                <w:highlight w:val="none"/>
              </w:rPr>
            </w:pPr>
            <w:r>
              <w:rPr>
                <w:rFonts w:hint="eastAsia" w:ascii="宋体" w:hAnsi="宋体" w:cs="宋体"/>
                <w:b/>
                <w:bCs/>
                <w:kern w:val="0"/>
                <w:sz w:val="24"/>
                <w:highlight w:val="none"/>
              </w:rPr>
              <w:t>202</w:t>
            </w:r>
            <w:r>
              <w:rPr>
                <w:rFonts w:hint="eastAsia" w:ascii="宋体" w:hAnsi="宋体" w:cs="宋体"/>
                <w:b/>
                <w:bCs/>
                <w:kern w:val="0"/>
                <w:sz w:val="24"/>
                <w:highlight w:val="none"/>
                <w:lang w:val="en-US" w:eastAsia="zh-CN"/>
              </w:rPr>
              <w:t>5</w:t>
            </w:r>
            <w:r>
              <w:rPr>
                <w:rFonts w:hint="eastAsia" w:ascii="宋体" w:hAnsi="宋体" w:cs="宋体"/>
                <w:b/>
                <w:bCs/>
                <w:kern w:val="0"/>
                <w:sz w:val="24"/>
                <w:highlight w:val="none"/>
              </w:rPr>
              <w:t>年</w:t>
            </w:r>
            <w:r>
              <w:rPr>
                <w:rFonts w:hint="eastAsia" w:ascii="宋体" w:hAnsi="宋体" w:cs="宋体"/>
                <w:b/>
                <w:bCs/>
                <w:kern w:val="0"/>
                <w:sz w:val="24"/>
                <w:highlight w:val="none"/>
                <w:lang w:val="en-US" w:eastAsia="zh-CN"/>
              </w:rPr>
              <w:t>10</w:t>
            </w:r>
            <w:r>
              <w:rPr>
                <w:rFonts w:hint="eastAsia" w:ascii="宋体" w:hAnsi="宋体" w:cs="宋体"/>
                <w:b/>
                <w:bCs/>
                <w:kern w:val="0"/>
                <w:sz w:val="24"/>
                <w:highlight w:val="none"/>
              </w:rPr>
              <w:t>月</w:t>
            </w:r>
            <w:r>
              <w:rPr>
                <w:rFonts w:hint="eastAsia" w:ascii="宋体" w:hAnsi="宋体" w:cs="宋体"/>
                <w:b/>
                <w:bCs/>
                <w:kern w:val="0"/>
                <w:sz w:val="24"/>
                <w:highlight w:val="none"/>
                <w:lang w:val="en-US" w:eastAsia="zh-CN"/>
              </w:rPr>
              <w:t>14</w:t>
            </w:r>
            <w:r>
              <w:rPr>
                <w:rFonts w:hint="eastAsia" w:ascii="宋体" w:hAnsi="宋体" w:cs="宋体"/>
                <w:b/>
                <w:bCs/>
                <w:kern w:val="0"/>
                <w:sz w:val="24"/>
                <w:highlight w:val="none"/>
              </w:rPr>
              <w:t>日上午</w:t>
            </w:r>
            <w:r>
              <w:rPr>
                <w:rFonts w:hint="eastAsia" w:ascii="宋体" w:hAnsi="宋体" w:cs="宋体"/>
                <w:b/>
                <w:bCs/>
                <w:kern w:val="0"/>
                <w:sz w:val="24"/>
                <w:highlight w:val="none"/>
                <w:lang w:val="en-US" w:eastAsia="zh-CN"/>
              </w:rPr>
              <w:t>09</w:t>
            </w:r>
            <w:r>
              <w:rPr>
                <w:rFonts w:hint="eastAsia" w:ascii="宋体" w:hAnsi="宋体" w:cs="宋体"/>
                <w:b/>
                <w:bCs/>
                <w:kern w:val="0"/>
                <w:sz w:val="24"/>
                <w:highlight w:val="none"/>
              </w:rPr>
              <w:t>点</w:t>
            </w:r>
            <w:r>
              <w:rPr>
                <w:rFonts w:hint="eastAsia" w:ascii="宋体" w:hAnsi="宋体" w:cs="宋体"/>
                <w:b/>
                <w:bCs/>
                <w:kern w:val="0"/>
                <w:sz w:val="24"/>
                <w:highlight w:val="none"/>
                <w:lang w:val="en-US" w:eastAsia="zh-CN"/>
              </w:rPr>
              <w:t>00</w:t>
            </w:r>
            <w:r>
              <w:rPr>
                <w:rFonts w:hint="eastAsia" w:ascii="宋体" w:hAnsi="宋体" w:cs="宋体"/>
                <w:b/>
                <w:bCs/>
                <w:kern w:val="0"/>
                <w:sz w:val="24"/>
                <w:highlight w:val="none"/>
              </w:rPr>
              <w:t>分（北京时间）</w:t>
            </w:r>
          </w:p>
        </w:tc>
      </w:tr>
      <w:tr w14:paraId="52F7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DBA574F">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3.1.1</w:t>
            </w:r>
          </w:p>
        </w:tc>
        <w:tc>
          <w:tcPr>
            <w:tcW w:w="2206" w:type="dxa"/>
            <w:vAlign w:val="center"/>
          </w:tcPr>
          <w:p w14:paraId="1EDDB8D5">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构成投标文件的</w:t>
            </w:r>
          </w:p>
          <w:p w14:paraId="6196BA56">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其他材料</w:t>
            </w:r>
          </w:p>
        </w:tc>
        <w:tc>
          <w:tcPr>
            <w:tcW w:w="6224" w:type="dxa"/>
            <w:vAlign w:val="center"/>
          </w:tcPr>
          <w:p w14:paraId="04B6E02B">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招标文件中要求的其他资料。 </w:t>
            </w:r>
          </w:p>
        </w:tc>
      </w:tr>
      <w:tr w14:paraId="1A58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14:paraId="5A3BC5B0">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3.3.1</w:t>
            </w:r>
          </w:p>
        </w:tc>
        <w:tc>
          <w:tcPr>
            <w:tcW w:w="2206" w:type="dxa"/>
            <w:vAlign w:val="center"/>
          </w:tcPr>
          <w:p w14:paraId="6AEDE289">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投标有效期</w:t>
            </w:r>
          </w:p>
        </w:tc>
        <w:tc>
          <w:tcPr>
            <w:tcW w:w="6224" w:type="dxa"/>
            <w:vAlign w:val="center"/>
          </w:tcPr>
          <w:p w14:paraId="5A470371">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60日历天（从投标截止之日算起）</w:t>
            </w:r>
          </w:p>
        </w:tc>
      </w:tr>
      <w:tr w14:paraId="42F7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9376FEB">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3.6</w:t>
            </w:r>
          </w:p>
        </w:tc>
        <w:tc>
          <w:tcPr>
            <w:tcW w:w="2206" w:type="dxa"/>
            <w:vAlign w:val="center"/>
          </w:tcPr>
          <w:p w14:paraId="49768A26">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是否允许递交备选</w:t>
            </w:r>
          </w:p>
          <w:p w14:paraId="7D420A95">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投标方案</w:t>
            </w:r>
          </w:p>
        </w:tc>
        <w:tc>
          <w:tcPr>
            <w:tcW w:w="6224" w:type="dxa"/>
            <w:vAlign w:val="center"/>
          </w:tcPr>
          <w:p w14:paraId="7FB64733">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不允许</w:t>
            </w:r>
          </w:p>
        </w:tc>
      </w:tr>
      <w:tr w14:paraId="28B7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14:paraId="2446DA24">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3.7.3</w:t>
            </w:r>
          </w:p>
        </w:tc>
        <w:tc>
          <w:tcPr>
            <w:tcW w:w="2206" w:type="dxa"/>
            <w:shd w:val="clear" w:color="auto" w:fill="auto"/>
            <w:vAlign w:val="center"/>
          </w:tcPr>
          <w:p w14:paraId="0A1AC9B3">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签字盖章要求</w:t>
            </w:r>
          </w:p>
        </w:tc>
        <w:tc>
          <w:tcPr>
            <w:tcW w:w="6224" w:type="dxa"/>
            <w:shd w:val="clear" w:color="auto" w:fill="auto"/>
            <w:vAlign w:val="center"/>
          </w:tcPr>
          <w:p w14:paraId="7CED476C">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1、所有要求供应商加盖公章的地方都须加盖供应商单位的 CA 印章。</w:t>
            </w:r>
          </w:p>
          <w:p w14:paraId="7B26564F">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2、要求法定代表人签字或盖章的，法定代表人在签字或盖章的地方上传手写签名的扫描件或加盖法定代表人CA印章。</w:t>
            </w:r>
          </w:p>
          <w:p w14:paraId="7D83E631">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3、要求委托代理人签字或盖章的，委托代理人在签字或盖章的地方上传手写签名的扫描件或加盖委托代理人CA印章。</w:t>
            </w:r>
          </w:p>
        </w:tc>
      </w:tr>
      <w:tr w14:paraId="2BB3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14:paraId="29989268">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3.7.4</w:t>
            </w:r>
          </w:p>
        </w:tc>
        <w:tc>
          <w:tcPr>
            <w:tcW w:w="2206" w:type="dxa"/>
            <w:vAlign w:val="center"/>
          </w:tcPr>
          <w:p w14:paraId="73C29EB8">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投标文件份数</w:t>
            </w:r>
          </w:p>
        </w:tc>
        <w:tc>
          <w:tcPr>
            <w:tcW w:w="6224" w:type="dxa"/>
            <w:vAlign w:val="center"/>
          </w:tcPr>
          <w:p w14:paraId="3055993E">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加密的电子投标文件壹份（.jztf 格式在会员系统指定位置上传）；自备非加密的电子投标文件一份，如有紧急情况，在不见面开标系统按要求上传。</w:t>
            </w:r>
          </w:p>
        </w:tc>
      </w:tr>
      <w:tr w14:paraId="61CA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14:paraId="5C3AB1DF">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4.2.2</w:t>
            </w:r>
          </w:p>
        </w:tc>
        <w:tc>
          <w:tcPr>
            <w:tcW w:w="2206" w:type="dxa"/>
            <w:vAlign w:val="center"/>
          </w:tcPr>
          <w:p w14:paraId="17D786E5">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递交投标文件方式和地点</w:t>
            </w:r>
          </w:p>
        </w:tc>
        <w:tc>
          <w:tcPr>
            <w:tcW w:w="6224" w:type="dxa"/>
            <w:vAlign w:val="center"/>
          </w:tcPr>
          <w:p w14:paraId="61CD3BAD">
            <w:pPr>
              <w:pStyle w:val="16"/>
              <w:spacing w:line="500" w:lineRule="exact"/>
              <w:rPr>
                <w:rFonts w:hint="default" w:hAnsi="宋体"/>
                <w:sz w:val="24"/>
                <w:szCs w:val="24"/>
                <w:highlight w:val="none"/>
              </w:rPr>
            </w:pPr>
            <w:r>
              <w:rPr>
                <w:rFonts w:hAnsi="宋体"/>
                <w:sz w:val="24"/>
                <w:szCs w:val="24"/>
                <w:highlight w:val="none"/>
              </w:rPr>
              <w:t>本项目采用“远程不见面”开标方式，远程开标大厅网址为</w:t>
            </w:r>
            <w:r>
              <w:rPr>
                <w:rFonts w:hint="eastAsia" w:ascii="宋体" w:hAnsi="宋体" w:eastAsia="宋体" w:cs="宋体"/>
                <w:bCs/>
                <w:color w:val="000000" w:themeColor="text1"/>
                <w:kern w:val="0"/>
                <w:sz w:val="24"/>
                <w:highlight w:val="none"/>
                <w14:textFill>
                  <w14:solidFill>
                    <w14:schemeClr w14:val="tx1"/>
                  </w14:solidFill>
                </w14:textFill>
              </w:rPr>
              <w:t>hhttp://ggzy.jiaozuo.gov.cn/BidOpeningHall/bidhall/default/login。</w:t>
            </w:r>
            <w:r>
              <w:rPr>
                <w:rFonts w:hAnsi="宋体"/>
                <w:sz w:val="24"/>
                <w:szCs w:val="24"/>
                <w:highlight w:val="none"/>
              </w:rPr>
              <w:t xml:space="preserve">投标人不需到开标现场参加开标会议，不需提交原件资料等。 </w:t>
            </w:r>
          </w:p>
          <w:p w14:paraId="57EB0E1F">
            <w:pPr>
              <w:pStyle w:val="16"/>
              <w:spacing w:line="500" w:lineRule="exact"/>
              <w:rPr>
                <w:rFonts w:hint="default" w:hAnsi="宋体"/>
                <w:sz w:val="24"/>
                <w:szCs w:val="24"/>
                <w:highlight w:val="none"/>
              </w:rPr>
            </w:pPr>
            <w:r>
              <w:rPr>
                <w:rFonts w:hAnsi="宋体"/>
                <w:sz w:val="24"/>
                <w:szCs w:val="24"/>
                <w:highlight w:val="none"/>
              </w:rPr>
              <w:t>（1）电子投标文件的递交</w:t>
            </w:r>
          </w:p>
          <w:p w14:paraId="55321569">
            <w:pPr>
              <w:pStyle w:val="16"/>
              <w:spacing w:line="500" w:lineRule="exact"/>
              <w:rPr>
                <w:rFonts w:hint="default" w:hAnsi="宋体"/>
                <w:sz w:val="24"/>
                <w:szCs w:val="24"/>
                <w:highlight w:val="none"/>
              </w:rPr>
            </w:pPr>
            <w:r>
              <w:rPr>
                <w:rFonts w:hAnsi="宋体"/>
                <w:sz w:val="24"/>
                <w:szCs w:val="24"/>
                <w:highlight w:val="none"/>
              </w:rPr>
              <w:t>a.各投标人应在投标截止时间前上传加密的电子投标文件</w:t>
            </w:r>
          </w:p>
          <w:p w14:paraId="2B6F1C4D">
            <w:pPr>
              <w:pStyle w:val="16"/>
              <w:spacing w:line="500" w:lineRule="exact"/>
              <w:rPr>
                <w:rFonts w:hint="default" w:hAnsi="宋体"/>
                <w:sz w:val="24"/>
                <w:szCs w:val="24"/>
                <w:highlight w:val="none"/>
              </w:rPr>
            </w:pPr>
            <w:r>
              <w:rPr>
                <w:rFonts w:hAnsi="宋体"/>
                <w:sz w:val="24"/>
                <w:szCs w:val="24"/>
                <w:highlight w:val="none"/>
              </w:rPr>
              <w:t>（.jztf 格式）到会员系统的指定位置。上传时必须得到电脑“上传成功”的确认回复。请投标人在上传时认真检查上传投标文件是否完整、正确。</w:t>
            </w:r>
          </w:p>
          <w:p w14:paraId="19A19F07">
            <w:pPr>
              <w:pStyle w:val="16"/>
              <w:spacing w:line="500" w:lineRule="exact"/>
              <w:rPr>
                <w:rFonts w:hint="default"/>
                <w:sz w:val="24"/>
                <w:szCs w:val="24"/>
                <w:highlight w:val="none"/>
              </w:rPr>
            </w:pPr>
            <w:r>
              <w:rPr>
                <w:rFonts w:hAnsi="宋体"/>
                <w:sz w:val="24"/>
                <w:szCs w:val="24"/>
                <w:highlight w:val="none"/>
              </w:rPr>
              <w:t>b.如系统故故障需上传非加密文件时，投标人应按照采购人指示将非加密文件递交给采购人。</w:t>
            </w:r>
          </w:p>
        </w:tc>
      </w:tr>
      <w:tr w14:paraId="727F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5427020">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4.2.3</w:t>
            </w:r>
          </w:p>
        </w:tc>
        <w:tc>
          <w:tcPr>
            <w:tcW w:w="2206" w:type="dxa"/>
            <w:vAlign w:val="center"/>
          </w:tcPr>
          <w:p w14:paraId="7791394A">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是否退还投标文件</w:t>
            </w:r>
          </w:p>
        </w:tc>
        <w:tc>
          <w:tcPr>
            <w:tcW w:w="6224" w:type="dxa"/>
            <w:vAlign w:val="center"/>
          </w:tcPr>
          <w:p w14:paraId="6E219985">
            <w:pPr>
              <w:pStyle w:val="16"/>
              <w:spacing w:line="500" w:lineRule="exact"/>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否</w:t>
            </w:r>
          </w:p>
        </w:tc>
      </w:tr>
      <w:tr w14:paraId="3FA1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11CFA57">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5.1</w:t>
            </w:r>
          </w:p>
        </w:tc>
        <w:tc>
          <w:tcPr>
            <w:tcW w:w="2206" w:type="dxa"/>
            <w:vAlign w:val="center"/>
          </w:tcPr>
          <w:p w14:paraId="31E7906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开标时间和地点</w:t>
            </w:r>
          </w:p>
        </w:tc>
        <w:tc>
          <w:tcPr>
            <w:tcW w:w="6224" w:type="dxa"/>
            <w:vAlign w:val="center"/>
          </w:tcPr>
          <w:p w14:paraId="126F3DAA">
            <w:pPr>
              <w:adjustRightInd w:val="0"/>
              <w:snapToGrid w:val="0"/>
              <w:spacing w:line="500" w:lineRule="exact"/>
              <w:rPr>
                <w:rFonts w:ascii="宋体" w:hAnsi="宋体"/>
                <w:sz w:val="24"/>
                <w:highlight w:val="none"/>
              </w:rPr>
            </w:pPr>
            <w:r>
              <w:rPr>
                <w:rFonts w:hint="eastAsia" w:ascii="宋体" w:hAnsi="宋体"/>
                <w:sz w:val="24"/>
                <w:highlight w:val="none"/>
              </w:rPr>
              <w:t>开标时间：同投标截止时间。登录远程开标大厅，凭制作投标文件所用的企业 CA 密匙在线签到、解密文件等，解密时间为投标截止时后30分钟内。</w:t>
            </w:r>
          </w:p>
          <w:p w14:paraId="0B79C839">
            <w:pPr>
              <w:spacing w:line="500" w:lineRule="exact"/>
              <w:ind w:left="700" w:hanging="700"/>
              <w:jc w:val="left"/>
              <w:rPr>
                <w:rFonts w:ascii="宋体" w:hAnsi="宋体"/>
                <w:sz w:val="24"/>
                <w:highlight w:val="none"/>
              </w:rPr>
            </w:pPr>
            <w:r>
              <w:rPr>
                <w:rFonts w:hint="eastAsia" w:ascii="宋体" w:hAnsi="宋体"/>
                <w:sz w:val="24"/>
                <w:highlight w:val="none"/>
              </w:rPr>
              <w:t>现场开标地点：博爱县公共资源交易中心二楼不见面开标</w:t>
            </w:r>
          </w:p>
          <w:p w14:paraId="2A8A9F14">
            <w:pPr>
              <w:spacing w:line="500" w:lineRule="exact"/>
              <w:ind w:left="700" w:hanging="700"/>
              <w:jc w:val="left"/>
              <w:rPr>
                <w:rFonts w:asciiTheme="minorEastAsia" w:hAnsiTheme="minorEastAsia" w:eastAsiaTheme="minorEastAsia" w:cstheme="minorEastAsia"/>
                <w:sz w:val="24"/>
                <w:highlight w:val="none"/>
              </w:rPr>
            </w:pPr>
            <w:r>
              <w:rPr>
                <w:rFonts w:hint="eastAsia" w:ascii="宋体" w:hAnsi="宋体"/>
                <w:sz w:val="24"/>
                <w:highlight w:val="none"/>
                <w:u w:val="single"/>
                <w:lang w:val="en-US" w:eastAsia="zh-CN"/>
              </w:rPr>
              <w:t xml:space="preserve"> 一</w:t>
            </w:r>
            <w:r>
              <w:rPr>
                <w:rFonts w:hint="eastAsia" w:ascii="宋体" w:hAnsi="宋体"/>
                <w:sz w:val="24"/>
                <w:highlight w:val="none"/>
              </w:rPr>
              <w:t>室</w:t>
            </w:r>
          </w:p>
        </w:tc>
      </w:tr>
      <w:tr w14:paraId="1127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14:paraId="6EA4C0B6">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6.1.1</w:t>
            </w:r>
          </w:p>
        </w:tc>
        <w:tc>
          <w:tcPr>
            <w:tcW w:w="2206" w:type="dxa"/>
            <w:vAlign w:val="center"/>
          </w:tcPr>
          <w:p w14:paraId="289BAE36">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评标委员会的组建</w:t>
            </w:r>
          </w:p>
        </w:tc>
        <w:tc>
          <w:tcPr>
            <w:tcW w:w="6224" w:type="dxa"/>
            <w:vAlign w:val="center"/>
          </w:tcPr>
          <w:p w14:paraId="0D180E4C">
            <w:pPr>
              <w:adjustRightInd w:val="0"/>
              <w:snapToGrid w:val="0"/>
              <w:spacing w:line="500" w:lineRule="exact"/>
              <w:rPr>
                <w:rFonts w:ascii="宋体" w:hAnsi="宋体"/>
                <w:sz w:val="24"/>
                <w:highlight w:val="none"/>
                <w:u w:val="single"/>
              </w:rPr>
            </w:pPr>
            <w:r>
              <w:rPr>
                <w:rFonts w:hint="eastAsia" w:ascii="宋体" w:hAnsi="宋体"/>
                <w:sz w:val="24"/>
                <w:highlight w:val="none"/>
              </w:rPr>
              <w:t>评标委员会构成：由采购人代表</w:t>
            </w:r>
            <w:r>
              <w:rPr>
                <w:rFonts w:hint="eastAsia" w:ascii="宋体" w:hAnsi="宋体"/>
                <w:sz w:val="24"/>
                <w:highlight w:val="none"/>
                <w:lang w:val="en-US" w:eastAsia="zh-CN"/>
              </w:rPr>
              <w:t>2</w:t>
            </w:r>
            <w:r>
              <w:rPr>
                <w:rFonts w:hint="eastAsia" w:ascii="宋体" w:hAnsi="宋体"/>
                <w:sz w:val="24"/>
                <w:highlight w:val="none"/>
              </w:rPr>
              <w:t>名和政府采购专家库中随机抽取的评审专家</w:t>
            </w:r>
            <w:r>
              <w:rPr>
                <w:rFonts w:hint="eastAsia" w:ascii="宋体" w:hAnsi="宋体"/>
                <w:sz w:val="24"/>
                <w:highlight w:val="none"/>
                <w:lang w:val="en-US" w:eastAsia="zh-CN"/>
              </w:rPr>
              <w:t>5</w:t>
            </w:r>
            <w:r>
              <w:rPr>
                <w:rFonts w:hint="eastAsia" w:ascii="宋体" w:hAnsi="宋体"/>
                <w:sz w:val="24"/>
                <w:highlight w:val="none"/>
              </w:rPr>
              <w:t>名共</w:t>
            </w:r>
            <w:r>
              <w:rPr>
                <w:rFonts w:hint="eastAsia" w:ascii="宋体" w:hAnsi="宋体"/>
                <w:sz w:val="24"/>
                <w:highlight w:val="none"/>
                <w:lang w:val="en-US" w:eastAsia="zh-CN"/>
              </w:rPr>
              <w:t>7</w:t>
            </w:r>
            <w:r>
              <w:rPr>
                <w:rFonts w:hint="eastAsia" w:ascii="宋体" w:hAnsi="宋体"/>
                <w:sz w:val="24"/>
                <w:highlight w:val="none"/>
              </w:rPr>
              <w:t>人组成。</w:t>
            </w:r>
            <w:r>
              <w:rPr>
                <w:rFonts w:hint="eastAsia" w:ascii="宋体" w:hAnsi="宋体"/>
                <w:b/>
                <w:bCs/>
                <w:sz w:val="24"/>
                <w:highlight w:val="none"/>
              </w:rPr>
              <w:t>注</w:t>
            </w:r>
            <w:r>
              <w:rPr>
                <w:rFonts w:hint="eastAsia" w:ascii="宋体" w:hAnsi="宋体"/>
                <w:sz w:val="24"/>
                <w:highlight w:val="none"/>
              </w:rPr>
              <w:t>：</w:t>
            </w:r>
            <w:r>
              <w:rPr>
                <w:rFonts w:hint="eastAsia" w:ascii="宋体" w:hAnsi="宋体"/>
                <w:b/>
                <w:bCs/>
                <w:sz w:val="24"/>
                <w:highlight w:val="none"/>
                <w:u w:val="single"/>
              </w:rPr>
              <w:t>根据《财政部令第87号》第四十五条规定，采购人代表不得担任评标委员会组长。</w:t>
            </w:r>
          </w:p>
          <w:p w14:paraId="595ADB4B">
            <w:pPr>
              <w:spacing w:line="500" w:lineRule="exact"/>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评审专家确定方式：在开标前从有关政府部门设立的评标专家中随机抽取确定。</w:t>
            </w:r>
          </w:p>
        </w:tc>
      </w:tr>
      <w:tr w14:paraId="1FE7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88CC736">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7.1</w:t>
            </w:r>
          </w:p>
        </w:tc>
        <w:tc>
          <w:tcPr>
            <w:tcW w:w="2206" w:type="dxa"/>
            <w:vAlign w:val="center"/>
          </w:tcPr>
          <w:p w14:paraId="4D20B4BC">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是否授权评标委员会确定中标人</w:t>
            </w:r>
          </w:p>
        </w:tc>
        <w:tc>
          <w:tcPr>
            <w:tcW w:w="6224" w:type="dxa"/>
            <w:vAlign w:val="center"/>
          </w:tcPr>
          <w:p w14:paraId="57C148B5">
            <w:pPr>
              <w:spacing w:line="50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否，由评标委员会从认定的合理报价中，按得分由高到低的顺序，依次推荐</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名中标候选人。</w:t>
            </w:r>
          </w:p>
          <w:p w14:paraId="77663B50">
            <w:pPr>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14:paraId="61144FB8">
            <w:pPr>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14:paraId="29DB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6791A80">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7.3.1</w:t>
            </w:r>
          </w:p>
        </w:tc>
        <w:tc>
          <w:tcPr>
            <w:tcW w:w="2206" w:type="dxa"/>
            <w:vAlign w:val="center"/>
          </w:tcPr>
          <w:p w14:paraId="1EBD5423">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履约保证金</w:t>
            </w:r>
          </w:p>
        </w:tc>
        <w:tc>
          <w:tcPr>
            <w:tcW w:w="6224" w:type="dxa"/>
            <w:vAlign w:val="center"/>
          </w:tcPr>
          <w:p w14:paraId="0FE84D5D">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无</w:t>
            </w:r>
          </w:p>
        </w:tc>
      </w:tr>
      <w:tr w14:paraId="3241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14:paraId="6EE6ECED">
            <w:pPr>
              <w:pStyle w:val="16"/>
              <w:spacing w:line="500" w:lineRule="exact"/>
              <w:jc w:val="center"/>
              <w:rPr>
                <w:rFonts w:hint="default"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7.3.2</w:t>
            </w:r>
          </w:p>
        </w:tc>
        <w:tc>
          <w:tcPr>
            <w:tcW w:w="2206" w:type="dxa"/>
            <w:shd w:val="clear" w:color="auto" w:fill="auto"/>
            <w:vAlign w:val="center"/>
          </w:tcPr>
          <w:p w14:paraId="7BD091C6">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投标保证金</w:t>
            </w:r>
          </w:p>
        </w:tc>
        <w:tc>
          <w:tcPr>
            <w:tcW w:w="6224" w:type="dxa"/>
            <w:shd w:val="clear" w:color="auto" w:fill="auto"/>
            <w:vAlign w:val="center"/>
          </w:tcPr>
          <w:p w14:paraId="5AB19609">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无</w:t>
            </w:r>
          </w:p>
        </w:tc>
      </w:tr>
      <w:tr w14:paraId="6E2A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14:paraId="44523470">
            <w:pPr>
              <w:pStyle w:val="16"/>
              <w:spacing w:line="500" w:lineRule="exact"/>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7.3.3</w:t>
            </w:r>
          </w:p>
        </w:tc>
        <w:tc>
          <w:tcPr>
            <w:tcW w:w="2206" w:type="dxa"/>
            <w:shd w:val="clear" w:color="auto" w:fill="auto"/>
            <w:vAlign w:val="center"/>
          </w:tcPr>
          <w:p w14:paraId="1CA77143">
            <w:pPr>
              <w:spacing w:line="500" w:lineRule="exact"/>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质量保证金</w:t>
            </w:r>
          </w:p>
        </w:tc>
        <w:tc>
          <w:tcPr>
            <w:tcW w:w="6224" w:type="dxa"/>
            <w:shd w:val="clear" w:color="auto" w:fill="auto"/>
            <w:vAlign w:val="center"/>
          </w:tcPr>
          <w:p w14:paraId="5084DDB2">
            <w:pPr>
              <w:spacing w:line="500" w:lineRule="exact"/>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无</w:t>
            </w:r>
          </w:p>
        </w:tc>
      </w:tr>
      <w:tr w14:paraId="01DB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14:paraId="527BD9CA">
            <w:pPr>
              <w:spacing w:line="500" w:lineRule="exact"/>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Cs/>
                <w:sz w:val="24"/>
                <w:highlight w:val="none"/>
              </w:rPr>
              <w:t>10</w:t>
            </w:r>
          </w:p>
        </w:tc>
        <w:tc>
          <w:tcPr>
            <w:tcW w:w="8430" w:type="dxa"/>
            <w:gridSpan w:val="2"/>
            <w:vAlign w:val="bottom"/>
          </w:tcPr>
          <w:p w14:paraId="285FE4E8">
            <w:pPr>
              <w:spacing w:line="500" w:lineRule="exact"/>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需要补充的其他内容</w:t>
            </w:r>
          </w:p>
        </w:tc>
      </w:tr>
      <w:tr w14:paraId="6E52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14:paraId="3FF7FA92">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10.1</w:t>
            </w:r>
          </w:p>
        </w:tc>
        <w:tc>
          <w:tcPr>
            <w:tcW w:w="2206" w:type="dxa"/>
            <w:vAlign w:val="center"/>
          </w:tcPr>
          <w:p w14:paraId="3906C3A7">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预算金额（控制价）</w:t>
            </w:r>
          </w:p>
        </w:tc>
        <w:tc>
          <w:tcPr>
            <w:tcW w:w="6224" w:type="dxa"/>
            <w:vAlign w:val="bottom"/>
          </w:tcPr>
          <w:p w14:paraId="677B61A6">
            <w:pPr>
              <w:numPr>
                <w:ilvl w:val="0"/>
                <w:numId w:val="3"/>
              </w:numPr>
              <w:spacing w:line="500" w:lineRule="exact"/>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本</w:t>
            </w:r>
            <w:r>
              <w:rPr>
                <w:rFonts w:hint="eastAsia" w:asciiTheme="minorEastAsia" w:hAnsiTheme="minorEastAsia" w:eastAsiaTheme="minorEastAsia" w:cstheme="minorEastAsia"/>
                <w:sz w:val="24"/>
                <w:highlight w:val="none"/>
                <w:lang w:val="en-US" w:eastAsia="zh-CN"/>
              </w:rPr>
              <w:t>标段</w:t>
            </w:r>
            <w:r>
              <w:rPr>
                <w:rFonts w:hint="eastAsia" w:asciiTheme="minorEastAsia" w:hAnsiTheme="minorEastAsia" w:eastAsiaTheme="minorEastAsia" w:cstheme="minorEastAsia"/>
                <w:sz w:val="24"/>
                <w:highlight w:val="none"/>
              </w:rPr>
              <w:t>预算金额为：</w:t>
            </w:r>
            <w:r>
              <w:rPr>
                <w:rFonts w:hint="eastAsia" w:ascii="宋体" w:hAnsi="宋体" w:cs="宋体"/>
                <w:sz w:val="24"/>
                <w:highlight w:val="none"/>
                <w:lang w:val="en-US" w:eastAsia="zh-CN"/>
              </w:rPr>
              <w:t>5358388元</w:t>
            </w:r>
          </w:p>
          <w:p w14:paraId="26C924FC">
            <w:pPr>
              <w:numPr>
                <w:ilvl w:val="0"/>
                <w:numId w:val="0"/>
              </w:num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2.控制价是采购人设置的最高限价，供应商的投标报价高于控制价的视为无效报价，其投标予以拒绝；</w:t>
            </w:r>
          </w:p>
          <w:p w14:paraId="2745FD9A">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3.当中标人的投标报价高于控制价的95%时，该中标人的中标价按控制价的95%执行。</w:t>
            </w:r>
          </w:p>
        </w:tc>
      </w:tr>
      <w:tr w14:paraId="336B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14:paraId="7DF56991">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10.2</w:t>
            </w:r>
          </w:p>
        </w:tc>
        <w:tc>
          <w:tcPr>
            <w:tcW w:w="2206" w:type="dxa"/>
            <w:vAlign w:val="center"/>
          </w:tcPr>
          <w:p w14:paraId="6D43F8D8">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小型或微型企业（含监狱企业）</w:t>
            </w:r>
          </w:p>
        </w:tc>
        <w:tc>
          <w:tcPr>
            <w:tcW w:w="6224" w:type="dxa"/>
            <w:vAlign w:val="center"/>
          </w:tcPr>
          <w:p w14:paraId="241A30F0">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rPr>
              <w:t>对中小型或微型企业投标的扶持：</w:t>
            </w:r>
          </w:p>
          <w:p w14:paraId="5B4A7BA9">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1.1投标供应商为小型或微型企业时，报价给予C1的价格扣除（C1的取值为20%），即：评标价＝投标报价（最后报价）×(1－C1）；</w:t>
            </w:r>
          </w:p>
          <w:p w14:paraId="27E93B12">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小微企业应当提供《中小企业声明函》（见格式）。</w:t>
            </w:r>
          </w:p>
          <w:p w14:paraId="7AB8652A">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rPr>
              <w:t xml:space="preserve"> 按照《政府采购促进中小企业发展管理办法》有关规定，中小企业的标准为：</w:t>
            </w:r>
          </w:p>
          <w:p w14:paraId="0C8F1DEA">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2.1提供本企业制造的货物、承担的工程或者服务，或者提供其他中小企业制造的货物，不包括提供或使用大型企业注册商标的货物；</w:t>
            </w:r>
          </w:p>
          <w:p w14:paraId="1C8C6111">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2.2本规定所称中小企业划分标准，是指国务院有关部门根据企业从业人员、营业收入、资产总额等指标制定的中小企业划型标准（工信部联企业﹝2011﹞300号）；</w:t>
            </w:r>
          </w:p>
          <w:p w14:paraId="206CC2F2">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2.3小型、微型企业提供有中型企业制造的货物的，视同为中型企业；小型、微型、中型企业提供有大型企业制造的货物的，视同为大型企业。</w:t>
            </w:r>
          </w:p>
          <w:p w14:paraId="1CD3E9C1">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14:paraId="32B4A65A">
            <w:pPr>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同一投标人，小微企业、监狱、残疾人福利性企业同一产品价格扣除优惠只享受一次，不得重复享受。</w:t>
            </w:r>
          </w:p>
        </w:tc>
      </w:tr>
      <w:tr w14:paraId="6192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72EACF47">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10.3</w:t>
            </w:r>
          </w:p>
        </w:tc>
        <w:tc>
          <w:tcPr>
            <w:tcW w:w="2206" w:type="dxa"/>
            <w:vAlign w:val="center"/>
          </w:tcPr>
          <w:p w14:paraId="2AB86FA6">
            <w:pPr>
              <w:spacing w:line="500" w:lineRule="exact"/>
              <w:jc w:val="center"/>
              <w:rPr>
                <w:rFonts w:ascii="宋体" w:hAnsi="宋体" w:cs="宋体"/>
                <w:bCs/>
                <w:color w:val="0000FF"/>
                <w:sz w:val="24"/>
                <w:highlight w:val="none"/>
              </w:rPr>
            </w:pPr>
            <w:r>
              <w:rPr>
                <w:rFonts w:hint="eastAsia" w:asciiTheme="minorEastAsia" w:hAnsiTheme="minorEastAsia" w:eastAsiaTheme="minorEastAsia" w:cstheme="minorEastAsia"/>
                <w:sz w:val="24"/>
                <w:highlight w:val="none"/>
              </w:rPr>
              <w:t>付款方式</w:t>
            </w:r>
          </w:p>
        </w:tc>
        <w:tc>
          <w:tcPr>
            <w:tcW w:w="6224" w:type="dxa"/>
            <w:vAlign w:val="center"/>
          </w:tcPr>
          <w:p w14:paraId="681F4B73">
            <w:pPr>
              <w:spacing w:line="500" w:lineRule="exact"/>
              <w:rPr>
                <w:rFonts w:hint="eastAsia" w:ascii="宋体" w:hAnsi="宋体" w:cs="宋体" w:eastAsiaTheme="minorEastAsia"/>
                <w:bCs/>
                <w:color w:val="0000FF"/>
                <w:sz w:val="24"/>
                <w:highlight w:val="none"/>
                <w:lang w:eastAsia="zh-CN"/>
              </w:rPr>
            </w:pPr>
            <w:r>
              <w:rPr>
                <w:rFonts w:hint="eastAsia" w:asciiTheme="minorEastAsia" w:hAnsiTheme="minorEastAsia" w:eastAsiaTheme="minorEastAsia" w:cstheme="minorEastAsia"/>
                <w:sz w:val="24"/>
                <w:highlight w:val="none"/>
              </w:rPr>
              <w:t>原则上参考“</w:t>
            </w:r>
            <w:r>
              <w:rPr>
                <w:rFonts w:hint="eastAsia" w:asciiTheme="minorEastAsia" w:hAnsiTheme="minorEastAsia" w:eastAsiaTheme="minorEastAsia" w:cstheme="minorEastAsia"/>
                <w:sz w:val="24"/>
                <w:highlight w:val="none"/>
                <w:lang w:eastAsia="zh-CN"/>
              </w:rPr>
              <w:t>博爱县生活污水处理厂设备设施更新及配套管网改造提升工程EPC项目</w:t>
            </w:r>
            <w:r>
              <w:rPr>
                <w:rFonts w:hint="eastAsia" w:asciiTheme="minorEastAsia" w:hAnsiTheme="minorEastAsia" w:eastAsiaTheme="minorEastAsia" w:cstheme="minorEastAsia"/>
                <w:sz w:val="24"/>
                <w:highlight w:val="none"/>
              </w:rPr>
              <w:t>”合同</w:t>
            </w:r>
            <w:r>
              <w:rPr>
                <w:rFonts w:hint="eastAsia" w:asciiTheme="minorEastAsia" w:hAnsiTheme="minorEastAsia" w:eastAsiaTheme="minorEastAsia" w:cstheme="minorEastAsia"/>
                <w:sz w:val="24"/>
                <w:highlight w:val="none"/>
                <w:lang w:val="en-US" w:eastAsia="zh-CN"/>
              </w:rPr>
              <w:t>付款时间结束节点进行支付。</w:t>
            </w:r>
          </w:p>
        </w:tc>
      </w:tr>
      <w:tr w14:paraId="144A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65" w:type="dxa"/>
            <w:vAlign w:val="center"/>
          </w:tcPr>
          <w:p w14:paraId="25D25D8B">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10.4</w:t>
            </w:r>
          </w:p>
        </w:tc>
        <w:tc>
          <w:tcPr>
            <w:tcW w:w="2206" w:type="dxa"/>
            <w:vAlign w:val="center"/>
          </w:tcPr>
          <w:p w14:paraId="00E454A1">
            <w:pPr>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供货要求</w:t>
            </w:r>
          </w:p>
        </w:tc>
        <w:tc>
          <w:tcPr>
            <w:tcW w:w="6224" w:type="dxa"/>
            <w:vAlign w:val="center"/>
          </w:tcPr>
          <w:p w14:paraId="3C406632">
            <w:pPr>
              <w:spacing w:line="500" w:lineRule="exact"/>
              <w:rPr>
                <w:rFonts w:ascii="宋体" w:hAnsi="宋体" w:cs="宋体"/>
                <w:bCs/>
                <w:color w:val="auto"/>
                <w:sz w:val="24"/>
                <w:highlight w:val="none"/>
              </w:rPr>
            </w:pPr>
            <w:r>
              <w:rPr>
                <w:rFonts w:hint="eastAsia" w:ascii="宋体" w:hAnsi="宋体" w:cs="宋体"/>
                <w:bCs/>
                <w:color w:val="auto"/>
                <w:sz w:val="24"/>
                <w:highlight w:val="none"/>
              </w:rPr>
              <w:t>若因中标人原因不能按期按质供货的，将扣除中标人2万元的违约金，同时每超过一天另扣除合同金额的千分之一。</w:t>
            </w:r>
          </w:p>
        </w:tc>
      </w:tr>
      <w:tr w14:paraId="0453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14:paraId="01E51235">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10.5</w:t>
            </w:r>
          </w:p>
        </w:tc>
        <w:tc>
          <w:tcPr>
            <w:tcW w:w="2206" w:type="dxa"/>
            <w:vAlign w:val="center"/>
          </w:tcPr>
          <w:p w14:paraId="2DDA6D97">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招标代理服务费</w:t>
            </w:r>
          </w:p>
        </w:tc>
        <w:tc>
          <w:tcPr>
            <w:tcW w:w="6224" w:type="dxa"/>
            <w:vAlign w:val="center"/>
          </w:tcPr>
          <w:p w14:paraId="4A5AC17B">
            <w:pPr>
              <w:spacing w:line="500" w:lineRule="exact"/>
              <w:rPr>
                <w:sz w:val="24"/>
                <w:highlight w:val="none"/>
              </w:rPr>
            </w:pPr>
            <w:r>
              <w:rPr>
                <w:rFonts w:hint="eastAsia" w:ascii="宋体" w:hAnsi="宋体" w:cs="宋体"/>
                <w:bCs/>
                <w:sz w:val="24"/>
                <w:highlight w:val="none"/>
                <w:lang w:val="en-US" w:eastAsia="zh-CN"/>
              </w:rPr>
              <w:t>代理服务费：参照豫招协[2023]002号《河南省招标代理服务收费指导意见》中的标准，由成交人在领取成交通知书前，向代理机构足额缴纳</w:t>
            </w:r>
            <w:r>
              <w:rPr>
                <w:rFonts w:hint="eastAsia" w:ascii="宋体" w:hAnsi="宋体" w:cs="宋体"/>
                <w:bCs/>
                <w:sz w:val="24"/>
                <w:highlight w:val="none"/>
              </w:rPr>
              <w:t>。</w:t>
            </w:r>
          </w:p>
        </w:tc>
      </w:tr>
      <w:tr w14:paraId="1558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14:paraId="45EFCDC5">
            <w:pPr>
              <w:spacing w:line="5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10.8</w:t>
            </w:r>
          </w:p>
        </w:tc>
        <w:tc>
          <w:tcPr>
            <w:tcW w:w="2206" w:type="dxa"/>
            <w:vAlign w:val="center"/>
          </w:tcPr>
          <w:p w14:paraId="4C66305B">
            <w:pPr>
              <w:adjustRightInd w:val="0"/>
              <w:snapToGrid w:val="0"/>
              <w:spacing w:line="500" w:lineRule="exact"/>
              <w:jc w:val="center"/>
              <w:rPr>
                <w:rFonts w:ascii="宋体" w:hAnsi="宋体" w:cs="宋体"/>
                <w:bCs/>
                <w:sz w:val="24"/>
                <w:highlight w:val="none"/>
              </w:rPr>
            </w:pPr>
            <w:r>
              <w:rPr>
                <w:rFonts w:hint="eastAsia" w:ascii="宋体" w:hAnsi="宋体" w:cs="宋体"/>
                <w:bCs/>
                <w:sz w:val="24"/>
                <w:highlight w:val="none"/>
              </w:rPr>
              <w:t>认定为不响应招标文件的其它条件</w:t>
            </w:r>
          </w:p>
        </w:tc>
        <w:tc>
          <w:tcPr>
            <w:tcW w:w="6224" w:type="dxa"/>
            <w:vAlign w:val="center"/>
          </w:tcPr>
          <w:p w14:paraId="57BC92C4">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rPr>
              <w:t>1.未按招标文件明示的规定签字盖章的；</w:t>
            </w:r>
          </w:p>
          <w:p w14:paraId="450D4D2F">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rPr>
              <w:t>2.投标文件的关键内容（</w:t>
            </w:r>
            <w:r>
              <w:rPr>
                <w:rFonts w:hint="eastAsia" w:ascii="宋体" w:hAnsi="宋体" w:eastAsia="宋体" w:cs="宋体"/>
                <w:kern w:val="0"/>
                <w:sz w:val="24"/>
                <w:highlight w:val="none"/>
                <w:lang w:val="en-US" w:eastAsia="zh-CN"/>
              </w:rPr>
              <w:t>合同履行期限（供货</w:t>
            </w:r>
            <w:r>
              <w:rPr>
                <w:rFonts w:hint="eastAsia" w:ascii="宋体" w:hAnsi="宋体" w:eastAsia="宋体" w:cs="宋体"/>
                <w:i w:val="0"/>
                <w:iCs w:val="0"/>
                <w:color w:val="auto"/>
                <w:kern w:val="0"/>
                <w:sz w:val="24"/>
                <w:szCs w:val="24"/>
                <w:highlight w:val="none"/>
                <w:u w:val="none"/>
                <w:lang w:val="en-US" w:eastAsia="zh-CN" w:bidi="ar"/>
              </w:rPr>
              <w:t>安装期</w:t>
            </w:r>
            <w:r>
              <w:rPr>
                <w:rFonts w:hint="eastAsia" w:ascii="宋体" w:hAnsi="宋体" w:eastAsia="宋体" w:cs="宋体"/>
                <w:snapToGrid w:val="0"/>
                <w:color w:val="000000"/>
                <w:spacing w:val="-3"/>
                <w:kern w:val="0"/>
                <w:sz w:val="24"/>
                <w:szCs w:val="24"/>
                <w:highlight w:val="none"/>
                <w:lang w:val="en-US" w:eastAsia="zh-CN" w:bidi="ar-SA"/>
              </w:rPr>
              <w:t>）</w:t>
            </w:r>
            <w:r>
              <w:rPr>
                <w:rFonts w:hint="eastAsia" w:ascii="宋体" w:hAnsi="宋体" w:cs="宋体"/>
                <w:bCs/>
                <w:sz w:val="24"/>
                <w:highlight w:val="none"/>
              </w:rPr>
              <w:t>、质量标准、品牌、型号等）未填写或填写字迹模糊、达不到采购要求的；</w:t>
            </w:r>
          </w:p>
          <w:p w14:paraId="7EB0333A">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rPr>
              <w:t>3.投标报价超出招标控制价的；</w:t>
            </w:r>
          </w:p>
          <w:p w14:paraId="19AFE8DD">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rPr>
              <w:t>4.供应商递交两份或多份内容不同的投标文件，或在一份投标文件中对同一招标项目有两个或多个报价，且未声明哪一个有效的；</w:t>
            </w:r>
          </w:p>
          <w:p w14:paraId="71D8878C">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lang w:val="en-US" w:eastAsia="zh-CN"/>
              </w:rPr>
              <w:t>5</w:t>
            </w:r>
            <w:r>
              <w:rPr>
                <w:rFonts w:hint="eastAsia" w:ascii="宋体" w:hAnsi="宋体" w:cs="宋体"/>
                <w:bCs/>
                <w:sz w:val="24"/>
                <w:highlight w:val="none"/>
              </w:rPr>
              <w:t>.附有采购人不能接受的条件的；</w:t>
            </w:r>
          </w:p>
          <w:p w14:paraId="670B3B8E">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lang w:val="en-US" w:eastAsia="zh-CN"/>
              </w:rPr>
              <w:t>6</w:t>
            </w:r>
            <w:r>
              <w:rPr>
                <w:rFonts w:hint="eastAsia" w:ascii="宋体" w:hAnsi="宋体" w:cs="宋体"/>
                <w:bCs/>
                <w:sz w:val="24"/>
                <w:highlight w:val="none"/>
              </w:rPr>
              <w:t>.评标过程中，如因两个或两个以上投标人在同一台计算或同一个IP上传响应文件，而被不见面开标系统提示为“投标文件制作机器码一致”的，则视其投标无效。</w:t>
            </w:r>
          </w:p>
          <w:p w14:paraId="36D0CC9F">
            <w:pPr>
              <w:pStyle w:val="27"/>
              <w:spacing w:line="500" w:lineRule="exact"/>
              <w:ind w:firstLine="0" w:firstLineChars="0"/>
              <w:rPr>
                <w:rFonts w:ascii="宋体" w:hAnsi="宋体" w:cs="宋体"/>
                <w:bCs/>
                <w:sz w:val="24"/>
                <w:highlight w:val="none"/>
              </w:rPr>
            </w:pPr>
            <w:r>
              <w:rPr>
                <w:rFonts w:hint="eastAsia" w:ascii="宋体" w:hAnsi="宋体" w:cs="宋体"/>
                <w:bCs/>
                <w:sz w:val="24"/>
                <w:highlight w:val="none"/>
                <w:lang w:val="en-US" w:eastAsia="zh-CN"/>
              </w:rPr>
              <w:t>7</w:t>
            </w:r>
            <w:r>
              <w:rPr>
                <w:rFonts w:hint="eastAsia" w:ascii="宋体" w:hAnsi="宋体" w:cs="宋体"/>
                <w:bCs/>
                <w:sz w:val="24"/>
                <w:highlight w:val="none"/>
              </w:rPr>
              <w:t>.投标文件有明显不符合招标文件其它要求和有关法律法规的。</w:t>
            </w:r>
          </w:p>
        </w:tc>
      </w:tr>
      <w:tr w14:paraId="1279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14:paraId="1EA7AD6B">
            <w:pPr>
              <w:spacing w:line="500" w:lineRule="exact"/>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10.9</w:t>
            </w:r>
          </w:p>
        </w:tc>
        <w:tc>
          <w:tcPr>
            <w:tcW w:w="2206" w:type="dxa"/>
            <w:vAlign w:val="top"/>
          </w:tcPr>
          <w:p w14:paraId="4FC12EA0">
            <w:pPr>
              <w:pStyle w:val="27"/>
              <w:ind w:firstLine="0" w:firstLineChars="0"/>
              <w:rPr>
                <w:rFonts w:hint="eastAsia" w:ascii="宋体" w:hAnsi="宋体" w:eastAsia="宋体" w:cs="宋体"/>
                <w:bCs/>
                <w:color w:val="auto"/>
                <w:kern w:val="2"/>
                <w:sz w:val="24"/>
                <w:szCs w:val="24"/>
                <w:highlight w:val="none"/>
                <w:lang w:val="en-US" w:eastAsia="zh-CN" w:bidi="ar-SA"/>
              </w:rPr>
            </w:pPr>
          </w:p>
          <w:p w14:paraId="3CED0D8C">
            <w:pPr>
              <w:pStyle w:val="27"/>
              <w:ind w:firstLine="0" w:firstLineChars="0"/>
              <w:rPr>
                <w:rFonts w:hint="eastAsia" w:ascii="宋体" w:hAnsi="宋体" w:eastAsia="宋体" w:cs="宋体"/>
                <w:bCs/>
                <w:color w:val="auto"/>
                <w:kern w:val="2"/>
                <w:sz w:val="24"/>
                <w:szCs w:val="24"/>
                <w:highlight w:val="none"/>
                <w:lang w:val="en-US" w:eastAsia="zh-CN" w:bidi="ar-SA"/>
              </w:rPr>
            </w:pPr>
          </w:p>
          <w:p w14:paraId="3B8136B3">
            <w:pPr>
              <w:pStyle w:val="27"/>
              <w:ind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相同品牌认定</w:t>
            </w:r>
          </w:p>
        </w:tc>
        <w:tc>
          <w:tcPr>
            <w:tcW w:w="6224" w:type="dxa"/>
            <w:vAlign w:val="top"/>
          </w:tcPr>
          <w:p w14:paraId="7FB421D1">
            <w:pPr>
              <w:pStyle w:val="27"/>
              <w:ind w:firstLine="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投标报价低的获得中标人推荐资格；得分且投标报价相同的，采购人委托评标委员会采取随机抽签方式确定，其它同品牌投标人不作为中标候选人。</w:t>
            </w:r>
          </w:p>
        </w:tc>
      </w:tr>
      <w:tr w14:paraId="5866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14:paraId="1E9BC949">
            <w:pPr>
              <w:spacing w:line="500" w:lineRule="exact"/>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10.10</w:t>
            </w:r>
          </w:p>
        </w:tc>
        <w:tc>
          <w:tcPr>
            <w:tcW w:w="8430" w:type="dxa"/>
            <w:gridSpan w:val="2"/>
            <w:vAlign w:val="center"/>
          </w:tcPr>
          <w:p w14:paraId="2DA61668">
            <w:pPr>
              <w:pStyle w:val="27"/>
              <w:tabs>
                <w:tab w:val="left" w:pos="1268"/>
              </w:tabs>
              <w:spacing w:line="500" w:lineRule="exact"/>
              <w:ind w:firstLine="0" w:firstLineChars="0"/>
              <w:rPr>
                <w:rFonts w:ascii="宋体" w:hAnsi="宋体" w:cs="宋体"/>
                <w:bCs/>
                <w:sz w:val="24"/>
                <w:highlight w:val="none"/>
              </w:rPr>
            </w:pPr>
            <w:r>
              <w:rPr>
                <w:rFonts w:hint="eastAsia" w:asciiTheme="minorEastAsia" w:hAnsiTheme="minorEastAsia" w:eastAsiaTheme="minorEastAsia" w:cstheme="minorEastAsia"/>
                <w:sz w:val="24"/>
                <w:highlight w:val="none"/>
              </w:rPr>
              <w:t>本招标文件解释权归采购人</w:t>
            </w:r>
          </w:p>
        </w:tc>
      </w:tr>
      <w:tr w14:paraId="7525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395" w:type="dxa"/>
            <w:gridSpan w:val="3"/>
            <w:vAlign w:val="center"/>
          </w:tcPr>
          <w:p w14:paraId="5C32CFFA">
            <w:pPr>
              <w:pStyle w:val="27"/>
              <w:spacing w:line="500" w:lineRule="exact"/>
              <w:ind w:firstLine="480"/>
              <w:rPr>
                <w:rFonts w:ascii="宋体" w:hAnsi="宋体" w:cs="宋体"/>
                <w:bCs/>
                <w:sz w:val="24"/>
                <w:highlight w:val="none"/>
              </w:rPr>
            </w:pPr>
            <w:r>
              <w:rPr>
                <w:rFonts w:hint="eastAsia" w:asciiTheme="minorEastAsia" w:hAnsiTheme="minorEastAsia" w:eastAsiaTheme="minorEastAsia" w:cstheme="minorEastAsia"/>
                <w:sz w:val="24"/>
                <w:highlight w:val="none"/>
              </w:rPr>
              <w:t>本项目采购货物在质保期内属于货物质量问题的，成交供应商应免费维修，不能维修的应及时更换新货物，供应商须针对质保期内的质量问题提供承诺函。</w:t>
            </w:r>
          </w:p>
        </w:tc>
      </w:tr>
    </w:tbl>
    <w:p w14:paraId="64AE6D1A">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12" w:name="_Toc23082"/>
      <w:bookmarkStart w:id="13" w:name="_Toc426369479"/>
      <w:bookmarkStart w:id="14" w:name="_Toc403122491"/>
      <w:bookmarkStart w:id="15" w:name="_Toc15892"/>
      <w:bookmarkStart w:id="16" w:name="_Toc9048"/>
      <w:bookmarkStart w:id="17" w:name="_Toc23576"/>
      <w:bookmarkStart w:id="18" w:name="_Toc26894"/>
      <w:bookmarkStart w:id="19" w:name="_Toc403122503"/>
      <w:bookmarkStart w:id="20" w:name="_Toc426369491"/>
      <w:r>
        <w:rPr>
          <w:rFonts w:hint="eastAsia" w:ascii="宋体" w:hAnsi="宋体" w:eastAsia="宋体" w:cs="宋体"/>
          <w:sz w:val="24"/>
          <w:szCs w:val="24"/>
          <w:highlight w:val="none"/>
        </w:rPr>
        <w:t>1. 总则</w:t>
      </w:r>
      <w:bookmarkEnd w:id="12"/>
      <w:bookmarkEnd w:id="13"/>
      <w:bookmarkEnd w:id="14"/>
      <w:bookmarkEnd w:id="15"/>
      <w:bookmarkEnd w:id="16"/>
      <w:bookmarkEnd w:id="17"/>
    </w:p>
    <w:p w14:paraId="04968F15">
      <w:pPr>
        <w:spacing w:line="500" w:lineRule="exact"/>
        <w:ind w:firstLine="482" w:firstLineChars="200"/>
        <w:rPr>
          <w:rFonts w:ascii="宋体" w:hAnsi="宋体" w:cs="宋体"/>
          <w:b/>
          <w:bCs/>
          <w:sz w:val="24"/>
          <w:highlight w:val="none"/>
        </w:rPr>
      </w:pPr>
      <w:bookmarkStart w:id="21" w:name="_Toc274249575"/>
      <w:bookmarkStart w:id="22" w:name="_Toc403122492"/>
      <w:bookmarkStart w:id="23" w:name="_Toc426369480"/>
      <w:bookmarkStart w:id="24" w:name="_Toc279599771"/>
      <w:r>
        <w:rPr>
          <w:rFonts w:hint="eastAsia" w:ascii="宋体" w:hAnsi="宋体" w:cs="宋体"/>
          <w:b/>
          <w:bCs/>
          <w:sz w:val="24"/>
          <w:highlight w:val="none"/>
        </w:rPr>
        <w:t>1.1 项目概况</w:t>
      </w:r>
      <w:bookmarkEnd w:id="21"/>
      <w:bookmarkEnd w:id="22"/>
      <w:bookmarkEnd w:id="23"/>
      <w:bookmarkEnd w:id="24"/>
    </w:p>
    <w:p w14:paraId="5483371F">
      <w:pPr>
        <w:spacing w:line="500" w:lineRule="exact"/>
        <w:ind w:firstLine="480" w:firstLineChars="200"/>
        <w:rPr>
          <w:rFonts w:ascii="宋体" w:hAnsi="宋体" w:cs="宋体"/>
          <w:sz w:val="24"/>
          <w:highlight w:val="none"/>
        </w:rPr>
      </w:pPr>
      <w:r>
        <w:rPr>
          <w:rFonts w:hint="eastAsia" w:ascii="宋体" w:hAnsi="宋体" w:cs="宋体"/>
          <w:sz w:val="24"/>
          <w:highlight w:val="none"/>
        </w:rPr>
        <w:t>1.1.1 根据</w:t>
      </w:r>
      <w:r>
        <w:rPr>
          <w:rFonts w:hint="eastAsia" w:ascii="宋体" w:hAnsi="宋体" w:cs="宋体"/>
          <w:bCs/>
          <w:sz w:val="24"/>
          <w:highlight w:val="none"/>
        </w:rPr>
        <w:t>《中华人民共和国政府采购法》</w:t>
      </w:r>
      <w:r>
        <w:rPr>
          <w:rFonts w:hint="eastAsia" w:ascii="宋体" w:hAnsi="宋体" w:cs="宋体"/>
          <w:sz w:val="24"/>
          <w:highlight w:val="none"/>
        </w:rPr>
        <w:t xml:space="preserve">等有关法律、法规和规章的规定，本招标项目已具备招标条件，现对本招标项目进行公开招标。 </w:t>
      </w:r>
    </w:p>
    <w:p w14:paraId="6ABEBF88">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1.1.2  本招标项目采购人：见供应商须知前附表。 </w:t>
      </w:r>
    </w:p>
    <w:p w14:paraId="324C0F14">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1.1.3  本招标项目采购代理机构：见供应商须知前附表。 </w:t>
      </w:r>
    </w:p>
    <w:p w14:paraId="65CACE39">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1.1.4  本招标项目名称：见供应商须知前附表。 </w:t>
      </w:r>
    </w:p>
    <w:p w14:paraId="212D60FA">
      <w:pPr>
        <w:spacing w:line="500" w:lineRule="exact"/>
        <w:ind w:firstLine="482" w:firstLineChars="200"/>
        <w:rPr>
          <w:rFonts w:ascii="宋体" w:hAnsi="宋体" w:cs="宋体"/>
          <w:b/>
          <w:bCs/>
          <w:sz w:val="24"/>
          <w:highlight w:val="none"/>
        </w:rPr>
      </w:pPr>
      <w:bookmarkStart w:id="25" w:name="_Toc274249576"/>
      <w:bookmarkStart w:id="26" w:name="_Toc279599772"/>
      <w:bookmarkStart w:id="27" w:name="_Toc403122493"/>
      <w:bookmarkStart w:id="28" w:name="_Toc426369481"/>
      <w:r>
        <w:rPr>
          <w:rFonts w:hint="eastAsia" w:ascii="宋体" w:hAnsi="宋体" w:cs="宋体"/>
          <w:b/>
          <w:bCs/>
          <w:sz w:val="24"/>
          <w:highlight w:val="none"/>
        </w:rPr>
        <w:t>1.2 资金来源和落实情况</w:t>
      </w:r>
      <w:bookmarkEnd w:id="25"/>
      <w:bookmarkEnd w:id="26"/>
      <w:bookmarkEnd w:id="27"/>
      <w:bookmarkEnd w:id="28"/>
    </w:p>
    <w:p w14:paraId="6F69B241">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1.2.1  本招标项目的资金来源：见供应商须知前附表。 </w:t>
      </w:r>
    </w:p>
    <w:p w14:paraId="23940457">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1.2.2  本招标项目的资金落实情况：见供应商须知前附表。 </w:t>
      </w:r>
    </w:p>
    <w:p w14:paraId="4E4B19B6">
      <w:pPr>
        <w:spacing w:line="500" w:lineRule="exact"/>
        <w:ind w:firstLine="482" w:firstLineChars="200"/>
        <w:rPr>
          <w:rFonts w:ascii="宋体" w:hAnsi="宋体" w:cs="宋体"/>
          <w:b/>
          <w:bCs/>
          <w:sz w:val="24"/>
          <w:highlight w:val="none"/>
        </w:rPr>
      </w:pPr>
      <w:bookmarkStart w:id="29" w:name="_Toc274249577"/>
      <w:bookmarkStart w:id="30" w:name="_Toc279599773"/>
      <w:bookmarkStart w:id="31" w:name="_Toc403122494"/>
      <w:bookmarkStart w:id="32" w:name="_Toc426369482"/>
      <w:r>
        <w:rPr>
          <w:rFonts w:hint="eastAsia" w:ascii="宋体" w:hAnsi="宋体" w:cs="宋体"/>
          <w:b/>
          <w:bCs/>
          <w:sz w:val="24"/>
          <w:highlight w:val="none"/>
        </w:rPr>
        <w:t>1.3 采购内容、合同履行期限和质量</w:t>
      </w:r>
      <w:bookmarkEnd w:id="29"/>
      <w:bookmarkEnd w:id="30"/>
      <w:bookmarkEnd w:id="31"/>
      <w:bookmarkEnd w:id="32"/>
      <w:r>
        <w:rPr>
          <w:rFonts w:hint="eastAsia" w:ascii="宋体" w:hAnsi="宋体" w:cs="宋体"/>
          <w:b/>
          <w:bCs/>
          <w:sz w:val="24"/>
          <w:highlight w:val="none"/>
        </w:rPr>
        <w:t>标准</w:t>
      </w:r>
    </w:p>
    <w:p w14:paraId="2E8F10CA">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1.3.1  本次招标采购内容：见供应商须知前附表。 </w:t>
      </w:r>
    </w:p>
    <w:p w14:paraId="242C1993">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1.3.2  本次招标的合同履行期限（供货安装期）：见供应商须知前附表。 </w:t>
      </w:r>
    </w:p>
    <w:p w14:paraId="280D8DD1">
      <w:pPr>
        <w:tabs>
          <w:tab w:val="right" w:pos="904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1.3.3  本次招标的质量要求：见供应商须知前附表。 </w:t>
      </w:r>
    </w:p>
    <w:p w14:paraId="3BE6272C">
      <w:pPr>
        <w:tabs>
          <w:tab w:val="right" w:pos="904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1.3.4  本次招标的质保期要求：见供应商须知前附表。 </w:t>
      </w:r>
      <w:r>
        <w:rPr>
          <w:rFonts w:hint="eastAsia" w:ascii="宋体" w:hAnsi="宋体" w:cs="宋体"/>
          <w:sz w:val="24"/>
          <w:highlight w:val="none"/>
        </w:rPr>
        <w:tab/>
      </w:r>
    </w:p>
    <w:p w14:paraId="5852C90F">
      <w:pPr>
        <w:spacing w:line="500" w:lineRule="exact"/>
        <w:ind w:firstLine="482" w:firstLineChars="200"/>
        <w:rPr>
          <w:rFonts w:ascii="宋体" w:hAnsi="宋体" w:cs="宋体"/>
          <w:b/>
          <w:bCs/>
          <w:sz w:val="24"/>
          <w:highlight w:val="none"/>
        </w:rPr>
      </w:pPr>
      <w:bookmarkStart w:id="33" w:name="_Toc279599774"/>
      <w:bookmarkStart w:id="34" w:name="_Toc274249578"/>
      <w:bookmarkStart w:id="35" w:name="_Toc403122495"/>
      <w:bookmarkStart w:id="36" w:name="_Toc426369483"/>
      <w:r>
        <w:rPr>
          <w:rFonts w:hint="eastAsia" w:ascii="宋体" w:hAnsi="宋体" w:cs="宋体"/>
          <w:b/>
          <w:bCs/>
          <w:sz w:val="24"/>
          <w:highlight w:val="none"/>
        </w:rPr>
        <w:t>1.4 供应商资格要求</w:t>
      </w:r>
      <w:bookmarkEnd w:id="33"/>
      <w:bookmarkEnd w:id="34"/>
      <w:bookmarkEnd w:id="35"/>
      <w:bookmarkEnd w:id="36"/>
    </w:p>
    <w:p w14:paraId="5D2155F2">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1.4.1 供应商应具备承担本招标项目的资质条件。 </w:t>
      </w:r>
    </w:p>
    <w:p w14:paraId="1993D62C">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（1）供应商资质条件：见供应商须知前附表； </w:t>
      </w:r>
    </w:p>
    <w:p w14:paraId="7CDBFBDC">
      <w:pPr>
        <w:spacing w:line="500" w:lineRule="exact"/>
        <w:ind w:firstLine="480" w:firstLineChars="200"/>
        <w:rPr>
          <w:rFonts w:ascii="宋体" w:hAnsi="宋体" w:cs="宋体"/>
          <w:sz w:val="24"/>
          <w:highlight w:val="none"/>
        </w:rPr>
      </w:pPr>
      <w:bookmarkStart w:id="37" w:name="_Toc274249579"/>
      <w:bookmarkStart w:id="38" w:name="_Toc279599775"/>
      <w:bookmarkStart w:id="39" w:name="_Toc403122496"/>
      <w:r>
        <w:rPr>
          <w:rFonts w:hint="eastAsia" w:ascii="宋体" w:hAnsi="宋体" w:cs="宋体"/>
          <w:sz w:val="24"/>
          <w:highlight w:val="none"/>
        </w:rPr>
        <w:t>1.4.2 本次招标不接受联合体投标。</w:t>
      </w:r>
    </w:p>
    <w:p w14:paraId="183BE704">
      <w:pPr>
        <w:spacing w:line="500" w:lineRule="exact"/>
        <w:ind w:firstLine="482" w:firstLineChars="200"/>
        <w:rPr>
          <w:rFonts w:ascii="宋体" w:hAnsi="宋体" w:cs="宋体"/>
          <w:b/>
          <w:bCs/>
          <w:sz w:val="24"/>
          <w:highlight w:val="none"/>
        </w:rPr>
      </w:pPr>
      <w:bookmarkStart w:id="40" w:name="_Toc426369484"/>
      <w:r>
        <w:rPr>
          <w:rFonts w:hint="eastAsia" w:ascii="宋体" w:hAnsi="宋体" w:cs="宋体"/>
          <w:b/>
          <w:bCs/>
          <w:sz w:val="24"/>
          <w:highlight w:val="none"/>
        </w:rPr>
        <w:t>1.5 费用承担</w:t>
      </w:r>
      <w:bookmarkEnd w:id="37"/>
      <w:bookmarkEnd w:id="38"/>
      <w:bookmarkEnd w:id="39"/>
      <w:bookmarkEnd w:id="40"/>
    </w:p>
    <w:p w14:paraId="15F3A35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供应商准备和参加投标活动发生的费用自理。 </w:t>
      </w:r>
    </w:p>
    <w:p w14:paraId="302D826B">
      <w:pPr>
        <w:spacing w:line="500" w:lineRule="exact"/>
        <w:ind w:firstLine="482" w:firstLineChars="200"/>
        <w:rPr>
          <w:rFonts w:ascii="宋体" w:hAnsi="宋体" w:cs="宋体"/>
          <w:b/>
          <w:bCs/>
          <w:sz w:val="24"/>
          <w:highlight w:val="none"/>
        </w:rPr>
      </w:pPr>
      <w:bookmarkStart w:id="41" w:name="_Toc426369485"/>
      <w:bookmarkStart w:id="42" w:name="_Toc403122497"/>
      <w:r>
        <w:rPr>
          <w:rFonts w:hint="eastAsia" w:ascii="宋体" w:hAnsi="宋体" w:cs="宋体"/>
          <w:b/>
          <w:bCs/>
          <w:sz w:val="24"/>
          <w:highlight w:val="none"/>
        </w:rPr>
        <w:t>1.6 保密</w:t>
      </w:r>
      <w:bookmarkEnd w:id="41"/>
      <w:bookmarkEnd w:id="42"/>
    </w:p>
    <w:p w14:paraId="29FE7E4B">
      <w:pPr>
        <w:spacing w:line="500" w:lineRule="exact"/>
        <w:ind w:firstLine="480" w:firstLineChars="200"/>
        <w:rPr>
          <w:rFonts w:ascii="宋体" w:hAnsi="宋体" w:cs="宋体"/>
          <w:sz w:val="24"/>
          <w:highlight w:val="none"/>
        </w:rPr>
      </w:pPr>
      <w:r>
        <w:rPr>
          <w:rFonts w:hint="eastAsia" w:ascii="宋体" w:hAnsi="宋体" w:cs="宋体"/>
          <w:sz w:val="24"/>
          <w:highlight w:val="none"/>
        </w:rPr>
        <w:t>参与招标投标活动的各方应对招标文件和投标文件中的商业和技术等秘密保密，违者应对由此造成的后果承担法律责任。</w:t>
      </w:r>
    </w:p>
    <w:p w14:paraId="79FA8A19">
      <w:pPr>
        <w:spacing w:line="500" w:lineRule="exact"/>
        <w:ind w:firstLine="482" w:firstLineChars="200"/>
        <w:rPr>
          <w:rFonts w:ascii="宋体" w:hAnsi="宋体" w:cs="宋体"/>
          <w:b/>
          <w:bCs/>
          <w:sz w:val="24"/>
          <w:highlight w:val="none"/>
        </w:rPr>
      </w:pPr>
      <w:bookmarkStart w:id="43" w:name="_Toc279599777"/>
      <w:bookmarkStart w:id="44" w:name="_Toc274249581"/>
      <w:bookmarkStart w:id="45" w:name="_Toc426369486"/>
      <w:bookmarkStart w:id="46" w:name="_Toc403122498"/>
      <w:r>
        <w:rPr>
          <w:rFonts w:hint="eastAsia" w:ascii="宋体" w:hAnsi="宋体" w:cs="宋体"/>
          <w:b/>
          <w:bCs/>
          <w:sz w:val="24"/>
          <w:highlight w:val="none"/>
        </w:rPr>
        <w:t>1.7 语言文字</w:t>
      </w:r>
      <w:bookmarkEnd w:id="43"/>
      <w:bookmarkEnd w:id="44"/>
      <w:bookmarkEnd w:id="45"/>
      <w:bookmarkEnd w:id="46"/>
      <w:r>
        <w:rPr>
          <w:rFonts w:hint="eastAsia" w:ascii="宋体" w:hAnsi="宋体" w:cs="宋体"/>
          <w:b/>
          <w:bCs/>
          <w:sz w:val="24"/>
          <w:highlight w:val="none"/>
        </w:rPr>
        <w:t xml:space="preserve"> </w:t>
      </w:r>
    </w:p>
    <w:p w14:paraId="0E20253C">
      <w:pPr>
        <w:spacing w:line="500" w:lineRule="exact"/>
        <w:ind w:firstLine="480" w:firstLineChars="200"/>
        <w:rPr>
          <w:rFonts w:ascii="宋体" w:hAnsi="宋体" w:cs="宋体"/>
          <w:sz w:val="24"/>
          <w:highlight w:val="none"/>
        </w:rPr>
      </w:pPr>
      <w:r>
        <w:rPr>
          <w:rFonts w:hint="eastAsia" w:ascii="宋体" w:hAnsi="宋体" w:cs="宋体"/>
          <w:sz w:val="24"/>
          <w:highlight w:val="none"/>
        </w:rPr>
        <w:t>1.7.1 采购文件以及投标人与采购人、采购代理机构就有关投标事宜的所有来往函电均应使用简体中文书写。</w:t>
      </w:r>
    </w:p>
    <w:p w14:paraId="24C7794E">
      <w:pPr>
        <w:spacing w:line="500" w:lineRule="exact"/>
        <w:ind w:firstLine="480" w:firstLineChars="200"/>
        <w:rPr>
          <w:rFonts w:ascii="宋体" w:hAnsi="宋体" w:cs="宋体"/>
          <w:b/>
          <w:bCs/>
          <w:sz w:val="24"/>
          <w:highlight w:val="none"/>
        </w:rPr>
      </w:pPr>
      <w:r>
        <w:rPr>
          <w:rFonts w:hint="eastAsia" w:ascii="宋体" w:hAnsi="宋体" w:cs="宋体"/>
          <w:sz w:val="24"/>
          <w:highlight w:val="none"/>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7" w:name="_Toc426369487"/>
      <w:bookmarkStart w:id="48" w:name="_Toc403122499"/>
    </w:p>
    <w:p w14:paraId="41C68C74">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1.8 计量单位</w:t>
      </w:r>
      <w:bookmarkEnd w:id="47"/>
      <w:bookmarkEnd w:id="48"/>
    </w:p>
    <w:p w14:paraId="239C7E5B">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1.8.1关于投标计量单位，采购文件已有明确规定的，使用采购文件规定的计量单位；采购文件没有规定的，应采用中华人民共和国法定计量单位。 </w:t>
      </w:r>
    </w:p>
    <w:p w14:paraId="24D6DEE3">
      <w:pPr>
        <w:spacing w:line="500" w:lineRule="exact"/>
        <w:ind w:firstLine="480" w:firstLineChars="200"/>
        <w:rPr>
          <w:rFonts w:ascii="宋体" w:hAnsi="宋体" w:cs="宋体"/>
          <w:sz w:val="24"/>
          <w:highlight w:val="none"/>
        </w:rPr>
      </w:pPr>
      <w:r>
        <w:rPr>
          <w:rFonts w:hint="eastAsia" w:ascii="宋体" w:hAnsi="宋体" w:cs="宋体"/>
          <w:sz w:val="24"/>
          <w:highlight w:val="none"/>
        </w:rPr>
        <w:t>1.8.2本响应性文件所表述的时间均为北京时间。</w:t>
      </w:r>
    </w:p>
    <w:p w14:paraId="0F13CB77">
      <w:pPr>
        <w:spacing w:line="500" w:lineRule="exact"/>
        <w:ind w:firstLine="482" w:firstLineChars="200"/>
        <w:rPr>
          <w:rFonts w:ascii="宋体" w:hAnsi="宋体" w:cs="宋体"/>
          <w:b/>
          <w:bCs/>
          <w:sz w:val="24"/>
          <w:highlight w:val="none"/>
        </w:rPr>
      </w:pPr>
      <w:bookmarkStart w:id="49" w:name="_Toc279599779"/>
      <w:bookmarkStart w:id="50" w:name="_Toc426369488"/>
      <w:bookmarkStart w:id="51" w:name="_Toc274249583"/>
      <w:bookmarkStart w:id="52" w:name="_Toc403122500"/>
      <w:r>
        <w:rPr>
          <w:rFonts w:hint="eastAsia" w:ascii="宋体" w:hAnsi="宋体" w:cs="宋体"/>
          <w:b/>
          <w:bCs/>
          <w:sz w:val="24"/>
          <w:highlight w:val="none"/>
        </w:rPr>
        <w:t>1.9 踏勘现场</w:t>
      </w:r>
      <w:bookmarkEnd w:id="49"/>
      <w:bookmarkEnd w:id="50"/>
      <w:bookmarkEnd w:id="51"/>
      <w:bookmarkEnd w:id="52"/>
    </w:p>
    <w:p w14:paraId="54F1AE6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1.9.1  由于项目特殊性，本次招标需供应商自行勘查。 </w:t>
      </w:r>
    </w:p>
    <w:p w14:paraId="2DBF1445">
      <w:pPr>
        <w:spacing w:line="500" w:lineRule="exact"/>
        <w:ind w:firstLine="482" w:firstLineChars="200"/>
        <w:rPr>
          <w:rFonts w:ascii="宋体" w:hAnsi="宋体" w:cs="宋体"/>
          <w:b/>
          <w:bCs/>
          <w:sz w:val="24"/>
          <w:highlight w:val="none"/>
        </w:rPr>
      </w:pPr>
      <w:bookmarkStart w:id="53" w:name="_Toc274249584"/>
      <w:bookmarkStart w:id="54" w:name="_Toc403122501"/>
      <w:bookmarkStart w:id="55" w:name="_Toc279599780"/>
      <w:bookmarkStart w:id="56" w:name="_Toc426369489"/>
      <w:r>
        <w:rPr>
          <w:rFonts w:hint="eastAsia" w:ascii="宋体" w:hAnsi="宋体" w:cs="宋体"/>
          <w:b/>
          <w:bCs/>
          <w:sz w:val="24"/>
          <w:highlight w:val="none"/>
        </w:rPr>
        <w:t>1.10 投标预备会</w:t>
      </w:r>
      <w:bookmarkEnd w:id="53"/>
      <w:bookmarkEnd w:id="54"/>
      <w:bookmarkEnd w:id="55"/>
      <w:bookmarkEnd w:id="56"/>
    </w:p>
    <w:p w14:paraId="559E8B07">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1.10.1 本次招标不召开投标预备会。 </w:t>
      </w:r>
    </w:p>
    <w:p w14:paraId="08A7B817">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1.10.2 供应商应在供应商须知前附表规定的时间前，以书面形式将提出的问题送达招标代理人。 </w:t>
      </w:r>
    </w:p>
    <w:p w14:paraId="13BBB9A0">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1.10.3 采购人在供应商须知前附表规定的时间内，将对供应商所提问题的澄清，以书面方式通知所有已领取招标文件的供应商。该澄清内容为招标文件的组成部分。 </w:t>
      </w:r>
    </w:p>
    <w:p w14:paraId="2B278612">
      <w:pPr>
        <w:spacing w:line="500" w:lineRule="exact"/>
        <w:ind w:firstLine="482" w:firstLineChars="200"/>
        <w:rPr>
          <w:rFonts w:ascii="宋体" w:hAnsi="宋体" w:cs="宋体"/>
          <w:b/>
          <w:bCs/>
          <w:sz w:val="24"/>
          <w:highlight w:val="none"/>
        </w:rPr>
      </w:pPr>
      <w:bookmarkStart w:id="57" w:name="_Toc274249585"/>
      <w:bookmarkStart w:id="58" w:name="_Toc426369490"/>
      <w:bookmarkStart w:id="59" w:name="_Toc403122502"/>
      <w:bookmarkStart w:id="60" w:name="_Toc279599781"/>
      <w:r>
        <w:rPr>
          <w:rFonts w:hint="eastAsia" w:ascii="宋体" w:hAnsi="宋体" w:cs="宋体"/>
          <w:b/>
          <w:bCs/>
          <w:sz w:val="24"/>
          <w:highlight w:val="none"/>
        </w:rPr>
        <w:t>1.11 分包</w:t>
      </w:r>
      <w:bookmarkEnd w:id="57"/>
      <w:bookmarkEnd w:id="58"/>
      <w:bookmarkEnd w:id="59"/>
      <w:bookmarkEnd w:id="60"/>
    </w:p>
    <w:p w14:paraId="27F62A6B">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本次招标项目不允许分包。 </w:t>
      </w:r>
    </w:p>
    <w:p w14:paraId="45177396">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61" w:name="_Toc28663"/>
      <w:bookmarkStart w:id="62" w:name="_Toc27006"/>
      <w:bookmarkStart w:id="63" w:name="_Toc9121"/>
      <w:r>
        <w:rPr>
          <w:rFonts w:hint="eastAsia" w:ascii="宋体" w:hAnsi="宋体" w:eastAsia="宋体" w:cs="宋体"/>
          <w:sz w:val="24"/>
          <w:szCs w:val="24"/>
          <w:highlight w:val="none"/>
        </w:rPr>
        <w:t>2. 招标文件</w:t>
      </w:r>
      <w:bookmarkEnd w:id="18"/>
      <w:bookmarkEnd w:id="19"/>
      <w:bookmarkEnd w:id="20"/>
      <w:bookmarkEnd w:id="61"/>
      <w:bookmarkEnd w:id="62"/>
      <w:bookmarkEnd w:id="63"/>
    </w:p>
    <w:p w14:paraId="616FAB9B">
      <w:pPr>
        <w:spacing w:line="500" w:lineRule="exact"/>
        <w:ind w:firstLine="482" w:firstLineChars="200"/>
        <w:rPr>
          <w:rFonts w:ascii="宋体" w:hAnsi="宋体" w:cs="宋体"/>
          <w:b/>
          <w:bCs/>
          <w:sz w:val="24"/>
          <w:highlight w:val="none"/>
        </w:rPr>
      </w:pPr>
      <w:bookmarkStart w:id="64" w:name="_Toc279599783"/>
      <w:bookmarkStart w:id="65" w:name="_Toc274249587"/>
      <w:bookmarkStart w:id="66" w:name="_Toc426369492"/>
      <w:bookmarkStart w:id="67" w:name="_Toc403122504"/>
      <w:r>
        <w:rPr>
          <w:rFonts w:hint="eastAsia" w:ascii="宋体" w:hAnsi="宋体" w:cs="宋体"/>
          <w:b/>
          <w:bCs/>
          <w:sz w:val="24"/>
          <w:highlight w:val="none"/>
        </w:rPr>
        <w:t>2.1 招标文件的组成</w:t>
      </w:r>
      <w:bookmarkEnd w:id="64"/>
      <w:bookmarkEnd w:id="65"/>
      <w:bookmarkEnd w:id="66"/>
      <w:bookmarkEnd w:id="67"/>
    </w:p>
    <w:p w14:paraId="30EDCAF5">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本招标文件包括： </w:t>
      </w:r>
    </w:p>
    <w:p w14:paraId="3F0BF51D">
      <w:pPr>
        <w:numPr>
          <w:ilvl w:val="0"/>
          <w:numId w:val="4"/>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招标公告；</w:t>
      </w:r>
    </w:p>
    <w:p w14:paraId="20E7E34E">
      <w:pPr>
        <w:numPr>
          <w:ilvl w:val="0"/>
          <w:numId w:val="4"/>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供应商须知； </w:t>
      </w:r>
    </w:p>
    <w:p w14:paraId="513A86C5">
      <w:pPr>
        <w:numPr>
          <w:ilvl w:val="0"/>
          <w:numId w:val="4"/>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评标办法（综合评分法）； </w:t>
      </w:r>
    </w:p>
    <w:p w14:paraId="376116D7">
      <w:pPr>
        <w:numPr>
          <w:ilvl w:val="0"/>
          <w:numId w:val="4"/>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合同条款及格式； </w:t>
      </w:r>
    </w:p>
    <w:p w14:paraId="617493C1">
      <w:pPr>
        <w:numPr>
          <w:ilvl w:val="0"/>
          <w:numId w:val="4"/>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采购需求及参数；</w:t>
      </w:r>
    </w:p>
    <w:p w14:paraId="2FEBAC66">
      <w:pPr>
        <w:numPr>
          <w:ilvl w:val="0"/>
          <w:numId w:val="4"/>
        </w:numPr>
        <w:tabs>
          <w:tab w:val="left" w:pos="525"/>
          <w:tab w:val="left" w:pos="63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投标文件格式； </w:t>
      </w:r>
    </w:p>
    <w:p w14:paraId="76D27C18">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根据本章第 1.10 款、第 2.2 款和第2.3款对招标文件所作的澄清、修改，构成招标文件的组成部分。 </w:t>
      </w:r>
    </w:p>
    <w:p w14:paraId="76CF0249">
      <w:pPr>
        <w:spacing w:line="500" w:lineRule="exact"/>
        <w:ind w:firstLine="482" w:firstLineChars="200"/>
        <w:rPr>
          <w:rFonts w:ascii="宋体" w:hAnsi="宋体" w:cs="宋体"/>
          <w:b/>
          <w:bCs/>
          <w:sz w:val="24"/>
          <w:highlight w:val="none"/>
        </w:rPr>
      </w:pPr>
      <w:bookmarkStart w:id="68" w:name="_Toc426369493"/>
      <w:bookmarkStart w:id="69" w:name="_Toc279599784"/>
      <w:bookmarkStart w:id="70" w:name="_Toc403122505"/>
      <w:bookmarkStart w:id="71" w:name="_Toc274249588"/>
      <w:r>
        <w:rPr>
          <w:rFonts w:hint="eastAsia" w:ascii="宋体" w:hAnsi="宋体" w:cs="宋体"/>
          <w:b/>
          <w:bCs/>
          <w:sz w:val="24"/>
          <w:highlight w:val="none"/>
        </w:rPr>
        <w:t>2.2 招标文件的澄清</w:t>
      </w:r>
      <w:bookmarkEnd w:id="68"/>
      <w:bookmarkEnd w:id="69"/>
      <w:bookmarkEnd w:id="70"/>
      <w:bookmarkEnd w:id="71"/>
    </w:p>
    <w:p w14:paraId="7ECB6B54">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14:paraId="498A4BE4">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14:paraId="63E9F5A6">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2.2.3 供应商在收到澄清后，应在供应商须知前附表规定的时间内以书面形式通知采购人，确认已收到该澄清。 </w:t>
      </w:r>
    </w:p>
    <w:p w14:paraId="5BBC0041">
      <w:pPr>
        <w:spacing w:line="500" w:lineRule="exact"/>
        <w:ind w:firstLine="482" w:firstLineChars="200"/>
        <w:rPr>
          <w:rFonts w:ascii="宋体" w:hAnsi="宋体" w:cs="宋体"/>
          <w:b/>
          <w:bCs/>
          <w:sz w:val="24"/>
          <w:highlight w:val="none"/>
        </w:rPr>
      </w:pPr>
      <w:bookmarkStart w:id="72" w:name="_Toc279599785"/>
      <w:bookmarkStart w:id="73" w:name="_Toc426369494"/>
      <w:bookmarkStart w:id="74" w:name="_Toc274249589"/>
      <w:bookmarkStart w:id="75" w:name="_Toc403122506"/>
      <w:r>
        <w:rPr>
          <w:rFonts w:hint="eastAsia" w:ascii="宋体" w:hAnsi="宋体" w:cs="宋体"/>
          <w:b/>
          <w:bCs/>
          <w:sz w:val="24"/>
          <w:highlight w:val="none"/>
        </w:rPr>
        <w:t>2.3 招标文件的修改</w:t>
      </w:r>
      <w:bookmarkEnd w:id="72"/>
      <w:bookmarkEnd w:id="73"/>
      <w:bookmarkEnd w:id="74"/>
      <w:bookmarkEnd w:id="75"/>
    </w:p>
    <w:p w14:paraId="279AD021">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14:paraId="7859FF97">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2.3.2  供应商收到修改内容后，应在供应商须知前附表规定的时间内以书面形式通知采购人，确认已收到该修改。 </w:t>
      </w:r>
      <w:bookmarkStart w:id="76" w:name="_Toc23265"/>
      <w:bookmarkStart w:id="77" w:name="_Toc426369495"/>
      <w:bookmarkStart w:id="78" w:name="_Toc403122507"/>
    </w:p>
    <w:p w14:paraId="4B487E62">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79" w:name="_Toc226"/>
      <w:bookmarkStart w:id="80" w:name="_Toc22914"/>
      <w:bookmarkStart w:id="81" w:name="_Toc13865"/>
      <w:r>
        <w:rPr>
          <w:rFonts w:hint="eastAsia" w:ascii="宋体" w:hAnsi="宋体" w:eastAsia="宋体" w:cs="宋体"/>
          <w:sz w:val="24"/>
          <w:szCs w:val="24"/>
          <w:highlight w:val="none"/>
        </w:rPr>
        <w:t>3. 投标文件</w:t>
      </w:r>
      <w:bookmarkEnd w:id="76"/>
      <w:bookmarkEnd w:id="77"/>
      <w:bookmarkEnd w:id="78"/>
      <w:bookmarkEnd w:id="79"/>
      <w:bookmarkEnd w:id="80"/>
      <w:bookmarkEnd w:id="81"/>
    </w:p>
    <w:p w14:paraId="685875D8">
      <w:pPr>
        <w:spacing w:line="500" w:lineRule="exact"/>
        <w:ind w:firstLine="482" w:firstLineChars="200"/>
        <w:rPr>
          <w:rFonts w:ascii="宋体" w:hAnsi="宋体" w:cs="宋体"/>
          <w:b/>
          <w:bCs/>
          <w:sz w:val="24"/>
          <w:highlight w:val="none"/>
        </w:rPr>
      </w:pPr>
      <w:bookmarkStart w:id="82" w:name="_Toc403122508"/>
      <w:bookmarkStart w:id="83" w:name="_Toc274249591"/>
      <w:bookmarkStart w:id="84" w:name="_Toc426369496"/>
      <w:bookmarkStart w:id="85" w:name="_Toc279599787"/>
      <w:r>
        <w:rPr>
          <w:rFonts w:hint="eastAsia" w:ascii="宋体" w:hAnsi="宋体" w:cs="宋体"/>
          <w:b/>
          <w:bCs/>
          <w:sz w:val="24"/>
          <w:highlight w:val="none"/>
        </w:rPr>
        <w:t>3.1 投标文件的组成</w:t>
      </w:r>
      <w:bookmarkEnd w:id="82"/>
      <w:bookmarkEnd w:id="83"/>
      <w:bookmarkEnd w:id="84"/>
      <w:bookmarkEnd w:id="85"/>
    </w:p>
    <w:p w14:paraId="06B5AE50">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3.1.1 投标文件应包括下列内容： </w:t>
      </w:r>
    </w:p>
    <w:p w14:paraId="72D8EE01">
      <w:pPr>
        <w:spacing w:line="500" w:lineRule="exact"/>
        <w:ind w:firstLine="480" w:firstLineChars="200"/>
        <w:rPr>
          <w:rFonts w:ascii="宋体" w:hAnsi="宋体" w:cs="宋体"/>
          <w:sz w:val="24"/>
          <w:highlight w:val="none"/>
        </w:rPr>
      </w:pPr>
      <w:bookmarkStart w:id="86" w:name="_Toc279599788"/>
      <w:bookmarkStart w:id="87" w:name="_Toc403122509"/>
      <w:bookmarkStart w:id="88" w:name="_Toc274249592"/>
      <w:bookmarkStart w:id="89" w:name="_Toc426369497"/>
      <w:r>
        <w:rPr>
          <w:rFonts w:hint="eastAsia" w:ascii="宋体" w:hAnsi="宋体" w:cs="宋体"/>
          <w:sz w:val="24"/>
          <w:highlight w:val="none"/>
        </w:rPr>
        <w:t>一、投标函及开标一览表</w:t>
      </w:r>
    </w:p>
    <w:p w14:paraId="4ABBB7AD">
      <w:pPr>
        <w:spacing w:line="500" w:lineRule="exact"/>
        <w:ind w:firstLine="480" w:firstLineChars="200"/>
        <w:rPr>
          <w:rFonts w:ascii="宋体" w:hAnsi="宋体" w:cs="宋体"/>
          <w:sz w:val="24"/>
          <w:highlight w:val="none"/>
        </w:rPr>
      </w:pPr>
      <w:r>
        <w:rPr>
          <w:rFonts w:hint="eastAsia" w:ascii="宋体" w:hAnsi="宋体" w:cs="宋体"/>
          <w:sz w:val="24"/>
          <w:highlight w:val="none"/>
        </w:rPr>
        <w:t>（一）投标函</w:t>
      </w:r>
    </w:p>
    <w:p w14:paraId="6827C069">
      <w:pPr>
        <w:spacing w:line="500" w:lineRule="exact"/>
        <w:ind w:firstLine="480" w:firstLineChars="200"/>
        <w:rPr>
          <w:rFonts w:ascii="宋体" w:hAnsi="宋体" w:cs="宋体"/>
          <w:sz w:val="24"/>
          <w:highlight w:val="none"/>
        </w:rPr>
      </w:pPr>
      <w:r>
        <w:rPr>
          <w:rFonts w:hint="eastAsia" w:ascii="宋体" w:hAnsi="宋体" w:cs="宋体"/>
          <w:sz w:val="24"/>
          <w:highlight w:val="none"/>
        </w:rPr>
        <w:t>（二）开标一览表</w:t>
      </w:r>
    </w:p>
    <w:p w14:paraId="079D32F6">
      <w:pPr>
        <w:spacing w:line="500" w:lineRule="exact"/>
        <w:ind w:firstLine="480" w:firstLineChars="200"/>
        <w:rPr>
          <w:rFonts w:ascii="宋体" w:hAnsi="宋体" w:cs="宋体"/>
          <w:sz w:val="24"/>
          <w:highlight w:val="none"/>
        </w:rPr>
      </w:pPr>
      <w:r>
        <w:rPr>
          <w:rFonts w:hint="eastAsia" w:ascii="宋体" w:hAnsi="宋体" w:cs="宋体"/>
          <w:sz w:val="24"/>
          <w:highlight w:val="none"/>
        </w:rPr>
        <w:t>（三）报价明细表</w:t>
      </w:r>
    </w:p>
    <w:p w14:paraId="72286B56">
      <w:pPr>
        <w:spacing w:line="500" w:lineRule="exact"/>
        <w:ind w:firstLine="480" w:firstLineChars="200"/>
        <w:rPr>
          <w:rFonts w:ascii="宋体" w:hAnsi="宋体" w:cs="宋体"/>
          <w:sz w:val="24"/>
          <w:highlight w:val="none"/>
        </w:rPr>
      </w:pPr>
      <w:r>
        <w:rPr>
          <w:rFonts w:hint="eastAsia" w:ascii="宋体" w:hAnsi="宋体" w:cs="宋体"/>
          <w:sz w:val="24"/>
          <w:highlight w:val="none"/>
        </w:rPr>
        <w:t>二、法定代表人身份证明书</w:t>
      </w:r>
    </w:p>
    <w:p w14:paraId="5A8873D9">
      <w:pPr>
        <w:spacing w:line="500" w:lineRule="exact"/>
        <w:ind w:firstLine="480" w:firstLineChars="200"/>
        <w:rPr>
          <w:rFonts w:ascii="宋体" w:hAnsi="宋体" w:cs="宋体"/>
          <w:sz w:val="24"/>
          <w:highlight w:val="none"/>
        </w:rPr>
      </w:pPr>
      <w:r>
        <w:rPr>
          <w:rFonts w:hint="eastAsia" w:ascii="宋体" w:hAnsi="宋体" w:cs="宋体"/>
          <w:sz w:val="24"/>
          <w:highlight w:val="none"/>
        </w:rPr>
        <w:t>三、授权委托书</w:t>
      </w:r>
    </w:p>
    <w:p w14:paraId="145C4490">
      <w:pPr>
        <w:spacing w:line="500" w:lineRule="exact"/>
        <w:ind w:firstLine="480" w:firstLineChars="200"/>
        <w:rPr>
          <w:rFonts w:ascii="宋体" w:hAnsi="宋体" w:cs="宋体"/>
          <w:sz w:val="24"/>
          <w:highlight w:val="none"/>
        </w:rPr>
      </w:pPr>
      <w:r>
        <w:rPr>
          <w:rFonts w:hint="eastAsia" w:ascii="宋体" w:hAnsi="宋体" w:cs="宋体"/>
          <w:sz w:val="24"/>
          <w:highlight w:val="none"/>
        </w:rPr>
        <w:t>四、项目实施方案等</w:t>
      </w:r>
    </w:p>
    <w:p w14:paraId="6B25100C">
      <w:pPr>
        <w:spacing w:line="500" w:lineRule="exact"/>
        <w:ind w:firstLine="480" w:firstLineChars="200"/>
        <w:rPr>
          <w:rFonts w:ascii="宋体" w:hAnsi="宋体" w:cs="宋体"/>
          <w:sz w:val="24"/>
          <w:highlight w:val="none"/>
        </w:rPr>
      </w:pPr>
      <w:r>
        <w:rPr>
          <w:rFonts w:hint="eastAsia" w:ascii="宋体" w:hAnsi="宋体" w:cs="宋体"/>
          <w:sz w:val="24"/>
          <w:highlight w:val="none"/>
        </w:rPr>
        <w:t>五、资格证明文件；</w:t>
      </w:r>
    </w:p>
    <w:p w14:paraId="6240A5D5">
      <w:pPr>
        <w:spacing w:line="500" w:lineRule="exact"/>
        <w:ind w:firstLine="480" w:firstLineChars="200"/>
        <w:rPr>
          <w:rFonts w:ascii="宋体" w:hAnsi="宋体" w:cs="宋体"/>
          <w:sz w:val="24"/>
          <w:highlight w:val="none"/>
        </w:rPr>
      </w:pPr>
      <w:r>
        <w:rPr>
          <w:rFonts w:hint="eastAsia" w:ascii="宋体" w:hAnsi="宋体" w:cs="宋体"/>
          <w:sz w:val="24"/>
          <w:highlight w:val="none"/>
        </w:rPr>
        <w:t>六、供应商服务承诺和优惠承诺</w:t>
      </w:r>
    </w:p>
    <w:p w14:paraId="56266585">
      <w:pPr>
        <w:spacing w:line="500" w:lineRule="exact"/>
        <w:ind w:firstLine="480" w:firstLineChars="200"/>
        <w:rPr>
          <w:rFonts w:ascii="宋体" w:hAnsi="宋体" w:cs="宋体"/>
          <w:sz w:val="24"/>
          <w:highlight w:val="none"/>
        </w:rPr>
      </w:pPr>
      <w:r>
        <w:rPr>
          <w:rFonts w:hint="eastAsia" w:ascii="宋体" w:hAnsi="宋体" w:cs="宋体"/>
          <w:sz w:val="24"/>
          <w:highlight w:val="none"/>
        </w:rPr>
        <w:t>七、供应商所投产品属于当期政府采购清单规定的节能环保产品的证明材料；</w:t>
      </w:r>
    </w:p>
    <w:p w14:paraId="059802CD">
      <w:pPr>
        <w:spacing w:line="500" w:lineRule="exact"/>
        <w:ind w:firstLine="480" w:firstLineChars="200"/>
        <w:rPr>
          <w:rFonts w:ascii="宋体" w:hAnsi="宋体" w:cs="宋体"/>
          <w:sz w:val="24"/>
          <w:highlight w:val="none"/>
        </w:rPr>
      </w:pPr>
      <w:r>
        <w:rPr>
          <w:rFonts w:hint="eastAsia" w:ascii="宋体" w:hAnsi="宋体" w:cs="宋体"/>
          <w:sz w:val="24"/>
          <w:highlight w:val="none"/>
        </w:rPr>
        <w:t>八、中小企业声明函</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sz w:val="24"/>
          <w:highlight w:val="none"/>
        </w:rPr>
        <w:t>；</w:t>
      </w:r>
    </w:p>
    <w:p w14:paraId="63B01D14">
      <w:pPr>
        <w:spacing w:line="500" w:lineRule="exact"/>
        <w:ind w:firstLine="480" w:firstLineChars="200"/>
        <w:rPr>
          <w:rFonts w:ascii="宋体" w:hAnsi="宋体" w:cs="宋体"/>
          <w:sz w:val="24"/>
          <w:highlight w:val="none"/>
        </w:rPr>
      </w:pPr>
      <w:r>
        <w:rPr>
          <w:rFonts w:hint="eastAsia" w:ascii="宋体" w:hAnsi="宋体" w:cs="宋体"/>
          <w:sz w:val="24"/>
          <w:highlight w:val="none"/>
        </w:rPr>
        <w:t>九、残疾人福利性单位声明函（如有）；</w:t>
      </w:r>
    </w:p>
    <w:p w14:paraId="66932B90">
      <w:pPr>
        <w:spacing w:line="500" w:lineRule="exact"/>
        <w:ind w:firstLine="480" w:firstLineChars="200"/>
        <w:rPr>
          <w:rFonts w:ascii="宋体" w:hAnsi="宋体" w:cs="宋体"/>
          <w:sz w:val="24"/>
          <w:highlight w:val="none"/>
        </w:rPr>
      </w:pPr>
      <w:r>
        <w:rPr>
          <w:rFonts w:hint="eastAsia" w:ascii="宋体" w:hAnsi="宋体" w:cs="宋体"/>
          <w:sz w:val="24"/>
          <w:highlight w:val="none"/>
        </w:rPr>
        <w:t>十、招标文件要求的或投标人认为需要加以说明的其他内容。</w:t>
      </w:r>
    </w:p>
    <w:p w14:paraId="1B09A576">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w:t>
      </w:r>
      <w:r>
        <w:rPr>
          <w:rFonts w:hint="eastAsia" w:ascii="宋体" w:hAnsi="宋体" w:cs="宋体"/>
          <w:b/>
          <w:bCs/>
          <w:sz w:val="24"/>
          <w:highlight w:val="none"/>
          <w:lang w:val="en-US" w:eastAsia="zh-CN"/>
        </w:rPr>
        <w:t>在</w:t>
      </w:r>
      <w:r>
        <w:rPr>
          <w:rFonts w:hint="eastAsia" w:ascii="宋体" w:hAnsi="宋体" w:cs="宋体"/>
          <w:b/>
          <w:bCs/>
          <w:sz w:val="24"/>
          <w:highlight w:val="none"/>
        </w:rPr>
        <w:t>经营活动中没有重大违法记录相关证明材料。</w:t>
      </w:r>
    </w:p>
    <w:p w14:paraId="1B18ECEE">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A56DD12">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3.2 投标报价</w:t>
      </w:r>
      <w:bookmarkEnd w:id="86"/>
      <w:bookmarkEnd w:id="87"/>
      <w:bookmarkEnd w:id="88"/>
      <w:bookmarkEnd w:id="89"/>
    </w:p>
    <w:p w14:paraId="5618A72B">
      <w:pPr>
        <w:spacing w:line="500" w:lineRule="exact"/>
        <w:ind w:firstLine="480" w:firstLineChars="200"/>
        <w:rPr>
          <w:rFonts w:ascii="宋体" w:hAnsi="宋体" w:cs="宋体"/>
          <w:sz w:val="24"/>
          <w:highlight w:val="none"/>
        </w:rPr>
      </w:pPr>
      <w:r>
        <w:rPr>
          <w:rFonts w:hint="eastAsia" w:ascii="宋体" w:hAnsi="宋体" w:cs="宋体"/>
          <w:sz w:val="24"/>
          <w:highlight w:val="none"/>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投标文件将被作为非响应性投标而予以拒绝。</w:t>
      </w:r>
    </w:p>
    <w:p w14:paraId="5B4FA1AA">
      <w:pPr>
        <w:spacing w:line="500" w:lineRule="exact"/>
        <w:ind w:firstLine="480" w:firstLineChars="200"/>
        <w:rPr>
          <w:rFonts w:ascii="宋体" w:hAnsi="宋体" w:cs="宋体"/>
          <w:sz w:val="24"/>
          <w:highlight w:val="none"/>
        </w:rPr>
      </w:pPr>
      <w:r>
        <w:rPr>
          <w:rFonts w:hint="eastAsia" w:ascii="宋体" w:hAnsi="宋体" w:cs="宋体"/>
          <w:sz w:val="24"/>
          <w:highlight w:val="none"/>
        </w:rPr>
        <w:t>3.2.2投标报价在中标后不得修改。</w:t>
      </w:r>
    </w:p>
    <w:p w14:paraId="101881EF">
      <w:pPr>
        <w:spacing w:line="500" w:lineRule="exact"/>
        <w:ind w:firstLine="480" w:firstLineChars="200"/>
        <w:rPr>
          <w:rFonts w:ascii="宋体" w:hAnsi="宋体" w:cs="宋体"/>
          <w:sz w:val="24"/>
          <w:highlight w:val="none"/>
        </w:rPr>
      </w:pPr>
      <w:r>
        <w:rPr>
          <w:rFonts w:hint="eastAsia" w:ascii="宋体" w:hAnsi="宋体" w:cs="宋体"/>
          <w:sz w:val="24"/>
          <w:highlight w:val="none"/>
        </w:rPr>
        <w:t>3.2.3供应商只能提出一个不变价格，采购人不接受任何选择价。</w:t>
      </w:r>
    </w:p>
    <w:p w14:paraId="21A590EB">
      <w:pPr>
        <w:spacing w:line="500" w:lineRule="exact"/>
        <w:ind w:firstLine="480" w:firstLineChars="200"/>
        <w:rPr>
          <w:rFonts w:ascii="宋体" w:hAnsi="宋体" w:cs="宋体"/>
          <w:sz w:val="24"/>
          <w:highlight w:val="none"/>
        </w:rPr>
      </w:pPr>
      <w:r>
        <w:rPr>
          <w:rFonts w:hint="eastAsia" w:ascii="宋体" w:hAnsi="宋体" w:cs="宋体"/>
          <w:sz w:val="24"/>
          <w:highlight w:val="none"/>
        </w:rPr>
        <w:t>3.2.4供应商必须对招标范围内的所有货物投标，不允许只对其中一种或几种货物投标。</w:t>
      </w:r>
    </w:p>
    <w:p w14:paraId="7D09A223">
      <w:pPr>
        <w:spacing w:line="500" w:lineRule="exact"/>
        <w:ind w:firstLine="480" w:firstLineChars="200"/>
        <w:rPr>
          <w:rFonts w:ascii="宋体" w:hAnsi="宋体" w:cs="宋体"/>
          <w:sz w:val="24"/>
          <w:highlight w:val="none"/>
        </w:rPr>
      </w:pPr>
      <w:r>
        <w:rPr>
          <w:rFonts w:hint="eastAsia" w:ascii="宋体" w:hAnsi="宋体" w:cs="宋体"/>
          <w:sz w:val="24"/>
          <w:highlight w:val="none"/>
        </w:rPr>
        <w:t>3.2.5全部报价均应以人民币为计量币种，并以人民币进行结算。</w:t>
      </w:r>
    </w:p>
    <w:p w14:paraId="11C8D551">
      <w:pPr>
        <w:spacing w:line="500" w:lineRule="exact"/>
        <w:ind w:firstLine="480" w:firstLineChars="200"/>
        <w:rPr>
          <w:rFonts w:ascii="宋体" w:hAnsi="宋体" w:cs="宋体"/>
          <w:sz w:val="24"/>
          <w:highlight w:val="none"/>
        </w:rPr>
      </w:pPr>
      <w:r>
        <w:rPr>
          <w:rFonts w:hint="eastAsia" w:ascii="宋体" w:hAnsi="宋体" w:cs="宋体"/>
          <w:sz w:val="24"/>
          <w:highlight w:val="none"/>
        </w:rPr>
        <w:t>3.2.6投标报价原则是各供应商依据自身实力、管理水平，结合企业所在地区的人工工资标准，在确保项目质量，确保项目成本的基础上，自主报价、自负盈亏。</w:t>
      </w:r>
    </w:p>
    <w:p w14:paraId="422968D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3.2.7投标文件中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w:t>
      </w:r>
    </w:p>
    <w:p w14:paraId="2E0EDF76">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同时出现两种以上不一致的，按照</w:t>
      </w:r>
      <w:r>
        <w:rPr>
          <w:rFonts w:hint="eastAsia" w:ascii="宋体" w:hAnsi="宋体" w:cs="宋体"/>
          <w:sz w:val="24"/>
          <w:highlight w:val="none"/>
          <w:lang w:eastAsia="zh-CN"/>
        </w:rPr>
        <w:t>上述</w:t>
      </w:r>
      <w:r>
        <w:rPr>
          <w:rFonts w:hint="eastAsia" w:ascii="宋体" w:hAnsi="宋体" w:cs="宋体"/>
          <w:sz w:val="24"/>
          <w:highlight w:val="none"/>
        </w:rPr>
        <w:t>规定的顺序修正。评标委员会应当以书面形式要求投标人作出必要的澄清、说明或者补正。投标人的澄清、说明或者补正不得超出投标文件的范围或者改变投标文件的实质性内容。</w:t>
      </w:r>
    </w:p>
    <w:p w14:paraId="5246A3A2">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修正后的报价经投标人</w:t>
      </w:r>
      <w:r>
        <w:rPr>
          <w:rFonts w:hint="eastAsia" w:ascii="宋体" w:hAnsi="宋体" w:cs="宋体"/>
          <w:sz w:val="24"/>
          <w:highlight w:val="none"/>
          <w:lang w:val="zh-CN"/>
        </w:rPr>
        <w:t>书面</w:t>
      </w:r>
      <w:r>
        <w:rPr>
          <w:rFonts w:hint="eastAsia" w:ascii="宋体" w:hAnsi="宋体" w:cs="宋体"/>
          <w:sz w:val="24"/>
          <w:highlight w:val="none"/>
        </w:rPr>
        <w:t>确认后产生约束力，投标人不确认的，其投标无效。</w:t>
      </w:r>
    </w:p>
    <w:p w14:paraId="1E0947E2">
      <w:pPr>
        <w:spacing w:line="500" w:lineRule="exact"/>
        <w:ind w:firstLine="482" w:firstLineChars="200"/>
        <w:rPr>
          <w:rFonts w:ascii="宋体" w:hAnsi="宋体" w:cs="宋体"/>
          <w:b/>
          <w:bCs/>
          <w:sz w:val="24"/>
          <w:highlight w:val="none"/>
        </w:rPr>
      </w:pPr>
      <w:bookmarkStart w:id="90" w:name="_Toc426369498"/>
      <w:bookmarkStart w:id="91" w:name="_Toc279599789"/>
      <w:bookmarkStart w:id="92" w:name="_Toc403122510"/>
      <w:bookmarkStart w:id="93" w:name="_Toc274249593"/>
      <w:r>
        <w:rPr>
          <w:rFonts w:hint="eastAsia" w:ascii="宋体" w:hAnsi="宋体" w:cs="宋体"/>
          <w:b/>
          <w:bCs/>
          <w:sz w:val="24"/>
          <w:highlight w:val="none"/>
        </w:rPr>
        <w:t>3.3 投标有效期</w:t>
      </w:r>
      <w:bookmarkEnd w:id="90"/>
      <w:bookmarkEnd w:id="91"/>
      <w:bookmarkEnd w:id="92"/>
      <w:bookmarkEnd w:id="93"/>
    </w:p>
    <w:p w14:paraId="50A82056">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3.3.1在供应商须知前附表规定的投标有效期内，供应商不得要求撤销或修改其投标文件。 </w:t>
      </w:r>
    </w:p>
    <w:p w14:paraId="1F83A22D">
      <w:pPr>
        <w:spacing w:line="500" w:lineRule="exact"/>
        <w:ind w:firstLine="482" w:firstLineChars="200"/>
        <w:rPr>
          <w:rFonts w:ascii="宋体" w:hAnsi="宋体" w:cs="宋体"/>
          <w:b/>
          <w:bCs/>
          <w:sz w:val="24"/>
          <w:highlight w:val="none"/>
        </w:rPr>
      </w:pPr>
      <w:bookmarkStart w:id="94" w:name="_Toc403122512"/>
      <w:bookmarkStart w:id="95" w:name="_Toc426369501"/>
      <w:bookmarkStart w:id="96" w:name="_Toc279599791"/>
      <w:bookmarkStart w:id="97" w:name="_Toc274249595"/>
      <w:r>
        <w:rPr>
          <w:rFonts w:hint="eastAsia" w:ascii="宋体" w:hAnsi="宋体" w:cs="宋体"/>
          <w:b/>
          <w:bCs/>
          <w:sz w:val="24"/>
          <w:highlight w:val="none"/>
        </w:rPr>
        <w:t>3.5 资格审查资料</w:t>
      </w:r>
      <w:bookmarkEnd w:id="94"/>
      <w:bookmarkEnd w:id="95"/>
      <w:bookmarkEnd w:id="96"/>
      <w:bookmarkEnd w:id="97"/>
    </w:p>
    <w:p w14:paraId="14ECEACA">
      <w:pPr>
        <w:spacing w:line="500" w:lineRule="exact"/>
        <w:ind w:firstLine="480" w:firstLineChars="200"/>
        <w:rPr>
          <w:rFonts w:ascii="宋体" w:hAnsi="宋体" w:cs="宋体"/>
          <w:sz w:val="24"/>
          <w:highlight w:val="none"/>
        </w:rPr>
      </w:pPr>
      <w:r>
        <w:rPr>
          <w:rFonts w:hint="eastAsia" w:ascii="宋体" w:hAnsi="宋体" w:cs="宋体"/>
          <w:sz w:val="24"/>
          <w:highlight w:val="none"/>
        </w:rPr>
        <w:t>3.5.1</w:t>
      </w:r>
      <w:r>
        <w:rPr>
          <w:rFonts w:hint="eastAsia" w:ascii="宋体" w:hAnsi="宋体" w:cs="宋体"/>
          <w:kern w:val="0"/>
          <w:sz w:val="24"/>
          <w:highlight w:val="none"/>
        </w:rPr>
        <w:t>依据“投标人须知”中的要求提交相应的资格证明文件，作为投标文件的一部分，以证明其有资格进行投标和有能力履行合同</w:t>
      </w:r>
      <w:r>
        <w:rPr>
          <w:rFonts w:hint="eastAsia" w:ascii="宋体" w:hAnsi="宋体" w:cs="宋体"/>
          <w:sz w:val="24"/>
          <w:highlight w:val="none"/>
        </w:rPr>
        <w:t xml:space="preserve">。 </w:t>
      </w:r>
    </w:p>
    <w:p w14:paraId="0B648AA2">
      <w:pPr>
        <w:spacing w:line="500" w:lineRule="exact"/>
        <w:ind w:firstLine="480" w:firstLineChars="200"/>
        <w:rPr>
          <w:rFonts w:ascii="宋体" w:hAnsi="宋体" w:cs="宋体"/>
          <w:sz w:val="24"/>
          <w:highlight w:val="none"/>
        </w:rPr>
      </w:pPr>
      <w:r>
        <w:rPr>
          <w:rFonts w:hint="eastAsia" w:ascii="宋体" w:hAnsi="宋体" w:cs="宋体"/>
          <w:sz w:val="24"/>
          <w:highlight w:val="none"/>
        </w:rPr>
        <w:t>3.5.2招标文件规定的供应商资格条件。</w:t>
      </w:r>
    </w:p>
    <w:p w14:paraId="1EAC8C7A">
      <w:pPr>
        <w:spacing w:line="500" w:lineRule="exact"/>
        <w:ind w:firstLine="482" w:firstLineChars="200"/>
        <w:rPr>
          <w:rFonts w:ascii="宋体" w:hAnsi="宋体" w:cs="宋体"/>
          <w:b/>
          <w:bCs/>
          <w:sz w:val="24"/>
          <w:highlight w:val="none"/>
        </w:rPr>
      </w:pPr>
      <w:bookmarkStart w:id="98" w:name="_Toc274249596"/>
      <w:bookmarkStart w:id="99" w:name="_Toc279599792"/>
      <w:bookmarkStart w:id="100" w:name="_Toc403122513"/>
      <w:bookmarkStart w:id="101" w:name="_Toc426369502"/>
      <w:r>
        <w:rPr>
          <w:rFonts w:hint="eastAsia" w:ascii="宋体" w:hAnsi="宋体" w:cs="宋体"/>
          <w:b/>
          <w:bCs/>
          <w:sz w:val="24"/>
          <w:highlight w:val="none"/>
        </w:rPr>
        <w:t>3.6 备选投标方案</w:t>
      </w:r>
      <w:bookmarkEnd w:id="98"/>
      <w:bookmarkEnd w:id="99"/>
      <w:bookmarkEnd w:id="100"/>
      <w:bookmarkEnd w:id="101"/>
    </w:p>
    <w:p w14:paraId="3326BB03">
      <w:pPr>
        <w:tabs>
          <w:tab w:val="left" w:pos="3570"/>
        </w:tabs>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供应商不得递交备选投标方案。 </w:t>
      </w:r>
    </w:p>
    <w:p w14:paraId="1F10AC46">
      <w:pPr>
        <w:spacing w:line="500" w:lineRule="exact"/>
        <w:ind w:firstLine="482" w:firstLineChars="200"/>
        <w:rPr>
          <w:rFonts w:ascii="宋体" w:hAnsi="宋体" w:cs="宋体"/>
          <w:b/>
          <w:bCs/>
          <w:sz w:val="24"/>
          <w:highlight w:val="none"/>
        </w:rPr>
      </w:pPr>
      <w:bookmarkStart w:id="102" w:name="_Toc426369503"/>
      <w:bookmarkStart w:id="103" w:name="_Toc403122514"/>
      <w:bookmarkStart w:id="104" w:name="_Toc279599793"/>
      <w:bookmarkStart w:id="105" w:name="_Toc274249597"/>
      <w:r>
        <w:rPr>
          <w:rFonts w:hint="eastAsia" w:ascii="宋体" w:hAnsi="宋体" w:cs="宋体"/>
          <w:b/>
          <w:bCs/>
          <w:sz w:val="24"/>
          <w:highlight w:val="none"/>
        </w:rPr>
        <w:t>3.7 投标文件的编制</w:t>
      </w:r>
      <w:bookmarkEnd w:id="102"/>
      <w:bookmarkEnd w:id="103"/>
      <w:bookmarkEnd w:id="104"/>
      <w:bookmarkEnd w:id="105"/>
    </w:p>
    <w:p w14:paraId="219ECF02">
      <w:pPr>
        <w:spacing w:line="500" w:lineRule="exact"/>
        <w:ind w:firstLine="480" w:firstLineChars="200"/>
        <w:rPr>
          <w:rFonts w:ascii="宋体" w:hAnsi="宋体" w:cs="宋体"/>
          <w:sz w:val="24"/>
          <w:highlight w:val="none"/>
        </w:rPr>
      </w:pPr>
      <w:r>
        <w:rPr>
          <w:rFonts w:hint="eastAsia" w:ascii="宋体" w:hAnsi="宋体" w:cs="宋体"/>
          <w:sz w:val="24"/>
          <w:highlight w:val="none"/>
        </w:rPr>
        <w:t>3.7.1 投标文件应按招标文件中要求</w:t>
      </w:r>
      <w:r>
        <w:rPr>
          <w:rFonts w:hint="eastAsia" w:ascii="宋体" w:hAnsi="宋体" w:cs="宋体"/>
          <w:kern w:val="0"/>
          <w:sz w:val="24"/>
          <w:highlight w:val="none"/>
        </w:rPr>
        <w:t>使用焦作市公共资源交易系统投标文件制作专用工具软件编制</w:t>
      </w:r>
      <w:r>
        <w:rPr>
          <w:rFonts w:hint="eastAsia" w:ascii="宋体" w:hAnsi="宋体" w:cs="宋体"/>
          <w:sz w:val="24"/>
          <w:highlight w:val="none"/>
        </w:rPr>
        <w:t xml:space="preserve">。 </w:t>
      </w:r>
    </w:p>
    <w:p w14:paraId="71997C58">
      <w:pPr>
        <w:spacing w:line="500" w:lineRule="exact"/>
        <w:ind w:firstLine="480" w:firstLineChars="200"/>
        <w:rPr>
          <w:rFonts w:ascii="宋体" w:hAnsi="宋体" w:cs="宋体"/>
          <w:sz w:val="24"/>
          <w:highlight w:val="none"/>
        </w:rPr>
      </w:pPr>
      <w:r>
        <w:rPr>
          <w:rFonts w:hint="eastAsia" w:ascii="宋体" w:hAnsi="宋体" w:cs="宋体"/>
          <w:sz w:val="24"/>
          <w:highlight w:val="none"/>
        </w:rPr>
        <w:t>3.7.2  投标文件应当对招标文件有关供货安装期、投标有效期、质量标准、采购要求及服务内容、等实质性内容作出响应。</w:t>
      </w:r>
    </w:p>
    <w:p w14:paraId="4F63801B">
      <w:pPr>
        <w:autoSpaceDE w:val="0"/>
        <w:autoSpaceDN w:val="0"/>
        <w:adjustRightInd w:val="0"/>
        <w:spacing w:line="5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3.7.3 </w:t>
      </w:r>
      <w:r>
        <w:rPr>
          <w:rFonts w:hint="eastAsia" w:ascii="宋体" w:hAnsi="宋体" w:cs="宋体"/>
          <w:kern w:val="0"/>
          <w:sz w:val="24"/>
          <w:highlight w:val="none"/>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14:paraId="24164775">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106" w:name="_Toc31809"/>
      <w:bookmarkStart w:id="107" w:name="_Toc426369504"/>
      <w:bookmarkStart w:id="108" w:name="_Toc26998"/>
      <w:bookmarkStart w:id="109" w:name="_Toc12797"/>
      <w:bookmarkStart w:id="110" w:name="_Toc30100"/>
      <w:bookmarkStart w:id="111" w:name="_Toc403122515"/>
      <w:r>
        <w:rPr>
          <w:rFonts w:hint="eastAsia" w:ascii="宋体" w:hAnsi="宋体" w:eastAsia="宋体" w:cs="宋体"/>
          <w:sz w:val="24"/>
          <w:szCs w:val="24"/>
          <w:highlight w:val="none"/>
        </w:rPr>
        <w:t>4. 投标</w:t>
      </w:r>
      <w:bookmarkEnd w:id="106"/>
      <w:bookmarkEnd w:id="107"/>
      <w:bookmarkEnd w:id="108"/>
      <w:bookmarkEnd w:id="109"/>
      <w:bookmarkEnd w:id="110"/>
      <w:bookmarkEnd w:id="111"/>
    </w:p>
    <w:p w14:paraId="737F1B91">
      <w:pPr>
        <w:spacing w:line="500" w:lineRule="exact"/>
        <w:ind w:firstLine="482" w:firstLineChars="200"/>
        <w:rPr>
          <w:rFonts w:ascii="宋体" w:hAnsi="宋体" w:cs="宋体"/>
          <w:b/>
          <w:bCs/>
          <w:sz w:val="24"/>
          <w:highlight w:val="none"/>
        </w:rPr>
      </w:pPr>
      <w:bookmarkStart w:id="112" w:name="_Toc274249599"/>
      <w:bookmarkStart w:id="113" w:name="_Toc426369505"/>
      <w:bookmarkStart w:id="114" w:name="_Toc403122516"/>
      <w:bookmarkStart w:id="115" w:name="_Toc279599795"/>
      <w:r>
        <w:rPr>
          <w:rFonts w:hint="eastAsia" w:ascii="宋体" w:hAnsi="宋体" w:cs="宋体"/>
          <w:b/>
          <w:bCs/>
          <w:sz w:val="24"/>
          <w:highlight w:val="none"/>
        </w:rPr>
        <w:t>4.1 投标文件的密封和标记</w:t>
      </w:r>
      <w:bookmarkEnd w:id="112"/>
      <w:bookmarkEnd w:id="113"/>
      <w:bookmarkEnd w:id="114"/>
      <w:bookmarkEnd w:id="115"/>
    </w:p>
    <w:p w14:paraId="5CB33A6C">
      <w:pPr>
        <w:autoSpaceDE w:val="0"/>
        <w:autoSpaceDN w:val="0"/>
        <w:adjustRightInd w:val="0"/>
        <w:spacing w:line="500" w:lineRule="exact"/>
        <w:ind w:firstLine="480" w:firstLineChars="200"/>
        <w:jc w:val="left"/>
        <w:rPr>
          <w:rFonts w:ascii="宋体" w:hAnsi="宋体" w:cs="宋体"/>
          <w:sz w:val="24"/>
          <w:highlight w:val="none"/>
        </w:rPr>
      </w:pPr>
      <w:r>
        <w:rPr>
          <w:rFonts w:hint="eastAsia" w:ascii="宋体" w:hAnsi="宋体" w:cs="宋体"/>
          <w:kern w:val="0"/>
          <w:sz w:val="24"/>
          <w:highlight w:val="none"/>
        </w:rPr>
        <w:t>4.1.1.本项目采用</w:t>
      </w:r>
      <w:r>
        <w:rPr>
          <w:rFonts w:hint="eastAsia" w:ascii="宋体" w:hAnsi="宋体" w:cs="宋体"/>
          <w:kern w:val="0"/>
          <w:sz w:val="24"/>
          <w:highlight w:val="none"/>
          <w:lang w:val="zh-CN"/>
        </w:rPr>
        <w:t>网上上传的电子投标文件</w:t>
      </w:r>
      <w:r>
        <w:rPr>
          <w:rFonts w:hint="eastAsia" w:ascii="宋体" w:hAnsi="宋体" w:cs="宋体"/>
          <w:kern w:val="0"/>
          <w:sz w:val="24"/>
          <w:highlight w:val="none"/>
        </w:rPr>
        <w:t>,</w:t>
      </w:r>
      <w:r>
        <w:rPr>
          <w:rFonts w:hint="eastAsia" w:ascii="宋体" w:hAnsi="宋体" w:cs="宋体"/>
          <w:kern w:val="0"/>
          <w:sz w:val="24"/>
          <w:highlight w:val="none"/>
          <w:lang w:val="zh-CN"/>
        </w:rPr>
        <w:t>应使用数字证书认证并加密。</w:t>
      </w:r>
    </w:p>
    <w:p w14:paraId="381691D9">
      <w:pPr>
        <w:spacing w:line="500" w:lineRule="exact"/>
        <w:ind w:firstLine="482" w:firstLineChars="200"/>
        <w:rPr>
          <w:rFonts w:ascii="宋体" w:hAnsi="宋体" w:cs="宋体"/>
          <w:b/>
          <w:bCs/>
          <w:sz w:val="24"/>
          <w:highlight w:val="none"/>
        </w:rPr>
      </w:pPr>
      <w:bookmarkStart w:id="116" w:name="_Toc274249600"/>
      <w:bookmarkStart w:id="117" w:name="_Toc279599796"/>
      <w:bookmarkStart w:id="118" w:name="_Toc426369506"/>
      <w:bookmarkStart w:id="119" w:name="_Toc403122517"/>
      <w:r>
        <w:rPr>
          <w:rFonts w:hint="eastAsia" w:ascii="宋体" w:hAnsi="宋体" w:cs="宋体"/>
          <w:b/>
          <w:bCs/>
          <w:sz w:val="24"/>
          <w:highlight w:val="none"/>
        </w:rPr>
        <w:t>4.2 投标文件的递交</w:t>
      </w:r>
      <w:bookmarkEnd w:id="116"/>
      <w:bookmarkEnd w:id="117"/>
      <w:bookmarkEnd w:id="118"/>
      <w:bookmarkEnd w:id="119"/>
    </w:p>
    <w:p w14:paraId="7B3E08E1">
      <w:pPr>
        <w:autoSpaceDE w:val="0"/>
        <w:autoSpaceDN w:val="0"/>
        <w:adjustRightInd w:val="0"/>
        <w:spacing w:line="500" w:lineRule="exact"/>
        <w:ind w:firstLine="480" w:firstLineChars="200"/>
        <w:jc w:val="left"/>
        <w:rPr>
          <w:rFonts w:ascii="宋体" w:hAnsi="宋体" w:cs="宋体"/>
          <w:kern w:val="0"/>
          <w:sz w:val="24"/>
          <w:highlight w:val="none"/>
          <w:lang w:val="zh-CN"/>
        </w:rPr>
      </w:pPr>
      <w:r>
        <w:rPr>
          <w:rFonts w:hint="eastAsia" w:ascii="宋体" w:hAnsi="宋体" w:cs="宋体"/>
          <w:kern w:val="0"/>
          <w:sz w:val="24"/>
          <w:highlight w:val="none"/>
        </w:rPr>
        <w:t>4.2.1</w:t>
      </w:r>
      <w:r>
        <w:rPr>
          <w:rFonts w:hint="eastAsia" w:ascii="宋体" w:hAnsi="宋体" w:cs="宋体"/>
          <w:kern w:val="0"/>
          <w:sz w:val="24"/>
          <w:highlight w:val="none"/>
          <w:lang w:val="zh-CN"/>
        </w:rPr>
        <w:t>所有投标文件必须在本招标文件中规定的投标截止时间之前</w:t>
      </w:r>
      <w:r>
        <w:rPr>
          <w:rFonts w:hint="eastAsia" w:ascii="宋体" w:hAnsi="宋体" w:cs="宋体"/>
          <w:kern w:val="0"/>
          <w:sz w:val="24"/>
          <w:highlight w:val="none"/>
        </w:rPr>
        <w:t>提前上传，按要求</w:t>
      </w:r>
      <w:r>
        <w:rPr>
          <w:rFonts w:hint="eastAsia" w:ascii="宋体" w:hAnsi="宋体" w:cs="宋体"/>
          <w:sz w:val="24"/>
          <w:highlight w:val="none"/>
        </w:rPr>
        <w:t>在线签到、解密文件等，解密时间为投标截止时后30分钟内，</w:t>
      </w:r>
      <w:r>
        <w:rPr>
          <w:rFonts w:hint="eastAsia" w:ascii="宋体" w:hAnsi="宋体" w:cs="宋体"/>
          <w:kern w:val="0"/>
          <w:sz w:val="24"/>
          <w:highlight w:val="none"/>
        </w:rPr>
        <w:t>不能按时上传、解密者视为自动放弃投标。</w:t>
      </w:r>
    </w:p>
    <w:p w14:paraId="091F0119">
      <w:pPr>
        <w:autoSpaceDE w:val="0"/>
        <w:autoSpaceDN w:val="0"/>
        <w:adjustRightInd w:val="0"/>
        <w:spacing w:line="500" w:lineRule="exact"/>
        <w:ind w:firstLine="480" w:firstLineChars="200"/>
        <w:jc w:val="left"/>
        <w:rPr>
          <w:rFonts w:ascii="宋体" w:hAnsi="宋体" w:cs="宋体"/>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zh-CN"/>
        </w:rPr>
        <w:t>2.采购人拒绝接收在投标文件递交截止时间后上传的投标文件。</w:t>
      </w:r>
      <w:bookmarkStart w:id="120" w:name="_Hlt26954754"/>
      <w:bookmarkEnd w:id="120"/>
      <w:bookmarkStart w:id="121" w:name="_Hlt26954862"/>
      <w:bookmarkEnd w:id="121"/>
    </w:p>
    <w:p w14:paraId="463D411B">
      <w:pPr>
        <w:spacing w:line="500" w:lineRule="exact"/>
        <w:ind w:firstLine="482" w:firstLineChars="200"/>
        <w:rPr>
          <w:rFonts w:ascii="宋体" w:hAnsi="宋体" w:cs="宋体"/>
          <w:b/>
          <w:bCs/>
          <w:sz w:val="24"/>
          <w:highlight w:val="none"/>
        </w:rPr>
      </w:pPr>
      <w:bookmarkStart w:id="122" w:name="_Toc426369507"/>
      <w:bookmarkStart w:id="123" w:name="_Toc279599797"/>
      <w:bookmarkStart w:id="124" w:name="_Toc403122518"/>
      <w:bookmarkStart w:id="125" w:name="_Toc274249601"/>
      <w:r>
        <w:rPr>
          <w:rFonts w:hint="eastAsia" w:ascii="宋体" w:hAnsi="宋体" w:cs="宋体"/>
          <w:b/>
          <w:bCs/>
          <w:sz w:val="24"/>
          <w:highlight w:val="none"/>
        </w:rPr>
        <w:t>4.3 投标文件的修改与撤回</w:t>
      </w:r>
      <w:bookmarkEnd w:id="122"/>
      <w:bookmarkEnd w:id="123"/>
      <w:bookmarkEnd w:id="124"/>
      <w:bookmarkEnd w:id="125"/>
    </w:p>
    <w:p w14:paraId="313BF512">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4.3.1在本章第 2.2.2 项规定的投标截止时间前，供应商可以修改或撤回已递交的投标文件。 </w:t>
      </w:r>
    </w:p>
    <w:p w14:paraId="21238E53">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4.3.2供应商修改或撤回已递交投标文件的书面通知应按照本章第 3.7.3 项的要求签字盖章。 </w:t>
      </w:r>
    </w:p>
    <w:p w14:paraId="1D7746C3">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4.3.3修改的内容为投标文件的组成部分。修改的投标文件应按照本章第 3 条、第 4 条规定进行编制、密封、标记和递交，并标明“修改”字样。 </w:t>
      </w:r>
    </w:p>
    <w:p w14:paraId="17B6D134">
      <w:pPr>
        <w:pStyle w:val="24"/>
        <w:spacing w:before="120" w:after="120" w:line="500" w:lineRule="exact"/>
        <w:ind w:right="-1029" w:rightChars="-490" w:firstLine="482" w:firstLineChars="200"/>
        <w:jc w:val="left"/>
        <w:outlineLvl w:val="1"/>
        <w:rPr>
          <w:rFonts w:ascii="宋体" w:hAnsi="宋体" w:eastAsia="宋体" w:cs="宋体"/>
          <w:sz w:val="24"/>
          <w:szCs w:val="24"/>
          <w:highlight w:val="none"/>
        </w:rPr>
      </w:pPr>
      <w:bookmarkStart w:id="126" w:name="_Toc5457"/>
      <w:bookmarkStart w:id="127" w:name="_Toc18170"/>
      <w:bookmarkStart w:id="128" w:name="_Toc11336"/>
      <w:bookmarkStart w:id="129" w:name="_Toc32449"/>
      <w:bookmarkStart w:id="130" w:name="_Toc426369508"/>
      <w:bookmarkStart w:id="131" w:name="_Toc403122519"/>
      <w:r>
        <w:rPr>
          <w:rFonts w:hint="eastAsia" w:ascii="宋体" w:hAnsi="宋体" w:eastAsia="宋体" w:cs="宋体"/>
          <w:sz w:val="24"/>
          <w:szCs w:val="24"/>
          <w:highlight w:val="none"/>
        </w:rPr>
        <w:t>5. 开标</w:t>
      </w:r>
      <w:bookmarkEnd w:id="126"/>
      <w:bookmarkEnd w:id="127"/>
      <w:bookmarkEnd w:id="128"/>
      <w:bookmarkEnd w:id="129"/>
      <w:bookmarkEnd w:id="130"/>
      <w:bookmarkEnd w:id="131"/>
    </w:p>
    <w:p w14:paraId="1FCC88C2">
      <w:pPr>
        <w:spacing w:line="500" w:lineRule="exact"/>
        <w:ind w:firstLine="480" w:firstLineChars="200"/>
        <w:rPr>
          <w:rFonts w:ascii="宋体" w:hAnsi="宋体" w:cs="宋体"/>
          <w:sz w:val="24"/>
          <w:highlight w:val="none"/>
        </w:rPr>
      </w:pPr>
      <w:r>
        <w:rPr>
          <w:rFonts w:hint="eastAsia" w:ascii="宋体" w:hAnsi="宋体" w:cs="宋体"/>
          <w:sz w:val="24"/>
          <w:highlight w:val="none"/>
        </w:rPr>
        <w:t>5.1.1采购人在规定的投标截止时间（开标时间）和投标人须知前附表规定的地点公开开标。本项目采用“远程不见面”的开标方式,载明远程开标大厅网址（</w:t>
      </w:r>
      <w:r>
        <w:rPr>
          <w:rFonts w:hint="eastAsia" w:ascii="宋体" w:hAnsi="宋体" w:eastAsia="宋体" w:cs="宋体"/>
          <w:bCs/>
          <w:color w:val="000000" w:themeColor="text1"/>
          <w:kern w:val="0"/>
          <w:sz w:val="24"/>
          <w:highlight w:val="none"/>
          <w14:textFill>
            <w14:solidFill>
              <w14:schemeClr w14:val="tx1"/>
            </w14:solidFill>
          </w14:textFill>
        </w:rPr>
        <w:t>hhttp://ggzy.jiaozuo.gov.cn/BidOpeningHall/bidhall/default/login</w:t>
      </w:r>
      <w:r>
        <w:rPr>
          <w:rFonts w:hint="eastAsia" w:ascii="宋体" w:hAnsi="宋体" w:cs="宋体"/>
          <w:sz w:val="24"/>
          <w:highlight w:val="none"/>
        </w:rPr>
        <w:t>）。投标人无需到现场参加开标会议，无需到达现场提交原件资料。投标人应当在线准时参加开标活动并进行文件解密、答疑澄清等。在规定时间内投标文件未解密的投标人，视为放弃投标。</w:t>
      </w:r>
    </w:p>
    <w:p w14:paraId="0552C2E9">
      <w:pPr>
        <w:spacing w:line="500" w:lineRule="exact"/>
        <w:ind w:firstLine="480" w:firstLineChars="200"/>
        <w:rPr>
          <w:rFonts w:ascii="宋体" w:hAnsi="宋体" w:cs="宋体"/>
          <w:sz w:val="24"/>
          <w:highlight w:val="none"/>
        </w:rPr>
      </w:pPr>
      <w:r>
        <w:rPr>
          <w:rFonts w:hint="eastAsia" w:ascii="宋体" w:hAnsi="宋体" w:cs="宋体"/>
          <w:sz w:val="24"/>
          <w:highlight w:val="none"/>
        </w:rPr>
        <w:t>所有投标文件必须在本招标文件中规定的投标截止时间之前提前上传投标文件，按要求解密投标文件，不能按时上传、解密者视为自动放弃投标。</w:t>
      </w:r>
    </w:p>
    <w:p w14:paraId="2584BFC0">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5.1.2投标人不足3家的，不得开标。  </w:t>
      </w:r>
    </w:p>
    <w:p w14:paraId="7363F066">
      <w:pPr>
        <w:spacing w:line="500" w:lineRule="exact"/>
        <w:ind w:firstLine="482" w:firstLineChars="200"/>
        <w:rPr>
          <w:rFonts w:ascii="宋体" w:hAnsi="宋体" w:cs="宋体"/>
          <w:b/>
          <w:bCs/>
          <w:sz w:val="24"/>
          <w:highlight w:val="none"/>
        </w:rPr>
      </w:pPr>
      <w:bookmarkStart w:id="132" w:name="_Toc274249603"/>
      <w:bookmarkStart w:id="133" w:name="_Toc403122520"/>
      <w:bookmarkStart w:id="134" w:name="_Toc279599799"/>
      <w:bookmarkStart w:id="135" w:name="_Toc426369509"/>
      <w:r>
        <w:rPr>
          <w:rFonts w:hint="eastAsia" w:ascii="宋体" w:hAnsi="宋体" w:cs="宋体"/>
          <w:b/>
          <w:bCs/>
          <w:sz w:val="24"/>
          <w:highlight w:val="none"/>
        </w:rPr>
        <w:t>5.2 开标时间和地点</w:t>
      </w:r>
      <w:bookmarkEnd w:id="132"/>
      <w:bookmarkEnd w:id="133"/>
      <w:bookmarkEnd w:id="134"/>
      <w:bookmarkEnd w:id="135"/>
    </w:p>
    <w:p w14:paraId="4CA88EDC">
      <w:pPr>
        <w:spacing w:line="500" w:lineRule="exact"/>
        <w:ind w:firstLine="480" w:firstLineChars="200"/>
        <w:rPr>
          <w:rFonts w:ascii="宋体" w:hAnsi="宋体" w:cs="宋体"/>
          <w:sz w:val="24"/>
          <w:highlight w:val="none"/>
        </w:rPr>
      </w:pPr>
      <w:r>
        <w:rPr>
          <w:rFonts w:hint="eastAsia" w:ascii="宋体" w:hAnsi="宋体" w:cs="宋体"/>
          <w:sz w:val="24"/>
          <w:highlight w:val="none"/>
        </w:rPr>
        <w:t>采购人在本章第 2.2.2 项规定的投标截止时间（开标时间）和供应商须知前附表规定的地点公开开标。</w:t>
      </w:r>
    </w:p>
    <w:p w14:paraId="7F235C53">
      <w:pPr>
        <w:spacing w:line="500" w:lineRule="exact"/>
        <w:ind w:firstLine="482" w:firstLineChars="200"/>
        <w:rPr>
          <w:rFonts w:ascii="宋体" w:hAnsi="宋体" w:cs="宋体"/>
          <w:b/>
          <w:bCs/>
          <w:sz w:val="24"/>
          <w:highlight w:val="none"/>
        </w:rPr>
      </w:pPr>
      <w:bookmarkStart w:id="136" w:name="_Toc274249604"/>
      <w:bookmarkStart w:id="137" w:name="_Toc426369510"/>
      <w:bookmarkStart w:id="138" w:name="_Toc403122521"/>
      <w:bookmarkStart w:id="139" w:name="_Toc279599800"/>
      <w:r>
        <w:rPr>
          <w:rFonts w:hint="eastAsia" w:ascii="宋体" w:hAnsi="宋体" w:cs="宋体"/>
          <w:b/>
          <w:bCs/>
          <w:sz w:val="24"/>
          <w:highlight w:val="none"/>
        </w:rPr>
        <w:t>5.3开标程序</w:t>
      </w:r>
      <w:bookmarkEnd w:id="136"/>
      <w:bookmarkEnd w:id="137"/>
      <w:bookmarkEnd w:id="138"/>
      <w:bookmarkEnd w:id="139"/>
    </w:p>
    <w:p w14:paraId="7D25C6CA">
      <w:pPr>
        <w:spacing w:line="500" w:lineRule="exact"/>
        <w:ind w:firstLine="480" w:firstLineChars="200"/>
        <w:rPr>
          <w:rFonts w:ascii="宋体" w:hAnsi="宋体" w:cs="宋体"/>
          <w:sz w:val="24"/>
          <w:highlight w:val="none"/>
          <w:lang w:val="zh-CN"/>
        </w:rPr>
      </w:pPr>
      <w:bookmarkStart w:id="140" w:name="_Toc426369511"/>
      <w:r>
        <w:rPr>
          <w:rFonts w:hint="eastAsia" w:ascii="宋体" w:hAnsi="宋体" w:cs="宋体"/>
          <w:sz w:val="24"/>
          <w:highlight w:val="none"/>
        </w:rPr>
        <w:t>5.3</w:t>
      </w:r>
      <w:r>
        <w:rPr>
          <w:rFonts w:hint="eastAsia" w:ascii="宋体" w:hAnsi="宋体" w:cs="宋体"/>
          <w:sz w:val="24"/>
          <w:highlight w:val="none"/>
          <w:lang w:val="zh-CN"/>
        </w:rPr>
        <w:t>.1本</w:t>
      </w:r>
      <w:r>
        <w:rPr>
          <w:rFonts w:hint="eastAsia" w:ascii="宋体" w:hAnsi="宋体" w:cs="宋体"/>
          <w:sz w:val="24"/>
          <w:highlight w:val="none"/>
        </w:rPr>
        <w:t>项目</w:t>
      </w:r>
      <w:r>
        <w:rPr>
          <w:rFonts w:hint="eastAsia" w:ascii="宋体" w:hAnsi="宋体" w:cs="宋体"/>
          <w:sz w:val="24"/>
          <w:highlight w:val="none"/>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14:paraId="470B1B48">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主持人按下列程序进行开标：</w:t>
      </w:r>
    </w:p>
    <w:p w14:paraId="4AF79010">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w:t>
      </w:r>
      <w:r>
        <w:rPr>
          <w:rFonts w:hint="eastAsia" w:ascii="宋体" w:hAnsi="宋体" w:cs="宋体"/>
          <w:sz w:val="24"/>
          <w:highlight w:val="none"/>
          <w:lang w:val="zh-CN"/>
        </w:rPr>
        <w:t>） 公布在投标截止时间前递交响应性文件的供应商名称；</w:t>
      </w:r>
    </w:p>
    <w:p w14:paraId="50BC7391">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2</w:t>
      </w:r>
      <w:r>
        <w:rPr>
          <w:rFonts w:hint="eastAsia" w:ascii="宋体" w:hAnsi="宋体" w:cs="宋体"/>
          <w:sz w:val="24"/>
          <w:highlight w:val="none"/>
          <w:lang w:val="zh-CN"/>
        </w:rPr>
        <w:t>）供应商通过电子招标投标交易平台对已递交的电子响应性文件在规定</w:t>
      </w:r>
    </w:p>
    <w:p w14:paraId="33C04E71">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时间内进行解密；</w:t>
      </w:r>
    </w:p>
    <w:p w14:paraId="704E1D83">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3</w:t>
      </w:r>
      <w:r>
        <w:rPr>
          <w:rFonts w:hint="eastAsia" w:ascii="宋体" w:hAnsi="宋体" w:cs="宋体"/>
          <w:sz w:val="24"/>
          <w:highlight w:val="none"/>
          <w:lang w:val="zh-CN"/>
        </w:rPr>
        <w:t>） 批量导入文件；</w:t>
      </w:r>
    </w:p>
    <w:p w14:paraId="5DDC0A3D">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4</w:t>
      </w:r>
      <w:r>
        <w:rPr>
          <w:rFonts w:hint="eastAsia" w:ascii="宋体" w:hAnsi="宋体" w:cs="宋体"/>
          <w:sz w:val="24"/>
          <w:highlight w:val="none"/>
          <w:lang w:val="zh-CN"/>
        </w:rPr>
        <w:t>）代理机构将通过焦作市电子招投标交易平台进行唱标，并公布采购项</w:t>
      </w:r>
    </w:p>
    <w:p w14:paraId="4EA3D602">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目名称、供应商名称、</w:t>
      </w:r>
      <w:r>
        <w:rPr>
          <w:rFonts w:hint="eastAsia" w:ascii="宋体" w:hAnsi="宋体" w:cs="宋体"/>
          <w:sz w:val="24"/>
          <w:highlight w:val="none"/>
          <w:lang w:val="zh-CN" w:eastAsia="zh-CN"/>
        </w:rPr>
        <w:t>合同履行期限</w:t>
      </w:r>
      <w:r>
        <w:rPr>
          <w:rFonts w:hint="eastAsia" w:ascii="宋体" w:hAnsi="宋体" w:cs="宋体"/>
          <w:sz w:val="24"/>
          <w:highlight w:val="none"/>
          <w:lang w:val="zh-CN"/>
        </w:rPr>
        <w:t>等其他内容，并记录在案；</w:t>
      </w:r>
    </w:p>
    <w:p w14:paraId="4A3C3F09">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5</w:t>
      </w:r>
      <w:r>
        <w:rPr>
          <w:rFonts w:hint="eastAsia" w:ascii="宋体" w:hAnsi="宋体" w:cs="宋体"/>
          <w:sz w:val="24"/>
          <w:highlight w:val="none"/>
          <w:lang w:val="zh-CN"/>
        </w:rPr>
        <w:t>）采购人代表、监督人等有关人员按具体现场系统情况在开标记录上签</w:t>
      </w:r>
    </w:p>
    <w:p w14:paraId="1BF0C482">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字确认；</w:t>
      </w:r>
    </w:p>
    <w:p w14:paraId="4E7917FB">
      <w:pPr>
        <w:spacing w:line="50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）开标结束。</w:t>
      </w:r>
    </w:p>
    <w:p w14:paraId="0DE1EAFA">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5.3.</w:t>
      </w:r>
      <w:r>
        <w:rPr>
          <w:rFonts w:hint="eastAsia" w:ascii="宋体" w:hAnsi="宋体" w:cs="宋体"/>
          <w:sz w:val="24"/>
          <w:highlight w:val="none"/>
        </w:rPr>
        <w:t>2</w:t>
      </w:r>
      <w:r>
        <w:rPr>
          <w:rFonts w:hint="eastAsia" w:ascii="宋体" w:hAnsi="宋体" w:cs="宋体"/>
          <w:sz w:val="24"/>
          <w:highlight w:val="none"/>
          <w:lang w:val="zh-CN"/>
        </w:rPr>
        <w:t>开标时出现下列情况的，采购人将拒绝其投标文件：</w:t>
      </w:r>
    </w:p>
    <w:p w14:paraId="10293B2C">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（1）经检查数字证书无效的投标文件；</w:t>
      </w:r>
    </w:p>
    <w:p w14:paraId="3BCFA6A2">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（2）投标人未按投标人须知前附表规定的时间内解密投标文件的。</w:t>
      </w:r>
    </w:p>
    <w:p w14:paraId="14029FB0">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5.4开标异议</w:t>
      </w:r>
      <w:bookmarkEnd w:id="140"/>
    </w:p>
    <w:p w14:paraId="6C1DB363">
      <w:pPr>
        <w:spacing w:line="500" w:lineRule="exact"/>
        <w:ind w:firstLine="480" w:firstLineChars="200"/>
        <w:rPr>
          <w:rFonts w:ascii="宋体" w:hAnsi="宋体" w:cs="宋体"/>
          <w:sz w:val="24"/>
          <w:highlight w:val="none"/>
          <w:lang w:val="zh-CN"/>
        </w:rPr>
      </w:pPr>
      <w:bookmarkStart w:id="141" w:name="_Toc403122522"/>
      <w:bookmarkStart w:id="142" w:name="_Toc426369512"/>
      <w:bookmarkStart w:id="143" w:name="_Toc21662"/>
      <w:bookmarkStart w:id="144" w:name="_Toc12881"/>
      <w:r>
        <w:rPr>
          <w:rFonts w:hint="eastAsia" w:ascii="宋体" w:hAnsi="宋体" w:cs="宋体"/>
          <w:sz w:val="24"/>
          <w:highlight w:val="none"/>
        </w:rPr>
        <w:t>5.4.1</w:t>
      </w:r>
      <w:r>
        <w:rPr>
          <w:rFonts w:hint="eastAsia" w:ascii="宋体" w:hAnsi="宋体" w:cs="宋体"/>
          <w:sz w:val="24"/>
          <w:highlight w:val="none"/>
          <w:lang w:val="zh-CN"/>
        </w:rPr>
        <w:t>投标人对开标有异议的，应当在开标现场提出（</w:t>
      </w:r>
      <w:bookmarkStart w:id="145" w:name="_Toc12998"/>
      <w:r>
        <w:rPr>
          <w:rFonts w:hint="eastAsia" w:ascii="宋体" w:hAnsi="宋体" w:cs="宋体"/>
          <w:sz w:val="24"/>
          <w:highlight w:val="none"/>
          <w:lang w:val="zh-CN"/>
        </w:rPr>
        <w:t>语音异议</w:t>
      </w:r>
      <w:bookmarkEnd w:id="145"/>
      <w:r>
        <w:rPr>
          <w:rFonts w:hint="eastAsia" w:ascii="宋体" w:hAnsi="宋体" w:cs="宋体"/>
          <w:sz w:val="24"/>
          <w:highlight w:val="none"/>
          <w:lang w:val="zh-CN"/>
        </w:rPr>
        <w:t>、</w:t>
      </w:r>
      <w:bookmarkStart w:id="146" w:name="_Toc20745"/>
      <w:r>
        <w:rPr>
          <w:rFonts w:hint="eastAsia" w:ascii="宋体" w:hAnsi="宋体" w:cs="宋体"/>
          <w:sz w:val="24"/>
          <w:highlight w:val="none"/>
          <w:lang w:val="zh-CN"/>
        </w:rPr>
        <w:t>文字异议</w:t>
      </w:r>
      <w:bookmarkEnd w:id="146"/>
      <w:r>
        <w:rPr>
          <w:rFonts w:hint="eastAsia" w:ascii="宋体" w:hAnsi="宋体" w:cs="宋体"/>
          <w:sz w:val="24"/>
          <w:highlight w:val="none"/>
          <w:lang w:val="zh-CN"/>
        </w:rPr>
        <w:t>），</w:t>
      </w:r>
      <w:r>
        <w:rPr>
          <w:rFonts w:hint="eastAsia" w:ascii="宋体" w:hAnsi="宋体" w:cs="宋体"/>
          <w:sz w:val="24"/>
          <w:highlight w:val="none"/>
        </w:rPr>
        <w:t>采购</w:t>
      </w:r>
      <w:r>
        <w:rPr>
          <w:rFonts w:hint="eastAsia" w:ascii="宋体" w:hAnsi="宋体" w:cs="宋体"/>
          <w:sz w:val="24"/>
          <w:highlight w:val="none"/>
          <w:lang w:val="zh-CN"/>
        </w:rPr>
        <w:t>人当场作出答复，并制作记录。</w:t>
      </w:r>
    </w:p>
    <w:p w14:paraId="4455A2A3">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rPr>
        <w:t>5.4.2</w:t>
      </w:r>
      <w:r>
        <w:rPr>
          <w:rFonts w:hint="eastAsia" w:ascii="宋体" w:hAnsi="宋体" w:cs="宋体"/>
          <w:sz w:val="24"/>
          <w:highlight w:val="none"/>
          <w:lang w:val="zh-CN"/>
        </w:rPr>
        <w:t>开标异常处理</w:t>
      </w:r>
    </w:p>
    <w:p w14:paraId="657C5306">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当出现以下情况时，应对未开标的项目中止电子开标，对原有资料及信息作出妥善保密处理，并在恢复正常后及时安排时间开标：</w:t>
      </w:r>
    </w:p>
    <w:p w14:paraId="0F177C29">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）系统服务器发生故障，无法访问或无法使用系统；</w:t>
      </w:r>
    </w:p>
    <w:p w14:paraId="42F8F29B">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系统的软件或数据库出现错误，不能进行正常操作；</w:t>
      </w:r>
    </w:p>
    <w:p w14:paraId="04C437A1">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3</w:t>
      </w:r>
      <w:r>
        <w:rPr>
          <w:rFonts w:hint="eastAsia" w:ascii="宋体" w:hAnsi="宋体" w:cs="宋体"/>
          <w:sz w:val="24"/>
          <w:highlight w:val="none"/>
          <w:lang w:val="zh-CN"/>
        </w:rPr>
        <w:t>）系统发现有安全漏洞，有潜在的泄密危险；</w:t>
      </w:r>
    </w:p>
    <w:p w14:paraId="39587B64">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4</w:t>
      </w:r>
      <w:r>
        <w:rPr>
          <w:rFonts w:hint="eastAsia" w:ascii="宋体" w:hAnsi="宋体" w:cs="宋体"/>
          <w:sz w:val="24"/>
          <w:highlight w:val="none"/>
          <w:lang w:val="zh-CN"/>
        </w:rPr>
        <w:t>）出现断电事故且短时间内无法恢复供电；</w:t>
      </w:r>
    </w:p>
    <w:p w14:paraId="66E02C5A">
      <w:pPr>
        <w:spacing w:line="500" w:lineRule="exact"/>
        <w:ind w:firstLine="480" w:firstLineChars="200"/>
        <w:rPr>
          <w:rFonts w:ascii="宋体" w:hAnsi="宋体" w:cs="宋体"/>
          <w:sz w:val="24"/>
          <w:highlight w:val="none"/>
          <w:lang w:val="zh-CN"/>
        </w:rPr>
      </w:pPr>
      <w:r>
        <w:rPr>
          <w:rFonts w:hint="eastAsia" w:ascii="宋体" w:hAnsi="宋体" w:cs="宋体"/>
          <w:sz w:val="24"/>
          <w:highlight w:val="none"/>
        </w:rPr>
        <w:t>（5）</w:t>
      </w:r>
      <w:r>
        <w:rPr>
          <w:rFonts w:hint="eastAsia" w:ascii="宋体" w:hAnsi="宋体" w:cs="宋体"/>
          <w:sz w:val="24"/>
          <w:highlight w:val="none"/>
          <w:lang w:val="zh-CN"/>
        </w:rPr>
        <w:t>其他无法保证招投标过程正常进行的情形。</w:t>
      </w:r>
    </w:p>
    <w:p w14:paraId="166BBDA0">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5.</w:t>
      </w:r>
      <w:bookmarkStart w:id="147" w:name="_Toc13445"/>
      <w:bookmarkStart w:id="148" w:name="_Toc9927"/>
      <w:r>
        <w:rPr>
          <w:rFonts w:hint="eastAsia" w:ascii="宋体" w:hAnsi="宋体" w:cs="宋体"/>
          <w:b/>
          <w:bCs/>
          <w:sz w:val="24"/>
          <w:highlight w:val="none"/>
        </w:rPr>
        <w:t>5 资格审查工作</w:t>
      </w:r>
      <w:bookmarkEnd w:id="147"/>
      <w:bookmarkEnd w:id="148"/>
    </w:p>
    <w:p w14:paraId="5198D539">
      <w:pPr>
        <w:spacing w:line="500" w:lineRule="exact"/>
        <w:ind w:firstLine="480" w:firstLineChars="200"/>
        <w:rPr>
          <w:rFonts w:ascii="宋体" w:hAnsi="宋体" w:cs="宋体"/>
          <w:sz w:val="24"/>
          <w:highlight w:val="none"/>
        </w:rPr>
      </w:pPr>
      <w:bookmarkStart w:id="149" w:name="_Toc25275"/>
      <w:bookmarkStart w:id="150" w:name="_Toc22488"/>
      <w:bookmarkStart w:id="151" w:name="_Toc25448"/>
      <w:bookmarkStart w:id="152" w:name="_Toc18803"/>
      <w:bookmarkStart w:id="153" w:name="_Toc18888"/>
      <w:bookmarkStart w:id="154" w:name="_Toc15919"/>
      <w:bookmarkStart w:id="155" w:name="_Toc18806"/>
      <w:r>
        <w:rPr>
          <w:rFonts w:hint="eastAsia" w:ascii="宋体" w:hAnsi="宋体" w:cs="宋体"/>
          <w:sz w:val="24"/>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49"/>
      <w:bookmarkEnd w:id="150"/>
      <w:bookmarkEnd w:id="151"/>
      <w:bookmarkEnd w:id="152"/>
      <w:bookmarkEnd w:id="153"/>
      <w:bookmarkEnd w:id="154"/>
      <w:bookmarkEnd w:id="155"/>
    </w:p>
    <w:p w14:paraId="56BF968E">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156" w:name="_Toc31294"/>
      <w:bookmarkStart w:id="157" w:name="_Toc6889"/>
      <w:r>
        <w:rPr>
          <w:rFonts w:hint="eastAsia" w:ascii="宋体" w:hAnsi="宋体" w:eastAsia="宋体" w:cs="宋体"/>
          <w:sz w:val="24"/>
          <w:szCs w:val="24"/>
          <w:highlight w:val="none"/>
        </w:rPr>
        <w:t>6.评标</w:t>
      </w:r>
      <w:bookmarkEnd w:id="141"/>
      <w:bookmarkEnd w:id="142"/>
      <w:bookmarkEnd w:id="143"/>
      <w:bookmarkEnd w:id="144"/>
      <w:bookmarkEnd w:id="156"/>
      <w:bookmarkEnd w:id="157"/>
    </w:p>
    <w:p w14:paraId="6265503E">
      <w:pPr>
        <w:spacing w:line="500" w:lineRule="exact"/>
        <w:ind w:firstLine="482" w:firstLineChars="200"/>
        <w:rPr>
          <w:rFonts w:ascii="宋体" w:hAnsi="宋体" w:cs="宋体"/>
          <w:b/>
          <w:bCs/>
          <w:sz w:val="24"/>
          <w:highlight w:val="none"/>
        </w:rPr>
      </w:pPr>
      <w:bookmarkStart w:id="158" w:name="_Toc403122523"/>
      <w:bookmarkStart w:id="159" w:name="_Toc274249606"/>
      <w:bookmarkStart w:id="160" w:name="_Toc426369513"/>
      <w:bookmarkStart w:id="161" w:name="_Toc279599802"/>
      <w:r>
        <w:rPr>
          <w:rFonts w:hint="eastAsia" w:ascii="宋体" w:hAnsi="宋体" w:cs="宋体"/>
          <w:b/>
          <w:bCs/>
          <w:sz w:val="24"/>
          <w:highlight w:val="none"/>
        </w:rPr>
        <w:t>6.1 评标委员会</w:t>
      </w:r>
      <w:bookmarkEnd w:id="158"/>
      <w:bookmarkEnd w:id="159"/>
      <w:bookmarkEnd w:id="160"/>
      <w:bookmarkEnd w:id="161"/>
    </w:p>
    <w:p w14:paraId="3DF7C8AE">
      <w:pPr>
        <w:spacing w:line="500" w:lineRule="exact"/>
        <w:ind w:firstLine="480" w:firstLineChars="200"/>
        <w:rPr>
          <w:rFonts w:ascii="宋体" w:hAnsi="宋体" w:cs="宋体"/>
          <w:sz w:val="24"/>
          <w:highlight w:val="none"/>
        </w:rPr>
      </w:pPr>
      <w:r>
        <w:rPr>
          <w:rFonts w:hint="eastAsia" w:ascii="宋体" w:hAnsi="宋体" w:cs="宋体"/>
          <w:sz w:val="24"/>
          <w:highlight w:val="none"/>
        </w:rPr>
        <w:t>6.1.1  评标由采购人依法组建的评标委员会负责。评标委员会由采购人代表和评审专家组成。评标委员会成员人数以及评审专家的确定方式见供应商须知前附表。</w:t>
      </w:r>
    </w:p>
    <w:p w14:paraId="7CE83139">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6.1.2  评标委员会成员有下列情形之一的，应当回避： </w:t>
      </w:r>
    </w:p>
    <w:p w14:paraId="65726EF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（1）供应商或供应商的主要负责人的近亲属； </w:t>
      </w:r>
    </w:p>
    <w:p w14:paraId="1910737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（2）项目主管部门或者行政监督部门的人员； </w:t>
      </w:r>
    </w:p>
    <w:p w14:paraId="6F6B9A78">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（3）与供应商有经济利益关系，可能影响对投标公正评审的； </w:t>
      </w:r>
    </w:p>
    <w:p w14:paraId="7B71589B">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（4）曾因在招标、评标以及其他与招标投标有关活动中从事违法行为而受过行政处罚或刑事处罚的。 </w:t>
      </w:r>
    </w:p>
    <w:p w14:paraId="608837C6">
      <w:pPr>
        <w:spacing w:line="500" w:lineRule="exact"/>
        <w:ind w:firstLine="482" w:firstLineChars="200"/>
        <w:rPr>
          <w:rFonts w:ascii="宋体" w:hAnsi="宋体" w:cs="宋体"/>
          <w:b/>
          <w:bCs/>
          <w:sz w:val="24"/>
          <w:highlight w:val="none"/>
        </w:rPr>
      </w:pPr>
      <w:bookmarkStart w:id="162" w:name="_Toc274249607"/>
      <w:bookmarkStart w:id="163" w:name="_Toc403122524"/>
      <w:bookmarkStart w:id="164" w:name="_Toc426369514"/>
      <w:bookmarkStart w:id="165" w:name="_Toc279599803"/>
      <w:r>
        <w:rPr>
          <w:rFonts w:hint="eastAsia" w:ascii="宋体" w:hAnsi="宋体" w:cs="宋体"/>
          <w:b/>
          <w:bCs/>
          <w:sz w:val="24"/>
          <w:highlight w:val="none"/>
        </w:rPr>
        <w:t>6.2 评标原则</w:t>
      </w:r>
      <w:bookmarkEnd w:id="162"/>
      <w:bookmarkEnd w:id="163"/>
      <w:bookmarkEnd w:id="164"/>
      <w:bookmarkEnd w:id="165"/>
    </w:p>
    <w:p w14:paraId="32C1AD2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评标活动遵循公平、公正、科学和择优的原则。 </w:t>
      </w:r>
    </w:p>
    <w:p w14:paraId="24DD9D81">
      <w:pPr>
        <w:spacing w:line="500" w:lineRule="exact"/>
        <w:ind w:firstLine="482" w:firstLineChars="200"/>
        <w:rPr>
          <w:rFonts w:ascii="宋体" w:hAnsi="宋体" w:cs="宋体"/>
          <w:sz w:val="24"/>
          <w:highlight w:val="none"/>
        </w:rPr>
      </w:pPr>
      <w:bookmarkStart w:id="166" w:name="_Toc274249608"/>
      <w:bookmarkStart w:id="167" w:name="_Toc426369515"/>
      <w:bookmarkStart w:id="168" w:name="_Toc403122525"/>
      <w:bookmarkStart w:id="169" w:name="_Toc279599804"/>
      <w:r>
        <w:rPr>
          <w:rFonts w:hint="eastAsia" w:ascii="宋体" w:hAnsi="宋体" w:cs="宋体"/>
          <w:b/>
          <w:bCs/>
          <w:sz w:val="24"/>
          <w:highlight w:val="none"/>
        </w:rPr>
        <w:t>6.3 评标</w:t>
      </w:r>
      <w:bookmarkEnd w:id="166"/>
      <w:bookmarkEnd w:id="167"/>
      <w:bookmarkEnd w:id="168"/>
      <w:bookmarkEnd w:id="169"/>
    </w:p>
    <w:p w14:paraId="1D111E84">
      <w:pPr>
        <w:spacing w:line="500" w:lineRule="exact"/>
        <w:ind w:firstLine="480" w:firstLineChars="200"/>
        <w:rPr>
          <w:rFonts w:ascii="宋体" w:hAnsi="宋体" w:cs="宋体"/>
          <w:sz w:val="24"/>
          <w:highlight w:val="none"/>
        </w:rPr>
      </w:pPr>
      <w:r>
        <w:rPr>
          <w:rFonts w:hint="eastAsia" w:ascii="宋体" w:hAnsi="宋体" w:cs="宋体"/>
          <w:sz w:val="24"/>
          <w:highlight w:val="none"/>
        </w:rPr>
        <w:t>6.3.1在评审过程中，评标委员会发现投标人有下列情形之一的，视为投标人相互串通投标，按照无效投标处理并依据法律、法规追究其相关责任。具体表现形式如下：</w:t>
      </w:r>
    </w:p>
    <w:p w14:paraId="7564FC9F">
      <w:pPr>
        <w:spacing w:line="500" w:lineRule="exact"/>
        <w:ind w:firstLine="480" w:firstLineChars="200"/>
        <w:rPr>
          <w:rFonts w:ascii="宋体" w:hAnsi="宋体" w:cs="宋体"/>
          <w:sz w:val="24"/>
          <w:highlight w:val="none"/>
        </w:rPr>
      </w:pPr>
      <w:r>
        <w:rPr>
          <w:rFonts w:hint="eastAsia" w:ascii="宋体" w:hAnsi="宋体" w:cs="宋体"/>
          <w:sz w:val="24"/>
          <w:highlight w:val="none"/>
        </w:rPr>
        <w:t>（1）不同投标人的投标文件由同一单位或者个人编制；</w:t>
      </w:r>
    </w:p>
    <w:p w14:paraId="6854A6EF">
      <w:pPr>
        <w:spacing w:line="500" w:lineRule="exact"/>
        <w:ind w:firstLine="480" w:firstLineChars="200"/>
        <w:rPr>
          <w:rFonts w:ascii="宋体" w:hAnsi="宋体" w:cs="宋体"/>
          <w:sz w:val="24"/>
          <w:highlight w:val="none"/>
        </w:rPr>
      </w:pPr>
      <w:r>
        <w:rPr>
          <w:rFonts w:hint="eastAsia" w:ascii="宋体" w:hAnsi="宋体" w:cs="宋体"/>
          <w:sz w:val="24"/>
          <w:highlight w:val="none"/>
        </w:rPr>
        <w:t>（2）不同投标人委托同一单位或者个人办理投标事宜；</w:t>
      </w:r>
    </w:p>
    <w:p w14:paraId="4913DDF6">
      <w:pPr>
        <w:spacing w:line="500" w:lineRule="exact"/>
        <w:ind w:firstLine="480" w:firstLineChars="200"/>
        <w:rPr>
          <w:rFonts w:ascii="宋体" w:hAnsi="宋体" w:cs="宋体"/>
          <w:sz w:val="24"/>
          <w:highlight w:val="none"/>
        </w:rPr>
      </w:pPr>
      <w:r>
        <w:rPr>
          <w:rFonts w:hint="eastAsia" w:ascii="宋体" w:hAnsi="宋体" w:cs="宋体"/>
          <w:sz w:val="24"/>
          <w:highlight w:val="none"/>
        </w:rPr>
        <w:t>（3）不同投标人的投标文件载明的项目管理成员或者联系人员为同一人；</w:t>
      </w:r>
    </w:p>
    <w:p w14:paraId="56ABB221">
      <w:pPr>
        <w:spacing w:line="500" w:lineRule="exact"/>
        <w:ind w:firstLine="480" w:firstLineChars="200"/>
        <w:rPr>
          <w:rFonts w:ascii="宋体" w:hAnsi="宋体" w:cs="宋体"/>
          <w:sz w:val="24"/>
          <w:highlight w:val="none"/>
        </w:rPr>
      </w:pPr>
      <w:r>
        <w:rPr>
          <w:rFonts w:hint="eastAsia" w:ascii="宋体" w:hAnsi="宋体" w:cs="宋体"/>
          <w:sz w:val="24"/>
          <w:highlight w:val="none"/>
        </w:rPr>
        <w:t>（4）不同投标人的投标文件异常一致或者投标报价呈规律性差异；</w:t>
      </w:r>
    </w:p>
    <w:p w14:paraId="04C6C8E6">
      <w:pPr>
        <w:spacing w:line="500" w:lineRule="exact"/>
        <w:ind w:firstLine="480" w:firstLineChars="200"/>
        <w:rPr>
          <w:rFonts w:ascii="宋体" w:hAnsi="宋体" w:cs="宋体"/>
          <w:sz w:val="24"/>
          <w:highlight w:val="none"/>
        </w:rPr>
      </w:pPr>
      <w:r>
        <w:rPr>
          <w:rFonts w:hint="eastAsia" w:ascii="宋体" w:hAnsi="宋体" w:cs="宋体"/>
          <w:sz w:val="24"/>
          <w:highlight w:val="none"/>
        </w:rPr>
        <w:t>（5）不同投标人的投标文件相互混装；</w:t>
      </w:r>
    </w:p>
    <w:p w14:paraId="79A3A6D4">
      <w:pPr>
        <w:spacing w:line="500" w:lineRule="exact"/>
        <w:ind w:firstLine="480" w:firstLineChars="200"/>
        <w:rPr>
          <w:rFonts w:ascii="宋体" w:hAnsi="宋体" w:cs="宋体"/>
          <w:sz w:val="24"/>
          <w:highlight w:val="none"/>
        </w:rPr>
      </w:pPr>
      <w:r>
        <w:rPr>
          <w:rFonts w:hint="eastAsia" w:ascii="宋体" w:hAnsi="宋体" w:cs="宋体"/>
          <w:sz w:val="24"/>
          <w:highlight w:val="none"/>
        </w:rPr>
        <w:t>（6）有证据证明投标人与采购人、采购代理机构或者其他投标人串通的其他情形；</w:t>
      </w:r>
    </w:p>
    <w:p w14:paraId="02D09F3B">
      <w:pPr>
        <w:spacing w:line="500" w:lineRule="exact"/>
        <w:ind w:firstLine="480" w:firstLineChars="200"/>
        <w:rPr>
          <w:rFonts w:ascii="宋体" w:hAnsi="宋体" w:cs="宋体"/>
          <w:sz w:val="24"/>
          <w:highlight w:val="none"/>
        </w:rPr>
      </w:pPr>
      <w:r>
        <w:rPr>
          <w:rFonts w:hint="eastAsia" w:ascii="宋体" w:hAnsi="宋体" w:cs="宋体"/>
          <w:sz w:val="24"/>
          <w:highlight w:val="none"/>
        </w:rPr>
        <w:t>6.3.2评标委员会应当按照招标文件中规定的评标方法和标准，对符合性审查合格的投标文件进行商务和技术评估，综合比较与评价。招标文件没有规定的评标方法、评审因素和标准，不作为评标依据。</w:t>
      </w:r>
    </w:p>
    <w:p w14:paraId="50419D53">
      <w:pPr>
        <w:spacing w:line="500" w:lineRule="exact"/>
        <w:ind w:firstLine="480" w:firstLineChars="200"/>
        <w:rPr>
          <w:rFonts w:ascii="宋体" w:hAnsi="宋体" w:cs="宋体"/>
          <w:sz w:val="24"/>
          <w:highlight w:val="none"/>
        </w:rPr>
      </w:pPr>
      <w:r>
        <w:rPr>
          <w:rFonts w:hint="eastAsia" w:ascii="宋体" w:hAnsi="宋体" w:cs="宋体"/>
          <w:sz w:val="24"/>
          <w:highlight w:val="none"/>
        </w:rPr>
        <w:t>6.3.3评标时，评标委员会各成员应当独立对每个投标人的投标文件进行评价，并汇总每个投标人的得分。</w:t>
      </w:r>
    </w:p>
    <w:p w14:paraId="628D3602">
      <w:pPr>
        <w:spacing w:line="500" w:lineRule="exact"/>
        <w:ind w:firstLine="480" w:firstLineChars="200"/>
        <w:rPr>
          <w:rFonts w:ascii="宋体" w:hAnsi="宋体" w:cs="宋体"/>
          <w:sz w:val="24"/>
          <w:highlight w:val="none"/>
        </w:rPr>
      </w:pPr>
      <w:r>
        <w:rPr>
          <w:rFonts w:hint="eastAsia" w:ascii="宋体" w:hAnsi="宋体" w:cs="宋体"/>
          <w:sz w:val="24"/>
          <w:highlight w:val="none"/>
        </w:rPr>
        <w:t>评标完成后，评标委员会应当向采购人提交书面评标报告和中标候选人名单。评标委员会推荐中标候选人的人数见投标人须知前附表。</w:t>
      </w:r>
    </w:p>
    <w:p w14:paraId="1AE3696A">
      <w:pPr>
        <w:spacing w:line="500" w:lineRule="exact"/>
        <w:ind w:firstLine="480" w:firstLineChars="200"/>
        <w:rPr>
          <w:rFonts w:ascii="宋体" w:hAnsi="宋体" w:cs="宋体"/>
          <w:sz w:val="24"/>
          <w:highlight w:val="none"/>
        </w:rPr>
      </w:pPr>
      <w:r>
        <w:rPr>
          <w:rFonts w:hint="eastAsia" w:ascii="宋体" w:hAnsi="宋体" w:cs="宋体"/>
          <w:sz w:val="24"/>
          <w:highlight w:val="none"/>
        </w:rPr>
        <w:t>6.3.4 评标委员会负责具体评标事务，并独立履行下列职责：</w:t>
      </w:r>
    </w:p>
    <w:p w14:paraId="1C7E051F">
      <w:pPr>
        <w:spacing w:line="500" w:lineRule="exact"/>
        <w:ind w:firstLine="480" w:firstLineChars="200"/>
        <w:rPr>
          <w:rFonts w:ascii="宋体" w:hAnsi="宋体" w:cs="宋体"/>
          <w:sz w:val="24"/>
          <w:highlight w:val="none"/>
        </w:rPr>
      </w:pPr>
      <w:r>
        <w:rPr>
          <w:rFonts w:hint="eastAsia" w:ascii="宋体" w:hAnsi="宋体" w:cs="宋体"/>
          <w:sz w:val="24"/>
          <w:highlight w:val="none"/>
        </w:rPr>
        <w:t>（1）审查、评价投标文件是否符合招标文件的实质性要求；</w:t>
      </w:r>
    </w:p>
    <w:p w14:paraId="4A833C40">
      <w:pPr>
        <w:spacing w:line="500" w:lineRule="exact"/>
        <w:ind w:firstLine="480" w:firstLineChars="200"/>
        <w:rPr>
          <w:rFonts w:ascii="宋体" w:hAnsi="宋体" w:cs="宋体"/>
          <w:sz w:val="24"/>
          <w:highlight w:val="none"/>
        </w:rPr>
      </w:pPr>
      <w:r>
        <w:rPr>
          <w:rFonts w:hint="eastAsia" w:ascii="宋体" w:hAnsi="宋体" w:cs="宋体"/>
          <w:sz w:val="24"/>
          <w:highlight w:val="none"/>
        </w:rPr>
        <w:t>（2）要求投标人对投标文件有关事项作出澄清或者说明；</w:t>
      </w:r>
    </w:p>
    <w:p w14:paraId="3756B761">
      <w:pPr>
        <w:spacing w:line="500" w:lineRule="exact"/>
        <w:ind w:firstLine="480" w:firstLineChars="200"/>
        <w:rPr>
          <w:rFonts w:ascii="宋体" w:hAnsi="宋体" w:cs="宋体"/>
          <w:sz w:val="24"/>
          <w:highlight w:val="none"/>
        </w:rPr>
      </w:pPr>
      <w:r>
        <w:rPr>
          <w:rFonts w:hint="eastAsia" w:ascii="宋体" w:hAnsi="宋体" w:cs="宋体"/>
          <w:sz w:val="24"/>
          <w:highlight w:val="none"/>
        </w:rPr>
        <w:t>（3）对投标文件进行比较和评价；</w:t>
      </w:r>
    </w:p>
    <w:p w14:paraId="35B01B41">
      <w:pPr>
        <w:spacing w:line="500" w:lineRule="exact"/>
        <w:ind w:firstLine="480" w:firstLineChars="200"/>
        <w:rPr>
          <w:rFonts w:ascii="宋体" w:hAnsi="宋体" w:cs="宋体"/>
          <w:sz w:val="24"/>
          <w:highlight w:val="none"/>
        </w:rPr>
      </w:pPr>
      <w:r>
        <w:rPr>
          <w:rFonts w:hint="eastAsia" w:ascii="宋体" w:hAnsi="宋体" w:cs="宋体"/>
          <w:sz w:val="24"/>
          <w:highlight w:val="none"/>
        </w:rPr>
        <w:t>（4）确定中标候选人名单；</w:t>
      </w:r>
    </w:p>
    <w:p w14:paraId="578AEE81">
      <w:pPr>
        <w:spacing w:line="500" w:lineRule="exact"/>
        <w:ind w:firstLine="480" w:firstLineChars="200"/>
        <w:rPr>
          <w:rFonts w:ascii="宋体" w:hAnsi="宋体" w:cs="宋体"/>
          <w:sz w:val="24"/>
          <w:highlight w:val="none"/>
        </w:rPr>
      </w:pPr>
      <w:r>
        <w:rPr>
          <w:rFonts w:hint="eastAsia" w:ascii="宋体" w:hAnsi="宋体" w:cs="宋体"/>
          <w:sz w:val="24"/>
          <w:highlight w:val="none"/>
        </w:rPr>
        <w:t>（5）向采购人、采购代理机构或者有关部门报告评标中发现的违法行为。</w:t>
      </w:r>
    </w:p>
    <w:p w14:paraId="2C064CFA">
      <w:pPr>
        <w:autoSpaceDE w:val="0"/>
        <w:autoSpaceDN w:val="0"/>
        <w:adjustRightInd w:val="0"/>
        <w:spacing w:line="500" w:lineRule="exact"/>
        <w:ind w:left="237" w:right="-20"/>
        <w:jc w:val="left"/>
        <w:rPr>
          <w:rFonts w:ascii="宋体" w:hAnsi="宋体" w:cs="宋体"/>
          <w:b/>
          <w:bCs/>
          <w:spacing w:val="1"/>
          <w:kern w:val="0"/>
          <w:sz w:val="24"/>
          <w:highlight w:val="none"/>
        </w:rPr>
      </w:pPr>
      <w:r>
        <w:rPr>
          <w:rFonts w:hint="eastAsia" w:ascii="宋体" w:hAnsi="宋体" w:cs="宋体"/>
          <w:b/>
          <w:bCs/>
          <w:spacing w:val="1"/>
          <w:kern w:val="0"/>
          <w:sz w:val="24"/>
          <w:highlight w:val="none"/>
        </w:rPr>
        <w:t>6.4 废标</w:t>
      </w:r>
    </w:p>
    <w:p w14:paraId="25CF18BD">
      <w:pPr>
        <w:spacing w:line="500" w:lineRule="exact"/>
        <w:ind w:firstLine="480" w:firstLineChars="200"/>
        <w:rPr>
          <w:rFonts w:ascii="宋体" w:hAnsi="宋体" w:cs="宋体"/>
          <w:sz w:val="24"/>
          <w:highlight w:val="none"/>
        </w:rPr>
      </w:pPr>
      <w:r>
        <w:rPr>
          <w:rFonts w:hint="eastAsia" w:ascii="宋体" w:hAnsi="宋体" w:cs="宋体"/>
          <w:sz w:val="24"/>
          <w:highlight w:val="none"/>
        </w:rPr>
        <w:t>招标采购中，出现下列情形之一的，应予废标：</w:t>
      </w:r>
    </w:p>
    <w:p w14:paraId="0F2A264B">
      <w:pPr>
        <w:spacing w:line="500" w:lineRule="exact"/>
        <w:ind w:firstLine="480" w:firstLineChars="200"/>
        <w:rPr>
          <w:rFonts w:ascii="宋体" w:hAnsi="宋体" w:cs="宋体"/>
          <w:sz w:val="24"/>
          <w:highlight w:val="none"/>
        </w:rPr>
      </w:pPr>
      <w:r>
        <w:rPr>
          <w:rFonts w:hint="eastAsia" w:ascii="宋体" w:hAnsi="宋体" w:cs="宋体"/>
          <w:sz w:val="24"/>
          <w:highlight w:val="none"/>
        </w:rPr>
        <w:t>（1）符合专业条件的投标人或者对招标文件作实质响应的投标人不足三家的；</w:t>
      </w:r>
    </w:p>
    <w:p w14:paraId="55BF2167">
      <w:pPr>
        <w:spacing w:line="500" w:lineRule="exact"/>
        <w:ind w:firstLine="480" w:firstLineChars="200"/>
        <w:rPr>
          <w:rFonts w:ascii="宋体" w:hAnsi="宋体" w:cs="宋体"/>
          <w:sz w:val="24"/>
          <w:highlight w:val="none"/>
        </w:rPr>
      </w:pPr>
      <w:r>
        <w:rPr>
          <w:rFonts w:hint="eastAsia" w:ascii="宋体" w:hAnsi="宋体" w:cs="宋体"/>
          <w:sz w:val="24"/>
          <w:highlight w:val="none"/>
        </w:rPr>
        <w:t>（2）出现影响采购公正的违法、违规行为的；</w:t>
      </w:r>
    </w:p>
    <w:p w14:paraId="76289DAB">
      <w:pPr>
        <w:spacing w:line="500" w:lineRule="exact"/>
        <w:ind w:firstLine="480" w:firstLineChars="200"/>
        <w:rPr>
          <w:rFonts w:ascii="宋体" w:hAnsi="宋体" w:cs="宋体"/>
          <w:sz w:val="24"/>
          <w:highlight w:val="none"/>
        </w:rPr>
      </w:pPr>
      <w:r>
        <w:rPr>
          <w:rFonts w:hint="eastAsia" w:ascii="宋体" w:hAnsi="宋体" w:cs="宋体"/>
          <w:sz w:val="24"/>
          <w:highlight w:val="none"/>
        </w:rPr>
        <w:t>（3）投标人的报价均超过了采购预算，采购人不能支付的；</w:t>
      </w:r>
    </w:p>
    <w:p w14:paraId="69A58903">
      <w:pPr>
        <w:spacing w:line="500" w:lineRule="exact"/>
        <w:ind w:firstLine="480" w:firstLineChars="200"/>
        <w:rPr>
          <w:rFonts w:ascii="宋体" w:hAnsi="宋体" w:cs="宋体"/>
          <w:sz w:val="24"/>
          <w:highlight w:val="none"/>
        </w:rPr>
      </w:pPr>
      <w:r>
        <w:rPr>
          <w:rFonts w:hint="eastAsia" w:ascii="宋体" w:hAnsi="宋体" w:cs="宋体"/>
          <w:sz w:val="24"/>
          <w:highlight w:val="none"/>
        </w:rPr>
        <w:t>（4）因重大变故，采购任务取消的。废标后，采购人应当将废标理由通知所有投标人。</w:t>
      </w:r>
    </w:p>
    <w:p w14:paraId="1A73E317">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170" w:name="_Toc22968"/>
      <w:bookmarkStart w:id="171" w:name="_Toc403122526"/>
      <w:bookmarkStart w:id="172" w:name="_Toc17811"/>
      <w:bookmarkStart w:id="173" w:name="_Toc26823"/>
      <w:bookmarkStart w:id="174" w:name="_Toc426369516"/>
      <w:bookmarkStart w:id="175" w:name="_Toc26569"/>
      <w:r>
        <w:rPr>
          <w:rFonts w:hint="eastAsia" w:ascii="宋体" w:hAnsi="宋体" w:eastAsia="宋体" w:cs="宋体"/>
          <w:sz w:val="24"/>
          <w:szCs w:val="24"/>
          <w:highlight w:val="none"/>
        </w:rPr>
        <w:t>7. 合同授予</w:t>
      </w:r>
      <w:bookmarkEnd w:id="170"/>
      <w:bookmarkEnd w:id="171"/>
      <w:bookmarkEnd w:id="172"/>
      <w:bookmarkEnd w:id="173"/>
      <w:bookmarkEnd w:id="174"/>
      <w:bookmarkEnd w:id="175"/>
    </w:p>
    <w:p w14:paraId="59A8124D">
      <w:pPr>
        <w:spacing w:line="500" w:lineRule="exact"/>
        <w:ind w:firstLine="482" w:firstLineChars="200"/>
        <w:rPr>
          <w:rFonts w:ascii="宋体" w:hAnsi="宋体" w:cs="宋体"/>
          <w:b/>
          <w:bCs/>
          <w:sz w:val="24"/>
          <w:highlight w:val="none"/>
        </w:rPr>
      </w:pPr>
      <w:bookmarkStart w:id="176" w:name="_Toc274249610"/>
      <w:bookmarkStart w:id="177" w:name="_Toc426369517"/>
      <w:bookmarkStart w:id="178" w:name="_Toc279599806"/>
      <w:bookmarkStart w:id="179" w:name="_Toc403122527"/>
      <w:r>
        <w:rPr>
          <w:rFonts w:hint="eastAsia" w:ascii="宋体" w:hAnsi="宋体" w:cs="宋体"/>
          <w:b/>
          <w:bCs/>
          <w:sz w:val="24"/>
          <w:highlight w:val="none"/>
        </w:rPr>
        <w:t>7.1 定标方式</w:t>
      </w:r>
      <w:bookmarkEnd w:id="176"/>
      <w:bookmarkEnd w:id="177"/>
      <w:bookmarkEnd w:id="178"/>
      <w:bookmarkEnd w:id="179"/>
    </w:p>
    <w:p w14:paraId="2861BDD6">
      <w:pPr>
        <w:spacing w:line="500" w:lineRule="exact"/>
        <w:ind w:firstLine="480" w:firstLineChars="200"/>
        <w:rPr>
          <w:rFonts w:ascii="宋体" w:hAnsi="宋体" w:cs="宋体"/>
          <w:sz w:val="24"/>
          <w:highlight w:val="none"/>
        </w:rPr>
      </w:pPr>
      <w:r>
        <w:rPr>
          <w:rFonts w:hint="eastAsia" w:ascii="宋体" w:hAnsi="宋体" w:cs="宋体"/>
          <w:sz w:val="24"/>
          <w:highlight w:val="none"/>
        </w:rPr>
        <w:t>7.1.1采购人依据评标委员会推荐的中标候选人确定中标人，评标委员会推荐中标人候选人的人数见供应商须知前附表。</w:t>
      </w:r>
    </w:p>
    <w:p w14:paraId="5641BDE0">
      <w:pPr>
        <w:spacing w:line="500" w:lineRule="exact"/>
        <w:ind w:firstLine="480" w:firstLineChars="200"/>
        <w:rPr>
          <w:rFonts w:ascii="宋体" w:hAnsi="宋体" w:cs="宋体"/>
          <w:sz w:val="24"/>
          <w:highlight w:val="none"/>
        </w:rPr>
      </w:pPr>
      <w:r>
        <w:rPr>
          <w:rFonts w:hint="eastAsia" w:ascii="宋体" w:hAnsi="宋体" w:cs="宋体"/>
          <w:sz w:val="24"/>
          <w:highlight w:val="none"/>
        </w:rPr>
        <w:t>7.1.2 中标或者成交投标人拒绝与采购人签订合同的，采购人可以按照评标报告推荐的中标或者成交候选人名单排序，确定下一候选人为中标或者成交投标人，也可以重新开展政府采购活动。</w:t>
      </w:r>
    </w:p>
    <w:p w14:paraId="4D409A50">
      <w:pPr>
        <w:spacing w:line="500" w:lineRule="exact"/>
        <w:ind w:firstLine="482" w:firstLineChars="200"/>
        <w:rPr>
          <w:rFonts w:ascii="宋体" w:hAnsi="宋体" w:cs="宋体"/>
          <w:b/>
          <w:bCs/>
          <w:sz w:val="24"/>
          <w:highlight w:val="none"/>
        </w:rPr>
      </w:pPr>
      <w:bookmarkStart w:id="180" w:name="_Toc426369518"/>
      <w:bookmarkStart w:id="181" w:name="_Toc403122528"/>
      <w:bookmarkStart w:id="182" w:name="_Toc279599807"/>
      <w:bookmarkStart w:id="183" w:name="_Toc274249611"/>
      <w:r>
        <w:rPr>
          <w:rFonts w:hint="eastAsia" w:ascii="宋体" w:hAnsi="宋体" w:cs="宋体"/>
          <w:b/>
          <w:bCs/>
          <w:sz w:val="24"/>
          <w:highlight w:val="none"/>
        </w:rPr>
        <w:t>7.2 中标通知</w:t>
      </w:r>
      <w:bookmarkEnd w:id="180"/>
      <w:bookmarkEnd w:id="181"/>
      <w:bookmarkEnd w:id="182"/>
      <w:bookmarkEnd w:id="183"/>
    </w:p>
    <w:p w14:paraId="5910B473">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7.2.1 在本章第3.3款规定的投标有效期内，采购人以书面形式向中标人发出中标通知书，同时将中标结果通知未中标的投标人。 </w:t>
      </w:r>
    </w:p>
    <w:p w14:paraId="4D4582A3">
      <w:pPr>
        <w:spacing w:line="500" w:lineRule="exact"/>
        <w:ind w:firstLine="480" w:firstLineChars="200"/>
        <w:rPr>
          <w:rFonts w:ascii="宋体" w:hAnsi="宋体" w:cs="宋体"/>
          <w:sz w:val="24"/>
          <w:highlight w:val="none"/>
        </w:rPr>
      </w:pPr>
      <w:r>
        <w:rPr>
          <w:rFonts w:hint="eastAsia" w:ascii="宋体" w:hAnsi="宋体" w:cs="宋体"/>
          <w:sz w:val="24"/>
          <w:highlight w:val="none"/>
        </w:rPr>
        <w:t>7.2.2中标人在领取中标通知书后应及时到相关部门办理中标后的备案手续。</w:t>
      </w:r>
    </w:p>
    <w:p w14:paraId="3DB7385D">
      <w:pPr>
        <w:spacing w:line="500" w:lineRule="exact"/>
        <w:ind w:firstLine="482" w:firstLineChars="200"/>
        <w:rPr>
          <w:rFonts w:ascii="宋体" w:hAnsi="宋体" w:cs="宋体"/>
          <w:b/>
          <w:bCs/>
          <w:sz w:val="24"/>
          <w:highlight w:val="none"/>
        </w:rPr>
      </w:pPr>
      <w:bookmarkStart w:id="184" w:name="_Toc274249612"/>
      <w:bookmarkStart w:id="185" w:name="_Toc279599808"/>
      <w:bookmarkStart w:id="186" w:name="_Toc311550376"/>
      <w:bookmarkStart w:id="187" w:name="_Toc426369519"/>
      <w:bookmarkStart w:id="188" w:name="_Toc403122529"/>
      <w:r>
        <w:rPr>
          <w:rFonts w:hint="eastAsia" w:ascii="宋体" w:hAnsi="宋体" w:cs="宋体"/>
          <w:b/>
          <w:bCs/>
          <w:sz w:val="24"/>
          <w:highlight w:val="none"/>
        </w:rPr>
        <w:t>7.3履约</w:t>
      </w:r>
      <w:bookmarkEnd w:id="184"/>
      <w:bookmarkEnd w:id="185"/>
      <w:bookmarkEnd w:id="186"/>
      <w:r>
        <w:rPr>
          <w:rFonts w:hint="eastAsia" w:ascii="宋体" w:hAnsi="宋体" w:cs="宋体"/>
          <w:b/>
          <w:bCs/>
          <w:sz w:val="24"/>
          <w:highlight w:val="none"/>
        </w:rPr>
        <w:t>保证金</w:t>
      </w:r>
      <w:bookmarkEnd w:id="187"/>
      <w:bookmarkEnd w:id="188"/>
    </w:p>
    <w:p w14:paraId="05850474">
      <w:pPr>
        <w:spacing w:line="500" w:lineRule="exact"/>
        <w:ind w:firstLine="480" w:firstLineChars="200"/>
        <w:rPr>
          <w:rFonts w:ascii="宋体" w:hAnsi="宋体" w:cs="宋体"/>
          <w:sz w:val="24"/>
          <w:highlight w:val="none"/>
        </w:rPr>
      </w:pPr>
      <w:r>
        <w:rPr>
          <w:rFonts w:hint="eastAsia" w:ascii="宋体" w:hAnsi="宋体" w:cs="宋体"/>
          <w:sz w:val="24"/>
          <w:highlight w:val="none"/>
        </w:rPr>
        <w:t>7.3.1履约保证金：无</w:t>
      </w:r>
    </w:p>
    <w:p w14:paraId="2B47A1D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7.3.2投标保证金：无</w:t>
      </w:r>
    </w:p>
    <w:p w14:paraId="7B4CB823">
      <w:pPr>
        <w:spacing w:line="500" w:lineRule="exact"/>
        <w:ind w:firstLine="480" w:firstLineChars="200"/>
      </w:pPr>
      <w:r>
        <w:rPr>
          <w:rFonts w:hint="eastAsia" w:ascii="宋体" w:hAnsi="宋体" w:cs="宋体"/>
          <w:sz w:val="24"/>
          <w:highlight w:val="none"/>
        </w:rPr>
        <w:t>7.3.</w:t>
      </w:r>
      <w:r>
        <w:rPr>
          <w:rFonts w:hint="eastAsia" w:ascii="宋体" w:hAnsi="宋体" w:cs="宋体"/>
          <w:sz w:val="24"/>
          <w:highlight w:val="none"/>
          <w:lang w:val="en-US" w:eastAsia="zh-CN"/>
        </w:rPr>
        <w:t>3质量</w:t>
      </w:r>
      <w:r>
        <w:rPr>
          <w:rFonts w:hint="eastAsia" w:ascii="宋体" w:hAnsi="宋体" w:cs="宋体"/>
          <w:sz w:val="24"/>
          <w:highlight w:val="none"/>
        </w:rPr>
        <w:t>保证金：无</w:t>
      </w:r>
    </w:p>
    <w:p w14:paraId="4F1500AF">
      <w:pPr>
        <w:spacing w:line="500" w:lineRule="exact"/>
        <w:ind w:firstLine="482" w:firstLineChars="200"/>
        <w:rPr>
          <w:rFonts w:ascii="宋体" w:hAnsi="宋体" w:cs="宋体"/>
          <w:b/>
          <w:bCs/>
          <w:sz w:val="24"/>
          <w:highlight w:val="none"/>
        </w:rPr>
      </w:pPr>
      <w:bookmarkStart w:id="189" w:name="_Toc403122530"/>
      <w:bookmarkStart w:id="190" w:name="_Toc274249613"/>
      <w:bookmarkStart w:id="191" w:name="_Toc279599809"/>
      <w:bookmarkStart w:id="192" w:name="_Toc426369520"/>
      <w:r>
        <w:rPr>
          <w:rFonts w:hint="eastAsia" w:ascii="宋体" w:hAnsi="宋体" w:cs="宋体"/>
          <w:b/>
          <w:bCs/>
          <w:sz w:val="24"/>
          <w:highlight w:val="none"/>
        </w:rPr>
        <w:t>7.4 签订合同</w:t>
      </w:r>
      <w:bookmarkEnd w:id="189"/>
      <w:bookmarkEnd w:id="190"/>
      <w:bookmarkEnd w:id="191"/>
      <w:bookmarkEnd w:id="192"/>
    </w:p>
    <w:p w14:paraId="0A0F3224">
      <w:pPr>
        <w:spacing w:line="500" w:lineRule="exact"/>
        <w:ind w:firstLine="480" w:firstLineChars="200"/>
        <w:rPr>
          <w:rFonts w:ascii="宋体" w:hAnsi="宋体" w:cs="宋体"/>
          <w:sz w:val="24"/>
          <w:highlight w:val="none"/>
        </w:rPr>
      </w:pPr>
      <w:r>
        <w:rPr>
          <w:rFonts w:hint="eastAsia" w:ascii="宋体" w:hAnsi="宋体" w:cs="宋体"/>
          <w:sz w:val="24"/>
          <w:highlight w:val="none"/>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14:paraId="5EC57BEF">
      <w:pPr>
        <w:spacing w:line="500" w:lineRule="exact"/>
        <w:ind w:firstLine="480" w:firstLineChars="200"/>
        <w:rPr>
          <w:rFonts w:ascii="宋体" w:hAnsi="宋体" w:cs="宋体"/>
          <w:sz w:val="24"/>
          <w:highlight w:val="none"/>
        </w:rPr>
      </w:pPr>
      <w:r>
        <w:rPr>
          <w:rFonts w:hint="eastAsia" w:ascii="宋体" w:hAnsi="宋体" w:cs="宋体"/>
          <w:sz w:val="24"/>
          <w:highlight w:val="none"/>
        </w:rPr>
        <w:t>7.4.2 发出中标通知书后，采购人无正当理由拒签合同的，给中标人造成损失的，还应当赔偿损失。</w:t>
      </w:r>
    </w:p>
    <w:p w14:paraId="5BA7494E">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193" w:name="_Toc403122531"/>
      <w:bookmarkStart w:id="194" w:name="_Toc10417"/>
      <w:bookmarkStart w:id="195" w:name="_Toc10541"/>
      <w:bookmarkStart w:id="196" w:name="_Toc10012"/>
      <w:bookmarkStart w:id="197" w:name="_Toc30009"/>
      <w:bookmarkStart w:id="198" w:name="_Toc426369521"/>
      <w:r>
        <w:rPr>
          <w:rFonts w:hint="eastAsia" w:ascii="宋体" w:hAnsi="宋体" w:eastAsia="宋体" w:cs="宋体"/>
          <w:sz w:val="24"/>
          <w:szCs w:val="24"/>
          <w:highlight w:val="none"/>
        </w:rPr>
        <w:t>8. 重新招标</w:t>
      </w:r>
      <w:bookmarkEnd w:id="193"/>
      <w:bookmarkEnd w:id="194"/>
      <w:bookmarkEnd w:id="195"/>
      <w:bookmarkEnd w:id="196"/>
      <w:bookmarkEnd w:id="197"/>
      <w:bookmarkEnd w:id="198"/>
    </w:p>
    <w:p w14:paraId="33E31DB5">
      <w:pPr>
        <w:spacing w:line="500" w:lineRule="exact"/>
        <w:ind w:firstLine="482" w:firstLineChars="200"/>
        <w:rPr>
          <w:rFonts w:ascii="宋体" w:hAnsi="宋体" w:cs="宋体"/>
          <w:b/>
          <w:bCs/>
          <w:sz w:val="24"/>
          <w:highlight w:val="none"/>
        </w:rPr>
      </w:pPr>
      <w:bookmarkStart w:id="199" w:name="_Toc279599811"/>
      <w:bookmarkStart w:id="200" w:name="_Toc274249615"/>
      <w:bookmarkStart w:id="201" w:name="_Toc403122532"/>
      <w:bookmarkStart w:id="202" w:name="_Toc426369522"/>
      <w:r>
        <w:rPr>
          <w:rFonts w:hint="eastAsia" w:ascii="宋体" w:hAnsi="宋体" w:cs="宋体"/>
          <w:b/>
          <w:bCs/>
          <w:sz w:val="24"/>
          <w:highlight w:val="none"/>
        </w:rPr>
        <w:t>8.1 重新招标</w:t>
      </w:r>
      <w:bookmarkEnd w:id="199"/>
      <w:bookmarkEnd w:id="200"/>
      <w:bookmarkEnd w:id="201"/>
      <w:bookmarkEnd w:id="202"/>
    </w:p>
    <w:p w14:paraId="659C6414">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有下列情形之一的，采购人将重新招标： </w:t>
      </w:r>
    </w:p>
    <w:p w14:paraId="28D895C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（1）投标截止时间止，供应商少于3个的； </w:t>
      </w:r>
    </w:p>
    <w:p w14:paraId="6D0922E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（2）经评标委员会评审后否决所有投标的。 </w:t>
      </w:r>
    </w:p>
    <w:p w14:paraId="331E198A">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203" w:name="_Toc403122533"/>
      <w:bookmarkStart w:id="204" w:name="_Toc426369523"/>
      <w:bookmarkStart w:id="205" w:name="_Toc10372"/>
      <w:bookmarkStart w:id="206" w:name="_Toc21696"/>
      <w:bookmarkStart w:id="207" w:name="_Toc3760"/>
      <w:bookmarkStart w:id="208" w:name="_Toc27398"/>
      <w:r>
        <w:rPr>
          <w:rFonts w:hint="eastAsia" w:ascii="宋体" w:hAnsi="宋体" w:eastAsia="宋体" w:cs="宋体"/>
          <w:sz w:val="24"/>
          <w:szCs w:val="24"/>
          <w:highlight w:val="none"/>
        </w:rPr>
        <w:t>9. 纪律和监督</w:t>
      </w:r>
      <w:bookmarkEnd w:id="203"/>
      <w:bookmarkEnd w:id="204"/>
      <w:bookmarkEnd w:id="205"/>
      <w:bookmarkEnd w:id="206"/>
      <w:bookmarkEnd w:id="207"/>
      <w:bookmarkEnd w:id="208"/>
    </w:p>
    <w:p w14:paraId="59861290">
      <w:pPr>
        <w:spacing w:line="500" w:lineRule="exact"/>
        <w:ind w:firstLine="482" w:firstLineChars="200"/>
        <w:rPr>
          <w:rFonts w:ascii="宋体" w:hAnsi="宋体" w:cs="宋体"/>
          <w:b/>
          <w:bCs/>
          <w:sz w:val="24"/>
          <w:highlight w:val="none"/>
        </w:rPr>
      </w:pPr>
      <w:bookmarkStart w:id="209" w:name="_Toc279599814"/>
      <w:bookmarkStart w:id="210" w:name="_Toc426369524"/>
      <w:bookmarkStart w:id="211" w:name="_Toc274249618"/>
      <w:bookmarkStart w:id="212" w:name="_Toc403122534"/>
      <w:r>
        <w:rPr>
          <w:rFonts w:hint="eastAsia" w:ascii="宋体" w:hAnsi="宋体" w:cs="宋体"/>
          <w:b/>
          <w:bCs/>
          <w:sz w:val="24"/>
          <w:highlight w:val="none"/>
        </w:rPr>
        <w:t>9.1 对采购人的纪律要求</w:t>
      </w:r>
      <w:bookmarkEnd w:id="209"/>
      <w:bookmarkEnd w:id="210"/>
      <w:bookmarkEnd w:id="211"/>
      <w:bookmarkEnd w:id="212"/>
    </w:p>
    <w:p w14:paraId="01CA2153">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采购人不得泄漏招标投标活动中应当保密的情况和资料，不得与供应商串通损害国家利益、社会公共利益或者他人合法权益。 </w:t>
      </w:r>
    </w:p>
    <w:p w14:paraId="745CBCCE">
      <w:pPr>
        <w:spacing w:line="500" w:lineRule="exact"/>
        <w:ind w:firstLine="482" w:firstLineChars="200"/>
        <w:rPr>
          <w:rFonts w:ascii="宋体" w:hAnsi="宋体" w:cs="宋体"/>
          <w:b/>
          <w:bCs/>
          <w:sz w:val="24"/>
          <w:highlight w:val="none"/>
        </w:rPr>
      </w:pPr>
      <w:bookmarkStart w:id="213" w:name="_Toc274249619"/>
      <w:bookmarkStart w:id="214" w:name="_Toc279599815"/>
      <w:bookmarkStart w:id="215" w:name="_Toc426369525"/>
      <w:bookmarkStart w:id="216" w:name="_Toc403122535"/>
      <w:r>
        <w:rPr>
          <w:rFonts w:hint="eastAsia" w:ascii="宋体" w:hAnsi="宋体" w:cs="宋体"/>
          <w:b/>
          <w:bCs/>
          <w:sz w:val="24"/>
          <w:highlight w:val="none"/>
        </w:rPr>
        <w:t>9.2 对投标人的纪律要求</w:t>
      </w:r>
      <w:bookmarkEnd w:id="213"/>
      <w:bookmarkEnd w:id="214"/>
      <w:bookmarkEnd w:id="215"/>
      <w:bookmarkEnd w:id="216"/>
    </w:p>
    <w:p w14:paraId="122BDF42">
      <w:pPr>
        <w:spacing w:line="500" w:lineRule="exact"/>
        <w:ind w:firstLine="480" w:firstLineChars="200"/>
        <w:rPr>
          <w:rFonts w:ascii="宋体" w:hAnsi="宋体" w:cs="宋体"/>
          <w:sz w:val="24"/>
          <w:highlight w:val="none"/>
        </w:rPr>
      </w:pPr>
      <w:r>
        <w:rPr>
          <w:rFonts w:hint="eastAsia" w:ascii="宋体" w:hAnsi="宋体" w:cs="宋体"/>
          <w:sz w:val="24"/>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55C8F080">
      <w:pPr>
        <w:spacing w:line="500" w:lineRule="exact"/>
        <w:ind w:firstLine="482" w:firstLineChars="200"/>
        <w:rPr>
          <w:rFonts w:ascii="宋体" w:hAnsi="宋体" w:cs="宋体"/>
          <w:b/>
          <w:bCs/>
          <w:sz w:val="24"/>
          <w:highlight w:val="none"/>
        </w:rPr>
      </w:pPr>
      <w:bookmarkStart w:id="217" w:name="_Toc279599816"/>
      <w:bookmarkStart w:id="218" w:name="_Toc403122536"/>
      <w:bookmarkStart w:id="219" w:name="_Toc426369526"/>
      <w:bookmarkStart w:id="220" w:name="_Toc274249620"/>
      <w:r>
        <w:rPr>
          <w:rFonts w:hint="eastAsia" w:ascii="宋体" w:hAnsi="宋体" w:cs="宋体"/>
          <w:b/>
          <w:bCs/>
          <w:sz w:val="24"/>
          <w:highlight w:val="none"/>
        </w:rPr>
        <w:t>9.3 对评标委员会成员的纪律要求</w:t>
      </w:r>
      <w:bookmarkEnd w:id="217"/>
      <w:bookmarkEnd w:id="218"/>
      <w:bookmarkEnd w:id="219"/>
      <w:bookmarkEnd w:id="220"/>
    </w:p>
    <w:p w14:paraId="61130A3D">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3640E174">
      <w:pPr>
        <w:spacing w:line="500" w:lineRule="exact"/>
        <w:ind w:firstLine="482" w:firstLineChars="200"/>
        <w:rPr>
          <w:rFonts w:ascii="宋体" w:hAnsi="宋体" w:cs="宋体"/>
          <w:b/>
          <w:bCs/>
          <w:sz w:val="24"/>
          <w:highlight w:val="none"/>
        </w:rPr>
      </w:pPr>
      <w:bookmarkStart w:id="221" w:name="_Toc403122537"/>
      <w:bookmarkStart w:id="222" w:name="_Toc279599817"/>
      <w:bookmarkStart w:id="223" w:name="_Toc274249621"/>
      <w:bookmarkStart w:id="224" w:name="_Toc426369527"/>
      <w:r>
        <w:rPr>
          <w:rFonts w:hint="eastAsia" w:ascii="宋体" w:hAnsi="宋体" w:cs="宋体"/>
          <w:b/>
          <w:bCs/>
          <w:sz w:val="24"/>
          <w:highlight w:val="none"/>
        </w:rPr>
        <w:t>9.4 对与评标活动有关的工作人员的纪律要求</w:t>
      </w:r>
      <w:bookmarkEnd w:id="221"/>
      <w:bookmarkEnd w:id="222"/>
      <w:bookmarkEnd w:id="223"/>
      <w:bookmarkEnd w:id="224"/>
    </w:p>
    <w:p w14:paraId="2E0619D9">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3C3B05CC">
      <w:pPr>
        <w:spacing w:line="500" w:lineRule="exact"/>
        <w:ind w:firstLine="482" w:firstLineChars="200"/>
        <w:rPr>
          <w:rFonts w:ascii="宋体" w:hAnsi="宋体" w:cs="宋体"/>
          <w:b/>
          <w:bCs/>
          <w:sz w:val="24"/>
          <w:highlight w:val="none"/>
        </w:rPr>
      </w:pPr>
      <w:bookmarkStart w:id="225" w:name="_Toc279599818"/>
      <w:bookmarkStart w:id="226" w:name="_Toc274249622"/>
      <w:bookmarkStart w:id="227" w:name="_Toc403122538"/>
      <w:bookmarkStart w:id="228" w:name="_Toc426369528"/>
      <w:r>
        <w:rPr>
          <w:rFonts w:hint="eastAsia" w:ascii="宋体" w:hAnsi="宋体" w:cs="宋体"/>
          <w:b/>
          <w:bCs/>
          <w:sz w:val="24"/>
          <w:highlight w:val="none"/>
        </w:rPr>
        <w:t>9.5 投诉</w:t>
      </w:r>
      <w:bookmarkEnd w:id="225"/>
      <w:bookmarkEnd w:id="226"/>
      <w:bookmarkEnd w:id="227"/>
      <w:bookmarkEnd w:id="228"/>
    </w:p>
    <w:p w14:paraId="2BBA9472">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供应商和其他利害关系人认为本次招标活动违反法律、法规和规章规定的，有权向有关行政监督部门投诉。 </w:t>
      </w:r>
    </w:p>
    <w:p w14:paraId="1E9CBC32">
      <w:pPr>
        <w:pStyle w:val="24"/>
        <w:spacing w:before="120" w:after="120" w:line="500" w:lineRule="exact"/>
        <w:ind w:right="-1029" w:rightChars="-490" w:firstLine="482" w:firstLineChars="200"/>
        <w:jc w:val="both"/>
        <w:outlineLvl w:val="1"/>
        <w:rPr>
          <w:rFonts w:ascii="宋体" w:hAnsi="宋体" w:eastAsia="宋体" w:cs="宋体"/>
          <w:sz w:val="24"/>
          <w:szCs w:val="24"/>
          <w:highlight w:val="none"/>
        </w:rPr>
      </w:pPr>
      <w:bookmarkStart w:id="229" w:name="_Toc13281"/>
      <w:bookmarkStart w:id="230" w:name="_Toc10880"/>
      <w:bookmarkStart w:id="231" w:name="_Toc25080"/>
      <w:bookmarkStart w:id="232" w:name="_Toc403122539"/>
      <w:bookmarkStart w:id="233" w:name="_Toc426369529"/>
      <w:bookmarkStart w:id="234" w:name="_Toc16026"/>
      <w:r>
        <w:rPr>
          <w:rFonts w:hint="eastAsia" w:ascii="宋体" w:hAnsi="宋体" w:eastAsia="宋体" w:cs="宋体"/>
          <w:sz w:val="24"/>
          <w:szCs w:val="24"/>
          <w:highlight w:val="none"/>
        </w:rPr>
        <w:t>10. 需要补充的其他内容</w:t>
      </w:r>
      <w:bookmarkEnd w:id="229"/>
      <w:bookmarkEnd w:id="230"/>
      <w:bookmarkEnd w:id="231"/>
      <w:bookmarkEnd w:id="232"/>
      <w:bookmarkEnd w:id="233"/>
      <w:bookmarkEnd w:id="234"/>
    </w:p>
    <w:p w14:paraId="3BD287F3">
      <w:pPr>
        <w:autoSpaceDE w:val="0"/>
        <w:autoSpaceDN w:val="0"/>
        <w:adjustRightInd w:val="0"/>
        <w:spacing w:line="500" w:lineRule="exact"/>
        <w:ind w:firstLine="482" w:firstLineChars="200"/>
        <w:rPr>
          <w:rFonts w:ascii="宋体" w:hAnsi="宋体" w:cs="宋体"/>
          <w:kern w:val="0"/>
          <w:sz w:val="24"/>
          <w:highlight w:val="none"/>
        </w:rPr>
      </w:pPr>
      <w:r>
        <w:rPr>
          <w:rFonts w:hint="eastAsia" w:ascii="宋体" w:hAnsi="宋体" w:cs="宋体"/>
          <w:b/>
          <w:kern w:val="0"/>
          <w:sz w:val="24"/>
          <w:highlight w:val="none"/>
        </w:rPr>
        <w:t>10.1 费用承担</w:t>
      </w:r>
    </w:p>
    <w:p w14:paraId="024572F6">
      <w:pPr>
        <w:autoSpaceDE w:val="0"/>
        <w:autoSpaceDN w:val="0"/>
        <w:adjustRightInd w:val="0"/>
        <w:spacing w:line="500" w:lineRule="exact"/>
        <w:ind w:left="17" w:leftChars="8" w:firstLine="480" w:firstLineChars="200"/>
        <w:jc w:val="left"/>
        <w:rPr>
          <w:rFonts w:ascii="宋体" w:hAnsi="宋体" w:cs="宋体"/>
          <w:sz w:val="24"/>
          <w:highlight w:val="none"/>
        </w:rPr>
      </w:pPr>
      <w:r>
        <w:rPr>
          <w:rFonts w:hint="eastAsia" w:ascii="宋体" w:hAnsi="宋体" w:cs="宋体"/>
          <w:sz w:val="24"/>
          <w:highlight w:val="none"/>
        </w:rPr>
        <w:t>（1）无论投标结果如何，投标人应自行承担所有参与投标的全部费用，采购人和采购代理机构在任何情况下均无义务和责任承担上述费用。</w:t>
      </w:r>
    </w:p>
    <w:p w14:paraId="458AB800">
      <w:pPr>
        <w:autoSpaceDE w:val="0"/>
        <w:autoSpaceDN w:val="0"/>
        <w:adjustRightInd w:val="0"/>
        <w:spacing w:line="500" w:lineRule="exact"/>
        <w:ind w:firstLine="420"/>
        <w:jc w:val="left"/>
        <w:rPr>
          <w:rFonts w:ascii="宋体" w:hAnsi="宋体" w:cs="宋体"/>
          <w:sz w:val="24"/>
          <w:highlight w:val="none"/>
        </w:rPr>
      </w:pPr>
      <w:r>
        <w:rPr>
          <w:rFonts w:hint="eastAsia" w:ascii="宋体" w:hAnsi="宋体" w:cs="宋体"/>
          <w:sz w:val="24"/>
          <w:highlight w:val="none"/>
        </w:rPr>
        <w:t>（2）招标代理服务费由中标人支付。</w:t>
      </w:r>
    </w:p>
    <w:p w14:paraId="33EEA176">
      <w:pPr>
        <w:autoSpaceDE w:val="0"/>
        <w:autoSpaceDN w:val="0"/>
        <w:adjustRightInd w:val="0"/>
        <w:spacing w:line="500" w:lineRule="exact"/>
        <w:ind w:firstLine="420"/>
        <w:jc w:val="left"/>
        <w:rPr>
          <w:rFonts w:ascii="宋体" w:hAnsi="宋体" w:cs="宋体"/>
          <w:sz w:val="24"/>
          <w:highlight w:val="none"/>
        </w:rPr>
      </w:pPr>
      <w:r>
        <w:rPr>
          <w:rFonts w:hint="eastAsia" w:ascii="宋体" w:hAnsi="宋体" w:cs="宋体"/>
          <w:sz w:val="24"/>
          <w:highlight w:val="none"/>
        </w:rPr>
        <w:t>（3）供应商与采购人签订合同后，将合同报采购代理机构备案。</w:t>
      </w:r>
    </w:p>
    <w:p w14:paraId="3A5B025E">
      <w:pPr>
        <w:pStyle w:val="36"/>
        <w:spacing w:line="500" w:lineRule="exact"/>
        <w:ind w:firstLine="482" w:firstLineChars="200"/>
        <w:rPr>
          <w:rFonts w:ascii="宋体" w:hAnsi="宋体" w:cs="宋体"/>
          <w:b/>
          <w:bCs/>
          <w:kern w:val="2"/>
          <w:sz w:val="24"/>
          <w:highlight w:val="none"/>
        </w:rPr>
      </w:pPr>
      <w:r>
        <w:rPr>
          <w:rFonts w:hint="eastAsia" w:ascii="宋体" w:hAnsi="宋体" w:cs="宋体"/>
          <w:b/>
          <w:bCs/>
          <w:kern w:val="2"/>
          <w:sz w:val="24"/>
          <w:highlight w:val="none"/>
        </w:rPr>
        <w:t>10.2本招标文件未尽事宜，按《中华人民共和国政府采购法》等法律法规的有关规定执行。</w:t>
      </w:r>
    </w:p>
    <w:p w14:paraId="1EA49E24">
      <w:pPr>
        <w:pStyle w:val="2"/>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14:paraId="76230505">
      <w:pPr>
        <w:pStyle w:val="3"/>
        <w:numPr>
          <w:ilvl w:val="0"/>
          <w:numId w:val="5"/>
        </w:numPr>
        <w:spacing w:line="500" w:lineRule="exact"/>
        <w:rPr>
          <w:sz w:val="32"/>
          <w:szCs w:val="32"/>
          <w:highlight w:val="none"/>
        </w:rPr>
      </w:pPr>
      <w:bookmarkStart w:id="235" w:name="_Toc28433"/>
      <w:bookmarkStart w:id="236" w:name="_Toc403122540"/>
      <w:bookmarkStart w:id="237" w:name="_Toc426369530"/>
      <w:bookmarkStart w:id="238" w:name="_Toc25260"/>
      <w:bookmarkStart w:id="239" w:name="_Toc8251"/>
      <w:r>
        <w:rPr>
          <w:rFonts w:hint="eastAsia"/>
          <w:sz w:val="32"/>
          <w:szCs w:val="32"/>
          <w:highlight w:val="none"/>
        </w:rPr>
        <w:t>评标办法</w:t>
      </w:r>
      <w:bookmarkEnd w:id="235"/>
      <w:bookmarkEnd w:id="236"/>
      <w:bookmarkEnd w:id="237"/>
      <w:r>
        <w:rPr>
          <w:rFonts w:hint="eastAsia"/>
          <w:sz w:val="32"/>
          <w:szCs w:val="32"/>
          <w:highlight w:val="none"/>
        </w:rPr>
        <w:t>（综合评分法）</w:t>
      </w:r>
      <w:bookmarkEnd w:id="238"/>
      <w:bookmarkEnd w:id="239"/>
    </w:p>
    <w:p w14:paraId="1BF29D9A">
      <w:pPr>
        <w:pStyle w:val="45"/>
        <w:spacing w:line="500" w:lineRule="exact"/>
        <w:jc w:val="center"/>
        <w:outlineLvl w:val="1"/>
        <w:rPr>
          <w:rFonts w:asciiTheme="minorEastAsia" w:hAnsiTheme="minorEastAsia" w:eastAsiaTheme="minorEastAsia" w:cstheme="minorEastAsia"/>
          <w:b/>
          <w:bCs/>
          <w:sz w:val="28"/>
          <w:szCs w:val="28"/>
          <w:highlight w:val="none"/>
        </w:rPr>
      </w:pPr>
      <w:bookmarkStart w:id="240" w:name="_Toc9561"/>
      <w:bookmarkStart w:id="241" w:name="_Toc29947"/>
      <w:bookmarkStart w:id="242" w:name="_Toc17859"/>
      <w:bookmarkStart w:id="243" w:name="_Toc30933"/>
      <w:bookmarkStart w:id="244" w:name="_Toc21885"/>
      <w:bookmarkStart w:id="245" w:name="_Toc16529"/>
      <w:bookmarkStart w:id="246" w:name="_Toc2761070"/>
      <w:r>
        <w:rPr>
          <w:rFonts w:hint="eastAsia" w:asciiTheme="minorEastAsia" w:hAnsiTheme="minorEastAsia" w:eastAsiaTheme="minorEastAsia" w:cstheme="minorEastAsia"/>
          <w:b/>
          <w:bCs/>
          <w:sz w:val="28"/>
          <w:szCs w:val="28"/>
          <w:highlight w:val="none"/>
        </w:rPr>
        <w:t>评分办法前附表</w:t>
      </w:r>
      <w:bookmarkEnd w:id="240"/>
      <w:bookmarkEnd w:id="241"/>
      <w:bookmarkEnd w:id="242"/>
      <w:bookmarkEnd w:id="243"/>
      <w:bookmarkEnd w:id="244"/>
    </w:p>
    <w:bookmarkEnd w:id="245"/>
    <w:tbl>
      <w:tblPr>
        <w:tblStyle w:val="28"/>
        <w:tblpPr w:leftFromText="180" w:rightFromText="180" w:vertAnchor="text" w:horzAnchor="page" w:tblpX="1063" w:tblpY="363"/>
        <w:tblOverlap w:val="never"/>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38"/>
        <w:gridCol w:w="2833"/>
        <w:gridCol w:w="4910"/>
      </w:tblGrid>
      <w:tr w14:paraId="64D1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7" w:type="dxa"/>
            <w:vAlign w:val="center"/>
          </w:tcPr>
          <w:p w14:paraId="271814A1">
            <w:pPr>
              <w:spacing w:line="500" w:lineRule="exact"/>
              <w:jc w:val="center"/>
              <w:rPr>
                <w:rFonts w:ascii="宋体" w:hAnsi="宋体" w:cs="宋体"/>
                <w:b/>
                <w:sz w:val="24"/>
                <w:highlight w:val="none"/>
              </w:rPr>
            </w:pPr>
            <w:bookmarkStart w:id="247" w:name="_Toc403122541"/>
            <w:bookmarkStart w:id="248" w:name="_Toc426369531"/>
            <w:bookmarkStart w:id="249" w:name="_Toc31084"/>
            <w:r>
              <w:rPr>
                <w:rFonts w:hint="eastAsia" w:ascii="宋体" w:hAnsi="宋体" w:cs="宋体"/>
                <w:b/>
                <w:bCs/>
                <w:sz w:val="24"/>
                <w:highlight w:val="none"/>
              </w:rPr>
              <w:t>审查主体</w:t>
            </w:r>
          </w:p>
        </w:tc>
        <w:tc>
          <w:tcPr>
            <w:tcW w:w="3871" w:type="dxa"/>
            <w:gridSpan w:val="2"/>
            <w:vAlign w:val="center"/>
          </w:tcPr>
          <w:p w14:paraId="1A9DCB90">
            <w:pPr>
              <w:spacing w:line="500" w:lineRule="exact"/>
              <w:ind w:firstLine="562"/>
              <w:jc w:val="center"/>
              <w:rPr>
                <w:rFonts w:ascii="宋体" w:hAnsi="宋体" w:cs="宋体"/>
                <w:b/>
                <w:sz w:val="24"/>
                <w:highlight w:val="none"/>
              </w:rPr>
            </w:pPr>
            <w:r>
              <w:rPr>
                <w:rFonts w:hint="eastAsia" w:ascii="宋体" w:hAnsi="宋体" w:cs="宋体"/>
                <w:b/>
                <w:sz w:val="24"/>
                <w:highlight w:val="none"/>
              </w:rPr>
              <w:t>评审因素</w:t>
            </w:r>
          </w:p>
        </w:tc>
        <w:tc>
          <w:tcPr>
            <w:tcW w:w="4910" w:type="dxa"/>
            <w:vAlign w:val="center"/>
          </w:tcPr>
          <w:p w14:paraId="5519008D">
            <w:pPr>
              <w:tabs>
                <w:tab w:val="left" w:pos="417"/>
                <w:tab w:val="center" w:pos="2999"/>
              </w:tabs>
              <w:spacing w:line="500" w:lineRule="exact"/>
              <w:ind w:firstLine="562"/>
              <w:jc w:val="center"/>
              <w:rPr>
                <w:rFonts w:ascii="宋体" w:hAnsi="宋体" w:cs="宋体"/>
                <w:b/>
                <w:sz w:val="24"/>
                <w:highlight w:val="none"/>
              </w:rPr>
            </w:pPr>
            <w:r>
              <w:rPr>
                <w:rFonts w:hint="eastAsia" w:ascii="宋体" w:hAnsi="宋体" w:cs="宋体"/>
                <w:b/>
                <w:sz w:val="24"/>
                <w:highlight w:val="none"/>
              </w:rPr>
              <w:t>评审标准</w:t>
            </w:r>
          </w:p>
        </w:tc>
      </w:tr>
      <w:tr w14:paraId="198D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vAlign w:val="center"/>
          </w:tcPr>
          <w:p w14:paraId="569486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资格审查小组</w:t>
            </w:r>
          </w:p>
        </w:tc>
        <w:tc>
          <w:tcPr>
            <w:tcW w:w="1038" w:type="dxa"/>
            <w:vMerge w:val="restart"/>
            <w:vAlign w:val="center"/>
          </w:tcPr>
          <w:p w14:paraId="5929A5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一、资格评审标准</w:t>
            </w:r>
          </w:p>
        </w:tc>
        <w:tc>
          <w:tcPr>
            <w:tcW w:w="2833" w:type="dxa"/>
            <w:vAlign w:val="center"/>
          </w:tcPr>
          <w:p w14:paraId="6E3D205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营业执照、税务登记证、组织机构代码证</w:t>
            </w:r>
          </w:p>
        </w:tc>
        <w:tc>
          <w:tcPr>
            <w:tcW w:w="4910" w:type="dxa"/>
            <w:vAlign w:val="center"/>
          </w:tcPr>
          <w:p w14:paraId="3F10B49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提供政府采购供应商资格信用承诺函</w:t>
            </w:r>
          </w:p>
        </w:tc>
      </w:tr>
      <w:tr w14:paraId="383A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14:paraId="6C3620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p>
        </w:tc>
        <w:tc>
          <w:tcPr>
            <w:tcW w:w="1038" w:type="dxa"/>
            <w:vMerge w:val="continue"/>
            <w:vAlign w:val="center"/>
          </w:tcPr>
          <w:p w14:paraId="6E3128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p>
        </w:tc>
        <w:tc>
          <w:tcPr>
            <w:tcW w:w="2833" w:type="dxa"/>
            <w:vAlign w:val="center"/>
          </w:tcPr>
          <w:p w14:paraId="2B4E797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《中华人民共和国政府采购法》第二十二条规定</w:t>
            </w:r>
          </w:p>
        </w:tc>
        <w:tc>
          <w:tcPr>
            <w:tcW w:w="4910" w:type="dxa"/>
            <w:vAlign w:val="center"/>
          </w:tcPr>
          <w:p w14:paraId="7334806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提供政府采购供应商资格信用承诺函</w:t>
            </w:r>
          </w:p>
        </w:tc>
      </w:tr>
      <w:tr w14:paraId="7B55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14:paraId="1BA043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p>
        </w:tc>
        <w:tc>
          <w:tcPr>
            <w:tcW w:w="1038" w:type="dxa"/>
            <w:vMerge w:val="continue"/>
            <w:vAlign w:val="center"/>
          </w:tcPr>
          <w:p w14:paraId="59BDCA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p>
        </w:tc>
        <w:tc>
          <w:tcPr>
            <w:tcW w:w="2833" w:type="dxa"/>
            <w:vAlign w:val="center"/>
          </w:tcPr>
          <w:p w14:paraId="04A822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法定代表人证明或法定代表人授权委托书</w:t>
            </w:r>
          </w:p>
        </w:tc>
        <w:tc>
          <w:tcPr>
            <w:tcW w:w="4910" w:type="dxa"/>
            <w:vAlign w:val="center"/>
          </w:tcPr>
          <w:p w14:paraId="5D96082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法定代表人（负责人）证明或法定代表人授权委托书</w:t>
            </w:r>
          </w:p>
        </w:tc>
      </w:tr>
      <w:tr w14:paraId="4397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14:paraId="0ED35B9C">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continue"/>
            <w:vAlign w:val="center"/>
          </w:tcPr>
          <w:p w14:paraId="075B60FB">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2833" w:type="dxa"/>
            <w:vAlign w:val="center"/>
          </w:tcPr>
          <w:p w14:paraId="488895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信誉要求</w:t>
            </w:r>
          </w:p>
        </w:tc>
        <w:tc>
          <w:tcPr>
            <w:tcW w:w="4910" w:type="dxa"/>
            <w:vAlign w:val="center"/>
          </w:tcPr>
          <w:p w14:paraId="2653DFB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符合第二章“供应商须知”第1.4.1项规定</w:t>
            </w:r>
          </w:p>
        </w:tc>
      </w:tr>
      <w:tr w14:paraId="517C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bottom w:val="single" w:color="auto" w:sz="4" w:space="0"/>
            </w:tcBorders>
            <w:vAlign w:val="center"/>
          </w:tcPr>
          <w:p w14:paraId="70BA5028">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continue"/>
            <w:tcBorders>
              <w:bottom w:val="single" w:color="auto" w:sz="4" w:space="0"/>
            </w:tcBorders>
            <w:vAlign w:val="center"/>
          </w:tcPr>
          <w:p w14:paraId="0BF59C3B">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2833" w:type="dxa"/>
            <w:tcBorders>
              <w:bottom w:val="single" w:color="auto" w:sz="4" w:space="0"/>
            </w:tcBorders>
            <w:vAlign w:val="center"/>
          </w:tcPr>
          <w:p w14:paraId="4B4FF4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其他要求</w:t>
            </w:r>
          </w:p>
        </w:tc>
        <w:tc>
          <w:tcPr>
            <w:tcW w:w="4910" w:type="dxa"/>
            <w:tcBorders>
              <w:bottom w:val="single" w:color="auto" w:sz="4" w:space="0"/>
            </w:tcBorders>
            <w:vAlign w:val="center"/>
          </w:tcPr>
          <w:p w14:paraId="32B6E8A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符合第二章“供应商须知”第1.4.1 项规定</w:t>
            </w:r>
          </w:p>
        </w:tc>
      </w:tr>
      <w:tr w14:paraId="22E5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vAlign w:val="center"/>
          </w:tcPr>
          <w:p w14:paraId="2D7F70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评标委员会</w:t>
            </w:r>
          </w:p>
        </w:tc>
        <w:tc>
          <w:tcPr>
            <w:tcW w:w="1038" w:type="dxa"/>
            <w:vMerge w:val="restart"/>
            <w:tcBorders>
              <w:top w:val="single" w:color="auto" w:sz="4" w:space="0"/>
              <w:left w:val="single" w:color="auto" w:sz="4" w:space="0"/>
              <w:bottom w:val="single" w:color="auto" w:sz="4" w:space="0"/>
              <w:right w:val="single" w:color="auto" w:sz="4" w:space="0"/>
            </w:tcBorders>
            <w:vAlign w:val="center"/>
          </w:tcPr>
          <w:p w14:paraId="6FF5A5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二、形式评审标准</w:t>
            </w:r>
          </w:p>
        </w:tc>
        <w:tc>
          <w:tcPr>
            <w:tcW w:w="2833" w:type="dxa"/>
            <w:tcBorders>
              <w:top w:val="single" w:color="auto" w:sz="4" w:space="0"/>
              <w:left w:val="single" w:color="auto" w:sz="4" w:space="0"/>
              <w:bottom w:val="single" w:color="auto" w:sz="4" w:space="0"/>
              <w:right w:val="single" w:color="auto" w:sz="4" w:space="0"/>
            </w:tcBorders>
            <w:vAlign w:val="center"/>
          </w:tcPr>
          <w:p w14:paraId="1478D7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供应商名称</w:t>
            </w:r>
          </w:p>
        </w:tc>
        <w:tc>
          <w:tcPr>
            <w:tcW w:w="4910" w:type="dxa"/>
            <w:tcBorders>
              <w:top w:val="single" w:color="auto" w:sz="4" w:space="0"/>
              <w:left w:val="single" w:color="auto" w:sz="4" w:space="0"/>
              <w:bottom w:val="single" w:color="auto" w:sz="4" w:space="0"/>
              <w:right w:val="single" w:color="auto" w:sz="4" w:space="0"/>
            </w:tcBorders>
            <w:vAlign w:val="center"/>
          </w:tcPr>
          <w:p w14:paraId="7F02613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营业执照等证件一致</w:t>
            </w:r>
          </w:p>
        </w:tc>
      </w:tr>
      <w:tr w14:paraId="40E1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14:paraId="3E84A9E6">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7297CB15">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5F6449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投标函签字盖章</w:t>
            </w:r>
          </w:p>
        </w:tc>
        <w:tc>
          <w:tcPr>
            <w:tcW w:w="4910" w:type="dxa"/>
            <w:tcBorders>
              <w:top w:val="single" w:color="auto" w:sz="4" w:space="0"/>
              <w:left w:val="single" w:color="auto" w:sz="4" w:space="0"/>
              <w:bottom w:val="single" w:color="auto" w:sz="4" w:space="0"/>
              <w:right w:val="single" w:color="auto" w:sz="4" w:space="0"/>
            </w:tcBorders>
            <w:vAlign w:val="center"/>
          </w:tcPr>
          <w:p w14:paraId="1A0BE2C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加盖单位公章并有法定代表人或其委托代理人签字或盖章</w:t>
            </w:r>
          </w:p>
        </w:tc>
      </w:tr>
      <w:tr w14:paraId="5E60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14:paraId="6C829208">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7653ACED">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4B19DA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投标文件格式</w:t>
            </w:r>
          </w:p>
        </w:tc>
        <w:tc>
          <w:tcPr>
            <w:tcW w:w="4910" w:type="dxa"/>
            <w:tcBorders>
              <w:top w:val="single" w:color="auto" w:sz="4" w:space="0"/>
              <w:left w:val="single" w:color="auto" w:sz="4" w:space="0"/>
              <w:bottom w:val="single" w:color="auto" w:sz="4" w:space="0"/>
              <w:right w:val="single" w:color="auto" w:sz="4" w:space="0"/>
            </w:tcBorders>
            <w:vAlign w:val="center"/>
          </w:tcPr>
          <w:p w14:paraId="56457D4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符合招标文件格式要求</w:t>
            </w:r>
          </w:p>
        </w:tc>
      </w:tr>
      <w:tr w14:paraId="02B1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14:paraId="19E274CE">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398F6A1E">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0FEC07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报价唯一</w:t>
            </w:r>
          </w:p>
        </w:tc>
        <w:tc>
          <w:tcPr>
            <w:tcW w:w="4910" w:type="dxa"/>
            <w:tcBorders>
              <w:top w:val="single" w:color="auto" w:sz="4" w:space="0"/>
              <w:left w:val="single" w:color="auto" w:sz="4" w:space="0"/>
              <w:bottom w:val="single" w:color="auto" w:sz="4" w:space="0"/>
              <w:right w:val="single" w:color="auto" w:sz="4" w:space="0"/>
            </w:tcBorders>
            <w:vAlign w:val="center"/>
          </w:tcPr>
          <w:p w14:paraId="05A295E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只能有一个有效报价</w:t>
            </w:r>
          </w:p>
        </w:tc>
      </w:tr>
      <w:tr w14:paraId="023B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vAlign w:val="center"/>
          </w:tcPr>
          <w:p w14:paraId="21C31441">
            <w:pPr>
              <w:keepNext w:val="0"/>
              <w:keepLines w:val="0"/>
              <w:pageBreakBefore w:val="0"/>
              <w:widowControl w:val="0"/>
              <w:kinsoku/>
              <w:wordWrap/>
              <w:overflowPunct/>
              <w:topLinePunct w:val="0"/>
              <w:autoSpaceDE/>
              <w:autoSpaceDN/>
              <w:bidi w:val="0"/>
              <w:adjustRightInd/>
              <w:snapToGrid/>
              <w:spacing w:line="440" w:lineRule="exact"/>
              <w:ind w:firstLine="560"/>
              <w:jc w:val="center"/>
              <w:textAlignment w:val="auto"/>
              <w:rPr>
                <w:rFonts w:ascii="宋体" w:hAnsi="宋体" w:cs="宋体"/>
                <w:sz w:val="24"/>
                <w:highlight w:val="none"/>
              </w:rPr>
            </w:pPr>
          </w:p>
        </w:tc>
        <w:tc>
          <w:tcPr>
            <w:tcW w:w="1038" w:type="dxa"/>
            <w:vMerge w:val="restart"/>
            <w:tcBorders>
              <w:top w:val="single" w:color="auto" w:sz="4" w:space="0"/>
              <w:left w:val="single" w:color="auto" w:sz="4" w:space="0"/>
              <w:bottom w:val="single" w:color="auto" w:sz="4" w:space="0"/>
              <w:right w:val="single" w:color="auto" w:sz="4" w:space="0"/>
            </w:tcBorders>
            <w:vAlign w:val="center"/>
          </w:tcPr>
          <w:p w14:paraId="013D9C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三、响应性评审标准</w:t>
            </w:r>
          </w:p>
        </w:tc>
        <w:tc>
          <w:tcPr>
            <w:tcW w:w="2833" w:type="dxa"/>
            <w:tcBorders>
              <w:top w:val="single" w:color="auto" w:sz="4" w:space="0"/>
              <w:left w:val="single" w:color="auto" w:sz="4" w:space="0"/>
              <w:bottom w:val="single" w:color="auto" w:sz="4" w:space="0"/>
              <w:right w:val="single" w:color="auto" w:sz="4" w:space="0"/>
            </w:tcBorders>
            <w:vAlign w:val="center"/>
          </w:tcPr>
          <w:p w14:paraId="6E91DC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采购内容</w:t>
            </w:r>
          </w:p>
        </w:tc>
        <w:tc>
          <w:tcPr>
            <w:tcW w:w="4910" w:type="dxa"/>
            <w:tcBorders>
              <w:top w:val="single" w:color="auto" w:sz="4" w:space="0"/>
              <w:left w:val="single" w:color="auto" w:sz="4" w:space="0"/>
              <w:bottom w:val="single" w:color="auto" w:sz="4" w:space="0"/>
              <w:right w:val="single" w:color="auto" w:sz="4" w:space="0"/>
            </w:tcBorders>
            <w:vAlign w:val="center"/>
          </w:tcPr>
          <w:p w14:paraId="135D1B7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 1.3.1 项规定</w:t>
            </w:r>
          </w:p>
        </w:tc>
      </w:tr>
      <w:tr w14:paraId="79B1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2CE262AB">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3D47042E">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325B34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合同履行期限</w:t>
            </w:r>
          </w:p>
          <w:p w14:paraId="56408F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（供货安装期）</w:t>
            </w:r>
          </w:p>
        </w:tc>
        <w:tc>
          <w:tcPr>
            <w:tcW w:w="4910" w:type="dxa"/>
            <w:tcBorders>
              <w:top w:val="single" w:color="auto" w:sz="4" w:space="0"/>
              <w:left w:val="single" w:color="auto" w:sz="4" w:space="0"/>
              <w:bottom w:val="single" w:color="auto" w:sz="4" w:space="0"/>
              <w:right w:val="single" w:color="auto" w:sz="4" w:space="0"/>
            </w:tcBorders>
            <w:vAlign w:val="center"/>
          </w:tcPr>
          <w:p w14:paraId="02CBCF8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 1.3.2 项规定</w:t>
            </w:r>
          </w:p>
        </w:tc>
      </w:tr>
      <w:tr w14:paraId="729A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76EEF837">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1D323F5D">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6FF890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质量标准</w:t>
            </w:r>
          </w:p>
        </w:tc>
        <w:tc>
          <w:tcPr>
            <w:tcW w:w="4910" w:type="dxa"/>
            <w:tcBorders>
              <w:top w:val="single" w:color="auto" w:sz="4" w:space="0"/>
              <w:left w:val="single" w:color="auto" w:sz="4" w:space="0"/>
              <w:bottom w:val="single" w:color="auto" w:sz="4" w:space="0"/>
              <w:right w:val="single" w:color="auto" w:sz="4" w:space="0"/>
            </w:tcBorders>
            <w:vAlign w:val="center"/>
          </w:tcPr>
          <w:p w14:paraId="7DEC8DB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 1.3.3 项规定</w:t>
            </w:r>
          </w:p>
        </w:tc>
      </w:tr>
      <w:tr w14:paraId="1CEF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7BD29C9B">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628A738D">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036EA7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质保期</w:t>
            </w:r>
          </w:p>
        </w:tc>
        <w:tc>
          <w:tcPr>
            <w:tcW w:w="4910" w:type="dxa"/>
            <w:tcBorders>
              <w:top w:val="single" w:color="auto" w:sz="4" w:space="0"/>
              <w:left w:val="single" w:color="auto" w:sz="4" w:space="0"/>
              <w:bottom w:val="single" w:color="auto" w:sz="4" w:space="0"/>
              <w:right w:val="single" w:color="auto" w:sz="4" w:space="0"/>
            </w:tcBorders>
            <w:vAlign w:val="center"/>
          </w:tcPr>
          <w:p w14:paraId="5E2C05A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 1.3.4 项规定</w:t>
            </w:r>
          </w:p>
        </w:tc>
      </w:tr>
      <w:tr w14:paraId="676C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top w:val="single" w:color="auto" w:sz="4" w:space="0"/>
              <w:left w:val="single" w:color="auto" w:sz="4" w:space="0"/>
              <w:bottom w:val="single" w:color="auto" w:sz="4" w:space="0"/>
              <w:right w:val="single" w:color="auto" w:sz="4" w:space="0"/>
            </w:tcBorders>
          </w:tcPr>
          <w:p w14:paraId="2991143E">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315366AC">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10B088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投标有效期</w:t>
            </w:r>
          </w:p>
        </w:tc>
        <w:tc>
          <w:tcPr>
            <w:tcW w:w="4910" w:type="dxa"/>
            <w:tcBorders>
              <w:top w:val="single" w:color="auto" w:sz="4" w:space="0"/>
              <w:left w:val="single" w:color="auto" w:sz="4" w:space="0"/>
              <w:bottom w:val="single" w:color="auto" w:sz="4" w:space="0"/>
              <w:right w:val="single" w:color="auto" w:sz="4" w:space="0"/>
            </w:tcBorders>
            <w:vAlign w:val="center"/>
          </w:tcPr>
          <w:p w14:paraId="0720AF3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符合第二章“供应商须知”第 3.3.1 项规定</w:t>
            </w:r>
          </w:p>
        </w:tc>
      </w:tr>
      <w:tr w14:paraId="516C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87" w:type="dxa"/>
            <w:vMerge w:val="continue"/>
            <w:tcBorders>
              <w:top w:val="single" w:color="auto" w:sz="4" w:space="0"/>
              <w:left w:val="single" w:color="auto" w:sz="4" w:space="0"/>
              <w:bottom w:val="single" w:color="auto" w:sz="4" w:space="0"/>
              <w:right w:val="single" w:color="auto" w:sz="4" w:space="0"/>
            </w:tcBorders>
          </w:tcPr>
          <w:p w14:paraId="46157F48">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69D08EF9">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27A6B5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权利义务</w:t>
            </w:r>
          </w:p>
        </w:tc>
        <w:tc>
          <w:tcPr>
            <w:tcW w:w="4910" w:type="dxa"/>
            <w:tcBorders>
              <w:top w:val="single" w:color="auto" w:sz="4" w:space="0"/>
              <w:left w:val="single" w:color="auto" w:sz="4" w:space="0"/>
              <w:bottom w:val="single" w:color="auto" w:sz="4" w:space="0"/>
              <w:right w:val="single" w:color="auto" w:sz="4" w:space="0"/>
            </w:tcBorders>
            <w:vAlign w:val="center"/>
          </w:tcPr>
          <w:p w14:paraId="3030AC6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sz w:val="24"/>
                <w:highlight w:val="none"/>
              </w:rPr>
            </w:pPr>
            <w:r>
              <w:rPr>
                <w:rFonts w:hint="eastAsia" w:ascii="宋体" w:hAnsi="宋体" w:cs="宋体"/>
                <w:sz w:val="24"/>
                <w:highlight w:val="none"/>
              </w:rPr>
              <w:t>符合第四章“合同条款及格式”规定</w:t>
            </w:r>
          </w:p>
        </w:tc>
      </w:tr>
      <w:tr w14:paraId="45C2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87" w:type="dxa"/>
            <w:vMerge w:val="continue"/>
            <w:tcBorders>
              <w:top w:val="single" w:color="auto" w:sz="4" w:space="0"/>
              <w:left w:val="single" w:color="auto" w:sz="4" w:space="0"/>
              <w:bottom w:val="single" w:color="auto" w:sz="4" w:space="0"/>
              <w:right w:val="single" w:color="auto" w:sz="4" w:space="0"/>
            </w:tcBorders>
          </w:tcPr>
          <w:p w14:paraId="7FEE64CC">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263469B6">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556C5B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采购内容及技术要求</w:t>
            </w:r>
          </w:p>
        </w:tc>
        <w:tc>
          <w:tcPr>
            <w:tcW w:w="4910" w:type="dxa"/>
            <w:tcBorders>
              <w:top w:val="single" w:color="auto" w:sz="4" w:space="0"/>
              <w:left w:val="single" w:color="auto" w:sz="4" w:space="0"/>
              <w:bottom w:val="single" w:color="auto" w:sz="4" w:space="0"/>
              <w:right w:val="single" w:color="auto" w:sz="4" w:space="0"/>
            </w:tcBorders>
            <w:vAlign w:val="center"/>
          </w:tcPr>
          <w:p w14:paraId="4C46025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符合第五章“采购内容及技术要求”规定，若不符合采购内容及技术要求规定，将不再进行评审</w:t>
            </w:r>
          </w:p>
        </w:tc>
      </w:tr>
      <w:tr w14:paraId="5DFF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87" w:type="dxa"/>
            <w:vMerge w:val="continue"/>
            <w:tcBorders>
              <w:top w:val="single" w:color="auto" w:sz="4" w:space="0"/>
              <w:left w:val="single" w:color="auto" w:sz="4" w:space="0"/>
              <w:bottom w:val="single" w:color="auto" w:sz="4" w:space="0"/>
              <w:right w:val="single" w:color="auto" w:sz="4" w:space="0"/>
            </w:tcBorders>
          </w:tcPr>
          <w:p w14:paraId="0D46829C">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1038" w:type="dxa"/>
            <w:vMerge w:val="continue"/>
            <w:tcBorders>
              <w:top w:val="single" w:color="auto" w:sz="4" w:space="0"/>
              <w:left w:val="single" w:color="auto" w:sz="4" w:space="0"/>
              <w:bottom w:val="single" w:color="auto" w:sz="4" w:space="0"/>
              <w:right w:val="single" w:color="auto" w:sz="4" w:space="0"/>
            </w:tcBorders>
          </w:tcPr>
          <w:p w14:paraId="22174893">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cs="宋体"/>
                <w:sz w:val="24"/>
                <w:highlight w:val="none"/>
              </w:rPr>
            </w:pPr>
          </w:p>
        </w:tc>
        <w:tc>
          <w:tcPr>
            <w:tcW w:w="2833" w:type="dxa"/>
            <w:tcBorders>
              <w:top w:val="single" w:color="auto" w:sz="4" w:space="0"/>
              <w:left w:val="single" w:color="auto" w:sz="4" w:space="0"/>
              <w:bottom w:val="single" w:color="auto" w:sz="4" w:space="0"/>
              <w:right w:val="single" w:color="auto" w:sz="4" w:space="0"/>
            </w:tcBorders>
            <w:vAlign w:val="center"/>
          </w:tcPr>
          <w:p w14:paraId="1CC9F4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24"/>
                <w:highlight w:val="none"/>
              </w:rPr>
            </w:pPr>
            <w:r>
              <w:rPr>
                <w:rFonts w:hint="eastAsia" w:ascii="宋体" w:hAnsi="宋体" w:cs="宋体"/>
                <w:sz w:val="24"/>
                <w:highlight w:val="none"/>
              </w:rPr>
              <w:t>投标文件的其他响应</w:t>
            </w:r>
          </w:p>
        </w:tc>
        <w:tc>
          <w:tcPr>
            <w:tcW w:w="4910" w:type="dxa"/>
            <w:tcBorders>
              <w:top w:val="single" w:color="auto" w:sz="4" w:space="0"/>
              <w:left w:val="single" w:color="auto" w:sz="4" w:space="0"/>
              <w:bottom w:val="single" w:color="auto" w:sz="4" w:space="0"/>
              <w:right w:val="single" w:color="auto" w:sz="4" w:space="0"/>
            </w:tcBorders>
            <w:vAlign w:val="center"/>
          </w:tcPr>
          <w:p w14:paraId="64A1840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highlight w:val="none"/>
              </w:rPr>
            </w:pPr>
            <w:r>
              <w:rPr>
                <w:rFonts w:hint="eastAsia" w:ascii="宋体" w:hAnsi="宋体" w:cs="宋体"/>
                <w:sz w:val="24"/>
                <w:highlight w:val="none"/>
              </w:rPr>
              <w:t>符合法律、法规和招标文件中规定的其他实质性要求的</w:t>
            </w:r>
          </w:p>
        </w:tc>
      </w:tr>
    </w:tbl>
    <w:p w14:paraId="485017E1">
      <w:pPr>
        <w:pStyle w:val="45"/>
        <w:spacing w:line="500" w:lineRule="exact"/>
        <w:jc w:val="center"/>
        <w:outlineLvl w:val="1"/>
        <w:rPr>
          <w:rFonts w:hint="eastAsia" w:asciiTheme="minorEastAsia" w:hAnsiTheme="minorEastAsia" w:eastAsiaTheme="minorEastAsia" w:cstheme="minorEastAsia"/>
          <w:b/>
          <w:bCs/>
          <w:sz w:val="28"/>
          <w:szCs w:val="28"/>
          <w:highlight w:val="none"/>
          <w:lang w:val="en-US" w:eastAsia="zh-CN"/>
        </w:rPr>
      </w:pPr>
      <w:bookmarkStart w:id="250" w:name="_Toc7325"/>
      <w:bookmarkStart w:id="251" w:name="_Toc25544"/>
      <w:r>
        <w:rPr>
          <w:rFonts w:hint="eastAsia" w:asciiTheme="minorEastAsia" w:hAnsiTheme="minorEastAsia" w:eastAsiaTheme="minorEastAsia" w:cstheme="minorEastAsia"/>
          <w:b/>
          <w:bCs/>
          <w:sz w:val="28"/>
          <w:szCs w:val="28"/>
          <w:highlight w:val="none"/>
          <w:lang w:val="en-US" w:eastAsia="zh-CN"/>
        </w:rPr>
        <w:t>评分办法</w:t>
      </w:r>
    </w:p>
    <w:p w14:paraId="63940BA9">
      <w:pPr>
        <w:pStyle w:val="45"/>
        <w:spacing w:line="500" w:lineRule="exact"/>
        <w:jc w:val="center"/>
        <w:outlineLvl w:val="1"/>
        <w:rPr>
          <w:rFonts w:hint="eastAsia" w:asciiTheme="minorEastAsia" w:hAnsiTheme="minorEastAsia" w:eastAsiaTheme="minorEastAsia" w:cstheme="minorEastAsia"/>
          <w:b/>
          <w:bCs/>
          <w:sz w:val="28"/>
          <w:szCs w:val="28"/>
          <w:highlight w:val="none"/>
          <w:lang w:val="en-US" w:eastAsia="zh-CN"/>
        </w:rPr>
      </w:pPr>
    </w:p>
    <w:tbl>
      <w:tblPr>
        <w:tblStyle w:val="28"/>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3"/>
        <w:gridCol w:w="1347"/>
        <w:gridCol w:w="1893"/>
        <w:gridCol w:w="6379"/>
      </w:tblGrid>
      <w:tr w14:paraId="4C27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613" w:type="dxa"/>
            <w:tcMar>
              <w:top w:w="0" w:type="dxa"/>
              <w:left w:w="80" w:type="dxa"/>
              <w:bottom w:w="0" w:type="dxa"/>
              <w:right w:w="0" w:type="dxa"/>
            </w:tcMar>
            <w:vAlign w:val="center"/>
          </w:tcPr>
          <w:p w14:paraId="3C0C8035">
            <w:pPr>
              <w:spacing w:line="360" w:lineRule="auto"/>
              <w:jc w:val="center"/>
              <w:rPr>
                <w:rFonts w:ascii="宋体" w:hAnsi="宋体" w:cs="宋体"/>
                <w:b/>
                <w:bCs/>
                <w:szCs w:val="21"/>
                <w:highlight w:val="none"/>
              </w:rPr>
            </w:pPr>
            <w:r>
              <w:rPr>
                <w:rFonts w:hint="eastAsia" w:ascii="宋体" w:hAnsi="宋体" w:cs="宋体"/>
                <w:b/>
                <w:bCs/>
                <w:szCs w:val="21"/>
                <w:highlight w:val="none"/>
              </w:rPr>
              <w:t>序号</w:t>
            </w:r>
          </w:p>
        </w:tc>
        <w:tc>
          <w:tcPr>
            <w:tcW w:w="1347" w:type="dxa"/>
            <w:tcMar>
              <w:top w:w="0" w:type="dxa"/>
              <w:left w:w="80" w:type="dxa"/>
              <w:bottom w:w="0" w:type="dxa"/>
              <w:right w:w="0" w:type="dxa"/>
            </w:tcMar>
            <w:vAlign w:val="center"/>
          </w:tcPr>
          <w:p w14:paraId="089AF74D">
            <w:pPr>
              <w:spacing w:line="360" w:lineRule="auto"/>
              <w:jc w:val="center"/>
              <w:rPr>
                <w:rFonts w:ascii="宋体" w:hAnsi="宋体" w:cs="宋体"/>
                <w:b/>
                <w:bCs/>
                <w:szCs w:val="21"/>
                <w:highlight w:val="none"/>
              </w:rPr>
            </w:pPr>
            <w:r>
              <w:rPr>
                <w:rFonts w:hint="eastAsia" w:ascii="宋体" w:hAnsi="宋体" w:cs="宋体"/>
                <w:b/>
                <w:bCs/>
                <w:szCs w:val="21"/>
                <w:highlight w:val="none"/>
              </w:rPr>
              <w:t>评分项目</w:t>
            </w:r>
          </w:p>
        </w:tc>
        <w:tc>
          <w:tcPr>
            <w:tcW w:w="1893" w:type="dxa"/>
            <w:tcMar>
              <w:top w:w="0" w:type="dxa"/>
              <w:left w:w="80" w:type="dxa"/>
              <w:bottom w:w="0" w:type="dxa"/>
              <w:right w:w="0" w:type="dxa"/>
            </w:tcMar>
            <w:vAlign w:val="center"/>
          </w:tcPr>
          <w:p w14:paraId="22A1F64E">
            <w:pPr>
              <w:spacing w:line="360" w:lineRule="auto"/>
              <w:jc w:val="center"/>
              <w:rPr>
                <w:rFonts w:ascii="宋体" w:hAnsi="宋体" w:cs="宋体"/>
                <w:b/>
                <w:bCs/>
                <w:szCs w:val="21"/>
                <w:highlight w:val="none"/>
              </w:rPr>
            </w:pPr>
            <w:r>
              <w:rPr>
                <w:rFonts w:hint="eastAsia" w:ascii="宋体" w:hAnsi="宋体" w:cs="宋体"/>
                <w:b/>
                <w:bCs/>
                <w:szCs w:val="21"/>
                <w:highlight w:val="none"/>
              </w:rPr>
              <w:t>分值</w:t>
            </w:r>
          </w:p>
        </w:tc>
        <w:tc>
          <w:tcPr>
            <w:tcW w:w="6379" w:type="dxa"/>
            <w:tcMar>
              <w:top w:w="0" w:type="dxa"/>
              <w:left w:w="80" w:type="dxa"/>
              <w:bottom w:w="0" w:type="dxa"/>
              <w:right w:w="0" w:type="dxa"/>
            </w:tcMar>
            <w:vAlign w:val="center"/>
          </w:tcPr>
          <w:p w14:paraId="5C5A12CE">
            <w:pPr>
              <w:spacing w:line="360" w:lineRule="auto"/>
              <w:jc w:val="center"/>
              <w:rPr>
                <w:rFonts w:ascii="宋体" w:hAnsi="宋体" w:cs="宋体"/>
                <w:b/>
                <w:bCs/>
                <w:szCs w:val="21"/>
                <w:highlight w:val="none"/>
              </w:rPr>
            </w:pPr>
            <w:r>
              <w:rPr>
                <w:rFonts w:hint="eastAsia" w:ascii="宋体" w:hAnsi="宋体" w:cs="宋体"/>
                <w:b/>
                <w:bCs/>
                <w:szCs w:val="21"/>
                <w:highlight w:val="none"/>
              </w:rPr>
              <w:t>评分标准</w:t>
            </w:r>
          </w:p>
        </w:tc>
      </w:tr>
      <w:tr w14:paraId="62B9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3" w:type="dxa"/>
            <w:tcMar>
              <w:top w:w="0" w:type="dxa"/>
              <w:left w:w="80" w:type="dxa"/>
              <w:bottom w:w="0" w:type="dxa"/>
              <w:right w:w="0" w:type="dxa"/>
            </w:tcMar>
            <w:vAlign w:val="center"/>
          </w:tcPr>
          <w:p w14:paraId="5ED05BCD">
            <w:pPr>
              <w:spacing w:line="500" w:lineRule="exact"/>
              <w:jc w:val="center"/>
              <w:rPr>
                <w:rFonts w:ascii="宋体" w:hAnsi="宋体" w:cs="宋体"/>
                <w:sz w:val="24"/>
                <w:highlight w:val="none"/>
              </w:rPr>
            </w:pPr>
            <w:r>
              <w:rPr>
                <w:rFonts w:hint="eastAsia" w:ascii="宋体" w:hAnsi="宋体" w:cs="宋体"/>
                <w:sz w:val="24"/>
                <w:highlight w:val="none"/>
              </w:rPr>
              <w:t>1</w:t>
            </w:r>
          </w:p>
        </w:tc>
        <w:tc>
          <w:tcPr>
            <w:tcW w:w="1347" w:type="dxa"/>
            <w:tcMar>
              <w:top w:w="0" w:type="dxa"/>
              <w:left w:w="80" w:type="dxa"/>
              <w:bottom w:w="0" w:type="dxa"/>
              <w:right w:w="0" w:type="dxa"/>
            </w:tcMar>
            <w:vAlign w:val="center"/>
          </w:tcPr>
          <w:p w14:paraId="1A639FF5">
            <w:pPr>
              <w:spacing w:line="500" w:lineRule="exact"/>
              <w:jc w:val="center"/>
              <w:rPr>
                <w:rFonts w:hint="eastAsia" w:ascii="宋体" w:hAnsi="宋体" w:cs="宋体"/>
                <w:sz w:val="24"/>
                <w:highlight w:val="none"/>
              </w:rPr>
            </w:pPr>
            <w:r>
              <w:rPr>
                <w:rFonts w:hint="eastAsia" w:ascii="宋体" w:hAnsi="宋体" w:cs="宋体"/>
                <w:sz w:val="24"/>
                <w:highlight w:val="none"/>
              </w:rPr>
              <w:t>报价部分</w:t>
            </w:r>
          </w:p>
          <w:p w14:paraId="1975B14F">
            <w:pPr>
              <w:spacing w:line="500" w:lineRule="exact"/>
              <w:jc w:val="center"/>
              <w:rPr>
                <w:rFonts w:ascii="宋体" w:hAnsi="宋体" w:cs="宋体"/>
                <w:sz w:val="24"/>
                <w:highlight w:val="none"/>
              </w:rPr>
            </w:pPr>
            <w:r>
              <w:rPr>
                <w:rFonts w:hint="eastAsia" w:ascii="宋体" w:hAnsi="宋体" w:cs="宋体"/>
                <w:sz w:val="24"/>
                <w:highlight w:val="none"/>
              </w:rPr>
              <w:t>（30分）</w:t>
            </w:r>
          </w:p>
        </w:tc>
        <w:tc>
          <w:tcPr>
            <w:tcW w:w="1893" w:type="dxa"/>
            <w:tcMar>
              <w:top w:w="0" w:type="dxa"/>
              <w:left w:w="80" w:type="dxa"/>
              <w:bottom w:w="0" w:type="dxa"/>
              <w:right w:w="0" w:type="dxa"/>
            </w:tcMar>
            <w:vAlign w:val="center"/>
          </w:tcPr>
          <w:p w14:paraId="28FA50E2">
            <w:pPr>
              <w:spacing w:line="500" w:lineRule="exact"/>
              <w:jc w:val="center"/>
              <w:rPr>
                <w:rFonts w:hint="eastAsia" w:ascii="宋体" w:hAnsi="宋体" w:cs="宋体"/>
                <w:sz w:val="24"/>
                <w:highlight w:val="none"/>
              </w:rPr>
            </w:pPr>
            <w:r>
              <w:rPr>
                <w:rFonts w:hint="eastAsia" w:ascii="宋体" w:hAnsi="宋体" w:cs="宋体"/>
                <w:sz w:val="24"/>
                <w:highlight w:val="none"/>
              </w:rPr>
              <w:t>投标报价</w:t>
            </w:r>
          </w:p>
          <w:p w14:paraId="7BA60DD6">
            <w:pPr>
              <w:spacing w:line="500" w:lineRule="exact"/>
              <w:jc w:val="center"/>
              <w:rPr>
                <w:rFonts w:ascii="宋体" w:hAnsi="宋体" w:cs="宋体"/>
                <w:sz w:val="24"/>
                <w:highlight w:val="none"/>
              </w:rPr>
            </w:pPr>
            <w:r>
              <w:rPr>
                <w:rFonts w:hint="eastAsia" w:ascii="宋体" w:hAnsi="宋体" w:cs="宋体"/>
                <w:sz w:val="24"/>
                <w:highlight w:val="none"/>
              </w:rPr>
              <w:t>（30分）</w:t>
            </w:r>
          </w:p>
        </w:tc>
        <w:tc>
          <w:tcPr>
            <w:tcW w:w="6379" w:type="dxa"/>
            <w:tcMar>
              <w:top w:w="0" w:type="dxa"/>
              <w:left w:w="80" w:type="dxa"/>
              <w:bottom w:w="0" w:type="dxa"/>
              <w:right w:w="0" w:type="dxa"/>
            </w:tcMar>
          </w:tcPr>
          <w:p w14:paraId="0A791165">
            <w:pPr>
              <w:spacing w:line="500" w:lineRule="exact"/>
              <w:rPr>
                <w:rFonts w:hint="eastAsia" w:ascii="宋体" w:hAnsi="宋体" w:cs="宋体"/>
                <w:sz w:val="24"/>
                <w:highlight w:val="none"/>
              </w:rPr>
            </w:pPr>
            <w:r>
              <w:rPr>
                <w:rFonts w:hint="eastAsia" w:ascii="宋体" w:hAnsi="宋体" w:cs="宋体"/>
                <w:sz w:val="24"/>
                <w:highlight w:val="none"/>
              </w:rPr>
              <w:t>投标报价分统一采用低价优先法计算，即满足招标文件要求且投标价格最低的投标报价为评标基准价，其价格分为满分。其他投标人的价格分统一按照下列公式计算：投标报价得分=（评标基准价/投标报价）×30计算过程按四舍五入，保留两位小数。</w:t>
            </w:r>
          </w:p>
          <w:p w14:paraId="013AA67A">
            <w:pPr>
              <w:spacing w:line="500" w:lineRule="exact"/>
              <w:rPr>
                <w:rFonts w:hint="eastAsia" w:ascii="宋体" w:hAnsi="宋体" w:cs="宋体"/>
                <w:sz w:val="24"/>
                <w:highlight w:val="none"/>
              </w:rPr>
            </w:pPr>
            <w:r>
              <w:rPr>
                <w:rFonts w:hint="eastAsia" w:ascii="宋体" w:hAnsi="宋体" w:cs="宋体"/>
                <w:sz w:val="24"/>
                <w:highlight w:val="none"/>
              </w:rPr>
              <w:t>1.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DF954A8">
            <w:pPr>
              <w:spacing w:line="500" w:lineRule="exact"/>
              <w:rPr>
                <w:rFonts w:hint="eastAsia" w:ascii="宋体" w:hAnsi="宋体" w:cs="宋体"/>
                <w:sz w:val="24"/>
                <w:highlight w:val="none"/>
              </w:rPr>
            </w:pPr>
            <w:r>
              <w:rPr>
                <w:rFonts w:hint="eastAsia" w:ascii="宋体" w:hAnsi="宋体" w:cs="宋体"/>
                <w:sz w:val="24"/>
                <w:highlight w:val="none"/>
              </w:rPr>
              <w:t>2 对小型或微型企业投标的扶持：（如有）</w:t>
            </w:r>
          </w:p>
          <w:p w14:paraId="3842B8A8">
            <w:pPr>
              <w:spacing w:line="500" w:lineRule="exact"/>
              <w:rPr>
                <w:rFonts w:hint="eastAsia" w:ascii="宋体" w:hAnsi="宋体" w:cs="宋体"/>
                <w:sz w:val="24"/>
                <w:highlight w:val="none"/>
              </w:rPr>
            </w:pPr>
            <w:r>
              <w:rPr>
                <w:rFonts w:hint="eastAsia" w:ascii="宋体" w:hAnsi="宋体" w:cs="宋体"/>
                <w:sz w:val="24"/>
                <w:highlight w:val="none"/>
              </w:rPr>
              <w:t>2.1 投标供应商为小型或微型企业时，报价给予C1 的价格扣除（C1 的 取值为 20%），即：评标价＝投标报价（最后报价） × (1－C1）；</w:t>
            </w:r>
          </w:p>
          <w:p w14:paraId="65EA2974">
            <w:pPr>
              <w:spacing w:line="500" w:lineRule="exact"/>
              <w:rPr>
                <w:rFonts w:hint="eastAsia" w:ascii="宋体" w:hAnsi="宋体" w:cs="宋体"/>
                <w:sz w:val="24"/>
                <w:highlight w:val="none"/>
              </w:rPr>
            </w:pPr>
            <w:r>
              <w:rPr>
                <w:rFonts w:hint="eastAsia" w:ascii="宋体" w:hAnsi="宋体" w:cs="宋体"/>
                <w:sz w:val="24"/>
                <w:highlight w:val="none"/>
              </w:rPr>
              <w:t>小微企业应当提供《中小企业声明函》（见格式）。</w:t>
            </w:r>
          </w:p>
          <w:p w14:paraId="12C2113D">
            <w:pPr>
              <w:spacing w:line="500" w:lineRule="exact"/>
              <w:rPr>
                <w:rFonts w:hint="eastAsia" w:ascii="宋体" w:hAnsi="宋体" w:cs="宋体"/>
                <w:sz w:val="24"/>
                <w:highlight w:val="none"/>
              </w:rPr>
            </w:pPr>
            <w:r>
              <w:rPr>
                <w:rFonts w:hint="eastAsia" w:ascii="宋体" w:hAnsi="宋体" w:cs="宋体"/>
                <w:sz w:val="24"/>
                <w:highlight w:val="none"/>
              </w:rPr>
              <w:t>3、根据财政部司法部《关于政府采购支持监狱企业发展有关问题的通 知》（财库〔2014〕68 号）和财政部民政部中国残疾人联合会《关于 促进残疾人就业政府采购政策的通知》（财库〔2017〕141 号）规定， 本项目对监狱企业、残疾人福利性企业作为投标人所提供的本企业生产的产品的价格给予 20%的扣除。</w:t>
            </w:r>
          </w:p>
          <w:p w14:paraId="2185718F">
            <w:pPr>
              <w:spacing w:line="500" w:lineRule="exact"/>
              <w:rPr>
                <w:rFonts w:hint="eastAsia" w:ascii="宋体" w:hAnsi="宋体" w:cs="宋体"/>
                <w:sz w:val="24"/>
                <w:highlight w:val="none"/>
              </w:rPr>
            </w:pPr>
            <w:r>
              <w:rPr>
                <w:rFonts w:hint="eastAsia" w:ascii="宋体" w:hAnsi="宋体" w:cs="宋体"/>
                <w:sz w:val="24"/>
                <w:highlight w:val="none"/>
              </w:rPr>
              <w:t>同一投标人，小微企业、监狱、残疾人福利性企业同一产品价格扣除 优惠只享受一次，不得重复享受。</w:t>
            </w:r>
          </w:p>
        </w:tc>
      </w:tr>
      <w:tr w14:paraId="2158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613" w:type="dxa"/>
            <w:vMerge w:val="restart"/>
            <w:tcMar>
              <w:top w:w="0" w:type="dxa"/>
              <w:left w:w="80" w:type="dxa"/>
              <w:bottom w:w="0" w:type="dxa"/>
              <w:right w:w="0" w:type="dxa"/>
            </w:tcMar>
            <w:vAlign w:val="center"/>
          </w:tcPr>
          <w:p w14:paraId="66F5AAF0">
            <w:pPr>
              <w:spacing w:line="500" w:lineRule="exact"/>
              <w:jc w:val="center"/>
              <w:rPr>
                <w:rFonts w:ascii="宋体" w:hAnsi="宋体" w:cs="宋体"/>
                <w:sz w:val="24"/>
                <w:highlight w:val="none"/>
              </w:rPr>
            </w:pPr>
            <w:r>
              <w:rPr>
                <w:rFonts w:hint="eastAsia" w:ascii="宋体" w:hAnsi="宋体" w:cs="宋体"/>
                <w:sz w:val="24"/>
                <w:highlight w:val="none"/>
              </w:rPr>
              <w:t>2</w:t>
            </w:r>
          </w:p>
        </w:tc>
        <w:tc>
          <w:tcPr>
            <w:tcW w:w="1347" w:type="dxa"/>
            <w:vMerge w:val="restart"/>
            <w:tcMar>
              <w:top w:w="0" w:type="dxa"/>
              <w:left w:w="80" w:type="dxa"/>
              <w:bottom w:w="0" w:type="dxa"/>
              <w:right w:w="0" w:type="dxa"/>
            </w:tcMar>
            <w:vAlign w:val="center"/>
          </w:tcPr>
          <w:p w14:paraId="2FA6B829">
            <w:pPr>
              <w:spacing w:line="500" w:lineRule="exact"/>
              <w:jc w:val="center"/>
              <w:rPr>
                <w:rFonts w:hint="eastAsia" w:ascii="宋体" w:hAnsi="宋体" w:cs="宋体"/>
                <w:sz w:val="24"/>
                <w:highlight w:val="none"/>
              </w:rPr>
            </w:pPr>
            <w:r>
              <w:rPr>
                <w:rFonts w:hint="eastAsia" w:ascii="宋体" w:hAnsi="宋体" w:cs="宋体"/>
                <w:sz w:val="24"/>
                <w:highlight w:val="none"/>
              </w:rPr>
              <w:t>技术部分</w:t>
            </w:r>
          </w:p>
          <w:p w14:paraId="10C34E60">
            <w:pPr>
              <w:spacing w:line="500" w:lineRule="exact"/>
              <w:jc w:val="center"/>
              <w:rPr>
                <w:rFonts w:hint="eastAsia" w:ascii="宋体" w:hAnsi="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50</w:t>
            </w:r>
            <w:r>
              <w:rPr>
                <w:rFonts w:hint="eastAsia" w:ascii="宋体" w:hAnsi="宋体" w:eastAsia="宋体" w:cs="宋体"/>
                <w:sz w:val="24"/>
                <w:highlight w:val="none"/>
              </w:rPr>
              <w:t>分）</w:t>
            </w:r>
          </w:p>
        </w:tc>
        <w:tc>
          <w:tcPr>
            <w:tcW w:w="1893" w:type="dxa"/>
            <w:tcMar>
              <w:top w:w="0" w:type="dxa"/>
              <w:left w:w="80" w:type="dxa"/>
              <w:bottom w:w="0" w:type="dxa"/>
              <w:right w:w="0" w:type="dxa"/>
            </w:tcMar>
            <w:vAlign w:val="center"/>
          </w:tcPr>
          <w:p w14:paraId="05EE455A">
            <w:pPr>
              <w:spacing w:line="500" w:lineRule="exact"/>
              <w:jc w:val="center"/>
              <w:rPr>
                <w:rFonts w:hint="eastAsia" w:ascii="宋体" w:hAnsi="宋体" w:eastAsia="宋体" w:cs="宋体"/>
                <w:kern w:val="2"/>
                <w:sz w:val="20"/>
                <w:szCs w:val="20"/>
                <w:highlight w:val="none"/>
                <w:lang w:val="zh-CN" w:eastAsia="zh-CN" w:bidi="ar-SA"/>
              </w:rPr>
            </w:pPr>
            <w:r>
              <w:rPr>
                <w:rFonts w:hint="eastAsia" w:ascii="宋体" w:hAnsi="宋体" w:eastAsia="宋体" w:cs="宋体"/>
                <w:kern w:val="2"/>
                <w:sz w:val="20"/>
                <w:szCs w:val="20"/>
                <w:highlight w:val="none"/>
                <w:lang w:val="en-US" w:eastAsia="zh-CN" w:bidi="ar-SA"/>
              </w:rPr>
              <w:t>技术参数</w:t>
            </w:r>
            <w:r>
              <w:rPr>
                <w:rFonts w:hint="eastAsia" w:ascii="宋体" w:hAnsi="宋体" w:eastAsia="宋体" w:cs="宋体"/>
                <w:kern w:val="2"/>
                <w:sz w:val="20"/>
                <w:szCs w:val="20"/>
                <w:highlight w:val="none"/>
                <w:lang w:val="zh-CN" w:eastAsia="zh-CN" w:bidi="ar-SA"/>
              </w:rPr>
              <w:t>响应性</w:t>
            </w:r>
          </w:p>
          <w:p w14:paraId="1EF2556D">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lang w:val="zh-CN"/>
              </w:rPr>
              <w:t>（</w:t>
            </w:r>
            <w:r>
              <w:rPr>
                <w:rFonts w:hint="eastAsia" w:ascii="宋体" w:hAnsi="宋体" w:cs="宋体"/>
                <w:sz w:val="24"/>
                <w:highlight w:val="none"/>
                <w:lang w:val="en-US" w:eastAsia="zh-CN"/>
              </w:rPr>
              <w:t>30</w:t>
            </w:r>
            <w:r>
              <w:rPr>
                <w:rFonts w:hint="eastAsia" w:ascii="宋体" w:hAnsi="宋体" w:eastAsia="宋体" w:cs="宋体"/>
                <w:sz w:val="24"/>
                <w:highlight w:val="none"/>
                <w:lang w:val="en-US" w:eastAsia="zh-CN"/>
              </w:rPr>
              <w:t>分</w:t>
            </w:r>
            <w:r>
              <w:rPr>
                <w:rFonts w:hint="eastAsia" w:ascii="宋体" w:hAnsi="宋体" w:eastAsia="宋体" w:cs="宋体"/>
                <w:sz w:val="24"/>
                <w:highlight w:val="none"/>
                <w:lang w:val="zh-CN"/>
              </w:rPr>
              <w:t>）</w:t>
            </w:r>
          </w:p>
        </w:tc>
        <w:tc>
          <w:tcPr>
            <w:tcW w:w="6379" w:type="dxa"/>
            <w:tcMar>
              <w:top w:w="0" w:type="dxa"/>
              <w:left w:w="80" w:type="dxa"/>
              <w:bottom w:w="0" w:type="dxa"/>
              <w:right w:w="0" w:type="dxa"/>
            </w:tcMar>
            <w:vAlign w:val="top"/>
          </w:tcPr>
          <w:p w14:paraId="082BC5D8">
            <w:pPr>
              <w:spacing w:line="50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rPr>
              <w:t>投标产品参数必须完全满足招标文件参数，完全满足的得</w:t>
            </w:r>
            <w:r>
              <w:rPr>
                <w:rFonts w:hint="eastAsia" w:ascii="宋体" w:hAnsi="宋体" w:cs="宋体"/>
                <w:sz w:val="24"/>
                <w:highlight w:val="none"/>
                <w:lang w:val="en-US" w:eastAsia="zh-CN"/>
              </w:rPr>
              <w:t>30</w:t>
            </w:r>
            <w:r>
              <w:rPr>
                <w:rFonts w:hint="eastAsia" w:ascii="宋体" w:hAnsi="宋体" w:eastAsia="宋体" w:cs="宋体"/>
                <w:sz w:val="24"/>
                <w:highlight w:val="none"/>
              </w:rPr>
              <w:t>分。</w:t>
            </w:r>
          </w:p>
        </w:tc>
      </w:tr>
      <w:tr w14:paraId="47E6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14:paraId="07CC15CD">
            <w:pPr>
              <w:spacing w:line="500" w:lineRule="exact"/>
              <w:rPr>
                <w:rFonts w:ascii="宋体" w:hAnsi="宋体" w:cs="宋体"/>
                <w:sz w:val="24"/>
                <w:highlight w:val="none"/>
              </w:rPr>
            </w:pPr>
          </w:p>
        </w:tc>
        <w:tc>
          <w:tcPr>
            <w:tcW w:w="1347" w:type="dxa"/>
            <w:vMerge w:val="continue"/>
            <w:tcMar>
              <w:top w:w="0" w:type="dxa"/>
              <w:left w:w="80" w:type="dxa"/>
              <w:bottom w:w="0" w:type="dxa"/>
              <w:right w:w="0" w:type="dxa"/>
            </w:tcMar>
            <w:vAlign w:val="center"/>
          </w:tcPr>
          <w:p w14:paraId="1A6469F3">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765D4C51">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供货方案</w:t>
            </w:r>
          </w:p>
          <w:p w14:paraId="22E91567">
            <w:pPr>
              <w:spacing w:line="50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分</w:t>
            </w:r>
            <w:r>
              <w:rPr>
                <w:rFonts w:hint="eastAsia" w:ascii="宋体" w:hAnsi="宋体" w:eastAsia="宋体" w:cs="宋体"/>
                <w:sz w:val="24"/>
                <w:highlight w:val="none"/>
                <w:lang w:eastAsia="zh-CN"/>
              </w:rPr>
              <w:t>）</w:t>
            </w:r>
          </w:p>
        </w:tc>
        <w:tc>
          <w:tcPr>
            <w:tcW w:w="6379" w:type="dxa"/>
            <w:tcMar>
              <w:top w:w="0" w:type="dxa"/>
              <w:left w:w="80" w:type="dxa"/>
              <w:bottom w:w="0" w:type="dxa"/>
              <w:right w:w="0" w:type="dxa"/>
            </w:tcMar>
            <w:vAlign w:val="top"/>
          </w:tcPr>
          <w:p w14:paraId="6371E6B3">
            <w:pPr>
              <w:spacing w:line="500" w:lineRule="exact"/>
              <w:rPr>
                <w:rFonts w:hint="eastAsia" w:ascii="宋体" w:hAnsi="宋体" w:eastAsia="宋体" w:cs="宋体"/>
                <w:sz w:val="24"/>
                <w:highlight w:val="none"/>
              </w:rPr>
            </w:pPr>
            <w:r>
              <w:rPr>
                <w:rFonts w:hint="eastAsia" w:ascii="宋体" w:hAnsi="宋体" w:eastAsia="宋体" w:cs="宋体"/>
                <w:sz w:val="24"/>
                <w:highlight w:val="none"/>
              </w:rPr>
              <w:t>供货方案及措施：</w:t>
            </w:r>
          </w:p>
          <w:p w14:paraId="1B9C294B">
            <w:pPr>
              <w:spacing w:line="500" w:lineRule="exact"/>
              <w:rPr>
                <w:rFonts w:hint="eastAsia" w:ascii="宋体" w:hAnsi="宋体" w:eastAsia="宋体" w:cs="宋体"/>
                <w:sz w:val="24"/>
                <w:highlight w:val="none"/>
              </w:rPr>
            </w:pPr>
            <w:r>
              <w:rPr>
                <w:rFonts w:hint="eastAsia" w:ascii="宋体" w:hAnsi="宋体" w:eastAsia="宋体" w:cs="宋体"/>
                <w:sz w:val="24"/>
                <w:highlight w:val="none"/>
              </w:rPr>
              <w:t>（1）供货时间计划安排科学合理，措施切实可行，方案对项目实施的准备工作、材料和质量保障措施等内容做出详细、合理的阐述的得</w:t>
            </w:r>
            <w:r>
              <w:rPr>
                <w:rFonts w:hint="eastAsia" w:ascii="宋体" w:hAnsi="宋体" w:cs="宋体"/>
                <w:sz w:val="24"/>
                <w:highlight w:val="none"/>
                <w:lang w:val="en-US" w:eastAsia="zh-CN"/>
              </w:rPr>
              <w:t>5</w:t>
            </w:r>
            <w:r>
              <w:rPr>
                <w:rFonts w:hint="eastAsia" w:ascii="宋体" w:hAnsi="宋体" w:eastAsia="宋体" w:cs="宋体"/>
                <w:sz w:val="24"/>
                <w:highlight w:val="none"/>
                <w:lang w:val="zh-CN"/>
              </w:rPr>
              <w:t>分</w:t>
            </w:r>
            <w:r>
              <w:rPr>
                <w:rFonts w:hint="eastAsia" w:ascii="宋体" w:hAnsi="宋体" w:eastAsia="宋体" w:cs="宋体"/>
                <w:sz w:val="24"/>
                <w:highlight w:val="none"/>
              </w:rPr>
              <w:t xml:space="preserve">； </w:t>
            </w:r>
          </w:p>
          <w:p w14:paraId="6545223E">
            <w:pPr>
              <w:spacing w:line="500" w:lineRule="exac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）供货时间计划</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，方案对项目实施的准备工作、材料和质量保障措施等内容描述</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，保证措施</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，针对性</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，执行性</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，需进一步完善得</w:t>
            </w:r>
            <w:r>
              <w:rPr>
                <w:rFonts w:hint="eastAsia" w:ascii="宋体" w:hAnsi="宋体" w:cs="宋体"/>
                <w:sz w:val="24"/>
                <w:highlight w:val="none"/>
                <w:lang w:val="en-US" w:eastAsia="zh-CN"/>
              </w:rPr>
              <w:t>3</w:t>
            </w:r>
            <w:r>
              <w:rPr>
                <w:rFonts w:hint="eastAsia" w:ascii="宋体" w:hAnsi="宋体" w:eastAsia="宋体" w:cs="宋体"/>
                <w:sz w:val="24"/>
                <w:highlight w:val="none"/>
              </w:rPr>
              <w:t>分；</w:t>
            </w:r>
          </w:p>
          <w:p w14:paraId="5ECAB172">
            <w:pPr>
              <w:spacing w:line="500" w:lineRule="exact"/>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）供货时间计划</w:t>
            </w:r>
            <w:r>
              <w:rPr>
                <w:rFonts w:hint="eastAsia" w:ascii="宋体" w:hAnsi="宋体" w:eastAsia="宋体" w:cs="宋体"/>
                <w:sz w:val="24"/>
                <w:highlight w:val="none"/>
                <w:lang w:val="en-US" w:eastAsia="zh-CN"/>
              </w:rPr>
              <w:t>较差</w:t>
            </w:r>
            <w:r>
              <w:rPr>
                <w:rFonts w:hint="eastAsia" w:ascii="宋体" w:hAnsi="宋体" w:eastAsia="宋体" w:cs="宋体"/>
                <w:sz w:val="24"/>
                <w:highlight w:val="none"/>
              </w:rPr>
              <w:t>，方案对项目实施的准备工作、材料和质量保障措施等内容描述</w:t>
            </w:r>
            <w:r>
              <w:rPr>
                <w:rFonts w:hint="eastAsia" w:ascii="宋体" w:hAnsi="宋体" w:eastAsia="宋体" w:cs="宋体"/>
                <w:sz w:val="24"/>
                <w:highlight w:val="none"/>
                <w:lang w:val="en-US" w:eastAsia="zh-CN"/>
              </w:rPr>
              <w:t>较差</w:t>
            </w:r>
            <w:r>
              <w:rPr>
                <w:rFonts w:hint="eastAsia" w:ascii="宋体" w:hAnsi="宋体" w:eastAsia="宋体" w:cs="宋体"/>
                <w:sz w:val="24"/>
                <w:highlight w:val="none"/>
              </w:rPr>
              <w:t>，保证措施</w:t>
            </w:r>
            <w:r>
              <w:rPr>
                <w:rFonts w:hint="eastAsia" w:ascii="宋体" w:hAnsi="宋体" w:eastAsia="宋体" w:cs="宋体"/>
                <w:sz w:val="24"/>
                <w:highlight w:val="none"/>
                <w:lang w:val="en-US" w:eastAsia="zh-CN"/>
              </w:rPr>
              <w:t>较差</w:t>
            </w:r>
            <w:r>
              <w:rPr>
                <w:rFonts w:hint="eastAsia" w:ascii="宋体" w:hAnsi="宋体" w:eastAsia="宋体" w:cs="宋体"/>
                <w:sz w:val="24"/>
                <w:highlight w:val="none"/>
              </w:rPr>
              <w:t>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分；此项未提供不得分</w:t>
            </w:r>
            <w:r>
              <w:rPr>
                <w:rFonts w:hint="eastAsia" w:ascii="宋体" w:hAnsi="宋体" w:eastAsia="宋体" w:cs="宋体"/>
                <w:sz w:val="24"/>
                <w:highlight w:val="none"/>
                <w:lang w:eastAsia="zh-CN"/>
              </w:rPr>
              <w:t>。</w:t>
            </w:r>
          </w:p>
        </w:tc>
      </w:tr>
      <w:tr w14:paraId="10EC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14:paraId="2996CC9E">
            <w:pPr>
              <w:spacing w:line="500" w:lineRule="exact"/>
              <w:rPr>
                <w:rFonts w:ascii="宋体" w:hAnsi="宋体" w:cs="宋体"/>
                <w:sz w:val="24"/>
                <w:highlight w:val="none"/>
              </w:rPr>
            </w:pPr>
          </w:p>
        </w:tc>
        <w:tc>
          <w:tcPr>
            <w:tcW w:w="1347" w:type="dxa"/>
            <w:vMerge w:val="continue"/>
            <w:tcMar>
              <w:top w:w="0" w:type="dxa"/>
              <w:left w:w="80" w:type="dxa"/>
              <w:bottom w:w="0" w:type="dxa"/>
              <w:right w:w="0" w:type="dxa"/>
            </w:tcMar>
            <w:vAlign w:val="center"/>
          </w:tcPr>
          <w:p w14:paraId="69B6E544">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2523BEE2">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安装调试方案</w:t>
            </w:r>
          </w:p>
          <w:p w14:paraId="68B3DBD9">
            <w:pPr>
              <w:spacing w:line="50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5分</w:t>
            </w:r>
            <w:r>
              <w:rPr>
                <w:rFonts w:hint="eastAsia" w:ascii="宋体" w:hAnsi="宋体" w:eastAsia="宋体" w:cs="宋体"/>
                <w:sz w:val="24"/>
                <w:highlight w:val="none"/>
                <w:lang w:eastAsia="zh-CN"/>
              </w:rPr>
              <w:t>）</w:t>
            </w:r>
          </w:p>
        </w:tc>
        <w:tc>
          <w:tcPr>
            <w:tcW w:w="6379" w:type="dxa"/>
            <w:tcMar>
              <w:top w:w="0" w:type="dxa"/>
              <w:left w:w="80" w:type="dxa"/>
              <w:bottom w:w="0" w:type="dxa"/>
              <w:right w:w="0" w:type="dxa"/>
            </w:tcMar>
            <w:vAlign w:val="top"/>
          </w:tcPr>
          <w:p w14:paraId="423D3213">
            <w:pPr>
              <w:spacing w:line="500" w:lineRule="exact"/>
              <w:rPr>
                <w:rFonts w:hint="eastAsia" w:ascii="宋体" w:hAnsi="宋体" w:eastAsia="宋体" w:cs="宋体"/>
                <w:sz w:val="24"/>
                <w:highlight w:val="none"/>
              </w:rPr>
            </w:pPr>
            <w:r>
              <w:rPr>
                <w:rFonts w:hint="eastAsia" w:ascii="宋体" w:hAnsi="宋体" w:eastAsia="宋体" w:cs="宋体"/>
                <w:sz w:val="24"/>
                <w:highlight w:val="none"/>
              </w:rPr>
              <w:t>根据采购人实际需求，针对项目实际情况，供应商对所供货品安装调试制定详细计划方案和措施，根据供应商提供的方案进行打分：</w:t>
            </w:r>
          </w:p>
          <w:p w14:paraId="7CF8361B">
            <w:pPr>
              <w:spacing w:line="500" w:lineRule="exact"/>
              <w:rPr>
                <w:rFonts w:hint="eastAsia" w:ascii="宋体" w:hAnsi="宋体" w:eastAsia="宋体" w:cs="宋体"/>
                <w:sz w:val="24"/>
                <w:highlight w:val="none"/>
              </w:rPr>
            </w:pPr>
            <w:r>
              <w:rPr>
                <w:rFonts w:hint="eastAsia" w:ascii="宋体" w:hAnsi="宋体" w:eastAsia="宋体" w:cs="宋体"/>
                <w:sz w:val="24"/>
                <w:highlight w:val="none"/>
              </w:rPr>
              <w:t>方案全面、详尽、合理、措施有保障，技术质量有保障、完全满足项目需求的得</w:t>
            </w:r>
            <w:r>
              <w:rPr>
                <w:rFonts w:hint="eastAsia" w:ascii="宋体" w:hAnsi="宋体" w:cs="宋体"/>
                <w:sz w:val="24"/>
                <w:highlight w:val="none"/>
                <w:lang w:val="en-US" w:eastAsia="zh-CN"/>
              </w:rPr>
              <w:t>5</w:t>
            </w:r>
            <w:r>
              <w:rPr>
                <w:rFonts w:hint="eastAsia" w:ascii="宋体" w:hAnsi="宋体" w:eastAsia="宋体" w:cs="宋体"/>
                <w:sz w:val="24"/>
                <w:highlight w:val="none"/>
              </w:rPr>
              <w:t>分；方案</w:t>
            </w:r>
            <w:r>
              <w:rPr>
                <w:rFonts w:hint="eastAsia" w:ascii="宋体" w:hAnsi="宋体" w:eastAsia="宋体" w:cs="宋体"/>
                <w:sz w:val="24"/>
                <w:highlight w:val="none"/>
                <w:lang w:val="en-US" w:eastAsia="zh-CN"/>
              </w:rPr>
              <w:t>较好</w:t>
            </w:r>
            <w:r>
              <w:rPr>
                <w:rFonts w:hint="eastAsia" w:ascii="宋体" w:hAnsi="宋体" w:eastAsia="宋体" w:cs="宋体"/>
                <w:sz w:val="24"/>
                <w:highlight w:val="none"/>
              </w:rPr>
              <w:t>基本满足招标要求的，得</w:t>
            </w:r>
            <w:r>
              <w:rPr>
                <w:rFonts w:hint="eastAsia" w:ascii="宋体" w:hAnsi="宋体" w:cs="宋体"/>
                <w:sz w:val="24"/>
                <w:highlight w:val="none"/>
                <w:lang w:val="en-US" w:eastAsia="zh-CN"/>
              </w:rPr>
              <w:t>3</w:t>
            </w:r>
            <w:r>
              <w:rPr>
                <w:rFonts w:hint="eastAsia" w:ascii="宋体" w:hAnsi="宋体" w:eastAsia="宋体" w:cs="宋体"/>
                <w:sz w:val="24"/>
                <w:highlight w:val="none"/>
              </w:rPr>
              <w:t>分；方案较差的得</w:t>
            </w:r>
            <w:r>
              <w:rPr>
                <w:rFonts w:hint="eastAsia" w:ascii="宋体" w:hAnsi="宋体" w:cs="宋体"/>
                <w:sz w:val="24"/>
                <w:highlight w:val="none"/>
                <w:lang w:val="en-US" w:eastAsia="zh-CN"/>
              </w:rPr>
              <w:t>1</w:t>
            </w:r>
            <w:r>
              <w:rPr>
                <w:rFonts w:hint="eastAsia" w:ascii="宋体" w:hAnsi="宋体" w:eastAsia="宋体" w:cs="宋体"/>
                <w:sz w:val="24"/>
                <w:highlight w:val="none"/>
              </w:rPr>
              <w:t>分；此项未提供不得分。</w:t>
            </w:r>
          </w:p>
        </w:tc>
      </w:tr>
      <w:tr w14:paraId="2D67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14:paraId="34B13DED">
            <w:pPr>
              <w:spacing w:line="500" w:lineRule="exact"/>
              <w:rPr>
                <w:rFonts w:ascii="宋体" w:hAnsi="宋体" w:cs="宋体"/>
                <w:sz w:val="24"/>
                <w:highlight w:val="none"/>
              </w:rPr>
            </w:pPr>
          </w:p>
        </w:tc>
        <w:tc>
          <w:tcPr>
            <w:tcW w:w="1347" w:type="dxa"/>
            <w:vMerge w:val="continue"/>
            <w:tcMar>
              <w:top w:w="0" w:type="dxa"/>
              <w:left w:w="80" w:type="dxa"/>
              <w:bottom w:w="0" w:type="dxa"/>
              <w:right w:w="0" w:type="dxa"/>
            </w:tcMar>
            <w:vAlign w:val="center"/>
          </w:tcPr>
          <w:p w14:paraId="53ECB1D6">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519032F6">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质量保证措施</w:t>
            </w:r>
          </w:p>
          <w:p w14:paraId="3BD1433E">
            <w:pPr>
              <w:spacing w:line="500" w:lineRule="exact"/>
              <w:jc w:val="center"/>
              <w:rPr>
                <w:rFonts w:hint="eastAsia" w:ascii="宋体" w:hAnsi="宋体" w:eastAsia="宋体" w:cs="宋体"/>
                <w:szCs w:val="21"/>
                <w:highlight w:val="none"/>
                <w:lang w:eastAsia="zh-CN"/>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分</w:t>
            </w:r>
            <w:r>
              <w:rPr>
                <w:rFonts w:hint="eastAsia" w:ascii="宋体" w:hAnsi="宋体" w:eastAsia="宋体" w:cs="宋体"/>
                <w:sz w:val="24"/>
                <w:highlight w:val="none"/>
                <w:lang w:eastAsia="zh-CN"/>
              </w:rPr>
              <w:t>）</w:t>
            </w:r>
          </w:p>
        </w:tc>
        <w:tc>
          <w:tcPr>
            <w:tcW w:w="6379" w:type="dxa"/>
            <w:tcMar>
              <w:top w:w="0" w:type="dxa"/>
              <w:left w:w="80" w:type="dxa"/>
              <w:bottom w:w="0" w:type="dxa"/>
              <w:right w:w="0" w:type="dxa"/>
            </w:tcMar>
            <w:vAlign w:val="top"/>
          </w:tcPr>
          <w:p w14:paraId="2489ED90">
            <w:pPr>
              <w:spacing w:line="500" w:lineRule="exact"/>
              <w:rPr>
                <w:rFonts w:hint="eastAsia" w:ascii="宋体" w:hAnsi="宋体" w:eastAsia="宋体" w:cs="宋体"/>
                <w:sz w:val="24"/>
                <w:highlight w:val="none"/>
              </w:rPr>
            </w:pPr>
            <w:r>
              <w:rPr>
                <w:rFonts w:hint="eastAsia" w:ascii="宋体" w:hAnsi="宋体" w:eastAsia="宋体" w:cs="宋体"/>
                <w:sz w:val="24"/>
                <w:highlight w:val="none"/>
              </w:rPr>
              <w:t>根据供应商制定的质量保证措施的严谨度、全面性等进行综合评价，优秀的得</w:t>
            </w:r>
            <w:r>
              <w:rPr>
                <w:rFonts w:hint="eastAsia" w:ascii="宋体" w:hAnsi="宋体" w:cs="宋体"/>
                <w:sz w:val="24"/>
                <w:highlight w:val="none"/>
                <w:lang w:val="en-US" w:eastAsia="zh-CN"/>
              </w:rPr>
              <w:t>5</w:t>
            </w:r>
            <w:r>
              <w:rPr>
                <w:rFonts w:hint="eastAsia" w:ascii="宋体" w:hAnsi="宋体" w:eastAsia="宋体" w:cs="宋体"/>
                <w:sz w:val="24"/>
                <w:highlight w:val="none"/>
              </w:rPr>
              <w:t>分，较好的得</w:t>
            </w:r>
            <w:r>
              <w:rPr>
                <w:rFonts w:hint="eastAsia" w:ascii="宋体" w:hAnsi="宋体" w:cs="宋体"/>
                <w:sz w:val="24"/>
                <w:highlight w:val="none"/>
                <w:lang w:val="en-US" w:eastAsia="zh-CN"/>
              </w:rPr>
              <w:t>3</w:t>
            </w:r>
            <w:r>
              <w:rPr>
                <w:rFonts w:hint="eastAsia" w:ascii="宋体" w:hAnsi="宋体" w:eastAsia="宋体" w:cs="宋体"/>
                <w:sz w:val="24"/>
                <w:highlight w:val="none"/>
              </w:rPr>
              <w:t>分，一般得</w:t>
            </w:r>
            <w:r>
              <w:rPr>
                <w:rFonts w:hint="eastAsia" w:ascii="宋体" w:hAnsi="宋体" w:cs="宋体"/>
                <w:sz w:val="24"/>
                <w:highlight w:val="none"/>
                <w:lang w:val="en-US" w:eastAsia="zh-CN"/>
              </w:rPr>
              <w:t>1</w:t>
            </w:r>
            <w:r>
              <w:rPr>
                <w:rFonts w:hint="eastAsia" w:ascii="宋体" w:hAnsi="宋体" w:eastAsia="宋体" w:cs="宋体"/>
                <w:sz w:val="24"/>
                <w:highlight w:val="none"/>
              </w:rPr>
              <w:t>分，此项未提供不得分。</w:t>
            </w:r>
          </w:p>
        </w:tc>
      </w:tr>
      <w:tr w14:paraId="68C1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613" w:type="dxa"/>
            <w:vMerge w:val="continue"/>
            <w:tcMar>
              <w:top w:w="0" w:type="dxa"/>
              <w:left w:w="80" w:type="dxa"/>
              <w:bottom w:w="0" w:type="dxa"/>
              <w:right w:w="0" w:type="dxa"/>
            </w:tcMar>
            <w:vAlign w:val="center"/>
          </w:tcPr>
          <w:p w14:paraId="2DA94AEB">
            <w:pPr>
              <w:spacing w:line="500" w:lineRule="exact"/>
              <w:rPr>
                <w:rFonts w:ascii="宋体" w:hAnsi="宋体" w:cs="宋体"/>
                <w:sz w:val="24"/>
                <w:highlight w:val="none"/>
              </w:rPr>
            </w:pPr>
          </w:p>
        </w:tc>
        <w:tc>
          <w:tcPr>
            <w:tcW w:w="1347" w:type="dxa"/>
            <w:vMerge w:val="continue"/>
            <w:tcMar>
              <w:top w:w="0" w:type="dxa"/>
              <w:left w:w="80" w:type="dxa"/>
              <w:bottom w:w="0" w:type="dxa"/>
              <w:right w:w="0" w:type="dxa"/>
            </w:tcMar>
            <w:vAlign w:val="center"/>
          </w:tcPr>
          <w:p w14:paraId="165CE6E7">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1F3C38E8">
            <w:pPr>
              <w:spacing w:line="50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应急响应预案</w:t>
            </w:r>
          </w:p>
          <w:p w14:paraId="1370F188">
            <w:pPr>
              <w:spacing w:line="50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（5分）</w:t>
            </w:r>
          </w:p>
        </w:tc>
        <w:tc>
          <w:tcPr>
            <w:tcW w:w="6379" w:type="dxa"/>
            <w:tcMar>
              <w:top w:w="0" w:type="dxa"/>
              <w:left w:w="80" w:type="dxa"/>
              <w:bottom w:w="0" w:type="dxa"/>
              <w:right w:w="0" w:type="dxa"/>
            </w:tcMar>
            <w:vAlign w:val="center"/>
          </w:tcPr>
          <w:p w14:paraId="74E29E0F">
            <w:pPr>
              <w:spacing w:line="500" w:lineRule="exac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供应商针对本项目设备发生故障时应急响应措施全面、详细，应急处理流程、处置方法等科学、合理，</w:t>
            </w:r>
            <w:r>
              <w:rPr>
                <w:rFonts w:hint="eastAsia" w:ascii="宋体" w:hAnsi="宋体" w:eastAsia="宋体" w:cs="宋体"/>
                <w:sz w:val="24"/>
                <w:highlight w:val="none"/>
                <w:lang w:val="zh-CN"/>
              </w:rPr>
              <w:t>优</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val="zh-CN"/>
              </w:rPr>
              <w:t>得分，良得</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zh-CN"/>
              </w:rPr>
              <w:t>分，一般得</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rPr>
              <w:t>分。</w:t>
            </w:r>
          </w:p>
          <w:p w14:paraId="00D6777A">
            <w:pPr>
              <w:spacing w:line="500" w:lineRule="exact"/>
              <w:rPr>
                <w:rFonts w:hint="eastAsia" w:ascii="宋体" w:hAnsi="宋体" w:eastAsia="宋体" w:cs="宋体"/>
                <w:sz w:val="24"/>
                <w:highlight w:val="none"/>
              </w:rPr>
            </w:pPr>
            <w:r>
              <w:rPr>
                <w:rFonts w:hint="eastAsia" w:ascii="宋体" w:hAnsi="宋体" w:eastAsia="宋体" w:cs="宋体"/>
                <w:sz w:val="24"/>
                <w:highlight w:val="none"/>
                <w:lang w:val="en-US" w:eastAsia="zh-CN"/>
              </w:rPr>
              <w:t>注：不符合或者未提供不得分</w:t>
            </w:r>
            <w:r>
              <w:rPr>
                <w:rFonts w:hint="eastAsia" w:ascii="宋体" w:hAnsi="宋体" w:eastAsia="宋体" w:cs="宋体"/>
                <w:sz w:val="24"/>
                <w:highlight w:val="none"/>
              </w:rPr>
              <w:t>。</w:t>
            </w:r>
          </w:p>
        </w:tc>
      </w:tr>
      <w:tr w14:paraId="2879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6" w:hRule="atLeast"/>
          <w:jc w:val="center"/>
        </w:trPr>
        <w:tc>
          <w:tcPr>
            <w:tcW w:w="613" w:type="dxa"/>
            <w:vMerge w:val="restart"/>
            <w:tcMar>
              <w:top w:w="0" w:type="dxa"/>
              <w:left w:w="80" w:type="dxa"/>
              <w:bottom w:w="0" w:type="dxa"/>
              <w:right w:w="0" w:type="dxa"/>
            </w:tcMar>
            <w:vAlign w:val="center"/>
          </w:tcPr>
          <w:p w14:paraId="0586920D">
            <w:pPr>
              <w:spacing w:line="500" w:lineRule="exact"/>
              <w:jc w:val="center"/>
              <w:rPr>
                <w:rFonts w:hint="eastAsia" w:ascii="宋体" w:hAnsi="宋体" w:cs="宋体"/>
                <w:sz w:val="24"/>
                <w:highlight w:val="none"/>
              </w:rPr>
            </w:pPr>
            <w:r>
              <w:rPr>
                <w:rFonts w:hint="eastAsia" w:ascii="宋体" w:hAnsi="宋体" w:cs="宋体"/>
                <w:sz w:val="24"/>
                <w:highlight w:val="none"/>
              </w:rPr>
              <w:t>3</w:t>
            </w:r>
          </w:p>
          <w:p w14:paraId="5A2C0950">
            <w:pPr>
              <w:spacing w:line="500" w:lineRule="exact"/>
              <w:rPr>
                <w:rFonts w:hint="eastAsia" w:ascii="宋体" w:hAnsi="宋体" w:eastAsia="宋体" w:cs="宋体"/>
                <w:sz w:val="24"/>
                <w:highlight w:val="none"/>
                <w:lang w:eastAsia="zh-CN"/>
              </w:rPr>
            </w:pPr>
          </w:p>
        </w:tc>
        <w:tc>
          <w:tcPr>
            <w:tcW w:w="1347" w:type="dxa"/>
            <w:vMerge w:val="restart"/>
            <w:tcMar>
              <w:top w:w="0" w:type="dxa"/>
              <w:left w:w="80" w:type="dxa"/>
              <w:bottom w:w="0" w:type="dxa"/>
              <w:right w:w="0" w:type="dxa"/>
            </w:tcMar>
            <w:vAlign w:val="center"/>
          </w:tcPr>
          <w:p w14:paraId="0CBEEE20">
            <w:pPr>
              <w:spacing w:line="50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综合部分</w:t>
            </w:r>
          </w:p>
          <w:p w14:paraId="3CEBA029">
            <w:pPr>
              <w:spacing w:line="500" w:lineRule="exact"/>
              <w:jc w:val="center"/>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20</w:t>
            </w:r>
            <w:r>
              <w:rPr>
                <w:rFonts w:hint="eastAsia" w:ascii="宋体" w:hAnsi="宋体" w:cs="宋体"/>
                <w:sz w:val="24"/>
                <w:highlight w:val="none"/>
              </w:rPr>
              <w:t>分）</w:t>
            </w:r>
          </w:p>
        </w:tc>
        <w:tc>
          <w:tcPr>
            <w:tcW w:w="1893" w:type="dxa"/>
            <w:tcMar>
              <w:top w:w="0" w:type="dxa"/>
              <w:left w:w="80" w:type="dxa"/>
              <w:bottom w:w="0" w:type="dxa"/>
              <w:right w:w="0" w:type="dxa"/>
            </w:tcMar>
            <w:vAlign w:val="center"/>
          </w:tcPr>
          <w:p w14:paraId="1535CAC3">
            <w:pPr>
              <w:spacing w:line="500" w:lineRule="exact"/>
              <w:jc w:val="center"/>
              <w:rPr>
                <w:rFonts w:hint="eastAsia" w:ascii="宋体" w:hAnsi="宋体" w:cs="宋体"/>
                <w:sz w:val="24"/>
                <w:highlight w:val="none"/>
              </w:rPr>
            </w:pPr>
            <w:r>
              <w:rPr>
                <w:rFonts w:hint="eastAsia" w:ascii="宋体" w:hAnsi="宋体" w:cs="宋体"/>
                <w:sz w:val="24"/>
                <w:highlight w:val="none"/>
              </w:rPr>
              <w:t>业绩（</w:t>
            </w:r>
            <w:r>
              <w:rPr>
                <w:rFonts w:hint="eastAsia" w:ascii="宋体" w:hAnsi="宋体" w:cs="宋体"/>
                <w:sz w:val="24"/>
                <w:highlight w:val="none"/>
                <w:lang w:val="en-US" w:eastAsia="zh-CN"/>
              </w:rPr>
              <w:t>6</w:t>
            </w:r>
            <w:r>
              <w:rPr>
                <w:rFonts w:hint="eastAsia" w:ascii="宋体" w:hAnsi="宋体" w:cs="宋体"/>
                <w:sz w:val="24"/>
                <w:highlight w:val="none"/>
              </w:rPr>
              <w:t>分）</w:t>
            </w:r>
          </w:p>
        </w:tc>
        <w:tc>
          <w:tcPr>
            <w:tcW w:w="6379" w:type="dxa"/>
            <w:tcMar>
              <w:top w:w="0" w:type="dxa"/>
              <w:left w:w="80" w:type="dxa"/>
              <w:bottom w:w="0" w:type="dxa"/>
              <w:right w:w="0" w:type="dxa"/>
            </w:tcMar>
            <w:vAlign w:val="center"/>
          </w:tcPr>
          <w:p w14:paraId="7A4D28A1">
            <w:pPr>
              <w:spacing w:line="500" w:lineRule="exact"/>
              <w:rPr>
                <w:rFonts w:hint="eastAsia" w:ascii="宋体" w:hAnsi="宋体" w:cs="宋体"/>
                <w:sz w:val="24"/>
                <w:highlight w:val="none"/>
                <w:lang w:val="zh-CN"/>
              </w:rPr>
            </w:pPr>
            <w:r>
              <w:rPr>
                <w:rFonts w:hint="eastAsia" w:ascii="宋体" w:hAnsi="宋体" w:eastAsia="宋体" w:cs="宋体"/>
                <w:sz w:val="24"/>
                <w:highlight w:val="none"/>
                <w:lang w:val="en-US" w:eastAsia="zh-CN"/>
              </w:rPr>
              <w:t>供应商应提供2022年1月1日（含）以来类似业绩：每提供一个得</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分，本项最多得</w:t>
            </w:r>
            <w:r>
              <w:rPr>
                <w:rFonts w:hint="eastAsia" w:ascii="宋体" w:hAnsi="宋体" w:cs="宋体"/>
                <w:sz w:val="24"/>
                <w:highlight w:val="none"/>
                <w:lang w:val="en-US" w:eastAsia="zh-CN"/>
              </w:rPr>
              <w:t>6</w:t>
            </w:r>
            <w:r>
              <w:rPr>
                <w:rFonts w:hint="eastAsia" w:ascii="宋体" w:hAnsi="宋体" w:eastAsia="宋体" w:cs="宋体"/>
                <w:sz w:val="24"/>
                <w:highlight w:val="none"/>
                <w:lang w:val="en-US" w:eastAsia="zh-CN"/>
              </w:rPr>
              <w:t>分。 每一个业绩证明以合同原件扫描件为准。不提供或不按要求提供不得分。时间以合同签订时间为准。</w:t>
            </w:r>
          </w:p>
        </w:tc>
      </w:tr>
      <w:tr w14:paraId="5A7B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6" w:hRule="atLeast"/>
          <w:jc w:val="center"/>
        </w:trPr>
        <w:tc>
          <w:tcPr>
            <w:tcW w:w="613" w:type="dxa"/>
            <w:vMerge w:val="continue"/>
            <w:tcMar>
              <w:top w:w="0" w:type="dxa"/>
              <w:left w:w="80" w:type="dxa"/>
              <w:bottom w:w="0" w:type="dxa"/>
              <w:right w:w="0" w:type="dxa"/>
            </w:tcMar>
            <w:vAlign w:val="center"/>
          </w:tcPr>
          <w:p w14:paraId="6E72F0DD">
            <w:pPr>
              <w:spacing w:line="500" w:lineRule="exact"/>
              <w:rPr>
                <w:rFonts w:hint="eastAsia" w:ascii="宋体" w:hAnsi="宋体" w:eastAsia="宋体" w:cs="宋体"/>
                <w:sz w:val="24"/>
                <w:highlight w:val="none"/>
                <w:lang w:eastAsia="zh-CN"/>
              </w:rPr>
            </w:pPr>
          </w:p>
        </w:tc>
        <w:tc>
          <w:tcPr>
            <w:tcW w:w="1347" w:type="dxa"/>
            <w:vMerge w:val="continue"/>
            <w:tcMar>
              <w:top w:w="0" w:type="dxa"/>
              <w:left w:w="80" w:type="dxa"/>
              <w:bottom w:w="0" w:type="dxa"/>
              <w:right w:w="0" w:type="dxa"/>
            </w:tcMar>
            <w:vAlign w:val="center"/>
          </w:tcPr>
          <w:p w14:paraId="3BEDC1E1">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20FEBE22">
            <w:pPr>
              <w:spacing w:line="500" w:lineRule="exact"/>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信誉（3分）</w:t>
            </w:r>
          </w:p>
        </w:tc>
        <w:tc>
          <w:tcPr>
            <w:tcW w:w="6379" w:type="dxa"/>
            <w:tcMar>
              <w:top w:w="0" w:type="dxa"/>
              <w:left w:w="80" w:type="dxa"/>
              <w:bottom w:w="0" w:type="dxa"/>
              <w:right w:w="0" w:type="dxa"/>
            </w:tcMar>
            <w:vAlign w:val="center"/>
          </w:tcPr>
          <w:p w14:paraId="602D3E83">
            <w:pPr>
              <w:spacing w:line="500" w:lineRule="exact"/>
              <w:rPr>
                <w:rFonts w:hint="eastAsia" w:ascii="宋体" w:hAnsi="宋体" w:eastAsia="宋体" w:cs="宋体"/>
                <w:sz w:val="24"/>
                <w:highlight w:val="none"/>
                <w:lang w:val="en-US" w:eastAsia="zh-CN"/>
              </w:rPr>
            </w:pPr>
            <w:r>
              <w:rPr>
                <w:rFonts w:hint="eastAsia" w:ascii="宋体" w:hAnsi="宋体" w:cs="宋体"/>
                <w:sz w:val="24"/>
                <w:highlight w:val="none"/>
              </w:rPr>
              <w:t>投标人通过ISO质量体系认证（ISO9001或GB/T19001）、环境管理体系认证（ISO14001或GB/T24001）、职业健康安全管理体系认证（OHSAS18001或ISO45001或GB/T28001）的</w:t>
            </w:r>
            <w:r>
              <w:rPr>
                <w:rFonts w:hint="eastAsia" w:ascii="宋体" w:hAnsi="宋体" w:cs="宋体"/>
                <w:sz w:val="24"/>
                <w:highlight w:val="none"/>
                <w:lang w:eastAsia="zh-CN"/>
              </w:rPr>
              <w:t>，</w:t>
            </w:r>
            <w:r>
              <w:rPr>
                <w:rFonts w:hint="eastAsia" w:ascii="宋体" w:hAnsi="宋体" w:cs="宋体"/>
                <w:sz w:val="24"/>
                <w:highlight w:val="none"/>
              </w:rPr>
              <w:t>每</w:t>
            </w:r>
            <w:r>
              <w:rPr>
                <w:rFonts w:hint="eastAsia" w:ascii="宋体" w:hAnsi="宋体" w:cs="宋体"/>
                <w:sz w:val="24"/>
                <w:highlight w:val="none"/>
                <w:lang w:val="en-US" w:eastAsia="zh-CN"/>
              </w:rPr>
              <w:t>提供</w:t>
            </w:r>
            <w:r>
              <w:rPr>
                <w:rFonts w:hint="eastAsia" w:ascii="宋体" w:hAnsi="宋体" w:cs="宋体"/>
                <w:sz w:val="24"/>
                <w:highlight w:val="none"/>
              </w:rPr>
              <w:t>一项</w:t>
            </w:r>
            <w:r>
              <w:rPr>
                <w:rFonts w:hint="eastAsia" w:ascii="宋体" w:hAnsi="宋体" w:cs="宋体"/>
                <w:sz w:val="24"/>
                <w:highlight w:val="none"/>
                <w:lang w:val="en-US" w:eastAsia="zh-CN"/>
              </w:rPr>
              <w:t>得1</w:t>
            </w:r>
            <w:r>
              <w:rPr>
                <w:rFonts w:hint="eastAsia" w:ascii="宋体" w:hAnsi="宋体" w:cs="宋体"/>
                <w:sz w:val="24"/>
                <w:highlight w:val="none"/>
              </w:rPr>
              <w:t>分</w:t>
            </w:r>
            <w:r>
              <w:rPr>
                <w:rFonts w:hint="eastAsia" w:ascii="宋体" w:hAnsi="宋体" w:cs="宋体"/>
                <w:sz w:val="24"/>
                <w:highlight w:val="none"/>
                <w:lang w:val="en-US" w:eastAsia="zh-CN"/>
              </w:rPr>
              <w:t>.</w:t>
            </w:r>
          </w:p>
        </w:tc>
      </w:tr>
      <w:tr w14:paraId="789B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5" w:hRule="atLeast"/>
          <w:jc w:val="center"/>
        </w:trPr>
        <w:tc>
          <w:tcPr>
            <w:tcW w:w="613" w:type="dxa"/>
            <w:vMerge w:val="continue"/>
            <w:tcMar>
              <w:top w:w="0" w:type="dxa"/>
              <w:left w:w="80" w:type="dxa"/>
              <w:bottom w:w="0" w:type="dxa"/>
              <w:right w:w="0" w:type="dxa"/>
            </w:tcMar>
            <w:vAlign w:val="center"/>
          </w:tcPr>
          <w:p w14:paraId="18922383">
            <w:pPr>
              <w:spacing w:line="500" w:lineRule="exact"/>
              <w:jc w:val="center"/>
              <w:rPr>
                <w:rFonts w:hint="eastAsia" w:ascii="宋体" w:hAnsi="宋体" w:cs="宋体"/>
                <w:sz w:val="24"/>
                <w:highlight w:val="none"/>
              </w:rPr>
            </w:pPr>
          </w:p>
        </w:tc>
        <w:tc>
          <w:tcPr>
            <w:tcW w:w="1347" w:type="dxa"/>
            <w:vMerge w:val="continue"/>
            <w:tcMar>
              <w:top w:w="0" w:type="dxa"/>
              <w:left w:w="80" w:type="dxa"/>
              <w:bottom w:w="0" w:type="dxa"/>
              <w:right w:w="0" w:type="dxa"/>
            </w:tcMar>
            <w:vAlign w:val="center"/>
          </w:tcPr>
          <w:p w14:paraId="3C5A892E">
            <w:pPr>
              <w:spacing w:line="500" w:lineRule="exact"/>
              <w:jc w:val="center"/>
              <w:rPr>
                <w:rFonts w:hint="eastAsia" w:ascii="宋体" w:hAnsi="宋体" w:cs="宋体"/>
                <w:sz w:val="24"/>
                <w:highlight w:val="none"/>
              </w:rPr>
            </w:pPr>
          </w:p>
        </w:tc>
        <w:tc>
          <w:tcPr>
            <w:tcW w:w="1893" w:type="dxa"/>
            <w:tcMar>
              <w:top w:w="0" w:type="dxa"/>
              <w:left w:w="80" w:type="dxa"/>
              <w:bottom w:w="0" w:type="dxa"/>
              <w:right w:w="0" w:type="dxa"/>
            </w:tcMar>
            <w:vAlign w:val="center"/>
          </w:tcPr>
          <w:p w14:paraId="4024E4FB">
            <w:pPr>
              <w:spacing w:line="500" w:lineRule="exact"/>
              <w:jc w:val="center"/>
              <w:rPr>
                <w:rFonts w:hint="eastAsia" w:ascii="宋体" w:hAnsi="宋体" w:cs="宋体"/>
                <w:sz w:val="24"/>
                <w:highlight w:val="none"/>
              </w:rPr>
            </w:pPr>
            <w:r>
              <w:rPr>
                <w:rFonts w:hint="eastAsia" w:ascii="宋体" w:hAnsi="宋体" w:cs="宋体"/>
                <w:sz w:val="24"/>
                <w:highlight w:val="none"/>
              </w:rPr>
              <w:t>售后服务方案</w:t>
            </w:r>
          </w:p>
          <w:p w14:paraId="72045193">
            <w:pPr>
              <w:spacing w:line="500" w:lineRule="exact"/>
              <w:jc w:val="center"/>
              <w:rPr>
                <w:rFonts w:hint="eastAsia"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分）</w:t>
            </w:r>
          </w:p>
        </w:tc>
        <w:tc>
          <w:tcPr>
            <w:tcW w:w="6379" w:type="dxa"/>
            <w:tcMar>
              <w:top w:w="0" w:type="dxa"/>
              <w:left w:w="80" w:type="dxa"/>
              <w:bottom w:w="0" w:type="dxa"/>
              <w:right w:w="0" w:type="dxa"/>
            </w:tcMar>
            <w:vAlign w:val="center"/>
          </w:tcPr>
          <w:p w14:paraId="20A11709">
            <w:pPr>
              <w:numPr>
                <w:ilvl w:val="0"/>
                <w:numId w:val="0"/>
              </w:numPr>
              <w:spacing w:line="500" w:lineRule="exact"/>
              <w:ind w:left="0" w:leftChars="0" w:firstLine="0" w:firstLineChars="0"/>
              <w:rPr>
                <w:rFonts w:hint="eastAsia" w:ascii="宋体" w:hAnsi="宋体" w:cs="宋体"/>
                <w:sz w:val="24"/>
                <w:highlight w:val="none"/>
                <w:lang w:val="zh-CN"/>
              </w:rPr>
            </w:pPr>
            <w:r>
              <w:rPr>
                <w:rFonts w:hint="eastAsia" w:ascii="宋体" w:hAnsi="宋体" w:cs="宋体"/>
                <w:sz w:val="24"/>
                <w:highlight w:val="none"/>
                <w:lang w:val="zh-CN"/>
              </w:rPr>
              <w:t>投标人提出完整的服务内容、服务形式、质保期内及质保期外服务承诺、维修单位及地点、技术人员情况、应急维修时间安排方案。</w:t>
            </w:r>
          </w:p>
          <w:p w14:paraId="2A136E24">
            <w:pPr>
              <w:numPr>
                <w:ilvl w:val="0"/>
                <w:numId w:val="0"/>
              </w:numPr>
              <w:spacing w:line="500" w:lineRule="exact"/>
              <w:ind w:left="0" w:leftChars="0" w:firstLine="0" w:firstLineChars="0"/>
              <w:rPr>
                <w:rFonts w:hint="eastAsia" w:ascii="宋体" w:hAnsi="宋体" w:cs="宋体"/>
                <w:sz w:val="24"/>
                <w:highlight w:val="none"/>
                <w:lang w:val="zh-CN"/>
              </w:rPr>
            </w:pPr>
            <w:r>
              <w:rPr>
                <w:rFonts w:hint="eastAsia" w:ascii="宋体" w:hAnsi="宋体" w:cs="宋体"/>
                <w:sz w:val="24"/>
                <w:highlight w:val="none"/>
                <w:lang w:val="zh-CN"/>
              </w:rPr>
              <w:t>方案内容非常详细，科学合理、可行性强的得</w:t>
            </w:r>
            <w:r>
              <w:rPr>
                <w:rFonts w:hint="eastAsia" w:ascii="宋体" w:hAnsi="宋体" w:cs="宋体"/>
                <w:sz w:val="24"/>
                <w:highlight w:val="none"/>
                <w:lang w:val="en-US" w:eastAsia="zh-CN"/>
              </w:rPr>
              <w:t>6</w:t>
            </w:r>
            <w:r>
              <w:rPr>
                <w:rFonts w:hint="eastAsia" w:ascii="宋体" w:hAnsi="宋体" w:cs="宋体"/>
                <w:sz w:val="24"/>
                <w:highlight w:val="none"/>
                <w:lang w:val="zh-CN"/>
              </w:rPr>
              <w:t>分；</w:t>
            </w:r>
          </w:p>
          <w:p w14:paraId="4767D2A5">
            <w:pPr>
              <w:numPr>
                <w:ilvl w:val="0"/>
                <w:numId w:val="0"/>
              </w:numPr>
              <w:spacing w:line="500" w:lineRule="exact"/>
              <w:ind w:left="0" w:leftChars="0" w:firstLine="0" w:firstLineChars="0"/>
              <w:rPr>
                <w:rFonts w:hint="eastAsia" w:ascii="宋体" w:hAnsi="宋体" w:cs="宋体"/>
                <w:sz w:val="24"/>
                <w:highlight w:val="none"/>
                <w:lang w:val="zh-CN"/>
              </w:rPr>
            </w:pPr>
            <w:r>
              <w:rPr>
                <w:rFonts w:hint="eastAsia" w:ascii="宋体" w:hAnsi="宋体" w:cs="宋体"/>
                <w:sz w:val="24"/>
                <w:highlight w:val="none"/>
                <w:lang w:val="zh-CN"/>
              </w:rPr>
              <w:t>方案内容比较完整、较科学合理、可行性较强的得</w:t>
            </w:r>
            <w:r>
              <w:rPr>
                <w:rFonts w:hint="eastAsia" w:ascii="宋体" w:hAnsi="宋体" w:cs="宋体"/>
                <w:sz w:val="24"/>
                <w:highlight w:val="none"/>
                <w:lang w:val="en-US" w:eastAsia="zh-CN"/>
              </w:rPr>
              <w:t>3</w:t>
            </w:r>
            <w:r>
              <w:rPr>
                <w:rFonts w:hint="eastAsia" w:ascii="宋体" w:hAnsi="宋体" w:cs="宋体"/>
                <w:sz w:val="24"/>
                <w:highlight w:val="none"/>
                <w:lang w:val="zh-CN"/>
              </w:rPr>
              <w:t>分；</w:t>
            </w:r>
          </w:p>
          <w:p w14:paraId="7FE888AE">
            <w:pPr>
              <w:numPr>
                <w:ilvl w:val="0"/>
                <w:numId w:val="0"/>
              </w:numPr>
              <w:spacing w:line="500" w:lineRule="exact"/>
              <w:ind w:left="0" w:leftChars="0" w:firstLine="0" w:firstLineChars="0"/>
              <w:rPr>
                <w:rFonts w:hint="eastAsia" w:ascii="宋体" w:hAnsi="宋体" w:cs="宋体"/>
                <w:sz w:val="24"/>
                <w:highlight w:val="none"/>
                <w:lang w:val="zh-CN"/>
              </w:rPr>
            </w:pPr>
            <w:r>
              <w:rPr>
                <w:rFonts w:hint="eastAsia" w:ascii="宋体" w:hAnsi="宋体" w:cs="宋体"/>
                <w:sz w:val="24"/>
                <w:highlight w:val="none"/>
                <w:lang w:val="zh-CN"/>
              </w:rPr>
              <w:t>方案内容比较简单、有可行性的得</w:t>
            </w:r>
            <w:r>
              <w:rPr>
                <w:rFonts w:hint="eastAsia" w:ascii="宋体" w:hAnsi="宋体" w:cs="宋体"/>
                <w:sz w:val="24"/>
                <w:highlight w:val="none"/>
                <w:lang w:val="en-US" w:eastAsia="zh-CN"/>
              </w:rPr>
              <w:t>1</w:t>
            </w:r>
            <w:r>
              <w:rPr>
                <w:rFonts w:hint="eastAsia" w:ascii="宋体" w:hAnsi="宋体" w:cs="宋体"/>
                <w:sz w:val="24"/>
                <w:highlight w:val="none"/>
                <w:lang w:val="zh-CN"/>
              </w:rPr>
              <w:t>分；</w:t>
            </w:r>
          </w:p>
          <w:p w14:paraId="6EDD83B0">
            <w:pPr>
              <w:numPr>
                <w:ilvl w:val="0"/>
                <w:numId w:val="0"/>
              </w:numPr>
              <w:spacing w:line="500" w:lineRule="exact"/>
              <w:ind w:left="0" w:leftChars="0" w:firstLine="0" w:firstLineChars="0"/>
              <w:rPr>
                <w:rFonts w:hint="eastAsia" w:ascii="宋体" w:hAnsi="宋体" w:cs="宋体"/>
                <w:sz w:val="24"/>
                <w:highlight w:val="none"/>
                <w:lang w:val="zh-CN"/>
              </w:rPr>
            </w:pPr>
            <w:r>
              <w:rPr>
                <w:rFonts w:hint="eastAsia" w:ascii="宋体" w:hAnsi="宋体" w:cs="宋体"/>
                <w:sz w:val="24"/>
                <w:highlight w:val="none"/>
                <w:lang w:val="zh-CN"/>
              </w:rPr>
              <w:t>缺项不得分。</w:t>
            </w:r>
          </w:p>
        </w:tc>
      </w:tr>
      <w:tr w14:paraId="0883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8" w:hRule="atLeast"/>
          <w:jc w:val="center"/>
        </w:trPr>
        <w:tc>
          <w:tcPr>
            <w:tcW w:w="613" w:type="dxa"/>
            <w:vMerge w:val="continue"/>
            <w:tcMar>
              <w:top w:w="0" w:type="dxa"/>
              <w:left w:w="80" w:type="dxa"/>
              <w:bottom w:w="0" w:type="dxa"/>
              <w:right w:w="0" w:type="dxa"/>
            </w:tcMar>
            <w:vAlign w:val="center"/>
          </w:tcPr>
          <w:p w14:paraId="6B6732E8">
            <w:pPr>
              <w:spacing w:line="500" w:lineRule="exact"/>
              <w:rPr>
                <w:rFonts w:hint="eastAsia" w:ascii="宋体" w:hAnsi="宋体" w:cs="宋体"/>
                <w:sz w:val="24"/>
                <w:highlight w:val="none"/>
                <w:lang w:eastAsia="zh-CN"/>
              </w:rPr>
            </w:pPr>
          </w:p>
        </w:tc>
        <w:tc>
          <w:tcPr>
            <w:tcW w:w="1347" w:type="dxa"/>
            <w:vMerge w:val="continue"/>
            <w:tcMar>
              <w:top w:w="0" w:type="dxa"/>
              <w:left w:w="80" w:type="dxa"/>
              <w:bottom w:w="0" w:type="dxa"/>
              <w:right w:w="0" w:type="dxa"/>
            </w:tcMar>
            <w:vAlign w:val="center"/>
          </w:tcPr>
          <w:p w14:paraId="6C32220E">
            <w:pPr>
              <w:spacing w:line="500" w:lineRule="exact"/>
              <w:rPr>
                <w:rFonts w:ascii="宋体" w:hAnsi="宋体" w:cs="宋体"/>
                <w:sz w:val="24"/>
                <w:highlight w:val="none"/>
              </w:rPr>
            </w:pPr>
          </w:p>
        </w:tc>
        <w:tc>
          <w:tcPr>
            <w:tcW w:w="1893" w:type="dxa"/>
            <w:tcMar>
              <w:top w:w="0" w:type="dxa"/>
              <w:left w:w="80" w:type="dxa"/>
              <w:bottom w:w="0" w:type="dxa"/>
              <w:right w:w="0" w:type="dxa"/>
            </w:tcMar>
            <w:vAlign w:val="center"/>
          </w:tcPr>
          <w:p w14:paraId="76F7107D">
            <w:pPr>
              <w:numPr>
                <w:ilvl w:val="0"/>
                <w:numId w:val="0"/>
              </w:numPr>
              <w:spacing w:line="50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w:t>
            </w:r>
          </w:p>
          <w:p w14:paraId="53185BFA">
            <w:pPr>
              <w:numPr>
                <w:ilvl w:val="0"/>
                <w:numId w:val="0"/>
              </w:numPr>
              <w:spacing w:line="500" w:lineRule="exact"/>
              <w:ind w:left="0" w:leftChars="0" w:firstLine="0" w:firstLineChars="0"/>
              <w:jc w:val="center"/>
              <w:rPr>
                <w:rFonts w:hint="eastAsia" w:ascii="宋体" w:hAnsi="宋体" w:eastAsia="宋体" w:cs="宋体"/>
                <w:sz w:val="24"/>
                <w:highlight w:val="none"/>
                <w:lang w:val="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379" w:type="dxa"/>
            <w:tcMar>
              <w:top w:w="0" w:type="dxa"/>
              <w:left w:w="80" w:type="dxa"/>
              <w:bottom w:w="0" w:type="dxa"/>
              <w:right w:w="0" w:type="dxa"/>
            </w:tcMar>
            <w:vAlign w:val="center"/>
          </w:tcPr>
          <w:p w14:paraId="5D6907FC">
            <w:pPr>
              <w:numPr>
                <w:ilvl w:val="0"/>
                <w:numId w:val="0"/>
              </w:numPr>
              <w:spacing w:line="500" w:lineRule="exact"/>
              <w:ind w:left="0" w:leftChars="0" w:firstLine="0" w:firstLineChars="0"/>
              <w:rPr>
                <w:rFonts w:hint="eastAsia" w:ascii="宋体" w:hAnsi="宋体" w:eastAsia="宋体" w:cs="宋体"/>
                <w:sz w:val="24"/>
                <w:highlight w:val="none"/>
                <w:lang w:val="en-US" w:eastAsia="zh-CN"/>
              </w:rPr>
            </w:pPr>
            <w:bookmarkStart w:id="252" w:name="_Toc4513"/>
            <w:r>
              <w:rPr>
                <w:rFonts w:hint="eastAsia" w:ascii="宋体" w:hAnsi="宋体" w:eastAsia="宋体" w:cs="宋体"/>
                <w:sz w:val="24"/>
                <w:highlight w:val="none"/>
                <w:lang w:val="zh-CN"/>
              </w:rPr>
              <w:t>对各投标人的售后服务承诺，维修响应计划进行评分，包括具体的售后内容，故障响应时间和方式等，评标委员会根据投标文件内容进行打分，优得</w:t>
            </w:r>
            <w:r>
              <w:rPr>
                <w:rFonts w:hint="eastAsia" w:ascii="宋体" w:hAnsi="宋体" w:cs="宋体"/>
                <w:sz w:val="24"/>
                <w:highlight w:val="none"/>
                <w:lang w:val="en-US" w:eastAsia="zh-CN"/>
              </w:rPr>
              <w:t>5</w:t>
            </w:r>
            <w:r>
              <w:rPr>
                <w:rFonts w:hint="eastAsia" w:ascii="宋体" w:hAnsi="宋体" w:eastAsia="宋体" w:cs="宋体"/>
                <w:sz w:val="24"/>
                <w:highlight w:val="none"/>
                <w:lang w:val="zh-CN"/>
              </w:rPr>
              <w:t>分，良得</w:t>
            </w:r>
            <w:r>
              <w:rPr>
                <w:rFonts w:hint="eastAsia" w:ascii="宋体" w:hAnsi="宋体" w:cs="宋体"/>
                <w:sz w:val="24"/>
                <w:highlight w:val="none"/>
                <w:lang w:val="en-US" w:eastAsia="zh-CN"/>
              </w:rPr>
              <w:t>3</w:t>
            </w:r>
            <w:r>
              <w:rPr>
                <w:rFonts w:hint="eastAsia" w:ascii="宋体" w:hAnsi="宋体" w:eastAsia="宋体" w:cs="宋体"/>
                <w:sz w:val="24"/>
                <w:highlight w:val="none"/>
                <w:lang w:val="zh-CN"/>
              </w:rPr>
              <w:t>分，一般得</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rPr>
              <w:t>分</w:t>
            </w:r>
            <w:r>
              <w:rPr>
                <w:rFonts w:hint="eastAsia" w:ascii="宋体" w:hAnsi="宋体" w:eastAsia="宋体" w:cs="宋体"/>
                <w:sz w:val="24"/>
                <w:highlight w:val="none"/>
                <w:lang w:val="en-US" w:eastAsia="zh-CN"/>
              </w:rPr>
              <w:t>。</w:t>
            </w:r>
          </w:p>
          <w:p w14:paraId="1316B19B">
            <w:pPr>
              <w:numPr>
                <w:ilvl w:val="0"/>
                <w:numId w:val="0"/>
              </w:numPr>
              <w:spacing w:line="500" w:lineRule="exact"/>
              <w:ind w:left="0" w:leftChars="0" w:firstLine="0" w:firstLineChars="0"/>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注：不符合或者未提供不得分。</w:t>
            </w:r>
            <w:bookmarkEnd w:id="252"/>
          </w:p>
        </w:tc>
      </w:tr>
      <w:tr w14:paraId="5112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10232" w:type="dxa"/>
            <w:gridSpan w:val="4"/>
            <w:vAlign w:val="bottom"/>
          </w:tcPr>
          <w:p w14:paraId="5D7E0A6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zh-CN"/>
              </w:rPr>
              <w:t>最终得分＝报价部分+技术部分+综合</w:t>
            </w:r>
            <w:r>
              <w:rPr>
                <w:rFonts w:hint="eastAsia" w:asciiTheme="minorEastAsia" w:hAnsiTheme="minorEastAsia" w:eastAsiaTheme="minorEastAsia" w:cstheme="minorEastAsia"/>
                <w:highlight w:val="none"/>
              </w:rPr>
              <w:t>部分。</w:t>
            </w:r>
          </w:p>
          <w:p w14:paraId="6C3084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最终得分为评委的评分结果取平均值后作为该供应商的最终得分。</w:t>
            </w:r>
          </w:p>
          <w:p w14:paraId="3EB027BC">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4"/>
                <w:highlight w:val="none"/>
              </w:rPr>
            </w:pPr>
            <w:r>
              <w:rPr>
                <w:rFonts w:hint="eastAsia" w:asciiTheme="minorEastAsia" w:hAnsiTheme="minorEastAsia" w:eastAsiaTheme="minorEastAsia" w:cstheme="minorEastAsia"/>
                <w:highlight w:val="none"/>
                <w:lang w:val="zh-CN"/>
              </w:rPr>
              <w:t>本评标办法在</w:t>
            </w:r>
            <w:r>
              <w:rPr>
                <w:rFonts w:hint="eastAsia" w:asciiTheme="minorEastAsia" w:hAnsiTheme="minorEastAsia" w:eastAsiaTheme="minorEastAsia" w:cstheme="minorEastAsia"/>
                <w:highlight w:val="none"/>
              </w:rPr>
              <w:t>本办法计算过程中分值按四舍五入保留二位小数。</w:t>
            </w:r>
          </w:p>
        </w:tc>
      </w:tr>
    </w:tbl>
    <w:p w14:paraId="09579E5F">
      <w:pPr>
        <w:pStyle w:val="45"/>
        <w:spacing w:line="500" w:lineRule="exact"/>
        <w:jc w:val="center"/>
        <w:outlineLvl w:val="9"/>
        <w:rPr>
          <w:rFonts w:hint="eastAsia" w:asciiTheme="minorEastAsia" w:hAnsiTheme="minorEastAsia" w:eastAsiaTheme="minorEastAsia" w:cstheme="minorEastAsia"/>
          <w:b/>
          <w:bCs/>
          <w:sz w:val="28"/>
          <w:szCs w:val="28"/>
          <w:highlight w:val="none"/>
          <w:lang w:val="en-US" w:eastAsia="zh-CN"/>
        </w:rPr>
      </w:pPr>
    </w:p>
    <w:p w14:paraId="2E125213">
      <w:pPr>
        <w:tabs>
          <w:tab w:val="left" w:pos="170"/>
          <w:tab w:val="left" w:pos="303"/>
          <w:tab w:val="left" w:pos="420"/>
        </w:tabs>
        <w:adjustRightInd w:val="0"/>
        <w:snapToGrid w:val="0"/>
        <w:spacing w:line="480" w:lineRule="exact"/>
        <w:outlineLvl w:val="1"/>
        <w:rPr>
          <w:rFonts w:ascii="宋体" w:hAnsi="宋体" w:cs="宋体"/>
          <w:b/>
          <w:sz w:val="24"/>
          <w:highlight w:val="none"/>
        </w:rPr>
      </w:pPr>
      <w:r>
        <w:rPr>
          <w:rFonts w:hint="eastAsia" w:ascii="宋体" w:hAnsi="宋体" w:cs="宋体"/>
          <w:b/>
          <w:sz w:val="24"/>
          <w:highlight w:val="none"/>
        </w:rPr>
        <w:t xml:space="preserve">1. </w:t>
      </w:r>
      <w:bookmarkStart w:id="253" w:name="_Toc6843"/>
      <w:r>
        <w:rPr>
          <w:rFonts w:hint="eastAsia" w:ascii="宋体" w:hAnsi="宋体" w:cs="宋体"/>
          <w:b/>
          <w:sz w:val="24"/>
          <w:highlight w:val="none"/>
        </w:rPr>
        <w:t>评标准则和评标方法</w:t>
      </w:r>
      <w:bookmarkEnd w:id="253"/>
    </w:p>
    <w:p w14:paraId="3063CEAA">
      <w:pPr>
        <w:adjustRightInd w:val="0"/>
        <w:snapToGrid w:val="0"/>
        <w:spacing w:line="480" w:lineRule="exact"/>
        <w:rPr>
          <w:rFonts w:ascii="宋体" w:hAnsi="宋体" w:cs="宋体"/>
          <w:sz w:val="24"/>
          <w:highlight w:val="none"/>
        </w:rPr>
      </w:pPr>
      <w:r>
        <w:rPr>
          <w:rFonts w:hint="eastAsia" w:ascii="宋体" w:hAnsi="宋体" w:cs="宋体"/>
          <w:sz w:val="24"/>
          <w:highlight w:val="none"/>
        </w:rPr>
        <w:t>1.1 评标过程将遵循“公平、公正、科学、择优”的原则进行。</w:t>
      </w:r>
    </w:p>
    <w:p w14:paraId="777FB02D">
      <w:pPr>
        <w:adjustRightInd w:val="0"/>
        <w:snapToGrid w:val="0"/>
        <w:spacing w:line="480" w:lineRule="exact"/>
        <w:rPr>
          <w:rFonts w:ascii="宋体" w:hAnsi="宋体" w:cs="宋体"/>
          <w:sz w:val="24"/>
          <w:highlight w:val="none"/>
        </w:rPr>
      </w:pPr>
      <w:r>
        <w:rPr>
          <w:rFonts w:hint="eastAsia" w:ascii="宋体" w:hAnsi="宋体" w:cs="宋体"/>
          <w:sz w:val="24"/>
          <w:highlight w:val="none"/>
        </w:rPr>
        <w:t>1.2 评标将严格按照招标文件的要求和条件进行。</w:t>
      </w:r>
    </w:p>
    <w:p w14:paraId="081046BD">
      <w:pPr>
        <w:adjustRightInd w:val="0"/>
        <w:snapToGrid w:val="0"/>
        <w:spacing w:line="480" w:lineRule="exact"/>
        <w:rPr>
          <w:rFonts w:ascii="宋体" w:hAnsi="宋体" w:cs="宋体"/>
          <w:sz w:val="24"/>
          <w:highlight w:val="none"/>
        </w:rPr>
      </w:pPr>
      <w:r>
        <w:rPr>
          <w:rFonts w:hint="eastAsia" w:ascii="宋体" w:hAnsi="宋体" w:cs="宋体"/>
          <w:sz w:val="24"/>
          <w:highlight w:val="none"/>
        </w:rPr>
        <w:t>1.3 本次评标采用综合评分法。</w:t>
      </w:r>
    </w:p>
    <w:p w14:paraId="4A74C138">
      <w:pPr>
        <w:tabs>
          <w:tab w:val="left" w:pos="170"/>
          <w:tab w:val="left" w:pos="303"/>
          <w:tab w:val="left" w:pos="420"/>
        </w:tabs>
        <w:adjustRightInd w:val="0"/>
        <w:snapToGrid w:val="0"/>
        <w:spacing w:line="480" w:lineRule="exact"/>
        <w:outlineLvl w:val="1"/>
        <w:rPr>
          <w:rFonts w:ascii="宋体" w:hAnsi="宋体" w:cs="宋体"/>
          <w:b/>
          <w:sz w:val="24"/>
          <w:highlight w:val="none"/>
        </w:rPr>
      </w:pPr>
      <w:bookmarkStart w:id="254" w:name="_Toc13195"/>
      <w:bookmarkStart w:id="255" w:name="_Toc7951"/>
      <w:bookmarkStart w:id="256" w:name="_Toc15449"/>
      <w:bookmarkStart w:id="257" w:name="_Toc465502580"/>
      <w:bookmarkStart w:id="258" w:name="_Toc466017208"/>
      <w:bookmarkStart w:id="259" w:name="_Toc454147539"/>
      <w:r>
        <w:rPr>
          <w:rFonts w:hint="eastAsia" w:ascii="宋体" w:hAnsi="宋体" w:cs="宋体"/>
          <w:b/>
          <w:sz w:val="24"/>
          <w:highlight w:val="none"/>
        </w:rPr>
        <w:t>2.评审标准</w:t>
      </w:r>
      <w:bookmarkEnd w:id="254"/>
      <w:bookmarkEnd w:id="255"/>
      <w:bookmarkEnd w:id="256"/>
      <w:bookmarkEnd w:id="257"/>
      <w:bookmarkEnd w:id="258"/>
      <w:bookmarkEnd w:id="259"/>
    </w:p>
    <w:p w14:paraId="73DDA24A">
      <w:pPr>
        <w:adjustRightInd w:val="0"/>
        <w:snapToGrid w:val="0"/>
        <w:spacing w:line="480" w:lineRule="exact"/>
        <w:rPr>
          <w:rFonts w:ascii="宋体" w:hAnsi="宋体" w:cs="宋体"/>
          <w:sz w:val="24"/>
          <w:highlight w:val="none"/>
        </w:rPr>
      </w:pPr>
      <w:r>
        <w:rPr>
          <w:rFonts w:hint="eastAsia" w:ascii="宋体" w:hAnsi="宋体" w:cs="宋体"/>
          <w:sz w:val="24"/>
          <w:highlight w:val="none"/>
        </w:rPr>
        <w:t>2.1 资格评审标准：详见《评分办法前附表》中资格评审标准。</w:t>
      </w:r>
    </w:p>
    <w:p w14:paraId="12BBDA9C">
      <w:pPr>
        <w:adjustRightInd w:val="0"/>
        <w:snapToGrid w:val="0"/>
        <w:spacing w:line="480" w:lineRule="exact"/>
        <w:rPr>
          <w:rFonts w:ascii="宋体" w:hAnsi="宋体" w:cs="宋体"/>
          <w:sz w:val="24"/>
          <w:highlight w:val="none"/>
        </w:rPr>
      </w:pPr>
      <w:r>
        <w:rPr>
          <w:rFonts w:hint="eastAsia" w:ascii="宋体" w:hAnsi="宋体" w:cs="宋体"/>
          <w:sz w:val="24"/>
          <w:highlight w:val="none"/>
        </w:rPr>
        <w:t>2.2 详细评审标准：详见《评分办法前附表》报价部分、技术部分、</w:t>
      </w:r>
      <w:r>
        <w:rPr>
          <w:rFonts w:hint="eastAsia" w:ascii="宋体" w:hAnsi="宋体" w:cs="宋体"/>
          <w:sz w:val="24"/>
          <w:highlight w:val="none"/>
          <w:lang w:eastAsia="zh-CN"/>
        </w:rPr>
        <w:t>综合部分</w:t>
      </w:r>
      <w:r>
        <w:rPr>
          <w:rFonts w:hint="eastAsia" w:ascii="宋体" w:hAnsi="宋体" w:cs="宋体"/>
          <w:sz w:val="24"/>
          <w:highlight w:val="none"/>
        </w:rPr>
        <w:t>评审因素。</w:t>
      </w:r>
    </w:p>
    <w:p w14:paraId="79A01A26">
      <w:pPr>
        <w:numPr>
          <w:ilvl w:val="0"/>
          <w:numId w:val="6"/>
        </w:numPr>
        <w:tabs>
          <w:tab w:val="left" w:pos="170"/>
          <w:tab w:val="left" w:pos="303"/>
          <w:tab w:val="left" w:pos="420"/>
        </w:tabs>
        <w:adjustRightInd w:val="0"/>
        <w:snapToGrid w:val="0"/>
        <w:spacing w:line="480" w:lineRule="exact"/>
        <w:ind w:left="0" w:firstLine="0"/>
        <w:outlineLvl w:val="1"/>
        <w:rPr>
          <w:rFonts w:ascii="宋体" w:hAnsi="宋体" w:cs="宋体"/>
          <w:b/>
          <w:sz w:val="24"/>
          <w:highlight w:val="none"/>
        </w:rPr>
      </w:pPr>
      <w:bookmarkStart w:id="260" w:name="_Toc11065"/>
      <w:bookmarkStart w:id="261" w:name="_Toc19609"/>
      <w:r>
        <w:rPr>
          <w:rFonts w:hint="eastAsia" w:ascii="宋体" w:hAnsi="宋体" w:cs="宋体"/>
          <w:b/>
          <w:sz w:val="24"/>
          <w:highlight w:val="none"/>
        </w:rPr>
        <w:t>评标程序</w:t>
      </w:r>
      <w:bookmarkEnd w:id="260"/>
      <w:bookmarkEnd w:id="261"/>
    </w:p>
    <w:p w14:paraId="4A7B13FD">
      <w:pPr>
        <w:adjustRightInd w:val="0"/>
        <w:snapToGrid w:val="0"/>
        <w:spacing w:line="480" w:lineRule="exact"/>
        <w:rPr>
          <w:rFonts w:ascii="宋体" w:hAnsi="宋体" w:cs="宋体"/>
          <w:b/>
          <w:bCs/>
          <w:sz w:val="24"/>
          <w:highlight w:val="none"/>
        </w:rPr>
      </w:pPr>
      <w:r>
        <w:rPr>
          <w:rFonts w:hint="eastAsia" w:ascii="宋体" w:hAnsi="宋体" w:cs="宋体"/>
          <w:b/>
          <w:bCs/>
          <w:sz w:val="24"/>
          <w:highlight w:val="none"/>
        </w:rPr>
        <w:t>3.1初步评审</w:t>
      </w:r>
    </w:p>
    <w:p w14:paraId="5BACE78B">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3.1.1 </w:t>
      </w:r>
      <w:r>
        <w:rPr>
          <w:rFonts w:hint="eastAsia" w:ascii="宋体" w:hAnsi="宋体" w:cs="宋体"/>
          <w:sz w:val="24"/>
          <w:highlight w:val="none"/>
          <w:lang w:val="zh-CN"/>
        </w:rPr>
        <w:t>采购人或代理机构可以要求投标人提交第二章“投标人须知”规定的有关证明。采购人或代理机构依据本章第2.1款规定的标准对投标文件进行资格评审。有一项不符合资格评审标准的，作无效投标处理。</w:t>
      </w:r>
    </w:p>
    <w:p w14:paraId="11358185">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3.1.2 </w:t>
      </w:r>
      <w:r>
        <w:rPr>
          <w:rFonts w:hint="eastAsia" w:ascii="宋体" w:hAnsi="宋体" w:cs="宋体"/>
          <w:sz w:val="24"/>
          <w:highlight w:val="none"/>
          <w:lang w:val="zh-CN"/>
        </w:rPr>
        <w:t>投标文件属下列情况之一的，应当在资格性、符合性检查时按照无效投标处理：</w:t>
      </w:r>
    </w:p>
    <w:p w14:paraId="38CCEA32">
      <w:pPr>
        <w:numPr>
          <w:ilvl w:val="0"/>
          <w:numId w:val="7"/>
        </w:numPr>
        <w:autoSpaceDE w:val="0"/>
        <w:autoSpaceDN w:val="0"/>
        <w:adjustRightInd w:val="0"/>
        <w:snapToGrid w:val="0"/>
        <w:spacing w:line="480" w:lineRule="exact"/>
        <w:jc w:val="left"/>
        <w:rPr>
          <w:rFonts w:ascii="宋体" w:hAnsi="宋体" w:cs="宋体"/>
          <w:sz w:val="24"/>
          <w:highlight w:val="none"/>
        </w:rPr>
      </w:pPr>
      <w:r>
        <w:rPr>
          <w:rFonts w:hint="eastAsia" w:ascii="宋体" w:hAnsi="宋体" w:cs="宋体"/>
          <w:sz w:val="24"/>
          <w:highlight w:val="none"/>
        </w:rPr>
        <w:t>未按照招标文件规定要求签署、盖章的；</w:t>
      </w:r>
    </w:p>
    <w:p w14:paraId="777DDF31">
      <w:pPr>
        <w:numPr>
          <w:ilvl w:val="0"/>
          <w:numId w:val="7"/>
        </w:numPr>
        <w:autoSpaceDE w:val="0"/>
        <w:autoSpaceDN w:val="0"/>
        <w:adjustRightInd w:val="0"/>
        <w:snapToGrid w:val="0"/>
        <w:spacing w:line="480" w:lineRule="exact"/>
        <w:jc w:val="left"/>
        <w:rPr>
          <w:rFonts w:ascii="宋体" w:hAnsi="宋体" w:cs="宋体"/>
          <w:sz w:val="24"/>
          <w:highlight w:val="none"/>
        </w:rPr>
      </w:pPr>
      <w:r>
        <w:rPr>
          <w:rFonts w:hint="eastAsia" w:ascii="宋体" w:hAnsi="宋体" w:cs="宋体"/>
          <w:sz w:val="24"/>
          <w:highlight w:val="none"/>
        </w:rPr>
        <w:t>不具备招标文件中规定资格要求的；</w:t>
      </w:r>
    </w:p>
    <w:p w14:paraId="44972A1A">
      <w:pPr>
        <w:numPr>
          <w:ilvl w:val="0"/>
          <w:numId w:val="7"/>
        </w:numPr>
        <w:autoSpaceDE w:val="0"/>
        <w:autoSpaceDN w:val="0"/>
        <w:adjustRightInd w:val="0"/>
        <w:snapToGrid w:val="0"/>
        <w:spacing w:line="480" w:lineRule="exact"/>
        <w:jc w:val="left"/>
        <w:rPr>
          <w:rFonts w:ascii="宋体" w:hAnsi="宋体" w:cs="宋体"/>
          <w:sz w:val="24"/>
          <w:highlight w:val="none"/>
        </w:rPr>
      </w:pPr>
      <w:r>
        <w:rPr>
          <w:rFonts w:hint="eastAsia" w:ascii="宋体" w:hAnsi="宋体" w:cs="宋体"/>
          <w:sz w:val="24"/>
          <w:highlight w:val="none"/>
        </w:rPr>
        <w:t>不符合法律、法规和招标文件中规定的其他实质性要求的。</w:t>
      </w:r>
    </w:p>
    <w:p w14:paraId="5EA1AA51">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3.1.3 </w:t>
      </w:r>
      <w:r>
        <w:rPr>
          <w:rFonts w:hint="eastAsia" w:ascii="宋体" w:hAnsi="宋体" w:cs="宋体"/>
          <w:sz w:val="24"/>
          <w:highlight w:val="none"/>
          <w:lang w:val="zh-CN"/>
        </w:rPr>
        <w:t>投标报价有算数错误的，评标委员会按以下原则对投标报价进行修正，修正的价格经投标人书面确认后具有约束力。投标人不接受修正价格的，其投标作无效投标处理。</w:t>
      </w:r>
    </w:p>
    <w:p w14:paraId="688A6E80">
      <w:pPr>
        <w:numPr>
          <w:ilvl w:val="0"/>
          <w:numId w:val="8"/>
        </w:numPr>
        <w:autoSpaceDE w:val="0"/>
        <w:autoSpaceDN w:val="0"/>
        <w:adjustRightInd w:val="0"/>
        <w:snapToGrid w:val="0"/>
        <w:spacing w:line="480" w:lineRule="exact"/>
        <w:jc w:val="left"/>
        <w:rPr>
          <w:rFonts w:ascii="宋体" w:hAnsi="宋体" w:cs="宋体"/>
          <w:sz w:val="24"/>
          <w:highlight w:val="none"/>
        </w:rPr>
      </w:pPr>
      <w:r>
        <w:rPr>
          <w:rFonts w:hint="eastAsia" w:ascii="宋体" w:hAnsi="宋体" w:cs="宋体"/>
          <w:sz w:val="24"/>
          <w:highlight w:val="none"/>
        </w:rPr>
        <w:t>投标文件中的大写金额与小写金额不一致的，以大写金额为准；</w:t>
      </w:r>
    </w:p>
    <w:p w14:paraId="7CE6E540">
      <w:pPr>
        <w:numPr>
          <w:ilvl w:val="0"/>
          <w:numId w:val="8"/>
        </w:numPr>
        <w:autoSpaceDE w:val="0"/>
        <w:autoSpaceDN w:val="0"/>
        <w:adjustRightInd w:val="0"/>
        <w:snapToGrid w:val="0"/>
        <w:spacing w:line="480" w:lineRule="exact"/>
        <w:jc w:val="left"/>
        <w:rPr>
          <w:rFonts w:ascii="宋体" w:hAnsi="宋体" w:cs="宋体"/>
          <w:sz w:val="24"/>
          <w:highlight w:val="none"/>
        </w:rPr>
      </w:pPr>
      <w:r>
        <w:rPr>
          <w:rFonts w:hint="eastAsia" w:ascii="宋体" w:hAnsi="宋体" w:cs="宋体"/>
          <w:sz w:val="24"/>
          <w:highlight w:val="none"/>
        </w:rPr>
        <w:t>投标文件中开标一览表内容与投标文件中明细表内容不一致的，以开标一览表为准。</w:t>
      </w:r>
    </w:p>
    <w:p w14:paraId="54C12422">
      <w:pPr>
        <w:adjustRightInd w:val="0"/>
        <w:snapToGrid w:val="0"/>
        <w:spacing w:line="480" w:lineRule="exact"/>
        <w:rPr>
          <w:rFonts w:ascii="宋体" w:hAnsi="宋体" w:cs="宋体"/>
          <w:b/>
          <w:bCs/>
          <w:sz w:val="24"/>
          <w:highlight w:val="none"/>
        </w:rPr>
      </w:pPr>
      <w:r>
        <w:rPr>
          <w:rFonts w:hint="eastAsia" w:ascii="宋体" w:hAnsi="宋体" w:cs="宋体"/>
          <w:b/>
          <w:bCs/>
          <w:sz w:val="24"/>
          <w:highlight w:val="none"/>
        </w:rPr>
        <w:t>3.2 详细评审</w:t>
      </w:r>
    </w:p>
    <w:p w14:paraId="2D5E3170">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3.2.1 </w:t>
      </w:r>
      <w:r>
        <w:rPr>
          <w:rFonts w:hint="eastAsia" w:ascii="宋体" w:hAnsi="宋体" w:cs="宋体"/>
          <w:sz w:val="24"/>
          <w:highlight w:val="none"/>
          <w:lang w:val="zh-CN"/>
        </w:rPr>
        <w:t>评标委员会按本章</w:t>
      </w:r>
      <w:r>
        <w:rPr>
          <w:rFonts w:hint="eastAsia" w:ascii="宋体" w:hAnsi="宋体" w:cs="宋体"/>
          <w:sz w:val="24"/>
          <w:highlight w:val="none"/>
        </w:rPr>
        <w:t>的</w:t>
      </w:r>
      <w:r>
        <w:rPr>
          <w:rFonts w:hint="eastAsia" w:ascii="宋体" w:hAnsi="宋体" w:cs="宋体"/>
          <w:sz w:val="24"/>
          <w:highlight w:val="none"/>
          <w:lang w:val="zh-CN"/>
        </w:rPr>
        <w:t>评分标准进行打分，并计算出综合评审得分。</w:t>
      </w:r>
    </w:p>
    <w:p w14:paraId="6EC517C1">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3.2.2 </w:t>
      </w:r>
      <w:r>
        <w:rPr>
          <w:rFonts w:hint="eastAsia" w:ascii="宋体" w:hAnsi="宋体" w:cs="宋体"/>
          <w:sz w:val="24"/>
          <w:highlight w:val="none"/>
          <w:lang w:val="zh-CN"/>
        </w:rPr>
        <w:t>评标委员会发现投标人的投标总报价</w:t>
      </w:r>
      <w:r>
        <w:rPr>
          <w:rFonts w:hint="eastAsia" w:ascii="宋体" w:hAnsi="宋体" w:cs="宋体"/>
          <w:sz w:val="24"/>
          <w:highlight w:val="none"/>
        </w:rPr>
        <w:t>高</w:t>
      </w:r>
      <w:r>
        <w:rPr>
          <w:rFonts w:hint="eastAsia" w:ascii="宋体" w:hAnsi="宋体" w:cs="宋体"/>
          <w:sz w:val="24"/>
          <w:highlight w:val="none"/>
          <w:lang w:val="zh-CN"/>
        </w:rPr>
        <w:t>于</w:t>
      </w:r>
      <w:r>
        <w:rPr>
          <w:rFonts w:hint="eastAsia" w:ascii="宋体" w:hAnsi="宋体" w:cs="宋体"/>
          <w:sz w:val="24"/>
          <w:highlight w:val="none"/>
        </w:rPr>
        <w:t>招标文件规定的控制价</w:t>
      </w:r>
      <w:r>
        <w:rPr>
          <w:rFonts w:hint="eastAsia" w:ascii="宋体" w:hAnsi="宋体" w:cs="宋体"/>
          <w:sz w:val="24"/>
          <w:highlight w:val="none"/>
          <w:lang w:val="zh-CN"/>
        </w:rPr>
        <w:t>，评标委员会应按无效投标处理。</w:t>
      </w:r>
    </w:p>
    <w:p w14:paraId="2FA26D01">
      <w:pPr>
        <w:adjustRightInd w:val="0"/>
        <w:snapToGrid w:val="0"/>
        <w:spacing w:line="480" w:lineRule="exact"/>
        <w:rPr>
          <w:rFonts w:ascii="宋体" w:hAnsi="宋体" w:cs="宋体"/>
          <w:b/>
          <w:bCs/>
          <w:sz w:val="24"/>
          <w:highlight w:val="none"/>
        </w:rPr>
      </w:pPr>
      <w:r>
        <w:rPr>
          <w:rFonts w:hint="eastAsia" w:ascii="宋体" w:hAnsi="宋体" w:cs="宋体"/>
          <w:b/>
          <w:bCs/>
          <w:sz w:val="24"/>
          <w:highlight w:val="none"/>
        </w:rPr>
        <w:t>3.3 投标文件的澄清和补正</w:t>
      </w:r>
    </w:p>
    <w:p w14:paraId="6041E2CF">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3.3.1 </w:t>
      </w:r>
      <w:r>
        <w:rPr>
          <w:rFonts w:hint="eastAsia" w:ascii="宋体" w:hAnsi="宋体" w:cs="宋体"/>
          <w:sz w:val="24"/>
          <w:highlight w:val="none"/>
          <w:lang w:val="zh-CN"/>
        </w:rPr>
        <w:t>在评标过程中，评标委员会可以书面形式要求投标人对所提交投标文件中不明确的内容进行书面澄清或说明，或者对细微偏差进行补正。</w:t>
      </w:r>
    </w:p>
    <w:p w14:paraId="4475C613">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3.3.2 </w:t>
      </w:r>
      <w:r>
        <w:rPr>
          <w:rFonts w:hint="eastAsia" w:ascii="宋体" w:hAnsi="宋体" w:cs="宋体"/>
          <w:sz w:val="24"/>
          <w:highlight w:val="none"/>
          <w:lang w:val="zh-CN"/>
        </w:rPr>
        <w:t>澄清、说明和补正不得改变投标文件的实质性内容（算术性错误修正的除外）。投标人的书面澄清、说明和补正属于投标文件的组成部分。</w:t>
      </w:r>
    </w:p>
    <w:p w14:paraId="5E8BFCCB">
      <w:pPr>
        <w:adjustRightInd w:val="0"/>
        <w:snapToGrid w:val="0"/>
        <w:spacing w:line="480" w:lineRule="exact"/>
        <w:rPr>
          <w:rFonts w:ascii="宋体" w:hAnsi="宋体" w:cs="宋体"/>
          <w:b/>
          <w:bCs/>
          <w:sz w:val="24"/>
          <w:highlight w:val="none"/>
        </w:rPr>
      </w:pPr>
      <w:r>
        <w:rPr>
          <w:rFonts w:hint="eastAsia" w:ascii="宋体" w:hAnsi="宋体" w:cs="宋体"/>
          <w:b/>
          <w:bCs/>
          <w:sz w:val="24"/>
          <w:highlight w:val="none"/>
        </w:rPr>
        <w:t>3.4 评标结果</w:t>
      </w:r>
    </w:p>
    <w:p w14:paraId="0C3F94FB">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3.4.1 </w:t>
      </w:r>
      <w:r>
        <w:rPr>
          <w:rFonts w:hint="eastAsia" w:ascii="宋体" w:hAnsi="宋体" w:cs="宋体"/>
          <w:sz w:val="24"/>
          <w:highlight w:val="none"/>
          <w:lang w:val="zh-CN"/>
        </w:rPr>
        <w:t>投标人得分=投标报价得分+技术部分得分+综合部分得分。</w:t>
      </w:r>
    </w:p>
    <w:p w14:paraId="01194124">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3.4.2</w:t>
      </w:r>
      <w:r>
        <w:rPr>
          <w:rFonts w:hint="eastAsia" w:ascii="宋体" w:hAnsi="宋体" w:cs="宋体"/>
          <w:sz w:val="24"/>
          <w:highlight w:val="none"/>
          <w:lang w:val="zh-CN"/>
        </w:rPr>
        <w:t>投标人最终得分为评标委员会完成评审后所有评分的算术平均值，作为该投标人最终得分。</w:t>
      </w:r>
    </w:p>
    <w:p w14:paraId="4979A4AB">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3.4.3 </w:t>
      </w:r>
      <w:r>
        <w:rPr>
          <w:rFonts w:hint="eastAsia" w:ascii="宋体" w:hAnsi="宋体" w:cs="宋体"/>
          <w:sz w:val="24"/>
          <w:highlight w:val="none"/>
          <w:lang w:val="zh-CN"/>
        </w:rPr>
        <w:t>投标人最终得分相同的，投标报价</w:t>
      </w:r>
      <w:r>
        <w:rPr>
          <w:rFonts w:hint="eastAsia" w:ascii="宋体" w:hAnsi="宋体" w:cs="宋体"/>
          <w:sz w:val="24"/>
          <w:highlight w:val="none"/>
        </w:rPr>
        <w:t>低</w:t>
      </w:r>
      <w:r>
        <w:rPr>
          <w:rFonts w:hint="eastAsia" w:ascii="宋体" w:hAnsi="宋体" w:cs="宋体"/>
          <w:sz w:val="24"/>
          <w:highlight w:val="none"/>
          <w:lang w:val="zh-CN"/>
        </w:rPr>
        <w:t>的优先，</w:t>
      </w:r>
      <w:r>
        <w:rPr>
          <w:rFonts w:hint="eastAsia" w:ascii="宋体" w:hAnsi="宋体" w:cs="宋体"/>
          <w:sz w:val="24"/>
          <w:highlight w:val="none"/>
        </w:rPr>
        <w:t>投标报价也相同的以技术得分高的优先，技术得分也相同的由采购人自行确定</w:t>
      </w:r>
      <w:r>
        <w:rPr>
          <w:rFonts w:hint="eastAsia" w:ascii="宋体" w:hAnsi="宋体" w:cs="宋体"/>
          <w:sz w:val="24"/>
          <w:highlight w:val="none"/>
          <w:lang w:val="zh-CN"/>
        </w:rPr>
        <w:t>。</w:t>
      </w:r>
    </w:p>
    <w:p w14:paraId="1365C395">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3.4.4 </w:t>
      </w:r>
      <w:r>
        <w:rPr>
          <w:rFonts w:hint="eastAsia" w:ascii="宋体" w:hAnsi="宋体" w:cs="宋体"/>
          <w:sz w:val="24"/>
          <w:highlight w:val="none"/>
          <w:lang w:val="zh-CN"/>
        </w:rPr>
        <w:t>计分过程中按四舍五入的法则，最终结果取至小数点后两位。</w:t>
      </w:r>
    </w:p>
    <w:p w14:paraId="4116459F">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3.4.5 </w:t>
      </w:r>
      <w:r>
        <w:rPr>
          <w:rFonts w:hint="eastAsia" w:ascii="宋体" w:hAnsi="宋体" w:cs="宋体"/>
          <w:sz w:val="24"/>
          <w:highlight w:val="none"/>
          <w:lang w:val="zh-CN"/>
        </w:rPr>
        <w:t>评标委员会按照得分由高到低的顺序推荐</w:t>
      </w:r>
      <w:r>
        <w:rPr>
          <w:rFonts w:hint="eastAsia" w:ascii="宋体" w:hAnsi="宋体" w:cs="宋体"/>
          <w:sz w:val="24"/>
          <w:highlight w:val="none"/>
        </w:rPr>
        <w:t>1-3名</w:t>
      </w:r>
      <w:r>
        <w:rPr>
          <w:rFonts w:hint="eastAsia" w:ascii="宋体" w:hAnsi="宋体" w:cs="宋体"/>
          <w:sz w:val="24"/>
          <w:highlight w:val="none"/>
          <w:lang w:val="zh-CN"/>
        </w:rPr>
        <w:t>中标候选人。</w:t>
      </w:r>
    </w:p>
    <w:p w14:paraId="0986DAF6">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3.4.6 </w:t>
      </w:r>
      <w:r>
        <w:rPr>
          <w:rFonts w:hint="eastAsia" w:ascii="宋体" w:hAnsi="宋体" w:cs="宋体"/>
          <w:sz w:val="24"/>
          <w:highlight w:val="none"/>
          <w:lang w:val="zh-CN"/>
        </w:rPr>
        <w:t>评标委员会完成评标后，应当向采购人提交书面评标报告。</w:t>
      </w:r>
    </w:p>
    <w:p w14:paraId="2C2CEA0C">
      <w:pPr>
        <w:adjustRightInd w:val="0"/>
        <w:snapToGrid w:val="0"/>
        <w:spacing w:line="480" w:lineRule="exact"/>
        <w:rPr>
          <w:rFonts w:ascii="宋体" w:hAnsi="宋体" w:cs="宋体"/>
          <w:b/>
          <w:bCs/>
          <w:sz w:val="24"/>
          <w:highlight w:val="none"/>
          <w:lang w:val="zh-CN"/>
        </w:rPr>
      </w:pPr>
      <w:r>
        <w:rPr>
          <w:rFonts w:hint="eastAsia" w:ascii="宋体" w:hAnsi="宋体" w:cs="宋体"/>
          <w:b/>
          <w:bCs/>
          <w:sz w:val="24"/>
          <w:highlight w:val="none"/>
        </w:rPr>
        <w:t xml:space="preserve">3.5 </w:t>
      </w:r>
      <w:r>
        <w:rPr>
          <w:rFonts w:hint="eastAsia" w:ascii="宋体" w:hAnsi="宋体" w:cs="宋体"/>
          <w:b/>
          <w:bCs/>
          <w:sz w:val="24"/>
          <w:highlight w:val="none"/>
          <w:lang w:val="zh-CN"/>
        </w:rPr>
        <w:t>顺延中标人或重新招标</w:t>
      </w:r>
    </w:p>
    <w:p w14:paraId="35E9A91D">
      <w:pPr>
        <w:adjustRightInd w:val="0"/>
        <w:snapToGrid w:val="0"/>
        <w:spacing w:line="480" w:lineRule="exact"/>
        <w:ind w:firstLine="480" w:firstLineChars="200"/>
        <w:rPr>
          <w:rFonts w:ascii="宋体" w:hAnsi="宋体" w:cs="宋体"/>
          <w:sz w:val="24"/>
          <w:highlight w:val="none"/>
          <w:lang w:val="zh-CN"/>
        </w:rPr>
      </w:pPr>
      <w:r>
        <w:rPr>
          <w:rFonts w:hint="eastAsia" w:ascii="宋体" w:hAnsi="宋体" w:cs="宋体"/>
          <w:sz w:val="24"/>
          <w:highlight w:val="none"/>
          <w:lang w:val="zh-CN"/>
        </w:rPr>
        <w:t>中标人因不可抗力不能履行政府采购合同的，采购人可以与排位在中标人之后第一位的中标候选人签订政府采购合同，或者重新采购。</w:t>
      </w:r>
    </w:p>
    <w:p w14:paraId="586E437F">
      <w:pPr>
        <w:adjustRightInd w:val="0"/>
        <w:snapToGrid w:val="0"/>
        <w:spacing w:line="480" w:lineRule="exact"/>
        <w:rPr>
          <w:rFonts w:ascii="宋体" w:hAnsi="宋体" w:cs="宋体"/>
          <w:b/>
          <w:bCs/>
          <w:sz w:val="24"/>
          <w:highlight w:val="none"/>
        </w:rPr>
      </w:pPr>
      <w:bookmarkStart w:id="262" w:name="_Toc11630"/>
      <w:bookmarkStart w:id="263" w:name="_Toc54"/>
      <w:bookmarkStart w:id="264" w:name="_Toc28863"/>
      <w:bookmarkStart w:id="265" w:name="_Toc7468"/>
      <w:bookmarkStart w:id="266" w:name="_Toc17922"/>
      <w:bookmarkStart w:id="267" w:name="_Toc16293"/>
      <w:bookmarkStart w:id="268" w:name="_Toc19590"/>
      <w:r>
        <w:rPr>
          <w:rFonts w:hint="eastAsia" w:ascii="宋体" w:hAnsi="宋体" w:cs="宋体"/>
          <w:b/>
          <w:bCs/>
          <w:sz w:val="24"/>
          <w:highlight w:val="none"/>
        </w:rPr>
        <w:t>3.6 保密及其他注意事项</w:t>
      </w:r>
      <w:bookmarkEnd w:id="262"/>
      <w:bookmarkEnd w:id="263"/>
      <w:bookmarkEnd w:id="264"/>
      <w:bookmarkEnd w:id="265"/>
      <w:bookmarkEnd w:id="266"/>
      <w:bookmarkEnd w:id="267"/>
      <w:bookmarkEnd w:id="268"/>
    </w:p>
    <w:p w14:paraId="448996E8">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3.6.1 </w:t>
      </w:r>
      <w:r>
        <w:rPr>
          <w:rFonts w:hint="eastAsia" w:ascii="宋体" w:hAnsi="宋体" w:cs="宋体"/>
          <w:sz w:val="24"/>
          <w:highlight w:val="none"/>
          <w:lang w:val="zh-CN"/>
        </w:rPr>
        <w:t>在评标期间，投标企业不得向评标委员会成员询问评标情况，不得进行旨在影响中标结果的活动。</w:t>
      </w:r>
    </w:p>
    <w:p w14:paraId="09A42E66">
      <w:pPr>
        <w:adjustRightInd w:val="0"/>
        <w:snapToGrid w:val="0"/>
        <w:spacing w:line="480" w:lineRule="exact"/>
        <w:rPr>
          <w:rFonts w:ascii="宋体" w:hAnsi="宋体" w:cs="宋体"/>
          <w:sz w:val="24"/>
          <w:highlight w:val="none"/>
          <w:lang w:val="zh-CN"/>
        </w:rPr>
      </w:pPr>
      <w:r>
        <w:rPr>
          <w:rFonts w:hint="eastAsia" w:ascii="宋体" w:hAnsi="宋体" w:cs="宋体"/>
          <w:sz w:val="24"/>
          <w:highlight w:val="none"/>
        </w:rPr>
        <w:t xml:space="preserve">3.6.2 </w:t>
      </w:r>
      <w:r>
        <w:rPr>
          <w:rFonts w:hint="eastAsia" w:ascii="宋体" w:hAnsi="宋体" w:cs="宋体"/>
          <w:sz w:val="24"/>
          <w:highlight w:val="none"/>
          <w:lang w:val="zh-CN"/>
        </w:rPr>
        <w:t>在评标结束后，凡与评标情况有接触的任何人不得也不应将评标情况扩散出评标委员会成员之外。</w:t>
      </w:r>
    </w:p>
    <w:p w14:paraId="27648512">
      <w:pPr>
        <w:adjustRightInd w:val="0"/>
        <w:snapToGrid w:val="0"/>
        <w:spacing w:line="480" w:lineRule="exact"/>
        <w:rPr>
          <w:rFonts w:ascii="宋体" w:hAnsi="宋体" w:cs="宋体"/>
          <w:sz w:val="24"/>
          <w:highlight w:val="none"/>
        </w:rPr>
      </w:pPr>
      <w:r>
        <w:rPr>
          <w:rFonts w:hint="eastAsia" w:ascii="宋体" w:hAnsi="宋体" w:cs="宋体"/>
          <w:sz w:val="24"/>
          <w:highlight w:val="none"/>
        </w:rPr>
        <w:t>3.6.3</w:t>
      </w:r>
      <w:r>
        <w:rPr>
          <w:rFonts w:hint="eastAsia" w:ascii="宋体" w:hAnsi="宋体" w:cs="宋体"/>
          <w:sz w:val="24"/>
          <w:highlight w:val="none"/>
          <w:lang w:val="zh-CN"/>
        </w:rPr>
        <w:t>招标代理机构不向落标方解释落标原因，不退还投标文件。</w:t>
      </w:r>
    </w:p>
    <w:p w14:paraId="464FBD0F">
      <w:pPr>
        <w:tabs>
          <w:tab w:val="left" w:pos="720"/>
        </w:tabs>
        <w:spacing w:line="480" w:lineRule="exact"/>
        <w:ind w:firstLine="420" w:firstLineChars="20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bCs/>
          <w:kern w:val="0"/>
          <w:szCs w:val="21"/>
          <w:highlight w:val="none"/>
        </w:rPr>
        <w:br w:type="page"/>
      </w:r>
    </w:p>
    <w:p w14:paraId="4DD880C8">
      <w:pPr>
        <w:pStyle w:val="3"/>
        <w:spacing w:line="500" w:lineRule="exact"/>
        <w:rPr>
          <w:rFonts w:ascii="宋体" w:hAnsi="宋体" w:cs="宋体"/>
          <w:sz w:val="32"/>
          <w:szCs w:val="32"/>
          <w:highlight w:val="none"/>
        </w:rPr>
      </w:pPr>
      <w:r>
        <w:rPr>
          <w:rFonts w:hint="eastAsia"/>
          <w:sz w:val="32"/>
          <w:szCs w:val="32"/>
          <w:highlight w:val="none"/>
        </w:rPr>
        <w:t>第四章 合同条款及格式</w:t>
      </w:r>
      <w:bookmarkEnd w:id="247"/>
      <w:bookmarkEnd w:id="248"/>
      <w:bookmarkEnd w:id="249"/>
      <w:bookmarkEnd w:id="250"/>
      <w:r>
        <w:rPr>
          <w:rFonts w:hint="eastAsia"/>
          <w:sz w:val="32"/>
          <w:szCs w:val="32"/>
          <w:highlight w:val="none"/>
        </w:rPr>
        <w:t xml:space="preserve"> （仅供参考）</w:t>
      </w:r>
      <w:bookmarkEnd w:id="251"/>
      <w:bookmarkStart w:id="269" w:name="_Toc12807"/>
    </w:p>
    <w:p w14:paraId="57C8BE7A">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甲方：（采购单位）</w:t>
      </w:r>
    </w:p>
    <w:p w14:paraId="6C3D82DE">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乙方：（供应商 ）</w:t>
      </w:r>
    </w:p>
    <w:p w14:paraId="4255573B">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甲、乙双方持采购人、采购代理公司签发的</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采购项目成交通知书，根据采购文件、响应性文件的内容，并经双方协商一致，达成以下合同条款：</w:t>
      </w:r>
    </w:p>
    <w:p w14:paraId="6CEE6B1F">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一、本合同所指货物为此次采购的货物（注明品名、规格、数量、单价等技术要求），合同总价款为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元（大写）</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w:t>
      </w:r>
    </w:p>
    <w:p w14:paraId="6771B50E">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二、货物质量要求及乙方对质量负责条件和期限：</w:t>
      </w:r>
    </w:p>
    <w:p w14:paraId="5420FC51">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乙方提供的货物达到乙方响应文件及澄清中的技术标准。（售后服务要求按采购文件及响应性文件相应条款制订）</w:t>
      </w:r>
    </w:p>
    <w:p w14:paraId="5B55A646">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三、交货时间、地点、方式、验收：</w:t>
      </w:r>
    </w:p>
    <w:p w14:paraId="70F816F4">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乙方应于202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 月 日前按甲方要求在</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（甲方指定地点）将货物运送达到验收条件。货物运送产生的费用由乙方负责。由甲方组织相关人员进行验收。</w:t>
      </w:r>
    </w:p>
    <w:p w14:paraId="71BA98A5">
      <w:pPr>
        <w:numPr>
          <w:ilvl w:val="0"/>
          <w:numId w:val="9"/>
        </w:numPr>
        <w:adjustRightInd w:val="0"/>
        <w:spacing w:line="500" w:lineRule="exact"/>
        <w:ind w:firstLine="480"/>
        <w:textAlignment w:val="baseline"/>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付款方式：</w:t>
      </w:r>
      <w:r>
        <w:rPr>
          <w:rFonts w:hint="eastAsia" w:asciiTheme="minorEastAsia" w:hAnsiTheme="minorEastAsia" w:eastAsiaTheme="minorEastAsia" w:cstheme="minorEastAsia"/>
          <w:color w:val="auto"/>
          <w:sz w:val="24"/>
          <w:highlight w:val="none"/>
          <w:u w:val="single"/>
          <w:lang w:val="en-US" w:eastAsia="zh-CN"/>
        </w:rPr>
        <w:t xml:space="preserve">                                                。</w:t>
      </w:r>
    </w:p>
    <w:p w14:paraId="35511FB9">
      <w:pPr>
        <w:numPr>
          <w:ilvl w:val="0"/>
          <w:numId w:val="9"/>
        </w:numPr>
        <w:adjustRightInd w:val="0"/>
        <w:spacing w:line="500" w:lineRule="exact"/>
        <w:ind w:firstLine="48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违约责任：甲方无正当理由拒收货物、拒付货款的，向乙方偿付拒收拒付部分货物款总额的________违约金。</w:t>
      </w:r>
    </w:p>
    <w:p w14:paraId="3C37EDCC">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乙方所交货物的规格型号、技术要求、质量品质等不符合合同规定，甲方有权拒收货物，乙方应负责更换并承担因更换而支付的全部实际费用。因更换而造成逾期交货，则按逾期交货处理。</w:t>
      </w:r>
    </w:p>
    <w:p w14:paraId="44EC8D5E">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乙方不能交付货物的，乙方向甲方支付未交付部分货物款总额____违约金。</w:t>
      </w:r>
    </w:p>
    <w:p w14:paraId="692ADF9E">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若因中标人原因不能按期按质供货的，将扣除中标人2万元的违约金，同时每超过一天另扣除合同金额的千分之一。</w:t>
      </w:r>
    </w:p>
    <w:p w14:paraId="26E50C30">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六、因货物的质量问题发生争议，由甲方所在地市级技术监督单位进行质量鉴定。</w:t>
      </w:r>
    </w:p>
    <w:p w14:paraId="3C7CB1AB">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七、甲乙双方应严格遵守投标要求和供应商须知，如有违反，按投标要求和供应商须知规定予以处理。</w:t>
      </w:r>
    </w:p>
    <w:p w14:paraId="089CBDFD">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八、采购文件及其修改补充、投标文件及其修改补充澄清均为本合同的组成部分。</w:t>
      </w:r>
    </w:p>
    <w:p w14:paraId="0C23539D">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九、本合同发生争议时双方应按合同条款协商解决。双方协商不成的，可以根据仲裁协议向当地仲裁机构申请仲裁。当事人没有订立仲裁协议或者仲裁协议无效的，可以向当地人民法院起诉。</w:t>
      </w:r>
    </w:p>
    <w:p w14:paraId="032707B1">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十、合同生效及其它：</w:t>
      </w:r>
    </w:p>
    <w:p w14:paraId="536EE889">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本合同经甲、乙双方代表签字、加盖公章和骑缝章后生效。本合同一式五份，甲乙双方各持两份。合同签订后在2个工作日内，采购人将合同在焦作市政府采购网公示并备案。</w:t>
      </w:r>
    </w:p>
    <w:p w14:paraId="65824EB8">
      <w:pPr>
        <w:pStyle w:val="2"/>
        <w:rPr>
          <w:highlight w:val="none"/>
        </w:rPr>
      </w:pPr>
    </w:p>
    <w:p w14:paraId="41D9DCEB">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甲方：</w:t>
      </w:r>
    </w:p>
    <w:p w14:paraId="35B85212">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地址：</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地址：</w:t>
      </w:r>
    </w:p>
    <w:p w14:paraId="0D92659A">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                   法定代表人：</w:t>
      </w:r>
    </w:p>
    <w:p w14:paraId="03949900">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委托代理人：                   委托代理人：</w:t>
      </w:r>
    </w:p>
    <w:p w14:paraId="58860145">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电话：</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电话：</w:t>
      </w:r>
    </w:p>
    <w:p w14:paraId="38111102">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开户银行：</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开户银行：</w:t>
      </w:r>
    </w:p>
    <w:p w14:paraId="32EDE91F">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银行账号：</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 xml:space="preserve">                  银行账号：</w:t>
      </w:r>
    </w:p>
    <w:p w14:paraId="24C55E10">
      <w:pPr>
        <w:adjustRightInd w:val="0"/>
        <w:spacing w:line="500" w:lineRule="exact"/>
        <w:ind w:firstLine="480" w:firstLineChars="200"/>
        <w:textAlignment w:val="baseline"/>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签约时间：                     签约地点：</w:t>
      </w:r>
    </w:p>
    <w:p w14:paraId="2546A0F3">
      <w:pPr>
        <w:adjustRightInd w:val="0"/>
        <w:spacing w:line="500" w:lineRule="exact"/>
        <w:ind w:firstLine="482" w:firstLineChars="200"/>
        <w:textAlignment w:val="baseline"/>
        <w:rPr>
          <w:rFonts w:asciiTheme="minorEastAsia" w:hAnsiTheme="minorEastAsia" w:eastAsiaTheme="minorEastAsia" w:cstheme="minorEastAsia"/>
          <w:b/>
          <w:bCs/>
          <w:sz w:val="24"/>
          <w:highlight w:val="none"/>
        </w:rPr>
      </w:pPr>
    </w:p>
    <w:p w14:paraId="0205CA64">
      <w:pPr>
        <w:adjustRightInd w:val="0"/>
        <w:spacing w:line="500" w:lineRule="exact"/>
        <w:ind w:firstLine="482" w:firstLineChars="200"/>
        <w:textAlignment w:val="baseline"/>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重要提示：以上合同文本作为签订合同的重要依据，涉及付款方式、供应商名称等实质性内容不得变更。</w:t>
      </w:r>
    </w:p>
    <w:p w14:paraId="0E3686BF">
      <w:pPr>
        <w:pStyle w:val="12"/>
        <w:jc w:val="center"/>
        <w:rPr>
          <w:rFonts w:asciiTheme="minorEastAsia" w:hAnsiTheme="minorEastAsia" w:eastAsiaTheme="minorEastAsia" w:cstheme="minorEastAsia"/>
          <w:b/>
          <w:bCs/>
          <w:sz w:val="21"/>
          <w:szCs w:val="21"/>
          <w:highlight w:val="none"/>
        </w:rPr>
      </w:pPr>
    </w:p>
    <w:p w14:paraId="2E7E38E8">
      <w:pPr>
        <w:pStyle w:val="12"/>
        <w:jc w:val="center"/>
        <w:rPr>
          <w:rFonts w:asciiTheme="minorEastAsia" w:hAnsiTheme="minorEastAsia" w:eastAsiaTheme="minorEastAsia" w:cstheme="minorEastAsia"/>
          <w:b/>
          <w:bCs/>
          <w:sz w:val="21"/>
          <w:szCs w:val="21"/>
          <w:highlight w:val="none"/>
        </w:rPr>
      </w:pPr>
    </w:p>
    <w:p w14:paraId="5C972C63">
      <w:pPr>
        <w:pStyle w:val="12"/>
        <w:jc w:val="center"/>
        <w:rPr>
          <w:rFonts w:asciiTheme="minorEastAsia" w:hAnsiTheme="minorEastAsia" w:eastAsiaTheme="minorEastAsia" w:cstheme="minorEastAsia"/>
          <w:b/>
          <w:bCs/>
          <w:sz w:val="21"/>
          <w:szCs w:val="21"/>
          <w:highlight w:val="none"/>
        </w:rPr>
      </w:pPr>
    </w:p>
    <w:p w14:paraId="664C2BD8">
      <w:pPr>
        <w:pStyle w:val="12"/>
        <w:jc w:val="center"/>
        <w:rPr>
          <w:rFonts w:asciiTheme="minorEastAsia" w:hAnsiTheme="minorEastAsia" w:eastAsiaTheme="minorEastAsia" w:cstheme="minorEastAsia"/>
          <w:b/>
          <w:bCs/>
          <w:sz w:val="21"/>
          <w:szCs w:val="21"/>
          <w:highlight w:val="none"/>
        </w:rPr>
      </w:pPr>
    </w:p>
    <w:p w14:paraId="75BE05D8">
      <w:pPr>
        <w:pStyle w:val="12"/>
        <w:rPr>
          <w:b/>
          <w:bCs/>
          <w:sz w:val="32"/>
          <w:szCs w:val="32"/>
          <w:highlight w:val="none"/>
        </w:rPr>
      </w:pPr>
    </w:p>
    <w:p w14:paraId="0D5F7BD3">
      <w:pPr>
        <w:rPr>
          <w:rFonts w:hint="eastAsia"/>
          <w:sz w:val="32"/>
          <w:szCs w:val="32"/>
          <w:highlight w:val="none"/>
        </w:rPr>
      </w:pPr>
      <w:bookmarkStart w:id="270" w:name="_Toc8682"/>
      <w:r>
        <w:rPr>
          <w:rFonts w:hint="eastAsia"/>
          <w:sz w:val="32"/>
          <w:szCs w:val="32"/>
          <w:highlight w:val="none"/>
        </w:rPr>
        <w:br w:type="page"/>
      </w:r>
    </w:p>
    <w:p w14:paraId="047C661F">
      <w:pPr>
        <w:pStyle w:val="3"/>
        <w:spacing w:line="500" w:lineRule="exact"/>
        <w:rPr>
          <w:sz w:val="32"/>
          <w:szCs w:val="32"/>
          <w:highlight w:val="none"/>
        </w:rPr>
      </w:pPr>
      <w:r>
        <w:rPr>
          <w:rFonts w:hint="eastAsia"/>
          <w:sz w:val="32"/>
          <w:szCs w:val="32"/>
          <w:highlight w:val="none"/>
        </w:rPr>
        <w:t>第五章 采购内容及技术要求</w:t>
      </w:r>
      <w:bookmarkEnd w:id="270"/>
    </w:p>
    <w:p w14:paraId="30D24451">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spacing w:val="-4"/>
          <w:kern w:val="2"/>
          <w:sz w:val="24"/>
          <w:szCs w:val="24"/>
          <w:highlight w:val="none"/>
          <w:lang w:val="en-US" w:eastAsia="zh-CN" w:bidi="ar-SA"/>
        </w:rPr>
      </w:pPr>
      <w:r>
        <w:rPr>
          <w:rFonts w:hint="eastAsia" w:ascii="宋体" w:hAnsi="宋体" w:eastAsia="宋体" w:cs="宋体"/>
          <w:b/>
          <w:bCs/>
          <w:spacing w:val="-4"/>
          <w:kern w:val="2"/>
          <w:sz w:val="24"/>
          <w:szCs w:val="24"/>
          <w:highlight w:val="none"/>
          <w:lang w:val="en-US" w:eastAsia="zh-CN" w:bidi="ar-SA"/>
        </w:rPr>
        <w:t>一、采购需求概述</w:t>
      </w:r>
    </w:p>
    <w:p w14:paraId="79828CCD">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项目名称：</w:t>
      </w:r>
      <w:r>
        <w:rPr>
          <w:rFonts w:hint="eastAsia" w:ascii="宋体" w:hAnsi="宋体" w:eastAsia="宋体" w:cs="宋体"/>
          <w:sz w:val="24"/>
          <w:highlight w:val="none"/>
          <w:lang w:val="en-US" w:eastAsia="zh-CN"/>
        </w:rPr>
        <w:t>博爱县生活污水处理厂设备设施更新及配套管网改造提升工程</w:t>
      </w:r>
      <w:r>
        <w:rPr>
          <w:rFonts w:hint="eastAsia" w:ascii="宋体" w:hAnsi="宋体" w:eastAsia="宋体" w:cs="宋体"/>
          <w:sz w:val="24"/>
          <w:highlight w:val="none"/>
          <w:lang w:eastAsia="zh-CN"/>
        </w:rPr>
        <w:t>设备采购项目（</w:t>
      </w:r>
      <w:r>
        <w:rPr>
          <w:rFonts w:hint="eastAsia" w:ascii="宋体" w:hAnsi="宋体" w:eastAsia="宋体" w:cs="宋体"/>
          <w:sz w:val="24"/>
          <w:highlight w:val="none"/>
          <w:lang w:val="en-US" w:eastAsia="zh-CN"/>
        </w:rPr>
        <w:t>三标段</w:t>
      </w:r>
      <w:r>
        <w:rPr>
          <w:rFonts w:hint="eastAsia" w:ascii="宋体" w:hAnsi="宋体" w:eastAsia="宋体" w:cs="宋体"/>
          <w:sz w:val="24"/>
          <w:highlight w:val="none"/>
          <w:lang w:eastAsia="zh-CN"/>
        </w:rPr>
        <w:t>）</w:t>
      </w:r>
    </w:p>
    <w:p w14:paraId="28B0866C">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pacing w:val="-14"/>
          <w:sz w:val="24"/>
          <w:szCs w:val="24"/>
          <w:highlight w:val="none"/>
          <w:lang w:val="en-US" w:eastAsia="zh-CN"/>
        </w:rPr>
        <w:t>采购内容：</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除臭、活性炭投加及智能站适配改造</w:t>
      </w:r>
      <w:r>
        <w:rPr>
          <w:rFonts w:asciiTheme="minorEastAsia" w:hAnsiTheme="minorEastAsia" w:eastAsiaTheme="minorEastAsia" w:cstheme="minorEastAsia"/>
          <w:color w:val="auto"/>
          <w:sz w:val="24"/>
          <w:szCs w:val="24"/>
          <w:highlight w:val="none"/>
          <w:lang w:eastAsia="zh-CN"/>
        </w:rPr>
        <w:t>（详见第五章采购内容及技术要求）</w:t>
      </w:r>
    </w:p>
    <w:p w14:paraId="5C5727A0">
      <w:pPr>
        <w:pStyle w:val="2"/>
        <w:spacing w:line="275" w:lineRule="auto"/>
        <w:rPr>
          <w:highlight w:val="none"/>
        </w:rPr>
      </w:pPr>
      <w:r>
        <w:rPr>
          <w:rFonts w:hint="eastAsia" w:ascii="宋体" w:hAnsi="宋体" w:eastAsia="宋体" w:cs="宋体"/>
          <w:b/>
          <w:bCs/>
          <w:spacing w:val="-4"/>
          <w:sz w:val="24"/>
          <w:szCs w:val="24"/>
          <w:highlight w:val="none"/>
          <w:lang w:val="en-US" w:eastAsia="zh-CN"/>
        </w:rPr>
        <w:t>二、技术参数要求</w:t>
      </w:r>
    </w:p>
    <w:tbl>
      <w:tblPr>
        <w:tblStyle w:val="28"/>
        <w:tblW w:w="10237" w:type="dxa"/>
        <w:tblInd w:w="-6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1418"/>
        <w:gridCol w:w="4193"/>
        <w:gridCol w:w="872"/>
        <w:gridCol w:w="950"/>
        <w:gridCol w:w="1958"/>
      </w:tblGrid>
      <w:tr w14:paraId="6E44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blHeader/>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1F3F1C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93FCB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设备名称</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2D24D4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t>技术参数及要求</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7523D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t>单位</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042650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数量</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90BC5AB">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4ADDE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39FB972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w:t>
            </w:r>
            <w:r>
              <w:rPr>
                <w:rFonts w:hint="eastAsia" w:eastAsiaTheme="minorEastAsia"/>
                <w:color w:val="000000" w:themeColor="text1"/>
                <w:highlight w:val="none"/>
                <w:lang w:val="en-US" w:eastAsia="zh-CN"/>
                <w14:textFill>
                  <w14:solidFill>
                    <w14:schemeClr w14:val="tx1"/>
                  </w14:solidFill>
                </w14:textFill>
              </w:rPr>
              <w:t>一</w:t>
            </w:r>
            <w:r>
              <w:rPr>
                <w:rFonts w:hint="eastAsia" w:eastAsiaTheme="minorEastAsia"/>
                <w:color w:val="000000" w:themeColor="text1"/>
                <w:highlight w:val="none"/>
                <w:lang w:eastAsia="zh-CN"/>
                <w14:textFill>
                  <w14:solidFill>
                    <w14:schemeClr w14:val="tx1"/>
                  </w14:solidFill>
                </w14:textFill>
              </w:rPr>
              <w:t>）</w:t>
            </w:r>
          </w:p>
        </w:tc>
        <w:tc>
          <w:tcPr>
            <w:tcW w:w="9391" w:type="dxa"/>
            <w:gridSpan w:val="5"/>
            <w:tcBorders>
              <w:top w:val="single" w:color="000000" w:sz="8" w:space="0"/>
              <w:left w:val="single" w:color="000000" w:sz="4" w:space="0"/>
              <w:bottom w:val="single" w:color="000000" w:sz="8" w:space="0"/>
              <w:right w:val="single" w:color="000000" w:sz="8" w:space="0"/>
            </w:tcBorders>
            <w:shd w:val="clear" w:color="auto" w:fill="auto"/>
            <w:vAlign w:val="center"/>
          </w:tcPr>
          <w:p w14:paraId="4B2ED99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智能站适配改造</w:t>
            </w:r>
          </w:p>
        </w:tc>
      </w:tr>
      <w:tr w14:paraId="55BC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FBDC1F5">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010264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加药泵变频器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A52AAD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1.名称:加药泵变频器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2.单台加药泵</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流量：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Q≧300L/h</w:t>
            </w:r>
          </w:p>
          <w:p w14:paraId="70847CA4">
            <w:pPr>
              <w:keepNext w:val="0"/>
              <w:keepLines w:val="0"/>
              <w:widowControl/>
              <w:suppressLineNumbers w:val="0"/>
              <w:jc w:val="left"/>
              <w:textAlignment w:val="center"/>
              <w:rPr>
                <w:rFonts w:hint="default"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3.单台泵扬程：3bar</w:t>
            </w:r>
          </w:p>
          <w:p w14:paraId="20AF33D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4.单台泵功率：p</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≧0.75KW</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.其他:符合图纸设计和相关规范要求</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007EC8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8A66AC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5C0184B">
            <w:pP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p>
        </w:tc>
      </w:tr>
      <w:tr w14:paraId="559A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2CD94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976F9F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低压成套控制柜</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70FDDFF">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1.名称:加药泵变频器电控箱</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高度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:1200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mm</w:t>
            </w:r>
          </w:p>
          <w:p w14:paraId="046631DD">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3.宽度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:900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mm</w:t>
            </w:r>
          </w:p>
          <w:p w14:paraId="08F8FD1A">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4.厚度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mm</w:t>
            </w:r>
          </w:p>
          <w:p w14:paraId="1688D799">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不锈钢</w:t>
            </w:r>
          </w:p>
          <w:p w14:paraId="5585BAF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6.防护等级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IP65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.其他:符合图纸设计和相关规范要求</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35DD87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4A54CC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2C28A3A">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7128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33A7EE02">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CBF912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传感器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8D76FF8">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1.名称:除磷剂加药泵流量计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规格：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w:t>
            </w:r>
          </w:p>
          <w:p w14:paraId="1545EE1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3.输出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4~20mA 输出</w:t>
            </w:r>
          </w:p>
          <w:p w14:paraId="23C315F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4.线制：</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四线制 </w:t>
            </w:r>
          </w:p>
          <w:p w14:paraId="1A694DC0">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防护等级: </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传感器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IP68</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，变送器IP65</w:t>
            </w:r>
          </w:p>
          <w:p w14:paraId="17522F4F">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6.供电：</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220AC</w:t>
            </w:r>
          </w:p>
          <w:p w14:paraId="457DC3A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带安装配件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.其他:符合图纸设计及相关规范要求</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79A0F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F4C58A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C0E3BD6">
            <w:pP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p>
        </w:tc>
      </w:tr>
      <w:tr w14:paraId="23D7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66F3B9FE">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F35C4E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物位检测仪表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EA3DC9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1.名称:碳源罐液位计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2.量程范围: 0~6m </w:t>
            </w:r>
          </w:p>
          <w:p w14:paraId="2EAE23E5">
            <w:pPr>
              <w:pStyle w:val="27"/>
              <w:ind w:left="0" w:leftChars="0" w:firstLine="0" w:firstLineChars="0"/>
              <w:jc w:val="left"/>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输出：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4~20mA</w:t>
            </w:r>
          </w:p>
          <w:p w14:paraId="12818B8C">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4.线制：</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两线制</w:t>
            </w:r>
          </w:p>
          <w:p w14:paraId="559F0BAA">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5.供电：</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24V</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 xml:space="preserve"> DC</w:t>
            </w:r>
          </w:p>
          <w:p w14:paraId="600658D8">
            <w:pPr>
              <w:pStyle w:val="27"/>
              <w:ind w:left="0" w:leftChars="0" w:firstLine="0" w:firstLineChars="0"/>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防护等级</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IP67</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显示带远程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带安装配件</w:t>
            </w:r>
          </w:p>
          <w:p w14:paraId="59C6ADA4">
            <w:pPr>
              <w:pStyle w:val="27"/>
              <w:ind w:left="0" w:leftChars="0" w:firstLine="0" w:firstLineChars="0"/>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.其他:符合图纸设计及相关规范要求</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72C3F6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3F8D74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97A4F1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超声波液位计</w:t>
            </w:r>
          </w:p>
        </w:tc>
      </w:tr>
      <w:tr w14:paraId="0425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23F97A66">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9E8D76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物位检测仪表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A9B9CF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1.名称:聚铁罐液位计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2.量程范围: 0~6m </w:t>
            </w:r>
          </w:p>
          <w:p w14:paraId="5153F0D4">
            <w:pPr>
              <w:pStyle w:val="27"/>
              <w:ind w:left="0" w:leftChars="0" w:firstLine="0" w:firstLineChars="0"/>
              <w:jc w:val="left"/>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输出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:4~20mA</w:t>
            </w:r>
          </w:p>
          <w:p w14:paraId="06DA6E87">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4.线制</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:两线制</w:t>
            </w:r>
          </w:p>
          <w:p w14:paraId="1760443F">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5.供电</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:24V</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 xml:space="preserve"> DC</w:t>
            </w:r>
          </w:p>
          <w:p w14:paraId="473D39F1">
            <w:pPr>
              <w:pStyle w:val="27"/>
              <w:ind w:left="0" w:leftChars="0" w:firstLine="0" w:firstLineChars="0"/>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防护等级:IP67</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显示带远程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带安装配件</w:t>
            </w:r>
          </w:p>
          <w:p w14:paraId="7CB5C48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.其他:符合图纸设计及相关规范要求</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96B5EE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E5C46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666035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超声波液位计</w:t>
            </w:r>
          </w:p>
        </w:tc>
      </w:tr>
      <w:tr w14:paraId="5A338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736AD904">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02E5FA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氧化沟进水流量计</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B5DAE4A">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1.名称:氧化沟进水流量计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型式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:超声波流量计，管箍式，分体</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式</w:t>
            </w:r>
          </w:p>
          <w:p w14:paraId="613A6E2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DN1000</w:t>
            </w:r>
          </w:p>
          <w:p w14:paraId="72857CF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6F148B1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5.输出：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20mA</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输出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.其他:符合图纸设计及相关规范要求</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8B2D8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D5691D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FFFE946">
            <w:pP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p>
        </w:tc>
      </w:tr>
      <w:tr w14:paraId="18C1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3217CD8D">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3D2824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污泥外回流流量计</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9851ACB">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1.名称:污泥外回流流量计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型式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:超声波流量计，管箍式，分体</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式</w:t>
            </w:r>
          </w:p>
          <w:p w14:paraId="4B55435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00</w:t>
            </w:r>
          </w:p>
          <w:p w14:paraId="725F79B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324D5D3A">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5.输出：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20mA</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输出</w:t>
            </w:r>
          </w:p>
          <w:p w14:paraId="2CA3B41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.其他:符合图纸设计及相关规范要求</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C5BE69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352984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8FF11FC">
            <w:pP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p>
        </w:tc>
      </w:tr>
      <w:tr w14:paraId="5C7D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5CBFCF43">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400A08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进水PH/T仪</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51DFE5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1.名称:进水PH/T仪</w:t>
            </w:r>
          </w:p>
          <w:p w14:paraId="60DB5493">
            <w:pPr>
              <w:pStyle w:val="27"/>
              <w:ind w:left="0" w:leftChars="0" w:firstLine="0" w:firstLineChars="0"/>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量程：0~14，0~100℃</w:t>
            </w:r>
          </w:p>
          <w:p w14:paraId="02B450A8">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精度：±0.5%</w:t>
            </w:r>
          </w:p>
          <w:p w14:paraId="168671DB">
            <w:pP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输出：两路4</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20mA输出</w:t>
            </w:r>
          </w:p>
          <w:p w14:paraId="1EAC07F8">
            <w:pPr>
              <w:pStyle w:val="27"/>
              <w:ind w:left="0" w:leftChars="0" w:firstLine="0" w:firstLineChars="0"/>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显示：中文液晶显示</w:t>
            </w:r>
          </w:p>
          <w:p w14:paraId="7B89167E">
            <w:pP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配套：电缆</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快速接头，安装件</w:t>
            </w:r>
          </w:p>
          <w:p w14:paraId="2B222B58">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.其他:符合图纸设计及相关规范要求</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C058B1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1BE7BC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A800B8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测</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PH</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、水温</w:t>
            </w:r>
          </w:p>
        </w:tc>
      </w:tr>
      <w:tr w14:paraId="4805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2C46889">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271B25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剩余污泥流量计</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1747A4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1.名称:剩余污泥流量计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型式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:电磁流量计，分体式</w:t>
            </w:r>
          </w:p>
          <w:p w14:paraId="35445AF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w:t>
            </w:r>
          </w:p>
          <w:p w14:paraId="045F238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3095ABAF">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5.输出：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20mA</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输出</w:t>
            </w:r>
          </w:p>
          <w:p w14:paraId="2C19A487">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含配套法兰</w:t>
            </w:r>
          </w:p>
          <w:p w14:paraId="31E7335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.其他:符合图纸设计及相关规范要求</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169CB1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64247A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C9B43C0">
            <w:pP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p>
        </w:tc>
      </w:tr>
      <w:tr w14:paraId="0EBB7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2D7E79CE">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2E22CC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低压齿轮、液压传动、电动阀门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4D84F0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1.名称:剩余污泥电动排泥阀</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型式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:电动刀闸阀，调节型</w:t>
            </w:r>
          </w:p>
          <w:p w14:paraId="4A3DFA2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DN150</w:t>
            </w:r>
          </w:p>
          <w:p w14:paraId="6E72C2D9">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030CDC5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5.功率：p</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≧0.37KW</w:t>
            </w:r>
          </w:p>
          <w:p w14:paraId="5F56CCD9">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球墨铸铁QT450-10</w:t>
            </w:r>
          </w:p>
          <w:p w14:paraId="457AB33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闸板</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w:t>
            </w:r>
          </w:p>
          <w:p w14:paraId="2439BCC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阀座</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EPDM</w:t>
            </w:r>
          </w:p>
          <w:p w14:paraId="52CA44F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含配套法兰</w:t>
            </w:r>
          </w:p>
          <w:p w14:paraId="67349BA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.其他:符合图纸设计及相关规范要求</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5DF4A2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0DA88A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5168AA9">
            <w:pP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p>
        </w:tc>
      </w:tr>
      <w:tr w14:paraId="30C6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770ECB0B">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B70CAC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原厂区自控系统升级</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AB5CE6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1.名称：全厂自控改造（含新增系统的自控）</w:t>
            </w:r>
          </w:p>
          <w:p w14:paraId="1097B0D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2.内容：</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包含改造模块、PLC柜改造、模块增补、电缆光纤（含现场电缆梳理）、交换机等、以及编程、调试、组态软件、3D画面开发等内容</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F1839C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930ED5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B7B64EE">
            <w:pP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p>
        </w:tc>
      </w:tr>
      <w:tr w14:paraId="28B2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A5EC907">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55527E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显示器/调度大屏等硬件系统配套升级</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A4FF69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1.名称:工控机/显示器、调度大屏、中控室升级等内容</w:t>
            </w:r>
          </w:p>
          <w:p w14:paraId="7D0F06E6">
            <w:pPr>
              <w:pStyle w:val="27"/>
              <w:ind w:left="0" w:leftChars="0" w:firstLine="0" w:firstLineChars="0"/>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2.工控机/显示器</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主机为i7主流配置</w:t>
            </w:r>
          </w:p>
          <w:p w14:paraId="5AD9660B">
            <w:pP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3.调度大屏：液晶屏</w:t>
            </w:r>
          </w:p>
          <w:p w14:paraId="5071E4A1">
            <w:pPr>
              <w:pStyle w:val="27"/>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.详见图纸</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689332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E2BB7E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BDCCAB4">
            <w:pP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p>
        </w:tc>
      </w:tr>
      <w:tr w14:paraId="6287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3121A578">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13</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70D5E0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沟盖板、井盖板、井圈</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0B5F11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1.名称:智能井盖 </w:t>
            </w:r>
          </w:p>
          <w:p w14:paraId="74DFA0BA">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2.包含井盖终端、</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PH监测及液位监测设备、仪表、探头、传感器、电池组等</w:t>
            </w:r>
          </w:p>
          <w:p w14:paraId="7A626180">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3.井盖终端：电池供电</w:t>
            </w:r>
          </w:p>
          <w:p w14:paraId="46F1781B">
            <w:pPr>
              <w:keepNext w:val="0"/>
              <w:keepLines w:val="0"/>
              <w:widowControl/>
              <w:suppressLineNumbers w:val="0"/>
              <w:jc w:val="left"/>
              <w:textAlignment w:val="center"/>
              <w:rPr>
                <w:rFonts w:hint="default"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4.井盖终端：支持定位功能、支持远程升级功能等</w:t>
            </w:r>
          </w:p>
          <w:p w14:paraId="2204F46E">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5.井盖终端：外壳防护等级IP68</w:t>
            </w:r>
          </w:p>
          <w:p w14:paraId="48449B75">
            <w:pPr>
              <w:pStyle w:val="27"/>
              <w:ind w:left="0" w:leftChars="0" w:firstLine="0" w:firstLineChars="0"/>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6.PH量程：0~14，带RS485通讯</w:t>
            </w:r>
          </w:p>
          <w:p w14:paraId="7C880173">
            <w:pPr>
              <w:rPr>
                <w:rFonts w:hint="default"/>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7.数据发送</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频率：默认1小时一次（可调）</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2DCC9F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EDBAE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AECB420">
            <w:pP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p>
        </w:tc>
      </w:tr>
      <w:tr w14:paraId="0F3A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BA1BBAC">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p>
        </w:tc>
        <w:tc>
          <w:tcPr>
            <w:tcW w:w="9391" w:type="dxa"/>
            <w:gridSpan w:val="5"/>
            <w:tcBorders>
              <w:top w:val="single" w:color="000000" w:sz="8" w:space="0"/>
              <w:left w:val="single" w:color="000000" w:sz="4" w:space="0"/>
              <w:bottom w:val="single" w:color="000000" w:sz="8" w:space="0"/>
              <w:right w:val="single" w:color="000000" w:sz="8" w:space="0"/>
            </w:tcBorders>
            <w:shd w:val="clear" w:color="auto" w:fill="auto"/>
            <w:vAlign w:val="center"/>
          </w:tcPr>
          <w:p w14:paraId="0B3669D4">
            <w:pPr>
              <w:jc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24"/>
                <w:szCs w:val="24"/>
                <w:highlight w:val="none"/>
                <w:u w:val="none"/>
                <w:lang w:val="en-US" w:eastAsia="zh-CN"/>
                <w14:textFill>
                  <w14:solidFill>
                    <w14:schemeClr w14:val="tx1"/>
                  </w14:solidFill>
                </w14:textFill>
              </w:rPr>
              <w:t>除臭系统</w:t>
            </w:r>
          </w:p>
        </w:tc>
      </w:tr>
      <w:tr w14:paraId="4CC18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auto" w:sz="4" w:space="0"/>
              <w:right w:val="single" w:color="000000" w:sz="4" w:space="0"/>
            </w:tcBorders>
            <w:shd w:val="clear" w:color="auto" w:fill="auto"/>
            <w:vAlign w:val="center"/>
          </w:tcPr>
          <w:p w14:paraId="4D2F11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w:t>
            </w:r>
          </w:p>
        </w:tc>
        <w:tc>
          <w:tcPr>
            <w:tcW w:w="1418" w:type="dxa"/>
            <w:tcBorders>
              <w:top w:val="single" w:color="000000" w:sz="8" w:space="0"/>
              <w:left w:val="single" w:color="000000" w:sz="4" w:space="0"/>
              <w:bottom w:val="single" w:color="auto" w:sz="4" w:space="0"/>
              <w:right w:val="single" w:color="000000" w:sz="4" w:space="0"/>
            </w:tcBorders>
            <w:shd w:val="clear" w:color="auto" w:fill="auto"/>
            <w:vAlign w:val="center"/>
          </w:tcPr>
          <w:p w14:paraId="5ACFFA09">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生物除臭装置</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F16307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1.名称:生物除臭装置</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2.处理风量:≧25000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m³</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/h</w:t>
            </w:r>
          </w:p>
          <w:p w14:paraId="4EBE68AA">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填料高度</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1.7m</w:t>
            </w:r>
          </w:p>
          <w:p w14:paraId="260D01C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外形尺寸:10.5mx5.5mx3.2m</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.详见图纸</w:t>
            </w:r>
          </w:p>
          <w:p w14:paraId="43183707">
            <w:pPr>
              <w:pStyle w:val="2"/>
              <w:rPr>
                <w:rFonts w:hint="default"/>
                <w:highlight w:val="none"/>
                <w:lang w:val="en-US" w:eastAsia="zh-CN"/>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6.供货商成套供货</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896B4B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5BC6C9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A4365C6">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E9B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2B89E90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4497D3F">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离心式通风机</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2FCADF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1.名称:除臭风机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2.风量:≧25000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m³</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/h</w:t>
            </w:r>
          </w:p>
          <w:p w14:paraId="16001A3A">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风压:2200P</w:t>
            </w:r>
          </w:p>
          <w:p w14:paraId="03167C39">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功率:30kw</w:t>
            </w:r>
          </w:p>
          <w:p w14:paraId="77C3E8F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电机防护等级IP55</w:t>
            </w:r>
          </w:p>
          <w:p w14:paraId="13EC1CB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含玻璃钢隔音箱</w:t>
            </w:r>
          </w:p>
          <w:p w14:paraId="42428B3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7.详见图纸</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.供货商成套供货</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B9B896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4B5A79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47BD178">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6A99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32A12EE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78161A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水箱</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9092D9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1.名称:预洗段循环水箱</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2.尺寸:1000x1000x800(mm)</w:t>
            </w:r>
          </w:p>
          <w:p w14:paraId="34CC2FB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材质：玻璃钢</w:t>
            </w:r>
          </w:p>
          <w:p w14:paraId="3EA998C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4.详见图纸</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供货商成套供货</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EC51D0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703EE4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0084779">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98B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2EC4A34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4</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2546259">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水箱</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3D7261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1.名称:生物段循环水箱</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2.尺寸:1500x1000x800(mm)</w:t>
            </w:r>
          </w:p>
          <w:p w14:paraId="7962143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材质：玻璃钢</w:t>
            </w:r>
          </w:p>
          <w:p w14:paraId="63F23F0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4.详见图纸</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供货商成套供货</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ECC3D1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4E4826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B9821BB">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45018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5A33B30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5</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31CA28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离心式泵</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9384E2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1.名称:预洗段循环水泵</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2.流量:</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Q</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m³</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/h</w:t>
            </w:r>
          </w:p>
          <w:p w14:paraId="15C5AA8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扬程: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H=</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30m</w:t>
            </w:r>
          </w:p>
          <w:p w14:paraId="08D6E2C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功率:</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p</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≧1.5kw</w:t>
            </w:r>
          </w:p>
          <w:p w14:paraId="36AAC4BF">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电机防护等级IP55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6详见图纸</w:t>
            </w:r>
          </w:p>
          <w:p w14:paraId="090ACD1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.供货商成套供货</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537415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A27039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74302B7">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61F65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1A50B97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6</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DE0CD6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离心式泵</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E8D150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1.名称:生物段循环水泵</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2.流量:</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Q</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m³</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/h</w:t>
            </w:r>
          </w:p>
          <w:p w14:paraId="1B40FF4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扬程: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H=</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33m</w:t>
            </w:r>
          </w:p>
          <w:p w14:paraId="3950791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功率:</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p</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≧5.5kw</w:t>
            </w:r>
          </w:p>
          <w:p w14:paraId="7B048F37">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电机防护等级IP55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6.详见图纸</w:t>
            </w:r>
          </w:p>
          <w:p w14:paraId="1570CDC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.供货商成套供货</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5AD535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C3E23C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5839D41">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2668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1862E0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6B86CD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电加热系统</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E7B437F">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1.名称:预洗段电加热器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2.功率:p</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5KW</w:t>
            </w:r>
          </w:p>
          <w:p w14:paraId="2D9AAA6F">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3.电源:电压380V，三相</w:t>
            </w:r>
          </w:p>
          <w:p w14:paraId="2254E8B4">
            <w:pPr>
              <w:pStyle w:val="27"/>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供货商成套供货</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9192FF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99C338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84AA68E">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262D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2871D50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8</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E6EFC0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电加热系统</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DD9C576">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1.名称:生物段电加热器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2.功率:p</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10KW</w:t>
            </w:r>
          </w:p>
          <w:p w14:paraId="1C0785FF">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3.电源:电压380V，三相</w:t>
            </w:r>
          </w:p>
          <w:p w14:paraId="322EAE70">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供货商成套供货</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ED8CD3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8094EC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772BAB9">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1635F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0BC9EA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9</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1BA4EB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物位检测仪表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5CBC33C">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1.名称:超声波液位计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2.量程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w:t>
            </w:r>
          </w:p>
          <w:p w14:paraId="6E3ACAD9">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3.输出：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4-20m</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A</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输出</w:t>
            </w:r>
          </w:p>
          <w:p w14:paraId="072B28EE">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电源</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DC24V</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5.详见图纸</w:t>
            </w:r>
          </w:p>
          <w:p w14:paraId="5798D26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.供货商成套供货</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D7824C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C11A6B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1F0C7C8">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EA8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0254FF8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10</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63BA5F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变送单元仪表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2FACC6C">
            <w:pPr>
              <w:keepNext w:val="0"/>
              <w:keepLines w:val="0"/>
              <w:widowControl/>
              <w:suppressLineNumbers w:val="0"/>
              <w:jc w:val="left"/>
              <w:textAlignment w:val="center"/>
              <w:rPr>
                <w:rFonts w:hint="default"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1.名称:温度变送器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2.量程</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~100℃</w:t>
            </w:r>
          </w:p>
          <w:p w14:paraId="052BC9E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3.输出：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4-20m</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A</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输出</w:t>
            </w:r>
          </w:p>
          <w:p w14:paraId="51387999">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电源</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DC24V</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详见图纸</w:t>
            </w:r>
          </w:p>
          <w:p w14:paraId="0C09458F">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供货商成套供货</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EFDA9C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D2FAA3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5184D96">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3AF9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109FBED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11</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C154DB9">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电动、电磁阀门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6A44F9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1.名称:电磁阀</w:t>
            </w:r>
          </w:p>
          <w:p w14:paraId="00BFFADA">
            <w:pPr>
              <w:pStyle w:val="27"/>
              <w:ind w:left="0" w:leftChars="0" w:firstLine="0" w:firstLineChars="0"/>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规格：</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常闭阀,零压启动</w:t>
            </w:r>
          </w:p>
          <w:p w14:paraId="0AB47EF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.电源</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DC24V</w:t>
            </w:r>
          </w:p>
          <w:p w14:paraId="4C07A255">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供货商成套供货</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4B858F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DFC903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B70030A">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1F1C0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2B8B35A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12</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82355F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控制屏</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EFC651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1.名称:PLC全自动电控柜</w:t>
            </w:r>
          </w:p>
          <w:p w14:paraId="1FE4948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不锈钢304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.防护等级</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P65</w:t>
            </w:r>
          </w:p>
          <w:p w14:paraId="64EAF08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含风机变频器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.其他:符合图纸设计和相关规范要求</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5C2DDA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2B22DA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AD28BF9">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1892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0CD83BA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13</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311C65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烟囱、烟道制作安装</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29FE1B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1.名称:烟囱及其支架</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2.管道材质:玻璃钢</w:t>
            </w:r>
          </w:p>
          <w:p w14:paraId="3E64BB2A">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支架材质:碳钢防腐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.烟囱直径</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DN900</w:t>
            </w:r>
          </w:p>
          <w:p w14:paraId="4418242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5.烟囱高度：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H=15m</w:t>
            </w:r>
          </w:p>
          <w:p w14:paraId="5E9B6289">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.其他:符合图纸设计和相关规范要求</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6826FD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951F8D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CBE78A4">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465C7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66BB44A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14</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82BD04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玻璃钢通风管道</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D9E553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1.名称:玻璃钢除臭风管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2.形状:圆形</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3.规格:直径1120mm以下</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332A11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064FEA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375.86</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2627962">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14C1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6866955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15</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8F9CB6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玻璃钢通风管道</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7592EB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1.名称:玻璃钢除臭风管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2.形状:圆形</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3.规格:直径500mm以下</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5B6F63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A37A50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28.26</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18932A3">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4E7C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1540CFE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16</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55D547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玻璃钢通风管道</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F882CB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1.名称:玻璃钢除臭风管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2.形状:圆形</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3.规格:直径500mm以下</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D2EF96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9B81BC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40.04</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6922CCF">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380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2E9C5D2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17</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F199A1F">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管件</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366CBF9">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1.材质:异径三通</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2.规格:DN900/900/250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3.材质：玻璃钢 与管材配套</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8CBEA1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7EA308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8FCF29D">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530D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2102B3C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18</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CEFB30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管件</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4F2041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1.材质:异径管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2.规格:DN900/300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3.材质：玻璃钢 与管材配套</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9F8E6F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269EC8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7A6DBFB">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55C04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7FD8E82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19</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465ED2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管件</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E178B7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1.材质:弯头</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2.规格:DN900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3.材质：玻璃钢 与管材配套</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3DB62C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FB9058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BA389A7">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18699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1F2C08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20</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0D3642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管件</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3ABD88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1.材质:弯头</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2.规格:DN300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3.材质：玻璃钢 与管材配套</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FBF351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2451CB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F3B8F5C">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78B6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5D0F9FB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21</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208091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管件</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1F0E27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1.材质:弯头</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2.规格:DN250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3.材质：玻璃钢 与管材配套</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15FD89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016A45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093D821">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110ED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137FA67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22</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D8E854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管件</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B90AD3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1.材质:三通</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2.规格:DN250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3.材质：玻璃钢 与管材配套</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B3F399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2A180E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2AB9EA3">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4148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62406C8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23</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5AA771F">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设备支架</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4B0F43B">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1.材质:设备支架制作安装</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2.形式:详见图纸，满足使用需要</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A0DFFA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kg</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08123C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EE000C7">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5C26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795871D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24</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76EC60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玻璃钢蝶阀</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D35782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1.名称:风阀，玻璃钢配套法兰</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2.型号:DN900</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B4778B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99C309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95F1064">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1AF1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1101427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25</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ED9361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玻璃钢蝶阀</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CBE02AA">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1.名称:风阀，玻璃钢配套法兰</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2.型号:DN250</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849F09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D9A286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111C7FD">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766E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14079C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26</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2E8A4DF">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玻璃钢蝶阀</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073AFB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1.名称:风阀，玻璃钢配套法兰</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2.型号:DN300</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4339EF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4D285C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BD966C5">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1DAC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D3455E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27</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F9DDBB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玻璃钢风帽</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B4E2A7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1.名称:玻璃钢雨帽</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2.规格:DN900</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298AEF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FD636D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D048201">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1EA6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6E16CCB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28</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3D40C0B">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细格栅密封罩</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D35CF02">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1.类型：</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不锈钢骨架玻璃房</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密封罩长度：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9500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mm</w:t>
            </w:r>
          </w:p>
          <w:p w14:paraId="46550C95">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3.密封罩宽度：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3500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mm</w:t>
            </w:r>
          </w:p>
          <w:p w14:paraId="40A750C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4.密封罩高度：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3000mm</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.立面玻璃</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厚度：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10mm</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单层钢化玻璃</w:t>
            </w:r>
          </w:p>
          <w:p w14:paraId="385261D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顶部</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玻璃厚度：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5mm+5mm</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双层加胶玻璃</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.不锈钢骨架</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50*50方管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.框架间隔在1000*1000mm 以内，玻璃尺寸在同一面等分处理</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.顶部为活动结构</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57580F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1A85E9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75862DA">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4490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3B90513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29</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4E9CA5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粗格栅密封罩</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1355064">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1.类型：</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不锈钢骨架玻璃房</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密封罩长度：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10500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mm</w:t>
            </w:r>
          </w:p>
          <w:p w14:paraId="5B326589">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3.密封罩宽度：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mm</w:t>
            </w:r>
          </w:p>
          <w:p w14:paraId="22413989">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4.密封罩</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高</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度：</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3000mm</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.立面玻璃</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10mm</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单层钢化玻璃</w:t>
            </w:r>
          </w:p>
          <w:p w14:paraId="4A4AB28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顶部</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玻璃：</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5mm+5mm</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双层加胶玻璃</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.不锈钢骨架</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50*50方管</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.框架间隔在1000*1000mm 以内，玻璃尺寸在同一面等分处理</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.顶部为活动结构</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6FE1E4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64E652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5601F82">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119DE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58017AF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30</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A7DD63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玻璃钢通风管道</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16A3C7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1.名称:玻璃钢盖板</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2.规格:50*5mm</w:t>
            </w:r>
          </w:p>
          <w:p w14:paraId="226B93FD">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供货商配套提供</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22A7C5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ACC112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65</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F9D3D72">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3BBB1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640E4A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31</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007BCC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碳钢风口、散流器、百叶窗</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D690A4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1.名称:吸风口</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2.型号:500*300mm</w:t>
            </w:r>
          </w:p>
          <w:p w14:paraId="7BCCC375">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供货商配套提供</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9BD1A3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C680BB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FACFDE2">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545A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508F872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32</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FB081A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拱形盖板</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F041A7B">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1.名称:拱形盖板</w:t>
            </w:r>
          </w:p>
          <w:p w14:paraId="451BAD3D">
            <w:pPr>
              <w:pStyle w:val="27"/>
              <w:ind w:left="0" w:leftChars="0" w:firstLine="0" w:firstLineChars="0"/>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臭气收集部位：储泥池等</w:t>
            </w:r>
          </w:p>
          <w:p w14:paraId="55503C71">
            <w:pPr>
              <w:rPr>
                <w:rFonts w:hint="default"/>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供货商配套提供</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197722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5F96A5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78</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1883E32">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4F61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77A4D80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33</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796487F">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低压焊接阀门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0A852D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1.名称:冷凝水泄水阀</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2.型号:DN25</w:t>
            </w:r>
          </w:p>
          <w:p w14:paraId="0A58C53F">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供货商配套提供</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3F0D59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72DA28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D5C7C1F">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7B40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A23D82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34</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B0D164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弯头</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9E5E5D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1.材质:45°弯头</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2.规格:DN900</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44B6FF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BD4D0B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0474186">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65A70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30D9751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35</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0CF3E0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电力电缆</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8B440C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1.名称:电缆</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2.敷设方式、部位:除臭系统</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3E73D6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32D23D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B96057C">
            <w:pP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p>
        </w:tc>
      </w:tr>
      <w:tr w14:paraId="107B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00E3EA1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36</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F7854F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系统内PVC管路</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BB6A20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1.名称:PVC管路</w:t>
            </w:r>
          </w:p>
          <w:p w14:paraId="4E5802EE">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供货商配套提供</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18841F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29EFC5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B5A0CC5">
            <w:pP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p>
        </w:tc>
      </w:tr>
      <w:tr w14:paraId="42F36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0D41ED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p>
        </w:tc>
        <w:tc>
          <w:tcPr>
            <w:tcW w:w="9391" w:type="dxa"/>
            <w:gridSpan w:val="5"/>
            <w:tcBorders>
              <w:top w:val="single" w:color="000000" w:sz="8" w:space="0"/>
              <w:left w:val="single" w:color="000000" w:sz="4" w:space="0"/>
              <w:bottom w:val="single" w:color="000000" w:sz="8" w:space="0"/>
              <w:right w:val="single" w:color="000000" w:sz="8" w:space="0"/>
            </w:tcBorders>
            <w:shd w:val="clear" w:color="auto" w:fill="auto"/>
            <w:vAlign w:val="center"/>
          </w:tcPr>
          <w:p w14:paraId="76BD62D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粉末活性炭投加系统</w:t>
            </w:r>
          </w:p>
        </w:tc>
      </w:tr>
      <w:tr w14:paraId="6690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335D936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B4E304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粉末活性炭料仓</w:t>
            </w:r>
            <w:bookmarkStart w:id="322" w:name="_GoBack"/>
            <w:bookmarkEnd w:id="322"/>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C97DCC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1.名称:粉末活性炭料仓</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2.容积:≧20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m³</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3.尺寸:直径φ2400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4.料仓配套:检修人孔、避雷针、进料管、支脚、爬梯、护栏、平台等;</w:t>
            </w:r>
          </w:p>
          <w:p w14:paraId="2507089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配套提供旋风过滤器、脉冲除尘器、安全阀、阻旋料位计(不锈钢防爆型)、气动破拱装置、精确给料机(防爆型,变频)、温度传感器、防堵探测器等设备仪表阀门。</w:t>
            </w:r>
          </w:p>
          <w:p w14:paraId="13038E4F">
            <w:pPr>
              <w:pStyle w:val="27"/>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6.详见图纸。</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8F50F7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1D7A09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37A1AF5">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44FC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72C804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8F7801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螺旋输送机</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CFA095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1.名称:螺旋输送机</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2.输送量</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≧500kg/h</w:t>
            </w:r>
          </w:p>
          <w:p w14:paraId="70621B8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功率</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2.5KW，含减速机</w:t>
            </w:r>
          </w:p>
          <w:p w14:paraId="07079C3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电机</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采用防爆BT4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碳钢防腐</w:t>
            </w:r>
          </w:p>
          <w:p w14:paraId="4E3FCB4A">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6.详见图纸。</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EE8656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4F89F6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430A44A">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2D6B9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139C90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4CA60F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储气罐</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49B5F1F">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1.名称:制备罐</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容积：</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V=5</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m³</w:t>
            </w:r>
          </w:p>
          <w:p w14:paraId="6AC6CEF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3.罐体</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检修、放空溢流、进水、进料、出液等接口</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配底座。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罐体</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配套搅拌装置、水雾除尘器、防爆电磁阀、液位计等。</w:t>
            </w:r>
          </w:p>
          <w:p w14:paraId="0E6D1735">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5.详见图纸。</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D42AE8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AB2DD6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E7B8272">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4AD0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2E798CF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4</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5C53F1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计量泵</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D18E70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1.名称:活性炭投加泵</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2.额定流量:5~8</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m³</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/h</w:t>
            </w:r>
          </w:p>
          <w:p w14:paraId="61D8ABE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压力</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0.35MPa</w:t>
            </w:r>
          </w:p>
          <w:p w14:paraId="4251A2FB">
            <w:pPr>
              <w:keepNext w:val="0"/>
              <w:keepLines w:val="0"/>
              <w:widowControl/>
              <w:suppressLineNumbers w:val="0"/>
              <w:jc w:val="left"/>
              <w:textAlignment w:val="cente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电机功率</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4KW</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控制：</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变频</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控制</w:t>
            </w:r>
          </w:p>
          <w:p w14:paraId="41FCDEB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含碳钢底座</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FB51FC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2D70F1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2DB9F31">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0910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618746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5</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FBECC8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流量仪表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BBEF91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1.名称:电磁流量计</w:t>
            </w:r>
          </w:p>
          <w:p w14:paraId="40CE5D8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2.型式：分体式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:DN80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2899C68A">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钽电极,内村PTE</w:t>
            </w:r>
          </w:p>
          <w:p w14:paraId="7C9FA2D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6.连接：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法兰连接</w:t>
            </w:r>
          </w:p>
          <w:p w14:paraId="5F87ACE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供电</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24VDC</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A63659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A4C8EA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A59FD6D">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24D3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026B75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6</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FE166E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流量仪表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0B844F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1.名称:电磁流量计</w:t>
            </w:r>
          </w:p>
          <w:p w14:paraId="7F01047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2.型式：分体式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3BD6B44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钽电极,内村PTE</w:t>
            </w:r>
          </w:p>
          <w:p w14:paraId="2DA0731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6.连接：</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法兰连接</w:t>
            </w:r>
          </w:p>
          <w:p w14:paraId="35F1E9A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供电</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24VDC</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D50F10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68F986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8D699E5">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70BE7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7C00ED1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FBA0CC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离心式泵</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88EFBF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1.名称:增压泵</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流量</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:Q≧40</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m³</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/h</w:t>
            </w:r>
          </w:p>
          <w:p w14:paraId="7E0E35B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3.扬程：H=</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35m</w:t>
            </w:r>
          </w:p>
          <w:p w14:paraId="4383EAA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功率</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：N=</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2.2KW</w:t>
            </w:r>
          </w:p>
          <w:p w14:paraId="0E8FF2B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可选配碳钢缓冲罐</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7B62E4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6CD0FB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CB49792">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2D52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2EFE4F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8</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3D6A43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活塞式压缩机</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D0BB4D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1.名称:空压机系统</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压缩</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气量</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≧0.67</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m³</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/min</w:t>
            </w:r>
          </w:p>
          <w:p w14:paraId="3FF2523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功率</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0.75KW</w:t>
            </w:r>
          </w:p>
          <w:p w14:paraId="086D5AF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压力</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0.8MPa</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.配套冷干机、储气罐以及阀门仪表等。</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E5496C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38DF63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FA85092">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1EE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50A781E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9</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819600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电气与自控系统</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401358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名称</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:PLC、触摸屏</w:t>
            </w:r>
          </w:p>
          <w:p w14:paraId="27B4EB3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含电缆、桥架及辅材等</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41AB65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10A73B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E508A4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碳钢喷塑</w:t>
            </w:r>
          </w:p>
        </w:tc>
      </w:tr>
      <w:tr w14:paraId="7145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656C210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10</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F4C2A5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低压法兰阀门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51CA92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1.名称:手动阀</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:DN100</w:t>
            </w:r>
          </w:p>
          <w:p w14:paraId="720E97E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3324B84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:WCB</w:t>
            </w:r>
          </w:p>
          <w:p w14:paraId="21B3D0E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阀芯</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:SUS304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8DACB8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BB35F7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D54927C">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048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6EEDEA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11</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0C3ABB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低压法兰阀门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4EE0B1F">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1.名称:手动阀</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65</w:t>
            </w:r>
          </w:p>
          <w:p w14:paraId="27834E19">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02E52B3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:WCB</w:t>
            </w:r>
          </w:p>
          <w:p w14:paraId="5BE288DB">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阀芯</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:SUS304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03B52F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4D4B80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9FA711A">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68E1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10337B7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12</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1C9D58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低压法兰阀门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6886231">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1.名称:手动阀</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w:t>
            </w:r>
          </w:p>
          <w:p w14:paraId="64AEF3A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0D01997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:WCB</w:t>
            </w:r>
          </w:p>
          <w:p w14:paraId="12BA9BBC">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阀芯</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:SUS304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5C0DE8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310D4F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054524C">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7E87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6111C8B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13</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6928D0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低压法兰阀门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CEB1BF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1.名称:手动阀</w:t>
            </w:r>
          </w:p>
          <w:p w14:paraId="0EB02F68">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40</w:t>
            </w:r>
          </w:p>
          <w:p w14:paraId="662D66D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05DA746B">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:WCB</w:t>
            </w:r>
          </w:p>
          <w:p w14:paraId="0B80A0A1">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阀芯</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:SUS304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8BF17B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6BFD33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9F7FC65">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111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76FAF76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14</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EA9766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低压法兰阀门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943FB69">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1.名称:手动阀</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25</w:t>
            </w:r>
          </w:p>
          <w:p w14:paraId="57A45F8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405A4DC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:WCB</w:t>
            </w:r>
          </w:p>
          <w:p w14:paraId="4CFD2323">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阀芯</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:SUS304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016FCB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540E8F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5C105E8">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110A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30427D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15</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3129FE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低压法兰阀门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AE7E205">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1.名称:手动阀</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20</w:t>
            </w:r>
          </w:p>
          <w:p w14:paraId="11A92B9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3743C66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:WCB</w:t>
            </w:r>
          </w:p>
          <w:p w14:paraId="36A92F3B">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阀芯</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:SUS304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98DD62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A24EB8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6E2D0A8">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C1A6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17DDC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16</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A099A3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低压法兰阀门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C92D42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1.名称:手动阀</w:t>
            </w:r>
          </w:p>
          <w:p w14:paraId="63F6F5E5">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15</w:t>
            </w:r>
          </w:p>
          <w:p w14:paraId="34E7668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27B6A0F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:WCB</w:t>
            </w:r>
          </w:p>
          <w:p w14:paraId="3FBA5009">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阀芯</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:SUS304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694BD7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64DA4E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5955A16">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78BD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1690AD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17</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CAEE32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低压齿轮、液压传动、电动阀门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D668F45">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1.名称:电动阀</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100</w:t>
            </w:r>
          </w:p>
          <w:p w14:paraId="730F92C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596E49E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:WCB</w:t>
            </w:r>
          </w:p>
          <w:p w14:paraId="4DFB1C96">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阀芯</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:SUS304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905431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439BEF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E157893">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3DB29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3D050A8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18</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2F1777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低压齿轮、液压传动、电动阀门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B1FAEB6">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1.名称:电动阀</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50</w:t>
            </w:r>
          </w:p>
          <w:p w14:paraId="61AB3E2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49CBBF2B">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:WCB</w:t>
            </w:r>
          </w:p>
          <w:p w14:paraId="31F0021A">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阀芯</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:SUS304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306FD4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85D4AF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18E0D48">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2BD1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A60868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19</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1DC273B">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低压齿轮、液压传动、电动阀门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5F07B19">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1.名称:电动阀</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40</w:t>
            </w:r>
          </w:p>
          <w:p w14:paraId="28092E2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2547C9F9">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:WCB</w:t>
            </w:r>
          </w:p>
          <w:p w14:paraId="4ACFE9EB">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阀芯</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:SUS304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5955FB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22A1CF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689F5F19">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51179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0E32C2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20</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490A94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低压齿轮、液压传动、电动阀门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FB153D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1.名称:电动阀</w:t>
            </w:r>
          </w:p>
          <w:p w14:paraId="1C57E989">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25</w:t>
            </w:r>
          </w:p>
          <w:p w14:paraId="7B52994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17CB39C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:WCB</w:t>
            </w:r>
          </w:p>
          <w:p w14:paraId="06E10299">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阀芯</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:SUS304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D860CA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2276729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C9426C9">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63AC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642A34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21</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C4DC26F">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低压齿轮、液压传动、电动阀门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68EE8BA">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1.名称:电动阀</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20</w:t>
            </w:r>
          </w:p>
          <w:p w14:paraId="478AC319">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PN10</w:t>
            </w:r>
          </w:p>
          <w:p w14:paraId="0224033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:WCB</w:t>
            </w:r>
          </w:p>
          <w:p w14:paraId="703557F8">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阀芯</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:SUS304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7AB285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3CB2E2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F9B829C">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578C8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778545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22</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F896B5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低压法兰阀门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EDB680D">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1.名称:止回阀</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80</w:t>
            </w:r>
          </w:p>
          <w:p w14:paraId="47DD7E69">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6</w:t>
            </w:r>
          </w:p>
          <w:p w14:paraId="758BD55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阀体</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:WCB</w:t>
            </w:r>
          </w:p>
          <w:p w14:paraId="5028E1BE">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阀芯</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材质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:SUS304</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890FFC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EDA92B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767ADD2">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A89D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60F0C36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23</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A6DE04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低压法兰阀门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7E4F22E">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1.名称:Y型过滤器</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2.公称直径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100</w:t>
            </w:r>
          </w:p>
          <w:p w14:paraId="034AE081">
            <w:pPr>
              <w:keepNext w:val="0"/>
              <w:keepLines w:val="0"/>
              <w:widowControl/>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3.压力等级：</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PN1</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0</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DE35DD7">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03AFBCA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50CD905">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3269C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3B1221E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24</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3C58D1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过滤器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15DDF1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1.名称:过滤器组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2.规格:1um,1ppm</w:t>
            </w:r>
          </w:p>
          <w:p w14:paraId="682EB4FC">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供货商配套提供</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E0D4117">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976D3E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39491F9">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0D35A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2FD411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25</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CE71EFB">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低压法兰阀门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40408CB">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1.名称:减压阀组</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2.规格:DN25</w:t>
            </w:r>
          </w:p>
          <w:p w14:paraId="15F5F10B">
            <w:pPr>
              <w:pStyle w:val="27"/>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供货商配套提供</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855BAF7">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E086FF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88DECE5">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17CE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08784D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26</w:t>
            </w:r>
          </w:p>
        </w:tc>
        <w:tc>
          <w:tcPr>
            <w:tcW w:w="141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08F6649">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过滤器</w:t>
            </w:r>
          </w:p>
        </w:tc>
        <w:tc>
          <w:tcPr>
            <w:tcW w:w="419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25E253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1.名称:粉料过滤器</w:t>
            </w:r>
          </w:p>
          <w:p w14:paraId="6E8A7EA8">
            <w:pPr>
              <w:pStyle w:val="27"/>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供货商配套提供</w:t>
            </w:r>
          </w:p>
        </w:tc>
        <w:tc>
          <w:tcPr>
            <w:tcW w:w="872"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F7CBFC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950" w:type="dxa"/>
            <w:tcBorders>
              <w:top w:val="single" w:color="000000" w:sz="8" w:space="0"/>
              <w:left w:val="single" w:color="000000" w:sz="4" w:space="0"/>
              <w:bottom w:val="single" w:color="000000" w:sz="8" w:space="0"/>
              <w:right w:val="single" w:color="000000" w:sz="8" w:space="0"/>
            </w:tcBorders>
            <w:shd w:val="clear" w:color="auto" w:fill="auto"/>
            <w:vAlign w:val="center"/>
          </w:tcPr>
          <w:p w14:paraId="38E767B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958"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47F733D">
            <w:pP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bl>
    <w:p w14:paraId="25E52BDF">
      <w:pPr>
        <w:widowControl/>
        <w:spacing w:line="560" w:lineRule="exact"/>
        <w:rPr>
          <w:rFonts w:asciiTheme="minorEastAsia" w:hAnsiTheme="minorEastAsia" w:eastAsiaTheme="minorEastAsia"/>
          <w:b/>
          <w:bCs/>
          <w:color w:val="auto"/>
          <w:sz w:val="24"/>
          <w:szCs w:val="24"/>
          <w:highlight w:val="none"/>
          <w:lang w:eastAsia="zh-CN"/>
        </w:rPr>
      </w:pPr>
      <w:r>
        <w:rPr>
          <w:rFonts w:hint="eastAsia" w:asciiTheme="minorEastAsia" w:hAnsiTheme="minorEastAsia" w:eastAsiaTheme="minorEastAsia"/>
          <w:b/>
          <w:bCs/>
          <w:color w:val="auto"/>
          <w:sz w:val="24"/>
          <w:szCs w:val="24"/>
          <w:highlight w:val="none"/>
          <w:lang w:eastAsia="zh-CN"/>
        </w:rPr>
        <w:t>注：本招标项目必须要实质性满足技术要求和商务要求：</w:t>
      </w:r>
    </w:p>
    <w:p w14:paraId="3C1C8672">
      <w:pPr>
        <w:widowControl/>
        <w:spacing w:line="560" w:lineRule="exact"/>
        <w:ind w:firstLine="482" w:firstLineChars="200"/>
        <w:rPr>
          <w:rFonts w:asciiTheme="minorEastAsia" w:hAnsiTheme="minorEastAsia" w:eastAsiaTheme="minorEastAsia"/>
          <w:b/>
          <w:bCs/>
          <w:color w:val="auto"/>
          <w:sz w:val="24"/>
          <w:szCs w:val="24"/>
          <w:highlight w:val="none"/>
          <w:lang w:eastAsia="zh-CN"/>
        </w:rPr>
      </w:pPr>
      <w:r>
        <w:rPr>
          <w:rFonts w:hint="eastAsia" w:asciiTheme="minorEastAsia" w:hAnsiTheme="minorEastAsia" w:eastAsiaTheme="minorEastAsia"/>
          <w:b/>
          <w:bCs/>
          <w:color w:val="auto"/>
          <w:sz w:val="24"/>
          <w:szCs w:val="24"/>
          <w:highlight w:val="none"/>
          <w:lang w:eastAsia="zh-CN"/>
        </w:rPr>
        <w:t>1、供应商提供的货物必须是原装全新、高于或等于</w:t>
      </w:r>
      <w:r>
        <w:rPr>
          <w:rFonts w:hint="eastAsia" w:asciiTheme="minorEastAsia" w:hAnsiTheme="minorEastAsia" w:eastAsiaTheme="minorEastAsia"/>
          <w:b/>
          <w:bCs/>
          <w:color w:val="auto"/>
          <w:sz w:val="24"/>
          <w:szCs w:val="24"/>
          <w:highlight w:val="none"/>
          <w:lang w:val="en-US" w:eastAsia="zh-CN"/>
        </w:rPr>
        <w:t>招标文件</w:t>
      </w:r>
      <w:r>
        <w:rPr>
          <w:rFonts w:hint="eastAsia" w:asciiTheme="minorEastAsia" w:hAnsiTheme="minorEastAsia" w:eastAsiaTheme="minorEastAsia"/>
          <w:b/>
          <w:bCs/>
          <w:color w:val="auto"/>
          <w:sz w:val="24"/>
          <w:szCs w:val="24"/>
          <w:highlight w:val="none"/>
          <w:lang w:eastAsia="zh-CN"/>
        </w:rPr>
        <w:t>规定技术参数的产品。</w:t>
      </w:r>
    </w:p>
    <w:p w14:paraId="25FF9E2F">
      <w:pPr>
        <w:widowControl/>
        <w:spacing w:line="560" w:lineRule="exact"/>
        <w:ind w:firstLine="482" w:firstLineChars="200"/>
        <w:rPr>
          <w:rFonts w:hint="eastAsia" w:asciiTheme="minorEastAsia" w:hAnsiTheme="minorEastAsia" w:eastAsiaTheme="minorEastAsia"/>
          <w:b/>
          <w:bCs/>
          <w:color w:val="auto"/>
          <w:sz w:val="24"/>
          <w:szCs w:val="24"/>
          <w:highlight w:val="none"/>
          <w:lang w:eastAsia="zh-CN"/>
        </w:rPr>
      </w:pPr>
      <w:r>
        <w:rPr>
          <w:rFonts w:hint="eastAsia" w:asciiTheme="minorEastAsia" w:hAnsiTheme="minorEastAsia" w:eastAsiaTheme="minorEastAsia"/>
          <w:b/>
          <w:bCs/>
          <w:color w:val="auto"/>
          <w:sz w:val="24"/>
          <w:szCs w:val="24"/>
          <w:highlight w:val="none"/>
          <w:lang w:eastAsia="zh-CN"/>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6F0116F1">
      <w:pPr>
        <w:widowControl/>
        <w:spacing w:line="560" w:lineRule="exact"/>
        <w:ind w:firstLine="482" w:firstLineChars="200"/>
        <w:rPr>
          <w:rFonts w:hint="default"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bCs/>
          <w:color w:val="auto"/>
          <w:sz w:val="24"/>
          <w:szCs w:val="24"/>
          <w:highlight w:val="none"/>
          <w:lang w:val="en-US" w:eastAsia="zh-CN"/>
        </w:rPr>
        <w:t>4、</w:t>
      </w:r>
      <w:r>
        <w:rPr>
          <w:rFonts w:hint="eastAsia" w:asciiTheme="minorEastAsia" w:hAnsiTheme="minorEastAsia" w:eastAsiaTheme="minorEastAsia"/>
          <w:b/>
          <w:bCs/>
          <w:color w:val="auto"/>
          <w:sz w:val="24"/>
          <w:szCs w:val="24"/>
          <w:highlight w:val="none"/>
          <w:lang w:eastAsia="zh-CN"/>
        </w:rPr>
        <w:t>核心产品为：粉末活性炭料仓、生物除臭装置</w:t>
      </w:r>
      <w:r>
        <w:rPr>
          <w:rFonts w:hint="eastAsia" w:asciiTheme="minorEastAsia" w:hAnsiTheme="minorEastAsia" w:eastAsiaTheme="minorEastAsia"/>
          <w:b/>
          <w:bCs/>
          <w:color w:val="auto"/>
          <w:sz w:val="24"/>
          <w:szCs w:val="24"/>
          <w:highlight w:val="none"/>
          <w:lang w:val="en-US" w:eastAsia="zh-CN"/>
        </w:rPr>
        <w:t xml:space="preserve">  </w:t>
      </w:r>
    </w:p>
    <w:p w14:paraId="2CD2B169">
      <w:pPr>
        <w:widowControl/>
        <w:spacing w:line="560" w:lineRule="exact"/>
        <w:ind w:firstLine="482" w:firstLineChars="200"/>
        <w:rPr>
          <w:rFonts w:hint="eastAsia"/>
          <w:b/>
          <w:bCs/>
          <w:sz w:val="24"/>
          <w:highlight w:val="none"/>
        </w:rPr>
      </w:pPr>
      <w:r>
        <w:rPr>
          <w:rFonts w:hint="eastAsia" w:asciiTheme="minorEastAsia" w:hAnsiTheme="minorEastAsia" w:eastAsiaTheme="minorEastAsia"/>
          <w:b/>
          <w:bCs/>
          <w:color w:val="auto"/>
          <w:sz w:val="24"/>
          <w:szCs w:val="24"/>
          <w:highlight w:val="none"/>
          <w:lang w:val="en-US" w:eastAsia="zh-CN"/>
        </w:rPr>
        <w:t>5、</w:t>
      </w:r>
      <w:r>
        <w:rPr>
          <w:rFonts w:hint="eastAsia" w:asciiTheme="minorEastAsia" w:hAnsiTheme="minorEastAsia" w:eastAsiaTheme="minorEastAsia"/>
          <w:b/>
          <w:bCs/>
          <w:color w:val="auto"/>
          <w:sz w:val="24"/>
          <w:szCs w:val="24"/>
          <w:highlight w:val="none"/>
          <w:lang w:eastAsia="zh-CN"/>
        </w:rPr>
        <w:t>本标的所属行业：</w:t>
      </w:r>
      <w:r>
        <w:rPr>
          <w:rFonts w:hint="eastAsia" w:asciiTheme="minorEastAsia" w:hAnsiTheme="minorEastAsia" w:eastAsiaTheme="minorEastAsia"/>
          <w:b/>
          <w:bCs/>
          <w:color w:val="auto"/>
          <w:sz w:val="24"/>
          <w:szCs w:val="24"/>
          <w:highlight w:val="none"/>
          <w:lang w:val="en-US" w:eastAsia="zh-CN"/>
        </w:rPr>
        <w:t>制造业</w:t>
      </w:r>
      <w:r>
        <w:rPr>
          <w:rFonts w:hint="eastAsia"/>
          <w:b/>
          <w:bCs/>
          <w:sz w:val="24"/>
          <w:highlight w:val="none"/>
        </w:rPr>
        <w:br w:type="page"/>
      </w:r>
    </w:p>
    <w:bookmarkEnd w:id="269"/>
    <w:p w14:paraId="127C26B5">
      <w:pPr>
        <w:pStyle w:val="3"/>
        <w:spacing w:before="0" w:after="0" w:line="500" w:lineRule="exact"/>
        <w:rPr>
          <w:sz w:val="32"/>
          <w:szCs w:val="32"/>
          <w:highlight w:val="none"/>
        </w:rPr>
      </w:pPr>
      <w:bookmarkStart w:id="271" w:name="_Toc18132"/>
      <w:bookmarkStart w:id="272" w:name="_Toc403122572"/>
      <w:bookmarkStart w:id="273" w:name="_Toc7906"/>
      <w:bookmarkStart w:id="274" w:name="_Toc426369533"/>
      <w:r>
        <w:rPr>
          <w:rFonts w:hint="eastAsia"/>
          <w:sz w:val="32"/>
          <w:szCs w:val="32"/>
          <w:highlight w:val="none"/>
        </w:rPr>
        <w:t>第六章 质疑与投诉</w:t>
      </w:r>
      <w:bookmarkEnd w:id="271"/>
    </w:p>
    <w:p w14:paraId="15CF790C">
      <w:pPr>
        <w:spacing w:line="500" w:lineRule="exact"/>
        <w:rPr>
          <w:highlight w:val="none"/>
        </w:rPr>
      </w:pPr>
    </w:p>
    <w:p w14:paraId="1C16B955">
      <w:pPr>
        <w:spacing w:line="500" w:lineRule="exact"/>
        <w:rPr>
          <w:b/>
          <w:bCs/>
          <w:sz w:val="28"/>
          <w:szCs w:val="28"/>
          <w:highlight w:val="none"/>
        </w:rPr>
      </w:pPr>
      <w:r>
        <w:rPr>
          <w:rFonts w:hint="eastAsia"/>
          <w:b/>
          <w:bCs/>
          <w:sz w:val="28"/>
          <w:szCs w:val="28"/>
          <w:highlight w:val="none"/>
        </w:rPr>
        <w:t>一、质疑与答复</w:t>
      </w:r>
    </w:p>
    <w:p w14:paraId="2F16B81F">
      <w:pPr>
        <w:pStyle w:val="26"/>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212AD365">
      <w:pPr>
        <w:pStyle w:val="27"/>
        <w:spacing w:line="500" w:lineRule="exact"/>
        <w:ind w:firstLine="480"/>
        <w:rPr>
          <w:rFonts w:ascii="宋体" w:hAnsi="宋体" w:cs="宋体"/>
          <w:sz w:val="24"/>
          <w:highlight w:val="none"/>
        </w:rPr>
      </w:pPr>
      <w:r>
        <w:rPr>
          <w:rFonts w:hint="eastAsia" w:ascii="宋体" w:hAnsi="宋体" w:cs="宋体"/>
          <w:sz w:val="24"/>
          <w:highlight w:val="none"/>
        </w:rPr>
        <w:t>2. 供应商提出质疑应当提交质疑函和必要的证明材料。政府采购供应商质疑函范本下载地址：</w:t>
      </w:r>
    </w:p>
    <w:p w14:paraId="31613C24">
      <w:pPr>
        <w:pStyle w:val="27"/>
        <w:spacing w:line="500" w:lineRule="exact"/>
        <w:ind w:left="420" w:leftChars="200" w:firstLine="0" w:firstLineChars="0"/>
        <w:rPr>
          <w:rFonts w:ascii="宋体" w:hAnsi="宋体" w:cs="宋体"/>
          <w:sz w:val="24"/>
          <w:highlight w:val="none"/>
        </w:rPr>
      </w:pPr>
      <w:r>
        <w:rPr>
          <w:highlight w:val="none"/>
        </w:rPr>
        <w:fldChar w:fldCharType="begin"/>
      </w:r>
      <w:r>
        <w:rPr>
          <w:highlight w:val="none"/>
        </w:rPr>
        <w:instrText xml:space="preserve"> HYPERLINK "http://download.ccgp.gov.cn/2018/zhiyihanfanben.zip；" </w:instrText>
      </w:r>
      <w:r>
        <w:rPr>
          <w:highlight w:val="none"/>
        </w:rPr>
        <w:fldChar w:fldCharType="separate"/>
      </w:r>
      <w:r>
        <w:rPr>
          <w:rStyle w:val="31"/>
          <w:rFonts w:hint="eastAsia" w:ascii="宋体" w:hAnsi="宋体" w:cs="宋体"/>
          <w:color w:val="auto"/>
          <w:sz w:val="24"/>
          <w:highlight w:val="none"/>
        </w:rPr>
        <w:t>http://download.ccgp.gov.cn/2018/zhiyihanfanben.zip；</w:t>
      </w:r>
      <w:r>
        <w:rPr>
          <w:rStyle w:val="31"/>
          <w:rFonts w:hint="eastAsia" w:ascii="宋体" w:hAnsi="宋体" w:cs="宋体"/>
          <w:color w:val="auto"/>
          <w:sz w:val="24"/>
          <w:highlight w:val="none"/>
        </w:rPr>
        <w:fldChar w:fldCharType="end"/>
      </w:r>
    </w:p>
    <w:p w14:paraId="25FC46A5">
      <w:pPr>
        <w:numPr>
          <w:ilvl w:val="0"/>
          <w:numId w:val="10"/>
        </w:numPr>
        <w:spacing w:line="500" w:lineRule="exact"/>
        <w:ind w:firstLine="480" w:firstLineChars="200"/>
        <w:rPr>
          <w:rFonts w:ascii="宋体" w:hAnsi="宋体" w:cs="宋体"/>
          <w:sz w:val="24"/>
          <w:highlight w:val="none"/>
        </w:rPr>
      </w:pPr>
      <w:r>
        <w:rPr>
          <w:rFonts w:hint="eastAsia" w:ascii="宋体" w:hAnsi="宋体" w:cs="宋体"/>
          <w:sz w:val="24"/>
          <w:highlight w:val="none"/>
        </w:rPr>
        <w:t>采购人、采购代理机构不得拒收质疑供应商在法定质疑期内发出的质疑函，应当在收到质疑函后7个工作日内作出答复，并以书面形式通知质疑供应商和其他有关供应商。</w:t>
      </w:r>
    </w:p>
    <w:p w14:paraId="23311224">
      <w:pPr>
        <w:numPr>
          <w:ilvl w:val="0"/>
          <w:numId w:val="10"/>
        </w:numPr>
        <w:spacing w:line="500" w:lineRule="exact"/>
        <w:ind w:firstLine="480" w:firstLineChars="200"/>
        <w:rPr>
          <w:rFonts w:ascii="宋体" w:hAnsi="宋体" w:cs="宋体"/>
          <w:sz w:val="24"/>
          <w:highlight w:val="none"/>
        </w:rPr>
      </w:pPr>
      <w:r>
        <w:rPr>
          <w:rFonts w:hint="eastAsia" w:ascii="宋体" w:hAnsi="宋体" w:cs="宋体"/>
          <w:sz w:val="24"/>
          <w:highlight w:val="none"/>
        </w:rPr>
        <w:t>供应商提出质疑应当提交质疑函和必要的证明材料。质疑函应当包括下列内容：</w:t>
      </w:r>
    </w:p>
    <w:p w14:paraId="7D0B8CA5">
      <w:pPr>
        <w:numPr>
          <w:ilvl w:val="1"/>
          <w:numId w:val="10"/>
        </w:numPr>
        <w:spacing w:line="500" w:lineRule="exact"/>
        <w:ind w:left="420" w:leftChars="200"/>
        <w:rPr>
          <w:rFonts w:ascii="宋体" w:hAnsi="宋体" w:cs="宋体"/>
          <w:sz w:val="24"/>
          <w:highlight w:val="none"/>
        </w:rPr>
      </w:pPr>
      <w:r>
        <w:rPr>
          <w:rFonts w:hint="eastAsia" w:ascii="宋体" w:hAnsi="宋体" w:cs="宋体"/>
          <w:sz w:val="24"/>
          <w:highlight w:val="none"/>
        </w:rPr>
        <w:t>供应商的姓名或者名称、地址、邮编、联系人及联系电话；</w:t>
      </w:r>
    </w:p>
    <w:p w14:paraId="538D8A54">
      <w:pPr>
        <w:numPr>
          <w:ilvl w:val="1"/>
          <w:numId w:val="10"/>
        </w:numPr>
        <w:spacing w:line="500" w:lineRule="exact"/>
        <w:ind w:left="420" w:leftChars="200"/>
        <w:rPr>
          <w:rFonts w:ascii="宋体" w:hAnsi="宋体" w:cs="宋体"/>
          <w:sz w:val="24"/>
          <w:highlight w:val="none"/>
        </w:rPr>
      </w:pPr>
      <w:r>
        <w:rPr>
          <w:rFonts w:hint="eastAsia" w:ascii="宋体" w:hAnsi="宋体" w:cs="宋体"/>
          <w:sz w:val="24"/>
          <w:highlight w:val="none"/>
        </w:rPr>
        <w:t>质疑项目的名称、编号；</w:t>
      </w:r>
    </w:p>
    <w:p w14:paraId="766BC44F">
      <w:pPr>
        <w:numPr>
          <w:ilvl w:val="1"/>
          <w:numId w:val="10"/>
        </w:numPr>
        <w:spacing w:line="500" w:lineRule="exact"/>
        <w:ind w:left="420" w:leftChars="200"/>
        <w:rPr>
          <w:rFonts w:ascii="宋体" w:hAnsi="宋体" w:cs="宋体"/>
          <w:sz w:val="24"/>
          <w:highlight w:val="none"/>
        </w:rPr>
      </w:pPr>
      <w:r>
        <w:rPr>
          <w:rFonts w:hint="eastAsia" w:ascii="宋体" w:hAnsi="宋体" w:cs="宋体"/>
          <w:sz w:val="24"/>
          <w:highlight w:val="none"/>
        </w:rPr>
        <w:t>具体、明确的质疑事项和与质疑事项相关的请求；</w:t>
      </w:r>
    </w:p>
    <w:p w14:paraId="53F71C81">
      <w:pPr>
        <w:numPr>
          <w:ilvl w:val="1"/>
          <w:numId w:val="10"/>
        </w:numPr>
        <w:spacing w:line="500" w:lineRule="exact"/>
        <w:ind w:left="420" w:leftChars="200"/>
        <w:rPr>
          <w:rFonts w:ascii="宋体" w:hAnsi="宋体" w:cs="宋体"/>
          <w:sz w:val="24"/>
          <w:highlight w:val="none"/>
        </w:rPr>
      </w:pPr>
      <w:r>
        <w:rPr>
          <w:rFonts w:hint="eastAsia" w:ascii="宋体" w:hAnsi="宋体" w:cs="宋体"/>
          <w:sz w:val="24"/>
          <w:highlight w:val="none"/>
        </w:rPr>
        <w:t>事实依据；</w:t>
      </w:r>
    </w:p>
    <w:p w14:paraId="274E73A1">
      <w:pPr>
        <w:numPr>
          <w:ilvl w:val="1"/>
          <w:numId w:val="10"/>
        </w:numPr>
        <w:spacing w:line="500" w:lineRule="exact"/>
        <w:ind w:left="420" w:leftChars="200"/>
        <w:rPr>
          <w:rFonts w:ascii="宋体" w:hAnsi="宋体" w:cs="宋体"/>
          <w:sz w:val="24"/>
          <w:highlight w:val="none"/>
        </w:rPr>
      </w:pPr>
      <w:r>
        <w:rPr>
          <w:rFonts w:hint="eastAsia" w:ascii="宋体" w:hAnsi="宋体" w:cs="宋体"/>
          <w:sz w:val="24"/>
          <w:highlight w:val="none"/>
        </w:rPr>
        <w:t>必要的法律依据；</w:t>
      </w:r>
    </w:p>
    <w:p w14:paraId="2DA08DE7">
      <w:pPr>
        <w:numPr>
          <w:ilvl w:val="1"/>
          <w:numId w:val="10"/>
        </w:numPr>
        <w:spacing w:line="500" w:lineRule="exact"/>
        <w:ind w:left="420" w:leftChars="200"/>
        <w:rPr>
          <w:rFonts w:ascii="宋体" w:hAnsi="宋体" w:cs="宋体"/>
          <w:sz w:val="24"/>
          <w:highlight w:val="none"/>
        </w:rPr>
      </w:pPr>
      <w:r>
        <w:rPr>
          <w:rFonts w:hint="eastAsia" w:ascii="宋体" w:hAnsi="宋体" w:cs="宋体"/>
          <w:sz w:val="24"/>
          <w:highlight w:val="none"/>
        </w:rPr>
        <w:t>提出质疑的日期；</w:t>
      </w:r>
    </w:p>
    <w:p w14:paraId="4A8BF014">
      <w:pPr>
        <w:numPr>
          <w:ilvl w:val="1"/>
          <w:numId w:val="10"/>
        </w:numPr>
        <w:spacing w:line="500" w:lineRule="exact"/>
        <w:ind w:left="420" w:leftChars="200"/>
        <w:rPr>
          <w:rFonts w:ascii="宋体" w:hAnsi="宋体" w:cs="宋体"/>
          <w:sz w:val="24"/>
          <w:highlight w:val="none"/>
        </w:rPr>
      </w:pPr>
      <w:r>
        <w:rPr>
          <w:rFonts w:hint="eastAsia" w:ascii="宋体" w:hAnsi="宋体" w:cs="宋体"/>
          <w:sz w:val="24"/>
          <w:highlight w:val="none"/>
        </w:rPr>
        <w:t>获取招标文件的凭证；</w:t>
      </w:r>
    </w:p>
    <w:p w14:paraId="1DE7D3CB">
      <w:pPr>
        <w:numPr>
          <w:ilvl w:val="1"/>
          <w:numId w:val="10"/>
        </w:numPr>
        <w:spacing w:line="500" w:lineRule="exact"/>
        <w:ind w:left="420" w:leftChars="200"/>
        <w:rPr>
          <w:rFonts w:ascii="宋体" w:hAnsi="宋体" w:cs="宋体"/>
          <w:sz w:val="24"/>
          <w:highlight w:val="none"/>
        </w:rPr>
      </w:pPr>
      <w:r>
        <w:rPr>
          <w:rFonts w:hint="eastAsia" w:ascii="宋体" w:hAnsi="宋体" w:cs="宋体"/>
          <w:sz w:val="24"/>
          <w:highlight w:val="none"/>
        </w:rPr>
        <w:t>如有委托人需提供授权委托人与公司的劳动关系证明；</w:t>
      </w:r>
    </w:p>
    <w:p w14:paraId="212F468E">
      <w:pPr>
        <w:numPr>
          <w:ilvl w:val="1"/>
          <w:numId w:val="10"/>
        </w:numPr>
        <w:spacing w:line="500" w:lineRule="exact"/>
        <w:ind w:left="420" w:leftChars="200"/>
        <w:rPr>
          <w:rFonts w:ascii="宋体" w:hAnsi="宋体" w:cs="宋体"/>
          <w:sz w:val="24"/>
          <w:highlight w:val="none"/>
        </w:rPr>
      </w:pPr>
      <w:r>
        <w:rPr>
          <w:rFonts w:hint="eastAsia" w:ascii="宋体" w:hAnsi="宋体" w:cs="宋体"/>
          <w:sz w:val="24"/>
          <w:highlight w:val="none"/>
        </w:rPr>
        <w:t>以上资料一式二份（采购人、采购代理机构各执一份）。</w:t>
      </w:r>
    </w:p>
    <w:p w14:paraId="15552AF0">
      <w:pPr>
        <w:spacing w:line="500" w:lineRule="exact"/>
        <w:ind w:firstLine="480" w:firstLineChars="200"/>
        <w:rPr>
          <w:rFonts w:ascii="宋体" w:hAnsi="宋体" w:cs="宋体"/>
          <w:sz w:val="24"/>
          <w:highlight w:val="none"/>
        </w:rPr>
      </w:pPr>
      <w:r>
        <w:rPr>
          <w:rFonts w:hint="eastAsia" w:ascii="宋体" w:hAnsi="宋体" w:cs="宋体"/>
          <w:sz w:val="24"/>
          <w:highlight w:val="none"/>
        </w:rPr>
        <w:t>3.0投标人不得虚假质疑和恶意质疑，并对质疑内容的真实性承担责任。</w:t>
      </w:r>
    </w:p>
    <w:p w14:paraId="0C9FBC4B">
      <w:pPr>
        <w:spacing w:line="500" w:lineRule="exact"/>
        <w:rPr>
          <w:b/>
          <w:bCs/>
          <w:sz w:val="28"/>
          <w:szCs w:val="28"/>
          <w:highlight w:val="none"/>
        </w:rPr>
      </w:pPr>
      <w:r>
        <w:rPr>
          <w:rFonts w:hint="eastAsia"/>
          <w:b/>
          <w:bCs/>
          <w:sz w:val="28"/>
          <w:szCs w:val="28"/>
          <w:highlight w:val="none"/>
        </w:rPr>
        <w:t>二、投诉与处理</w:t>
      </w:r>
    </w:p>
    <w:p w14:paraId="651817DF">
      <w:pPr>
        <w:pStyle w:val="26"/>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1.质疑供应商对采购人、采购代理机构的答复不满意，或者采购人、采购代理机构未在规定时间内作出答复的，可以在答复期满后15个工作日内向</w:t>
      </w:r>
      <w:r>
        <w:rPr>
          <w:rFonts w:hint="eastAsia" w:ascii="宋体" w:hAnsi="宋体" w:eastAsia="宋体" w:cs="宋体"/>
          <w:sz w:val="24"/>
          <w:highlight w:val="none"/>
          <w:lang w:val="en-US" w:eastAsia="zh-CN"/>
        </w:rPr>
        <w:t>博爱县水利局</w:t>
      </w:r>
      <w:r>
        <w:rPr>
          <w:rFonts w:ascii="宋体" w:hAnsi="宋体" w:eastAsia="宋体" w:cs="宋体"/>
          <w:sz w:val="24"/>
          <w:highlight w:val="none"/>
        </w:rPr>
        <w:t>提起投诉。</w:t>
      </w:r>
    </w:p>
    <w:p w14:paraId="1173E2DE">
      <w:pPr>
        <w:spacing w:line="500" w:lineRule="exact"/>
        <w:ind w:firstLine="480" w:firstLineChars="200"/>
        <w:rPr>
          <w:rFonts w:ascii="宋体" w:hAnsi="宋体" w:cs="宋体"/>
          <w:sz w:val="24"/>
          <w:highlight w:val="none"/>
        </w:rPr>
      </w:pPr>
      <w:r>
        <w:rPr>
          <w:rFonts w:hint="eastAsia" w:ascii="宋体" w:hAnsi="宋体" w:cs="宋体"/>
          <w:sz w:val="24"/>
          <w:highlight w:val="none"/>
        </w:rPr>
        <w:t>2.质疑供应商对采购人、采购代理机构的答复不满意，或者采购人、采购代理机构未在规定时间内作出答复的，可以在答复期满后15个工作日内向</w:t>
      </w:r>
      <w:r>
        <w:rPr>
          <w:rFonts w:hint="eastAsia" w:ascii="宋体" w:hAnsi="宋体" w:cs="宋体"/>
          <w:sz w:val="24"/>
          <w:highlight w:val="none"/>
          <w:lang w:val="en-US" w:eastAsia="zh-CN"/>
        </w:rPr>
        <w:t>博爱县水利局</w:t>
      </w:r>
      <w:r>
        <w:rPr>
          <w:rFonts w:hint="eastAsia" w:ascii="宋体" w:hAnsi="宋体" w:cs="宋体"/>
          <w:sz w:val="24"/>
          <w:highlight w:val="none"/>
        </w:rPr>
        <w:t>提起投诉。</w:t>
      </w:r>
    </w:p>
    <w:p w14:paraId="6EB165F6">
      <w:pPr>
        <w:pStyle w:val="26"/>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3.投诉人投诉时,应当提交投诉书和必要的证明材料，并按照被投诉采购人、采购代理机构（以下简称被投诉人）和与投诉事项有关的供应商数量提供投诉书的副本。政府采购供应商投诉书范本下载地址：</w:t>
      </w:r>
    </w:p>
    <w:p w14:paraId="266EA00A">
      <w:pPr>
        <w:pStyle w:val="26"/>
        <w:spacing w:line="500" w:lineRule="exact"/>
        <w:ind w:firstLine="640" w:firstLineChars="200"/>
        <w:rPr>
          <w:rFonts w:hint="default" w:ascii="宋体" w:hAnsi="宋体" w:eastAsia="宋体" w:cs="宋体"/>
          <w:sz w:val="24"/>
          <w:highlight w:val="none"/>
        </w:rPr>
      </w:pPr>
      <w:r>
        <w:rPr>
          <w:highlight w:val="none"/>
        </w:rPr>
        <w:fldChar w:fldCharType="begin"/>
      </w:r>
      <w:r>
        <w:rPr>
          <w:highlight w:val="none"/>
        </w:rPr>
        <w:instrText xml:space="preserve"> HYPERLINK "http://download.ccgp.gov.cn/2018/tousushufanben.zip" </w:instrText>
      </w:r>
      <w:r>
        <w:rPr>
          <w:highlight w:val="none"/>
        </w:rPr>
        <w:fldChar w:fldCharType="separate"/>
      </w:r>
      <w:r>
        <w:rPr>
          <w:rStyle w:val="31"/>
          <w:rFonts w:ascii="宋体" w:hAnsi="宋体" w:eastAsia="宋体" w:cs="宋体"/>
          <w:color w:val="auto"/>
          <w:sz w:val="24"/>
          <w:highlight w:val="none"/>
        </w:rPr>
        <w:t>http://download.ccgp.gov.cn/2018/tousushufanben.zip</w:t>
      </w:r>
      <w:r>
        <w:rPr>
          <w:rStyle w:val="31"/>
          <w:rFonts w:ascii="宋体" w:hAnsi="宋体" w:eastAsia="宋体" w:cs="宋体"/>
          <w:color w:val="auto"/>
          <w:sz w:val="24"/>
          <w:highlight w:val="none"/>
        </w:rPr>
        <w:fldChar w:fldCharType="end"/>
      </w:r>
    </w:p>
    <w:p w14:paraId="7C74FD1F">
      <w:pPr>
        <w:spacing w:line="500" w:lineRule="exact"/>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博爱县住房和城乡建设局</w:t>
      </w:r>
      <w:r>
        <w:rPr>
          <w:rFonts w:hint="eastAsia" w:ascii="宋体" w:hAnsi="宋体" w:cs="宋体"/>
          <w:sz w:val="24"/>
          <w:highlight w:val="none"/>
        </w:rPr>
        <w:t>自收到投诉之日起30个工作日内，对投诉事项作出处理决定并公示。</w:t>
      </w:r>
    </w:p>
    <w:p w14:paraId="3B7A28E6">
      <w:pPr>
        <w:spacing w:line="500" w:lineRule="exact"/>
        <w:ind w:firstLine="480" w:firstLineChars="200"/>
        <w:rPr>
          <w:rFonts w:ascii="宋体" w:hAnsi="宋体" w:cs="宋体"/>
          <w:sz w:val="24"/>
          <w:highlight w:val="none"/>
        </w:rPr>
      </w:pPr>
      <w:r>
        <w:rPr>
          <w:rFonts w:hint="eastAsia" w:ascii="宋体" w:hAnsi="宋体" w:cs="宋体"/>
          <w:sz w:val="24"/>
          <w:highlight w:val="none"/>
        </w:rPr>
        <w:t>投诉人在全国范围12个月内三次以上投诉查无实据的，由财政部门列入不良行为记录名单。</w:t>
      </w:r>
    </w:p>
    <w:p w14:paraId="7801FB9F">
      <w:pPr>
        <w:spacing w:line="500" w:lineRule="exact"/>
        <w:ind w:firstLine="480" w:firstLineChars="200"/>
        <w:rPr>
          <w:rFonts w:ascii="宋体" w:hAnsi="宋体" w:cs="宋体"/>
          <w:sz w:val="24"/>
          <w:highlight w:val="none"/>
        </w:rPr>
      </w:pPr>
      <w:r>
        <w:rPr>
          <w:rFonts w:hint="eastAsia" w:ascii="宋体" w:hAnsi="宋体" w:cs="宋体"/>
          <w:sz w:val="24"/>
          <w:highlight w:val="none"/>
        </w:rPr>
        <w:t>投诉人有财政部94号令第三十七条情形的，属于虚假、恶意投诉，由财政部门列入不良行为记录名单，禁止其1至3年内参加政府采购活动。</w:t>
      </w:r>
    </w:p>
    <w:p w14:paraId="6C5E4D68">
      <w:pPr>
        <w:pStyle w:val="27"/>
        <w:spacing w:line="500" w:lineRule="exact"/>
        <w:ind w:firstLine="480"/>
        <w:rPr>
          <w:rFonts w:ascii="宋体" w:hAnsi="宋体" w:cs="宋体"/>
          <w:sz w:val="24"/>
          <w:highlight w:val="none"/>
        </w:rPr>
      </w:pPr>
    </w:p>
    <w:p w14:paraId="7851A203">
      <w:pPr>
        <w:spacing w:line="500" w:lineRule="exact"/>
        <w:rPr>
          <w:rFonts w:hint="eastAsia" w:ascii="宋体" w:hAnsi="宋体" w:cs="宋体"/>
          <w:sz w:val="24"/>
          <w:highlight w:val="none"/>
          <w:lang w:val="en-US" w:eastAsia="zh-CN"/>
        </w:rPr>
      </w:pPr>
      <w:r>
        <w:rPr>
          <w:rFonts w:hint="eastAsia" w:ascii="宋体" w:hAnsi="宋体" w:eastAsia="宋体" w:cs="宋体"/>
          <w:sz w:val="24"/>
          <w:highlight w:val="none"/>
        </w:rPr>
        <w:t>投诉联系</w:t>
      </w:r>
      <w:r>
        <w:rPr>
          <w:rFonts w:hint="eastAsia" w:ascii="宋体" w:hAnsi="宋体" w:cs="宋体"/>
          <w:sz w:val="24"/>
          <w:highlight w:val="none"/>
        </w:rPr>
        <w:t>电话：0391-8682396</w:t>
      </w:r>
      <w:r>
        <w:rPr>
          <w:rFonts w:hint="eastAsia" w:ascii="宋体" w:hAnsi="宋体" w:cs="宋体"/>
          <w:sz w:val="24"/>
          <w:highlight w:val="none"/>
          <w:lang w:val="en-US" w:eastAsia="zh-CN"/>
        </w:rPr>
        <w:t xml:space="preserve">  </w:t>
      </w:r>
    </w:p>
    <w:p w14:paraId="0C1293E0">
      <w:pPr>
        <w:spacing w:line="500" w:lineRule="exact"/>
        <w:rPr>
          <w:rFonts w:ascii="宋体" w:hAnsi="宋体" w:cs="宋体"/>
          <w:b/>
          <w:bCs/>
          <w:sz w:val="24"/>
          <w:highlight w:val="none"/>
        </w:rPr>
      </w:pPr>
      <w:r>
        <w:rPr>
          <w:rFonts w:hint="eastAsia" w:ascii="宋体" w:hAnsi="宋体" w:cs="宋体"/>
          <w:sz w:val="24"/>
          <w:highlight w:val="none"/>
        </w:rPr>
        <w:t>地址：河南省博爱县发展大道188号机关综合办公楼</w:t>
      </w:r>
      <w:r>
        <w:rPr>
          <w:rFonts w:hint="eastAsia" w:ascii="宋体" w:hAnsi="宋体" w:cs="宋体"/>
          <w:sz w:val="24"/>
          <w:highlight w:val="none"/>
          <w:lang w:val="en-US" w:eastAsia="zh-CN"/>
        </w:rPr>
        <w:t>主</w:t>
      </w:r>
      <w:r>
        <w:rPr>
          <w:rFonts w:hint="eastAsia" w:ascii="宋体" w:hAnsi="宋体" w:cs="宋体"/>
          <w:sz w:val="24"/>
          <w:highlight w:val="none"/>
        </w:rPr>
        <w:t>楼</w:t>
      </w:r>
      <w:r>
        <w:rPr>
          <w:rFonts w:hint="eastAsia" w:ascii="宋体" w:hAnsi="宋体" w:cs="宋体"/>
          <w:sz w:val="24"/>
          <w:highlight w:val="none"/>
          <w:lang w:val="en-US" w:eastAsia="zh-CN"/>
        </w:rPr>
        <w:t>2</w:t>
      </w:r>
      <w:r>
        <w:rPr>
          <w:rFonts w:hint="eastAsia" w:ascii="宋体" w:hAnsi="宋体" w:cs="宋体"/>
          <w:sz w:val="24"/>
          <w:highlight w:val="none"/>
        </w:rPr>
        <w:t>楼</w:t>
      </w:r>
    </w:p>
    <w:p w14:paraId="32F8930D">
      <w:pPr>
        <w:rPr>
          <w:rFonts w:ascii="宋体" w:hAnsi="宋体" w:cs="宋体"/>
          <w:szCs w:val="21"/>
          <w:highlight w:val="none"/>
        </w:rPr>
      </w:pPr>
    </w:p>
    <w:p w14:paraId="46E8AC15">
      <w:pPr>
        <w:rPr>
          <w:szCs w:val="21"/>
          <w:highlight w:val="none"/>
        </w:rPr>
      </w:pPr>
    </w:p>
    <w:p w14:paraId="24BC7593">
      <w:pPr>
        <w:rPr>
          <w:szCs w:val="21"/>
          <w:highlight w:val="none"/>
        </w:rPr>
      </w:pPr>
    </w:p>
    <w:p w14:paraId="74CECD7F">
      <w:pPr>
        <w:rPr>
          <w:szCs w:val="21"/>
          <w:highlight w:val="none"/>
        </w:rPr>
      </w:pPr>
    </w:p>
    <w:p w14:paraId="1170384A">
      <w:pPr>
        <w:rPr>
          <w:szCs w:val="21"/>
          <w:highlight w:val="none"/>
        </w:rPr>
      </w:pPr>
    </w:p>
    <w:p w14:paraId="5E59DF7E">
      <w:pPr>
        <w:rPr>
          <w:szCs w:val="21"/>
          <w:highlight w:val="none"/>
        </w:rPr>
      </w:pPr>
    </w:p>
    <w:p w14:paraId="797B69C7">
      <w:pPr>
        <w:rPr>
          <w:highlight w:val="none"/>
        </w:rPr>
      </w:pPr>
    </w:p>
    <w:p w14:paraId="2F6722F8">
      <w:pPr>
        <w:rPr>
          <w:highlight w:val="none"/>
        </w:rPr>
      </w:pPr>
    </w:p>
    <w:p w14:paraId="3438D375">
      <w:pPr>
        <w:pStyle w:val="2"/>
        <w:rPr>
          <w:highlight w:val="none"/>
        </w:rPr>
      </w:pPr>
    </w:p>
    <w:p w14:paraId="2689CEFC">
      <w:pPr>
        <w:pStyle w:val="22"/>
        <w:rPr>
          <w:highlight w:val="none"/>
        </w:rPr>
      </w:pPr>
    </w:p>
    <w:p w14:paraId="2D13ACB1">
      <w:pPr>
        <w:pStyle w:val="2"/>
        <w:rPr>
          <w:highlight w:val="none"/>
        </w:rPr>
      </w:pPr>
    </w:p>
    <w:p w14:paraId="2EC82AF7">
      <w:pPr>
        <w:pStyle w:val="22"/>
        <w:rPr>
          <w:highlight w:val="none"/>
        </w:rPr>
      </w:pPr>
    </w:p>
    <w:p w14:paraId="3B319A18">
      <w:pPr>
        <w:pStyle w:val="3"/>
        <w:spacing w:line="500" w:lineRule="exact"/>
        <w:rPr>
          <w:rFonts w:ascii="宋体" w:hAnsi="宋体" w:cs="宋体"/>
          <w:highlight w:val="none"/>
        </w:rPr>
      </w:pPr>
      <w:bookmarkStart w:id="275" w:name="_Toc3861"/>
      <w:r>
        <w:rPr>
          <w:rFonts w:hint="eastAsia" w:ascii="宋体" w:hAnsi="宋体" w:cs="宋体"/>
          <w:sz w:val="32"/>
          <w:szCs w:val="32"/>
          <w:highlight w:val="none"/>
        </w:rPr>
        <w:t>第七章 履约验收</w:t>
      </w:r>
      <w:bookmarkEnd w:id="275"/>
    </w:p>
    <w:p w14:paraId="79EA64BA">
      <w:pPr>
        <w:pStyle w:val="26"/>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供应商履约完成后，向采购人提出验收建议，采购人自收到验收建议之日起五个工作日内，采购人组织供应商参与，共同完成验收。技术复杂、专业性强等项目可适当延长验收时间。验收流程如下：</w:t>
      </w:r>
    </w:p>
    <w:p w14:paraId="4A303ECF">
      <w:pPr>
        <w:pStyle w:val="26"/>
        <w:numPr>
          <w:ilvl w:val="0"/>
          <w:numId w:val="11"/>
        </w:numPr>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0270BA1B">
      <w:pPr>
        <w:pStyle w:val="26"/>
        <w:numPr>
          <w:ilvl w:val="0"/>
          <w:numId w:val="11"/>
        </w:numPr>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0C05906A">
      <w:pPr>
        <w:pStyle w:val="26"/>
        <w:numPr>
          <w:ilvl w:val="0"/>
          <w:numId w:val="11"/>
        </w:numPr>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12685034">
      <w:pPr>
        <w:pStyle w:val="26"/>
        <w:numPr>
          <w:ilvl w:val="0"/>
          <w:numId w:val="11"/>
        </w:numPr>
        <w:spacing w:line="50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14:paraId="6E3B3072">
      <w:pPr>
        <w:pStyle w:val="2"/>
        <w:spacing w:line="500" w:lineRule="exact"/>
        <w:rPr>
          <w:rFonts w:ascii="宋体" w:hAnsi="宋体" w:cs="宋体"/>
          <w:sz w:val="24"/>
          <w:highlight w:val="none"/>
        </w:rPr>
      </w:pPr>
    </w:p>
    <w:p w14:paraId="41B738CF">
      <w:pPr>
        <w:pStyle w:val="22"/>
        <w:spacing w:line="500" w:lineRule="exact"/>
        <w:rPr>
          <w:rFonts w:ascii="宋体" w:hAnsi="宋体" w:cs="宋体"/>
          <w:sz w:val="24"/>
          <w:highlight w:val="none"/>
        </w:rPr>
      </w:pPr>
    </w:p>
    <w:p w14:paraId="079D242C">
      <w:pPr>
        <w:pStyle w:val="2"/>
        <w:rPr>
          <w:rFonts w:asciiTheme="minorEastAsia" w:hAnsiTheme="minorEastAsia" w:eastAsiaTheme="minorEastAsia" w:cstheme="minorEastAsia"/>
          <w:szCs w:val="21"/>
          <w:highlight w:val="none"/>
        </w:rPr>
      </w:pPr>
    </w:p>
    <w:p w14:paraId="1FFE9998">
      <w:pPr>
        <w:pStyle w:val="22"/>
        <w:rPr>
          <w:rFonts w:asciiTheme="minorEastAsia" w:hAnsiTheme="minorEastAsia" w:eastAsiaTheme="minorEastAsia" w:cstheme="minorEastAsia"/>
          <w:szCs w:val="21"/>
          <w:highlight w:val="none"/>
        </w:rPr>
      </w:pPr>
    </w:p>
    <w:p w14:paraId="380D880E">
      <w:pPr>
        <w:pStyle w:val="2"/>
        <w:rPr>
          <w:rFonts w:asciiTheme="minorEastAsia" w:hAnsiTheme="minorEastAsia" w:eastAsiaTheme="minorEastAsia" w:cstheme="minorEastAsia"/>
          <w:szCs w:val="21"/>
          <w:highlight w:val="none"/>
        </w:rPr>
      </w:pPr>
    </w:p>
    <w:p w14:paraId="496C6233">
      <w:pPr>
        <w:pStyle w:val="2"/>
        <w:rPr>
          <w:highlight w:val="none"/>
        </w:rPr>
      </w:pPr>
    </w:p>
    <w:p w14:paraId="40007870">
      <w:pPr>
        <w:pStyle w:val="3"/>
        <w:rPr>
          <w:sz w:val="32"/>
          <w:szCs w:val="32"/>
          <w:highlight w:val="none"/>
        </w:rPr>
      </w:pPr>
      <w:bookmarkStart w:id="276" w:name="_Toc21125"/>
      <w:bookmarkStart w:id="277" w:name="_Toc12999"/>
      <w:r>
        <w:rPr>
          <w:rFonts w:hint="eastAsia"/>
          <w:sz w:val="32"/>
          <w:szCs w:val="32"/>
          <w:highlight w:val="none"/>
        </w:rPr>
        <w:t>第八章  投标文件格式</w:t>
      </w:r>
      <w:bookmarkEnd w:id="272"/>
      <w:bookmarkEnd w:id="273"/>
      <w:bookmarkEnd w:id="274"/>
      <w:bookmarkEnd w:id="276"/>
      <w:bookmarkEnd w:id="277"/>
    </w:p>
    <w:p w14:paraId="69A53D05">
      <w:pPr>
        <w:rPr>
          <w:rFonts w:asciiTheme="minorEastAsia" w:hAnsiTheme="minorEastAsia" w:eastAsiaTheme="minorEastAsia" w:cstheme="minorEastAsia"/>
          <w:highlight w:val="none"/>
        </w:rPr>
      </w:pPr>
      <w:bookmarkStart w:id="278" w:name="_Toc403122573"/>
      <w:bookmarkStart w:id="279" w:name="_Toc402961301"/>
      <w:bookmarkStart w:id="280" w:name="_Toc27452"/>
      <w:bookmarkStart w:id="281" w:name="_Toc18905"/>
    </w:p>
    <w:bookmarkEnd w:id="278"/>
    <w:bookmarkEnd w:id="279"/>
    <w:bookmarkEnd w:id="280"/>
    <w:bookmarkEnd w:id="281"/>
    <w:p w14:paraId="795AEA90">
      <w:pPr>
        <w:ind w:firstLine="2891" w:firstLineChars="800"/>
        <w:rPr>
          <w:rFonts w:asciiTheme="minorEastAsia" w:hAnsiTheme="minorEastAsia" w:eastAsiaTheme="minorEastAsia" w:cstheme="minorEastAsia"/>
          <w:highlight w:val="none"/>
        </w:rPr>
      </w:pPr>
      <w:r>
        <w:rPr>
          <w:rFonts w:hint="eastAsia" w:asciiTheme="minorEastAsia" w:hAnsiTheme="minorEastAsia" w:eastAsiaTheme="minorEastAsia" w:cstheme="minorEastAsia"/>
          <w:b/>
          <w:sz w:val="36"/>
          <w:szCs w:val="36"/>
          <w:highlight w:val="none"/>
        </w:rPr>
        <w:t xml:space="preserve">（项目名称）              </w:t>
      </w:r>
    </w:p>
    <w:p w14:paraId="5A0EEBCB">
      <w:pPr>
        <w:spacing w:line="360" w:lineRule="auto"/>
        <w:jc w:val="center"/>
        <w:rPr>
          <w:rFonts w:asciiTheme="minorEastAsia" w:hAnsiTheme="minorEastAsia" w:eastAsiaTheme="minorEastAsia" w:cstheme="minorEastAsia"/>
          <w:b/>
          <w:sz w:val="32"/>
          <w:szCs w:val="32"/>
          <w:highlight w:val="none"/>
        </w:rPr>
      </w:pPr>
    </w:p>
    <w:p w14:paraId="69C4EE6C">
      <w:pPr>
        <w:pStyle w:val="27"/>
        <w:rPr>
          <w:highlight w:val="none"/>
        </w:rPr>
      </w:pPr>
    </w:p>
    <w:p w14:paraId="029D5372">
      <w:pPr>
        <w:pStyle w:val="27"/>
        <w:rPr>
          <w:highlight w:val="none"/>
        </w:rPr>
      </w:pPr>
    </w:p>
    <w:p w14:paraId="3E6AEF5F">
      <w:pPr>
        <w:pStyle w:val="27"/>
        <w:rPr>
          <w:highlight w:val="none"/>
        </w:rPr>
      </w:pPr>
    </w:p>
    <w:p w14:paraId="1D678310">
      <w:pPr>
        <w:spacing w:line="360" w:lineRule="auto"/>
        <w:jc w:val="center"/>
        <w:rPr>
          <w:rFonts w:asciiTheme="minorEastAsia" w:hAnsiTheme="minorEastAsia" w:eastAsiaTheme="minorEastAsia" w:cstheme="minorEastAsia"/>
          <w:b/>
          <w:spacing w:val="24"/>
          <w:kern w:val="10"/>
          <w:sz w:val="52"/>
          <w:szCs w:val="52"/>
          <w:highlight w:val="none"/>
        </w:rPr>
      </w:pPr>
      <w:r>
        <w:rPr>
          <w:rFonts w:hint="eastAsia" w:asciiTheme="minorEastAsia" w:hAnsiTheme="minorEastAsia" w:eastAsiaTheme="minorEastAsia" w:cstheme="minorEastAsia"/>
          <w:b/>
          <w:spacing w:val="24"/>
          <w:kern w:val="10"/>
          <w:sz w:val="52"/>
          <w:szCs w:val="52"/>
          <w:highlight w:val="none"/>
        </w:rPr>
        <w:t>投  标  文  件</w:t>
      </w:r>
    </w:p>
    <w:p w14:paraId="33F7128D">
      <w:pPr>
        <w:jc w:val="center"/>
        <w:rPr>
          <w:rFonts w:asciiTheme="minorEastAsia" w:hAnsiTheme="minorEastAsia" w:eastAsiaTheme="minorEastAsia" w:cstheme="minorEastAsia"/>
          <w:sz w:val="24"/>
          <w:highlight w:val="none"/>
        </w:rPr>
      </w:pPr>
    </w:p>
    <w:p w14:paraId="4C0134F6">
      <w:pPr>
        <w:pStyle w:val="10"/>
        <w:ind w:firstLine="3360" w:firstLineChars="1400"/>
        <w:rPr>
          <w:rFonts w:eastAsiaTheme="minorEastAsia"/>
          <w:highlight w:val="none"/>
        </w:rPr>
      </w:pPr>
      <w:r>
        <w:rPr>
          <w:rFonts w:hint="eastAsia" w:asciiTheme="minorEastAsia" w:hAnsiTheme="minorEastAsia" w:eastAsiaTheme="minorEastAsia" w:cstheme="minorEastAsia"/>
          <w:highlight w:val="none"/>
        </w:rPr>
        <w:t xml:space="preserve"> </w:t>
      </w:r>
    </w:p>
    <w:p w14:paraId="1A37ED0A">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（封面）</w:t>
      </w:r>
    </w:p>
    <w:p w14:paraId="308FBEF1">
      <w:pPr>
        <w:jc w:val="center"/>
        <w:rPr>
          <w:rFonts w:asciiTheme="minorEastAsia" w:hAnsiTheme="minorEastAsia" w:eastAsiaTheme="minorEastAsia" w:cstheme="minorEastAsia"/>
          <w:sz w:val="24"/>
          <w:highlight w:val="none"/>
        </w:rPr>
      </w:pPr>
    </w:p>
    <w:p w14:paraId="406037A0">
      <w:pPr>
        <w:jc w:val="center"/>
        <w:rPr>
          <w:rFonts w:asciiTheme="minorEastAsia" w:hAnsiTheme="minorEastAsia" w:eastAsiaTheme="minorEastAsia" w:cstheme="minorEastAsia"/>
          <w:sz w:val="24"/>
          <w:highlight w:val="none"/>
        </w:rPr>
      </w:pPr>
    </w:p>
    <w:p w14:paraId="0BE5C1EC">
      <w:pPr>
        <w:jc w:val="center"/>
        <w:rPr>
          <w:rFonts w:asciiTheme="minorEastAsia" w:hAnsiTheme="minorEastAsia" w:eastAsiaTheme="minorEastAsia" w:cstheme="minorEastAsia"/>
          <w:sz w:val="24"/>
          <w:highlight w:val="none"/>
        </w:rPr>
      </w:pPr>
    </w:p>
    <w:p w14:paraId="41A3F762">
      <w:pPr>
        <w:rPr>
          <w:rFonts w:asciiTheme="minorEastAsia" w:hAnsiTheme="minorEastAsia" w:eastAsiaTheme="minorEastAsia" w:cstheme="minorEastAsia"/>
          <w:sz w:val="24"/>
          <w:highlight w:val="none"/>
        </w:rPr>
      </w:pPr>
    </w:p>
    <w:p w14:paraId="3CAE9AAB">
      <w:pPr>
        <w:jc w:val="center"/>
        <w:rPr>
          <w:rFonts w:asciiTheme="minorEastAsia" w:hAnsiTheme="minorEastAsia" w:eastAsiaTheme="minorEastAsia" w:cstheme="minorEastAsia"/>
          <w:sz w:val="24"/>
          <w:highlight w:val="none"/>
        </w:rPr>
      </w:pPr>
    </w:p>
    <w:p w14:paraId="4903190F">
      <w:pPr>
        <w:jc w:val="center"/>
        <w:rPr>
          <w:rFonts w:asciiTheme="minorEastAsia" w:hAnsiTheme="minorEastAsia" w:eastAsiaTheme="minorEastAsia" w:cstheme="minorEastAsia"/>
          <w:sz w:val="24"/>
          <w:highlight w:val="none"/>
        </w:rPr>
      </w:pPr>
    </w:p>
    <w:p w14:paraId="24554A46">
      <w:pPr>
        <w:jc w:val="center"/>
        <w:rPr>
          <w:rFonts w:asciiTheme="minorEastAsia" w:hAnsiTheme="minorEastAsia" w:eastAsiaTheme="minorEastAsia" w:cstheme="minorEastAsia"/>
          <w:sz w:val="24"/>
          <w:highlight w:val="none"/>
        </w:rPr>
      </w:pPr>
    </w:p>
    <w:p w14:paraId="0F917864">
      <w:pPr>
        <w:jc w:val="center"/>
        <w:rPr>
          <w:rFonts w:asciiTheme="minorEastAsia" w:hAnsiTheme="minorEastAsia" w:eastAsiaTheme="minorEastAsia" w:cstheme="minorEastAsia"/>
          <w:b/>
          <w:sz w:val="24"/>
          <w:highlight w:val="none"/>
        </w:rPr>
      </w:pPr>
    </w:p>
    <w:p w14:paraId="67B74EC7">
      <w:pPr>
        <w:pStyle w:val="16"/>
        <w:spacing w:line="600" w:lineRule="exact"/>
        <w:ind w:left="1050" w:leftChars="500" w:firstLine="1152" w:firstLineChars="450"/>
        <w:rPr>
          <w:rFonts w:hint="default" w:asciiTheme="minorEastAsia" w:hAnsiTheme="minorEastAsia" w:eastAsiaTheme="minorEastAsia" w:cstheme="minorEastAsia"/>
          <w:sz w:val="24"/>
          <w:highlight w:val="none"/>
        </w:rPr>
      </w:pPr>
      <w:r>
        <w:rPr>
          <w:rFonts w:asciiTheme="minorEastAsia" w:hAnsiTheme="minorEastAsia" w:eastAsiaTheme="minorEastAsia" w:cstheme="minorEastAsia"/>
          <w:spacing w:val="8"/>
          <w:sz w:val="24"/>
          <w:highlight w:val="none"/>
        </w:rPr>
        <w:t>供  应  商：</w:t>
      </w:r>
      <w:r>
        <w:rPr>
          <w:rFonts w:asciiTheme="minorEastAsia" w:hAnsiTheme="minorEastAsia" w:eastAsiaTheme="minorEastAsia" w:cstheme="minorEastAsia"/>
          <w:sz w:val="24"/>
          <w:highlight w:val="none"/>
        </w:rPr>
        <w:t>（单位公章）</w:t>
      </w:r>
    </w:p>
    <w:p w14:paraId="3FBA9FAA">
      <w:pPr>
        <w:pStyle w:val="16"/>
        <w:spacing w:line="600" w:lineRule="exact"/>
        <w:ind w:left="1050" w:leftChars="500" w:firstLine="1200" w:firstLineChars="500"/>
        <w:rPr>
          <w:rFonts w:hint="default"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法定代表人或</w:t>
      </w:r>
      <w:r>
        <w:rPr>
          <w:rFonts w:asciiTheme="minorEastAsia" w:hAnsiTheme="minorEastAsia" w:eastAsiaTheme="minorEastAsia" w:cstheme="minorEastAsia"/>
          <w:spacing w:val="12"/>
          <w:sz w:val="24"/>
          <w:highlight w:val="none"/>
        </w:rPr>
        <w:t>委托代理人：</w:t>
      </w:r>
      <w:r>
        <w:rPr>
          <w:rFonts w:asciiTheme="minorEastAsia" w:hAnsiTheme="minorEastAsia" w:eastAsiaTheme="minorEastAsia" w:cstheme="minorEastAsia"/>
          <w:sz w:val="24"/>
          <w:highlight w:val="none"/>
        </w:rPr>
        <w:t xml:space="preserve">（签字或盖章）  </w:t>
      </w:r>
    </w:p>
    <w:p w14:paraId="2D1FB5DC">
      <w:pPr>
        <w:pStyle w:val="16"/>
        <w:spacing w:line="600" w:lineRule="exact"/>
        <w:ind w:left="1050" w:leftChars="500" w:firstLine="1200" w:firstLineChars="500"/>
        <w:rPr>
          <w:rFonts w:hint="default" w:asciiTheme="minorEastAsia" w:hAnsiTheme="minorEastAsia" w:eastAsiaTheme="minorEastAsia" w:cstheme="minorEastAsia"/>
          <w:b/>
          <w:bCs/>
          <w:sz w:val="28"/>
          <w:szCs w:val="28"/>
          <w:highlight w:val="none"/>
        </w:rPr>
      </w:pPr>
      <w:r>
        <w:rPr>
          <w:rFonts w:asciiTheme="minorEastAsia" w:hAnsiTheme="minorEastAsia" w:eastAsiaTheme="minorEastAsia" w:cstheme="minorEastAsia"/>
          <w:sz w:val="24"/>
          <w:highlight w:val="none"/>
        </w:rPr>
        <w:t>日       期：       年    月    日</w:t>
      </w:r>
    </w:p>
    <w:p w14:paraId="3D94824C">
      <w:pPr>
        <w:ind w:firstLine="540" w:firstLineChars="192"/>
        <w:jc w:val="center"/>
        <w:rPr>
          <w:rFonts w:asciiTheme="minorEastAsia" w:hAnsiTheme="minorEastAsia" w:eastAsiaTheme="minorEastAsia" w:cstheme="minorEastAsia"/>
          <w:b/>
          <w:bCs/>
          <w:sz w:val="28"/>
          <w:szCs w:val="28"/>
          <w:highlight w:val="none"/>
        </w:rPr>
      </w:pPr>
    </w:p>
    <w:p w14:paraId="49E50437">
      <w:pPr>
        <w:ind w:firstLine="848" w:firstLineChars="192"/>
        <w:jc w:val="center"/>
        <w:rPr>
          <w:rFonts w:asciiTheme="minorEastAsia" w:hAnsiTheme="minorEastAsia" w:eastAsiaTheme="minorEastAsia" w:cstheme="minorEastAsia"/>
          <w:b/>
          <w:bCs/>
          <w:sz w:val="44"/>
          <w:szCs w:val="44"/>
          <w:highlight w:val="none"/>
        </w:rPr>
      </w:pPr>
    </w:p>
    <w:p w14:paraId="7EA21CE0">
      <w:pPr>
        <w:pStyle w:val="27"/>
        <w:ind w:firstLine="883"/>
        <w:rPr>
          <w:rFonts w:asciiTheme="minorEastAsia" w:hAnsiTheme="minorEastAsia" w:eastAsiaTheme="minorEastAsia" w:cstheme="minorEastAsia"/>
          <w:b/>
          <w:bCs/>
          <w:sz w:val="44"/>
          <w:szCs w:val="44"/>
          <w:highlight w:val="none"/>
        </w:rPr>
      </w:pPr>
    </w:p>
    <w:p w14:paraId="4202DA02">
      <w:pPr>
        <w:rPr>
          <w:rFonts w:asciiTheme="minorEastAsia" w:hAnsiTheme="minorEastAsia" w:eastAsiaTheme="minorEastAsia" w:cstheme="minorEastAsia"/>
          <w:b/>
          <w:bCs/>
          <w:sz w:val="44"/>
          <w:szCs w:val="44"/>
          <w:highlight w:val="none"/>
        </w:rPr>
      </w:pPr>
    </w:p>
    <w:p w14:paraId="5649CFA5">
      <w:pPr>
        <w:jc w:val="center"/>
        <w:rPr>
          <w:rFonts w:asciiTheme="minorEastAsia" w:hAnsiTheme="minorEastAsia" w:eastAsiaTheme="minorEastAsia" w:cstheme="minorEastAsia"/>
          <w:b/>
          <w:bCs/>
          <w:sz w:val="44"/>
          <w:szCs w:val="44"/>
          <w:highlight w:val="none"/>
        </w:rPr>
      </w:pPr>
    </w:p>
    <w:p w14:paraId="6C585CED">
      <w:pPr>
        <w:jc w:val="center"/>
        <w:rPr>
          <w:rFonts w:asciiTheme="minorEastAsia" w:hAnsiTheme="minorEastAsia" w:eastAsiaTheme="minorEastAsia" w:cstheme="minorEastAsia"/>
          <w:b/>
          <w:bCs/>
          <w:sz w:val="44"/>
          <w:szCs w:val="44"/>
          <w:highlight w:val="none"/>
        </w:rPr>
      </w:pPr>
    </w:p>
    <w:p w14:paraId="7447CEC0">
      <w:pPr>
        <w:jc w:val="center"/>
        <w:rPr>
          <w:rFonts w:asciiTheme="minorEastAsia" w:hAnsiTheme="minorEastAsia" w:eastAsiaTheme="minorEastAsia" w:cstheme="minorEastAsia"/>
          <w:b/>
          <w:bCs/>
          <w:sz w:val="44"/>
          <w:szCs w:val="44"/>
          <w:highlight w:val="none"/>
        </w:rPr>
      </w:pPr>
    </w:p>
    <w:p w14:paraId="69DAC9BB">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44"/>
          <w:szCs w:val="44"/>
          <w:highlight w:val="none"/>
        </w:rPr>
        <w:t>目    录</w:t>
      </w:r>
    </w:p>
    <w:p w14:paraId="2A478D82">
      <w:pPr>
        <w:spacing w:line="600" w:lineRule="exact"/>
        <w:jc w:val="center"/>
        <w:outlineLvl w:val="1"/>
        <w:rPr>
          <w:rFonts w:asciiTheme="minorEastAsia" w:hAnsiTheme="minorEastAsia" w:eastAsiaTheme="minorEastAsia" w:cstheme="minorEastAsia"/>
          <w:b/>
          <w:bCs/>
          <w:sz w:val="28"/>
          <w:szCs w:val="28"/>
          <w:highlight w:val="none"/>
        </w:rPr>
      </w:pPr>
      <w:bookmarkStart w:id="282" w:name="_Toc31547"/>
      <w:bookmarkStart w:id="283" w:name="_Toc2130"/>
      <w:r>
        <w:rPr>
          <w:rFonts w:hint="eastAsia" w:asciiTheme="minorEastAsia" w:hAnsiTheme="minorEastAsia" w:eastAsiaTheme="minorEastAsia" w:cstheme="minorEastAsia"/>
          <w:szCs w:val="21"/>
          <w:highlight w:val="none"/>
        </w:rPr>
        <w:t>（自拟）</w:t>
      </w:r>
      <w:r>
        <w:rPr>
          <w:rFonts w:hint="eastAsia" w:asciiTheme="minorEastAsia" w:hAnsiTheme="minorEastAsia" w:eastAsiaTheme="minorEastAsia" w:cstheme="minorEastAsia"/>
          <w:szCs w:val="21"/>
          <w:highlight w:val="none"/>
        </w:rPr>
        <w:br w:type="page"/>
      </w:r>
      <w:bookmarkStart w:id="284" w:name="_Toc1921"/>
      <w:r>
        <w:rPr>
          <w:rFonts w:hint="eastAsia" w:asciiTheme="minorEastAsia" w:hAnsiTheme="minorEastAsia" w:eastAsiaTheme="minorEastAsia" w:cstheme="minorEastAsia"/>
          <w:b/>
          <w:bCs/>
          <w:sz w:val="30"/>
          <w:szCs w:val="30"/>
          <w:highlight w:val="none"/>
        </w:rPr>
        <w:t>一、投标函</w:t>
      </w:r>
      <w:bookmarkEnd w:id="282"/>
      <w:r>
        <w:rPr>
          <w:rFonts w:hint="eastAsia" w:asciiTheme="minorEastAsia" w:hAnsiTheme="minorEastAsia" w:eastAsiaTheme="minorEastAsia" w:cstheme="minorEastAsia"/>
          <w:b/>
          <w:bCs/>
          <w:sz w:val="30"/>
          <w:szCs w:val="30"/>
          <w:highlight w:val="none"/>
        </w:rPr>
        <w:t>及开标一览表</w:t>
      </w:r>
      <w:bookmarkEnd w:id="283"/>
      <w:bookmarkEnd w:id="284"/>
    </w:p>
    <w:p w14:paraId="5842B7A7">
      <w:pPr>
        <w:numPr>
          <w:ilvl w:val="0"/>
          <w:numId w:val="12"/>
        </w:numPr>
        <w:spacing w:line="600" w:lineRule="exact"/>
        <w:jc w:val="center"/>
        <w:outlineLvl w:val="2"/>
        <w:rPr>
          <w:rFonts w:asciiTheme="minorEastAsia" w:hAnsiTheme="minorEastAsia" w:eastAsiaTheme="minorEastAsia" w:cstheme="minorEastAsia"/>
          <w:b/>
          <w:sz w:val="28"/>
          <w:szCs w:val="28"/>
          <w:highlight w:val="none"/>
        </w:rPr>
      </w:pPr>
      <w:bookmarkStart w:id="285" w:name="_Toc600"/>
      <w:bookmarkStart w:id="286" w:name="_Toc27218"/>
      <w:bookmarkStart w:id="287" w:name="_Toc28684"/>
      <w:bookmarkStart w:id="288" w:name="_Toc12044"/>
      <w:r>
        <w:rPr>
          <w:rFonts w:hint="eastAsia" w:asciiTheme="minorEastAsia" w:hAnsiTheme="minorEastAsia" w:eastAsiaTheme="minorEastAsia" w:cstheme="minorEastAsia"/>
          <w:b/>
          <w:sz w:val="28"/>
          <w:szCs w:val="28"/>
          <w:highlight w:val="none"/>
        </w:rPr>
        <w:t>投标函</w:t>
      </w:r>
      <w:bookmarkEnd w:id="285"/>
      <w:bookmarkEnd w:id="286"/>
      <w:bookmarkEnd w:id="287"/>
      <w:bookmarkEnd w:id="288"/>
    </w:p>
    <w:p w14:paraId="073D53F8">
      <w:pPr>
        <w:pStyle w:val="27"/>
        <w:ind w:firstLine="0" w:firstLineChars="0"/>
        <w:rPr>
          <w:highlight w:val="none"/>
        </w:rPr>
      </w:pPr>
    </w:p>
    <w:p w14:paraId="05EE3CF5">
      <w:pPr>
        <w:widowControl/>
        <w:spacing w:line="360" w:lineRule="auto"/>
        <w:ind w:firstLine="562" w:firstLineChars="200"/>
        <w:rPr>
          <w:rFonts w:ascii="宋体" w:hAnsi="宋体"/>
          <w:b/>
          <w:bCs/>
          <w:kern w:val="0"/>
          <w:sz w:val="28"/>
          <w:szCs w:val="28"/>
          <w:highlight w:val="none"/>
          <w:u w:val="single"/>
        </w:rPr>
      </w:pPr>
      <w:r>
        <w:rPr>
          <w:rFonts w:hint="eastAsia" w:ascii="宋体" w:hAnsi="宋体"/>
          <w:b/>
          <w:bCs/>
          <w:kern w:val="0"/>
          <w:sz w:val="28"/>
          <w:szCs w:val="28"/>
          <w:highlight w:val="none"/>
        </w:rPr>
        <w:t>致：</w:t>
      </w:r>
      <w:r>
        <w:rPr>
          <w:rFonts w:hint="eastAsia" w:ascii="宋体" w:hAnsi="宋体"/>
          <w:b/>
          <w:bCs/>
          <w:kern w:val="0"/>
          <w:sz w:val="28"/>
          <w:szCs w:val="28"/>
          <w:highlight w:val="none"/>
          <w:u w:val="single"/>
        </w:rPr>
        <w:t xml:space="preserve">                    （采购人名称） </w:t>
      </w:r>
    </w:p>
    <w:p w14:paraId="243B50FA">
      <w:pPr>
        <w:pStyle w:val="26"/>
        <w:spacing w:line="360" w:lineRule="auto"/>
        <w:ind w:firstLine="480" w:firstLineChars="200"/>
        <w:rPr>
          <w:rFonts w:hint="default" w:ascii="宋体" w:hAnsi="宋体" w:eastAsia="宋体"/>
          <w:sz w:val="24"/>
          <w:highlight w:val="none"/>
        </w:rPr>
      </w:pPr>
      <w:r>
        <w:rPr>
          <w:rFonts w:ascii="宋体" w:hAnsi="宋体" w:eastAsia="宋体"/>
          <w:sz w:val="24"/>
          <w:highlight w:val="none"/>
        </w:rPr>
        <w:t>我单位已收到的</w:t>
      </w:r>
      <w:r>
        <w:rPr>
          <w:rFonts w:ascii="宋体" w:hAnsi="宋体" w:eastAsia="宋体"/>
          <w:sz w:val="24"/>
          <w:highlight w:val="none"/>
          <w:u w:val="single"/>
        </w:rPr>
        <w:t xml:space="preserve">                           </w:t>
      </w:r>
      <w:r>
        <w:rPr>
          <w:rFonts w:ascii="宋体" w:hAnsi="宋体" w:eastAsia="宋体"/>
          <w:sz w:val="24"/>
          <w:highlight w:val="none"/>
        </w:rPr>
        <w:t xml:space="preserve"> 项目采购文件及有关纪要通知，现对参与投标及中标后工作，做出如下郑重承诺：</w:t>
      </w:r>
    </w:p>
    <w:p w14:paraId="20C6D367">
      <w:pPr>
        <w:spacing w:line="360" w:lineRule="auto"/>
        <w:ind w:firstLine="480" w:firstLineChars="200"/>
        <w:rPr>
          <w:rFonts w:ascii="宋体" w:hAnsi="宋体"/>
          <w:sz w:val="24"/>
          <w:highlight w:val="none"/>
        </w:rPr>
      </w:pPr>
      <w:r>
        <w:rPr>
          <w:rFonts w:hint="eastAsia" w:ascii="宋体" w:hAnsi="宋体"/>
          <w:sz w:val="24"/>
          <w:highlight w:val="none"/>
        </w:rPr>
        <w:t>1.我方愿以总价为人民币（大写）</w:t>
      </w:r>
      <w:r>
        <w:rPr>
          <w:rFonts w:hint="eastAsia" w:ascii="宋体" w:hAnsi="宋体"/>
          <w:sz w:val="24"/>
          <w:highlight w:val="none"/>
          <w:u w:val="single"/>
        </w:rPr>
        <w:t xml:space="preserve">             </w:t>
      </w:r>
      <w:r>
        <w:rPr>
          <w:rFonts w:hint="eastAsia" w:ascii="宋体" w:hAnsi="宋体"/>
          <w:sz w:val="24"/>
          <w:highlight w:val="none"/>
        </w:rPr>
        <w:t xml:space="preserve">（小写）￥ </w:t>
      </w:r>
      <w:r>
        <w:rPr>
          <w:rFonts w:hint="eastAsia" w:ascii="宋体" w:hAnsi="宋体"/>
          <w:sz w:val="24"/>
          <w:highlight w:val="none"/>
          <w:u w:val="single"/>
        </w:rPr>
        <w:t xml:space="preserve">           </w:t>
      </w:r>
      <w:r>
        <w:rPr>
          <w:rFonts w:hint="eastAsia" w:ascii="宋体" w:hAnsi="宋体"/>
          <w:sz w:val="24"/>
          <w:highlight w:val="none"/>
        </w:rPr>
        <w:t>元，合同履行期限（供货安装期）：</w:t>
      </w:r>
      <w:r>
        <w:rPr>
          <w:rFonts w:hint="eastAsia" w:ascii="宋体" w:hAnsi="宋体"/>
          <w:sz w:val="24"/>
          <w:highlight w:val="none"/>
          <w:u w:val="single"/>
        </w:rPr>
        <w:t xml:space="preserve">           </w:t>
      </w:r>
      <w:r>
        <w:rPr>
          <w:rFonts w:hint="eastAsia" w:ascii="宋体" w:hAnsi="宋体"/>
          <w:sz w:val="24"/>
          <w:highlight w:val="none"/>
        </w:rPr>
        <w:t xml:space="preserve"> ，按合同约定实施和完成本项目。 </w:t>
      </w:r>
    </w:p>
    <w:p w14:paraId="18107454">
      <w:pPr>
        <w:widowControl/>
        <w:spacing w:line="360" w:lineRule="auto"/>
        <w:ind w:firstLine="480" w:firstLineChars="200"/>
        <w:rPr>
          <w:rFonts w:ascii="宋体" w:hAnsi="宋体" w:cs="宋体"/>
          <w:strike/>
          <w:sz w:val="24"/>
          <w:highlight w:val="none"/>
        </w:rPr>
      </w:pPr>
      <w:r>
        <w:rPr>
          <w:rFonts w:hint="eastAsia" w:ascii="宋体" w:hAnsi="宋体" w:cs="宋体"/>
          <w:sz w:val="24"/>
          <w:highlight w:val="none"/>
        </w:rPr>
        <w:t>2.</w:t>
      </w:r>
      <w:r>
        <w:rPr>
          <w:rFonts w:hint="eastAsia" w:ascii="宋体" w:hAnsi="宋体"/>
          <w:sz w:val="24"/>
          <w:highlight w:val="none"/>
        </w:rPr>
        <w:t>在响应性文件递交截止时间后至确定成交人的</w:t>
      </w:r>
      <w:r>
        <w:rPr>
          <w:highlight w:val="none"/>
        </w:rPr>
        <w:fldChar w:fldCharType="begin"/>
      </w:r>
      <w:r>
        <w:rPr>
          <w:highlight w:val="none"/>
        </w:rPr>
        <w:instrText xml:space="preserve"> HYPERLINK "https://baike.so.com/doc/5394983-5632135.html" \t "https://baike.so.com/doc/_blank" </w:instrText>
      </w:r>
      <w:r>
        <w:rPr>
          <w:highlight w:val="none"/>
        </w:rPr>
        <w:fldChar w:fldCharType="separate"/>
      </w:r>
      <w:r>
        <w:rPr>
          <w:rFonts w:ascii="宋体" w:hAnsi="宋体"/>
          <w:sz w:val="24"/>
          <w:highlight w:val="none"/>
        </w:rPr>
        <w:t>投标有效期</w:t>
      </w:r>
      <w:r>
        <w:rPr>
          <w:rFonts w:ascii="宋体" w:hAnsi="宋体"/>
          <w:sz w:val="24"/>
          <w:highlight w:val="none"/>
        </w:rPr>
        <w:fldChar w:fldCharType="end"/>
      </w:r>
      <w:r>
        <w:rPr>
          <w:rFonts w:ascii="宋体" w:hAnsi="宋体"/>
          <w:sz w:val="24"/>
          <w:highlight w:val="none"/>
        </w:rPr>
        <w:t>内</w:t>
      </w:r>
      <w:r>
        <w:rPr>
          <w:rFonts w:hint="eastAsia" w:ascii="宋体" w:hAnsi="宋体"/>
          <w:sz w:val="24"/>
          <w:highlight w:val="none"/>
        </w:rPr>
        <w:t>，我单位不得要求退出竞标或者修改响应性文件。</w:t>
      </w:r>
    </w:p>
    <w:p w14:paraId="44FB9872">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3.我方明白采购人不一定接纳最低投标报价的采购，也不需要采购人解释选择或否决任何供应商的原因和理由。</w:t>
      </w:r>
    </w:p>
    <w:p w14:paraId="3C9C001B">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006498B2">
      <w:pPr>
        <w:spacing w:line="360" w:lineRule="auto"/>
        <w:ind w:firstLine="480" w:firstLineChars="200"/>
        <w:jc w:val="left"/>
        <w:rPr>
          <w:highlight w:val="none"/>
        </w:rPr>
      </w:pPr>
      <w:r>
        <w:rPr>
          <w:rFonts w:hint="eastAsia" w:ascii="宋体" w:hAnsi="宋体" w:cs="宋体"/>
          <w:sz w:val="24"/>
          <w:highlight w:val="none"/>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14:paraId="09CADABB">
      <w:pPr>
        <w:adjustRightInd w:val="0"/>
        <w:snapToGrid w:val="0"/>
        <w:spacing w:before="190" w:beforeLines="50" w:line="360" w:lineRule="auto"/>
        <w:ind w:right="960"/>
        <w:rPr>
          <w:rFonts w:ascii="宋体" w:hAnsi="宋体" w:cs="宋体"/>
          <w:sz w:val="24"/>
          <w:highlight w:val="none"/>
        </w:rPr>
      </w:pPr>
      <w:r>
        <w:rPr>
          <w:rFonts w:hint="eastAsia" w:ascii="宋体" w:hAnsi="宋体" w:cs="宋体"/>
          <w:sz w:val="24"/>
          <w:highlight w:val="none"/>
        </w:rPr>
        <w:t>供应商名称（单位电子签章）：</w:t>
      </w:r>
    </w:p>
    <w:p w14:paraId="3E9325B8">
      <w:pPr>
        <w:adjustRightInd w:val="0"/>
        <w:snapToGrid w:val="0"/>
        <w:spacing w:before="190" w:beforeLines="50" w:line="360" w:lineRule="auto"/>
        <w:ind w:right="420"/>
        <w:rPr>
          <w:rFonts w:ascii="宋体" w:hAnsi="宋体" w:cs="宋体"/>
          <w:sz w:val="24"/>
          <w:highlight w:val="none"/>
        </w:rPr>
      </w:pPr>
      <w:r>
        <w:rPr>
          <w:rFonts w:hint="eastAsia" w:ascii="宋体" w:hAnsi="宋体"/>
          <w:kern w:val="0"/>
          <w:sz w:val="24"/>
          <w:highlight w:val="none"/>
        </w:rPr>
        <w:t>法定代表人或授权委托代理人：（签字或盖章）</w:t>
      </w:r>
    </w:p>
    <w:p w14:paraId="49732B93">
      <w:pPr>
        <w:adjustRightInd w:val="0"/>
        <w:snapToGrid w:val="0"/>
        <w:spacing w:line="440" w:lineRule="exact"/>
        <w:ind w:firstLine="5400" w:firstLineChars="2250"/>
        <w:rPr>
          <w:rFonts w:ascii="宋体" w:hAnsi="宋体" w:cs="宋体"/>
          <w:sz w:val="24"/>
          <w:highlight w:val="none"/>
        </w:rPr>
      </w:pPr>
      <w:r>
        <w:rPr>
          <w:rFonts w:hint="eastAsia" w:ascii="宋体" w:hAnsi="宋体" w:cs="宋体"/>
          <w:sz w:val="24"/>
          <w:highlight w:val="none"/>
        </w:rPr>
        <w:t>年   月    日</w:t>
      </w:r>
    </w:p>
    <w:p w14:paraId="156AAD9F">
      <w:pPr>
        <w:spacing w:line="500" w:lineRule="exact"/>
        <w:jc w:val="center"/>
        <w:outlineLvl w:val="2"/>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br w:type="page"/>
      </w:r>
      <w:bookmarkStart w:id="289" w:name="_Toc9543"/>
      <w:bookmarkStart w:id="290" w:name="_Toc31291"/>
      <w:bookmarkStart w:id="291" w:name="_Toc208"/>
      <w:bookmarkStart w:id="292" w:name="_Toc14778"/>
      <w:r>
        <w:rPr>
          <w:rFonts w:hint="eastAsia" w:asciiTheme="minorEastAsia" w:hAnsiTheme="minorEastAsia" w:eastAsiaTheme="minorEastAsia" w:cstheme="minorEastAsia"/>
          <w:b/>
          <w:bCs/>
          <w:sz w:val="28"/>
          <w:szCs w:val="28"/>
          <w:highlight w:val="none"/>
        </w:rPr>
        <w:t>（二） 开标一览表</w:t>
      </w:r>
      <w:bookmarkEnd w:id="289"/>
      <w:bookmarkEnd w:id="290"/>
      <w:bookmarkEnd w:id="291"/>
      <w:bookmarkEnd w:id="292"/>
    </w:p>
    <w:p w14:paraId="08C3A6CA">
      <w:pPr>
        <w:jc w:val="center"/>
        <w:rPr>
          <w:rFonts w:asciiTheme="minorEastAsia" w:hAnsiTheme="minorEastAsia" w:eastAsiaTheme="minorEastAsia" w:cstheme="minorEastAsia"/>
          <w:b/>
          <w:bCs/>
          <w:sz w:val="28"/>
          <w:highlight w:val="none"/>
        </w:rPr>
      </w:pPr>
    </w:p>
    <w:tbl>
      <w:tblPr>
        <w:tblStyle w:val="28"/>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14:paraId="40D5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14:paraId="703DF70C">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w:t>
            </w:r>
          </w:p>
        </w:tc>
        <w:tc>
          <w:tcPr>
            <w:tcW w:w="5898" w:type="dxa"/>
            <w:vAlign w:val="center"/>
          </w:tcPr>
          <w:p w14:paraId="4FE60729">
            <w:pPr>
              <w:pStyle w:val="13"/>
              <w:spacing w:line="400" w:lineRule="exact"/>
              <w:ind w:firstLine="480"/>
              <w:rPr>
                <w:rFonts w:asciiTheme="minorEastAsia" w:hAnsiTheme="minorEastAsia" w:eastAsiaTheme="minorEastAsia" w:cstheme="minorEastAsia"/>
                <w:sz w:val="24"/>
                <w:szCs w:val="20"/>
                <w:highlight w:val="none"/>
              </w:rPr>
            </w:pPr>
          </w:p>
        </w:tc>
      </w:tr>
      <w:tr w14:paraId="7D4B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14:paraId="08C4DB13">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 标 人</w:t>
            </w:r>
          </w:p>
        </w:tc>
        <w:tc>
          <w:tcPr>
            <w:tcW w:w="5898" w:type="dxa"/>
            <w:vAlign w:val="center"/>
          </w:tcPr>
          <w:p w14:paraId="0FBA58F7">
            <w:pPr>
              <w:pStyle w:val="13"/>
              <w:spacing w:line="400" w:lineRule="exact"/>
              <w:ind w:firstLine="480"/>
              <w:rPr>
                <w:rFonts w:asciiTheme="minorEastAsia" w:hAnsiTheme="minorEastAsia" w:eastAsiaTheme="minorEastAsia" w:cstheme="minorEastAsia"/>
                <w:sz w:val="24"/>
                <w:szCs w:val="20"/>
                <w:highlight w:val="none"/>
              </w:rPr>
            </w:pPr>
          </w:p>
        </w:tc>
      </w:tr>
      <w:tr w14:paraId="2A21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14:paraId="5514A26F">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投标总报价</w:t>
            </w:r>
          </w:p>
        </w:tc>
        <w:tc>
          <w:tcPr>
            <w:tcW w:w="5898" w:type="dxa"/>
            <w:vAlign w:val="center"/>
          </w:tcPr>
          <w:p w14:paraId="5A658020">
            <w:pPr>
              <w:pStyle w:val="13"/>
              <w:spacing w:line="400" w:lineRule="exact"/>
              <w:ind w:firstLine="480"/>
              <w:rPr>
                <w:rFonts w:asciiTheme="minorEastAsia" w:hAnsiTheme="minorEastAsia" w:eastAsiaTheme="minorEastAsia" w:cstheme="minorEastAsia"/>
                <w:sz w:val="24"/>
                <w:szCs w:val="20"/>
                <w:highlight w:val="none"/>
              </w:rPr>
            </w:pPr>
            <w:r>
              <w:rPr>
                <w:rFonts w:hint="eastAsia" w:asciiTheme="minorEastAsia" w:hAnsiTheme="minorEastAsia" w:eastAsiaTheme="minorEastAsia" w:cstheme="minorEastAsia"/>
                <w:sz w:val="24"/>
                <w:szCs w:val="20"/>
                <w:highlight w:val="none"/>
              </w:rPr>
              <w:t xml:space="preserve">（大写）                                </w:t>
            </w:r>
          </w:p>
          <w:p w14:paraId="3E0915D9">
            <w:pPr>
              <w:pStyle w:val="13"/>
              <w:spacing w:line="400" w:lineRule="exact"/>
              <w:ind w:firstLine="480"/>
              <w:rPr>
                <w:rFonts w:asciiTheme="minorEastAsia" w:hAnsiTheme="minorEastAsia" w:eastAsiaTheme="minorEastAsia" w:cstheme="minorEastAsia"/>
                <w:sz w:val="24"/>
                <w:szCs w:val="20"/>
                <w:highlight w:val="none"/>
              </w:rPr>
            </w:pPr>
            <w:r>
              <w:rPr>
                <w:rFonts w:hint="eastAsia" w:asciiTheme="minorEastAsia" w:hAnsiTheme="minorEastAsia" w:eastAsiaTheme="minorEastAsia" w:cstheme="minorEastAsia"/>
                <w:sz w:val="24"/>
                <w:szCs w:val="20"/>
                <w:highlight w:val="none"/>
              </w:rPr>
              <w:t xml:space="preserve">（小写）                                </w:t>
            </w:r>
          </w:p>
        </w:tc>
      </w:tr>
      <w:tr w14:paraId="2573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14:paraId="1553DA54">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质量标准</w:t>
            </w:r>
          </w:p>
        </w:tc>
        <w:tc>
          <w:tcPr>
            <w:tcW w:w="5898" w:type="dxa"/>
            <w:vAlign w:val="center"/>
          </w:tcPr>
          <w:p w14:paraId="6C625080">
            <w:pPr>
              <w:pStyle w:val="13"/>
              <w:spacing w:line="400" w:lineRule="exact"/>
              <w:ind w:firstLine="480"/>
              <w:rPr>
                <w:rFonts w:asciiTheme="minorEastAsia" w:hAnsiTheme="minorEastAsia" w:eastAsiaTheme="minorEastAsia" w:cstheme="minorEastAsia"/>
                <w:sz w:val="24"/>
                <w:szCs w:val="20"/>
                <w:highlight w:val="none"/>
              </w:rPr>
            </w:pPr>
          </w:p>
        </w:tc>
      </w:tr>
      <w:tr w14:paraId="0906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5018771D">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合同履行期限</w:t>
            </w:r>
          </w:p>
          <w:p w14:paraId="4B171B4B">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（供货安装期）</w:t>
            </w:r>
          </w:p>
        </w:tc>
        <w:tc>
          <w:tcPr>
            <w:tcW w:w="5898" w:type="dxa"/>
            <w:vAlign w:val="center"/>
          </w:tcPr>
          <w:p w14:paraId="132E6FC5">
            <w:pPr>
              <w:pStyle w:val="13"/>
              <w:spacing w:line="400" w:lineRule="exact"/>
              <w:ind w:firstLine="480"/>
              <w:rPr>
                <w:rFonts w:asciiTheme="minorEastAsia" w:hAnsiTheme="minorEastAsia" w:eastAsiaTheme="minorEastAsia" w:cstheme="minorEastAsia"/>
                <w:sz w:val="24"/>
                <w:szCs w:val="20"/>
                <w:highlight w:val="none"/>
              </w:rPr>
            </w:pPr>
          </w:p>
        </w:tc>
      </w:tr>
      <w:tr w14:paraId="360A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620036C0">
            <w:pPr>
              <w:spacing w:line="300" w:lineRule="exact"/>
              <w:jc w:val="center"/>
              <w:rPr>
                <w:rFonts w:asciiTheme="minorEastAsia" w:hAnsiTheme="minorEastAsia" w:eastAsiaTheme="minorEastAsia" w:cstheme="minorEastAsia"/>
                <w:bCs/>
                <w:iCs/>
                <w:sz w:val="24"/>
                <w:highlight w:val="none"/>
              </w:rPr>
            </w:pPr>
            <w:r>
              <w:rPr>
                <w:rFonts w:hint="eastAsia" w:asciiTheme="minorEastAsia" w:hAnsiTheme="minorEastAsia" w:eastAsiaTheme="minorEastAsia" w:cstheme="minorEastAsia"/>
                <w:bCs/>
                <w:iCs/>
                <w:sz w:val="24"/>
                <w:highlight w:val="none"/>
              </w:rPr>
              <w:t>质保期</w:t>
            </w:r>
          </w:p>
        </w:tc>
        <w:tc>
          <w:tcPr>
            <w:tcW w:w="5898" w:type="dxa"/>
            <w:vAlign w:val="center"/>
          </w:tcPr>
          <w:p w14:paraId="51E6D5DF">
            <w:pPr>
              <w:pStyle w:val="13"/>
              <w:spacing w:line="400" w:lineRule="exact"/>
              <w:ind w:firstLine="480"/>
              <w:rPr>
                <w:rFonts w:asciiTheme="minorEastAsia" w:hAnsiTheme="minorEastAsia" w:eastAsiaTheme="minorEastAsia" w:cstheme="minorEastAsia"/>
                <w:sz w:val="24"/>
                <w:szCs w:val="20"/>
                <w:highlight w:val="none"/>
              </w:rPr>
            </w:pPr>
          </w:p>
        </w:tc>
      </w:tr>
      <w:tr w14:paraId="4A5F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0C47B275">
            <w:pPr>
              <w:spacing w:line="300" w:lineRule="exact"/>
              <w:jc w:val="center"/>
              <w:rPr>
                <w:rFonts w:asciiTheme="minorEastAsia" w:hAnsiTheme="minorEastAsia" w:eastAsiaTheme="minorEastAsia" w:cstheme="minorEastAsia"/>
                <w:bCs/>
                <w:iCs/>
                <w:sz w:val="24"/>
                <w:highlight w:val="none"/>
              </w:rPr>
            </w:pPr>
            <w:r>
              <w:rPr>
                <w:rFonts w:hint="eastAsia" w:asciiTheme="minorEastAsia" w:hAnsiTheme="minorEastAsia" w:eastAsiaTheme="minorEastAsia" w:cstheme="minorEastAsia"/>
                <w:bCs/>
                <w:iCs/>
                <w:sz w:val="24"/>
                <w:highlight w:val="none"/>
              </w:rPr>
              <w:t>投标有效期</w:t>
            </w:r>
          </w:p>
        </w:tc>
        <w:tc>
          <w:tcPr>
            <w:tcW w:w="5898" w:type="dxa"/>
            <w:vAlign w:val="center"/>
          </w:tcPr>
          <w:p w14:paraId="246F7671">
            <w:pPr>
              <w:pStyle w:val="13"/>
              <w:spacing w:line="400" w:lineRule="exact"/>
              <w:ind w:firstLine="480"/>
              <w:rPr>
                <w:rFonts w:asciiTheme="minorEastAsia" w:hAnsiTheme="minorEastAsia" w:eastAsiaTheme="minorEastAsia" w:cstheme="minorEastAsia"/>
                <w:sz w:val="24"/>
                <w:szCs w:val="20"/>
                <w:highlight w:val="none"/>
              </w:rPr>
            </w:pPr>
          </w:p>
        </w:tc>
      </w:tr>
      <w:tr w14:paraId="1889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14:paraId="514E24E4">
            <w:pPr>
              <w:pStyle w:val="13"/>
              <w:spacing w:line="400" w:lineRule="exact"/>
              <w:ind w:firstLine="0" w:firstLineChars="0"/>
              <w:jc w:val="center"/>
              <w:rPr>
                <w:rFonts w:asciiTheme="minorEastAsia" w:hAnsiTheme="minorEastAsia" w:eastAsiaTheme="minorEastAsia" w:cstheme="minorEastAsia"/>
                <w:bCs/>
                <w:iCs/>
                <w:sz w:val="24"/>
                <w:highlight w:val="none"/>
              </w:rPr>
            </w:pPr>
            <w:r>
              <w:rPr>
                <w:rFonts w:hint="eastAsia" w:asciiTheme="minorEastAsia" w:hAnsiTheme="minorEastAsia" w:eastAsiaTheme="minorEastAsia" w:cstheme="minorEastAsia"/>
                <w:sz w:val="24"/>
                <w:szCs w:val="20"/>
                <w:highlight w:val="none"/>
              </w:rPr>
              <w:t>备注</w:t>
            </w:r>
          </w:p>
        </w:tc>
        <w:tc>
          <w:tcPr>
            <w:tcW w:w="5898" w:type="dxa"/>
            <w:vAlign w:val="center"/>
          </w:tcPr>
          <w:p w14:paraId="23EE049B">
            <w:pPr>
              <w:pStyle w:val="13"/>
              <w:spacing w:line="400" w:lineRule="exact"/>
              <w:ind w:firstLine="480"/>
              <w:rPr>
                <w:rFonts w:asciiTheme="minorEastAsia" w:hAnsiTheme="minorEastAsia" w:eastAsiaTheme="minorEastAsia" w:cstheme="minorEastAsia"/>
                <w:sz w:val="24"/>
                <w:szCs w:val="20"/>
                <w:highlight w:val="none"/>
              </w:rPr>
            </w:pPr>
          </w:p>
        </w:tc>
      </w:tr>
    </w:tbl>
    <w:p w14:paraId="16547168">
      <w:pPr>
        <w:spacing w:line="360" w:lineRule="exact"/>
        <w:jc w:val="right"/>
        <w:rPr>
          <w:rFonts w:asciiTheme="minorEastAsia" w:hAnsiTheme="minorEastAsia" w:eastAsiaTheme="minorEastAsia" w:cstheme="minorEastAsia"/>
          <w:sz w:val="24"/>
          <w:highlight w:val="none"/>
        </w:rPr>
      </w:pPr>
    </w:p>
    <w:p w14:paraId="21EFBA83">
      <w:pPr>
        <w:ind w:firstLine="3240" w:firstLineChars="1350"/>
        <w:rPr>
          <w:rFonts w:asciiTheme="minorEastAsia" w:hAnsiTheme="minorEastAsia" w:eastAsiaTheme="minorEastAsia" w:cstheme="minorEastAsia"/>
          <w:sz w:val="24"/>
          <w:highlight w:val="none"/>
        </w:rPr>
      </w:pPr>
    </w:p>
    <w:p w14:paraId="30B3989E">
      <w:pPr>
        <w:ind w:firstLine="3240" w:firstLineChars="1350"/>
        <w:rPr>
          <w:rFonts w:asciiTheme="minorEastAsia" w:hAnsiTheme="minorEastAsia" w:eastAsiaTheme="minorEastAsia" w:cstheme="minorEastAsia"/>
          <w:sz w:val="24"/>
          <w:highlight w:val="none"/>
        </w:rPr>
      </w:pPr>
    </w:p>
    <w:p w14:paraId="36B273CB">
      <w:pPr>
        <w:pStyle w:val="2"/>
        <w:rPr>
          <w:highlight w:val="none"/>
        </w:rPr>
      </w:pPr>
    </w:p>
    <w:p w14:paraId="5B173DD8">
      <w:pPr>
        <w:adjustRightInd w:val="0"/>
        <w:snapToGrid w:val="0"/>
        <w:spacing w:before="190" w:beforeLines="50" w:line="500" w:lineRule="exact"/>
        <w:ind w:right="960"/>
        <w:rPr>
          <w:rFonts w:ascii="宋体" w:hAnsi="宋体" w:cs="宋体"/>
          <w:sz w:val="24"/>
          <w:highlight w:val="none"/>
        </w:rPr>
      </w:pPr>
      <w:r>
        <w:rPr>
          <w:rFonts w:hint="eastAsia" w:ascii="宋体" w:hAnsi="宋体" w:cs="宋体"/>
          <w:sz w:val="24"/>
          <w:highlight w:val="none"/>
        </w:rPr>
        <w:t>供应商名称（单位电子签章）：</w:t>
      </w:r>
    </w:p>
    <w:p w14:paraId="393B7A0B">
      <w:pPr>
        <w:adjustRightInd w:val="0"/>
        <w:snapToGrid w:val="0"/>
        <w:spacing w:line="500" w:lineRule="exact"/>
        <w:rPr>
          <w:rFonts w:ascii="宋体" w:hAnsi="宋体"/>
          <w:kern w:val="0"/>
          <w:sz w:val="24"/>
          <w:highlight w:val="none"/>
        </w:rPr>
      </w:pPr>
      <w:r>
        <w:rPr>
          <w:rFonts w:hint="eastAsia" w:ascii="宋体" w:hAnsi="宋体"/>
          <w:kern w:val="0"/>
          <w:sz w:val="24"/>
          <w:highlight w:val="none"/>
        </w:rPr>
        <w:t>法定代表人或授权委托代理人：（签字或盖章）</w:t>
      </w:r>
    </w:p>
    <w:p w14:paraId="2F8F8E67">
      <w:pPr>
        <w:pStyle w:val="2"/>
        <w:spacing w:line="500" w:lineRule="exact"/>
        <w:rPr>
          <w:highlight w:val="none"/>
        </w:rPr>
      </w:pPr>
    </w:p>
    <w:p w14:paraId="43D0489C">
      <w:pPr>
        <w:adjustRightInd w:val="0"/>
        <w:snapToGrid w:val="0"/>
        <w:spacing w:line="500" w:lineRule="exact"/>
        <w:rPr>
          <w:rFonts w:ascii="宋体" w:hAnsi="宋体" w:cs="宋体"/>
          <w:sz w:val="24"/>
          <w:highlight w:val="none"/>
        </w:rPr>
      </w:pPr>
      <w:r>
        <w:rPr>
          <w:rFonts w:hint="eastAsia" w:ascii="宋体" w:hAnsi="宋体" w:cs="宋体"/>
          <w:sz w:val="24"/>
          <w:highlight w:val="none"/>
        </w:rPr>
        <w:t>日   期：   年   月    日</w:t>
      </w:r>
    </w:p>
    <w:p w14:paraId="3B6E7E6C">
      <w:pPr>
        <w:rPr>
          <w:rFonts w:asciiTheme="minorEastAsia" w:hAnsiTheme="minorEastAsia" w:eastAsiaTheme="minorEastAsia" w:cstheme="minorEastAsia"/>
          <w:highlight w:val="none"/>
        </w:rPr>
      </w:pPr>
    </w:p>
    <w:p w14:paraId="2F2390E1">
      <w:pPr>
        <w:rPr>
          <w:rFonts w:asciiTheme="minorEastAsia" w:hAnsiTheme="minorEastAsia" w:eastAsiaTheme="minorEastAsia" w:cstheme="minorEastAsia"/>
          <w:highlight w:val="none"/>
        </w:rPr>
      </w:pPr>
    </w:p>
    <w:p w14:paraId="4106FDD3">
      <w:pPr>
        <w:pStyle w:val="2"/>
        <w:rPr>
          <w:rFonts w:asciiTheme="minorEastAsia" w:hAnsiTheme="minorEastAsia" w:eastAsiaTheme="minorEastAsia" w:cstheme="minorEastAsia"/>
          <w:sz w:val="24"/>
          <w:highlight w:val="none"/>
        </w:rPr>
      </w:pPr>
    </w:p>
    <w:p w14:paraId="3C1C529E">
      <w:pPr>
        <w:pStyle w:val="24"/>
        <w:spacing w:before="120" w:after="120" w:line="500" w:lineRule="exact"/>
        <w:ind w:right="29" w:rightChars="14"/>
        <w:outlineLvl w:val="9"/>
        <w:rPr>
          <w:rFonts w:asciiTheme="minorEastAsia" w:hAnsiTheme="minorEastAsia" w:eastAsiaTheme="minorEastAsia" w:cstheme="minorEastAsia"/>
          <w:sz w:val="24"/>
          <w:highlight w:val="none"/>
        </w:rPr>
      </w:pPr>
    </w:p>
    <w:p w14:paraId="2E7D8936">
      <w:pPr>
        <w:pStyle w:val="24"/>
        <w:spacing w:before="120" w:after="120" w:line="500" w:lineRule="exact"/>
        <w:ind w:right="29" w:rightChars="14"/>
        <w:outlineLvl w:val="1"/>
        <w:rPr>
          <w:rFonts w:asciiTheme="minorEastAsia" w:hAnsiTheme="minorEastAsia" w:eastAsiaTheme="minorEastAsia" w:cstheme="minorEastAsia"/>
          <w:sz w:val="24"/>
          <w:highlight w:val="none"/>
        </w:rPr>
        <w:sectPr>
          <w:headerReference r:id="rId4" w:type="default"/>
          <w:footerReference r:id="rId5" w:type="default"/>
          <w:pgSz w:w="11907" w:h="16840"/>
          <w:pgMar w:top="1440" w:right="1519" w:bottom="1440" w:left="1576" w:header="850" w:footer="998" w:gutter="0"/>
          <w:pgNumType w:fmt="numberInDash" w:start="1"/>
          <w:cols w:space="720" w:num="1"/>
          <w:docGrid w:type="lines" w:linePitch="380" w:charSpace="0"/>
        </w:sectPr>
      </w:pPr>
    </w:p>
    <w:p w14:paraId="5E94DF6C">
      <w:pPr>
        <w:spacing w:line="500" w:lineRule="exact"/>
        <w:jc w:val="center"/>
        <w:outlineLvl w:val="2"/>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（三）报价明细表</w:t>
      </w:r>
    </w:p>
    <w:tbl>
      <w:tblPr>
        <w:tblStyle w:val="28"/>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14:paraId="0ACD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307" w:type="dxa"/>
            <w:vMerge w:val="restart"/>
            <w:tcBorders>
              <w:top w:val="single" w:color="auto" w:sz="4" w:space="0"/>
              <w:left w:val="single" w:color="auto" w:sz="4" w:space="0"/>
              <w:right w:val="single" w:color="auto" w:sz="4" w:space="0"/>
            </w:tcBorders>
            <w:noWrap/>
            <w:vAlign w:val="center"/>
          </w:tcPr>
          <w:p w14:paraId="6CF5BA6A">
            <w:pPr>
              <w:pStyle w:val="23"/>
              <w:widowControl w:val="0"/>
              <w:adjustRightInd w:val="0"/>
              <w:spacing w:before="0" w:beforeAutospacing="0" w:after="0" w:afterAutospacing="0" w:line="480" w:lineRule="exact"/>
              <w:jc w:val="center"/>
              <w:rPr>
                <w:bCs/>
              </w:rPr>
            </w:pPr>
            <w:r>
              <w:rPr>
                <w:rFonts w:hint="eastAsia"/>
                <w:bCs/>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14:paraId="693C3ADE">
            <w:pPr>
              <w:pStyle w:val="23"/>
              <w:widowControl w:val="0"/>
              <w:adjustRightInd w:val="0"/>
              <w:spacing w:before="0" w:beforeAutospacing="0" w:after="0" w:afterAutospacing="0" w:line="480" w:lineRule="exact"/>
              <w:jc w:val="center"/>
              <w:rPr>
                <w:bCs/>
              </w:rPr>
            </w:pPr>
            <w:r>
              <w:rPr>
                <w:rFonts w:hint="eastAsia"/>
                <w:bCs/>
              </w:rPr>
              <w:t>所投设备</w:t>
            </w:r>
          </w:p>
        </w:tc>
        <w:tc>
          <w:tcPr>
            <w:tcW w:w="772" w:type="dxa"/>
            <w:vMerge w:val="restart"/>
            <w:tcBorders>
              <w:top w:val="single" w:color="auto" w:sz="4" w:space="0"/>
              <w:left w:val="single" w:color="auto" w:sz="4" w:space="0"/>
              <w:right w:val="single" w:color="auto" w:sz="4" w:space="0"/>
            </w:tcBorders>
            <w:noWrap/>
            <w:vAlign w:val="center"/>
          </w:tcPr>
          <w:p w14:paraId="3701D305">
            <w:pPr>
              <w:pStyle w:val="23"/>
              <w:widowControl w:val="0"/>
              <w:adjustRightInd w:val="0"/>
              <w:spacing w:before="0" w:beforeAutospacing="0" w:after="0" w:afterAutospacing="0" w:line="480" w:lineRule="exact"/>
              <w:jc w:val="center"/>
              <w:rPr>
                <w:bCs/>
              </w:rPr>
            </w:pPr>
            <w:r>
              <w:rPr>
                <w:rFonts w:hint="eastAsia"/>
                <w:bCs/>
              </w:rPr>
              <w:t>单位</w:t>
            </w:r>
          </w:p>
        </w:tc>
        <w:tc>
          <w:tcPr>
            <w:tcW w:w="723" w:type="dxa"/>
            <w:vMerge w:val="restart"/>
            <w:tcBorders>
              <w:top w:val="single" w:color="auto" w:sz="4" w:space="0"/>
              <w:left w:val="single" w:color="auto" w:sz="4" w:space="0"/>
              <w:right w:val="single" w:color="auto" w:sz="4" w:space="0"/>
            </w:tcBorders>
            <w:noWrap/>
            <w:vAlign w:val="center"/>
          </w:tcPr>
          <w:p w14:paraId="21D959FB">
            <w:pPr>
              <w:pStyle w:val="23"/>
              <w:widowControl w:val="0"/>
              <w:adjustRightInd w:val="0"/>
              <w:spacing w:before="0" w:beforeAutospacing="0" w:after="0" w:afterAutospacing="0" w:line="480" w:lineRule="exact"/>
              <w:jc w:val="center"/>
              <w:rPr>
                <w:bCs/>
              </w:rPr>
            </w:pPr>
            <w:r>
              <w:rPr>
                <w:rFonts w:hint="eastAsia"/>
                <w:bCs/>
              </w:rPr>
              <w:t>数量</w:t>
            </w:r>
          </w:p>
        </w:tc>
        <w:tc>
          <w:tcPr>
            <w:tcW w:w="818" w:type="dxa"/>
            <w:vMerge w:val="restart"/>
            <w:tcBorders>
              <w:top w:val="single" w:color="auto" w:sz="4" w:space="0"/>
              <w:left w:val="single" w:color="auto" w:sz="4" w:space="0"/>
              <w:right w:val="single" w:color="auto" w:sz="4" w:space="0"/>
            </w:tcBorders>
            <w:noWrap/>
            <w:vAlign w:val="center"/>
          </w:tcPr>
          <w:p w14:paraId="7B0B75AE">
            <w:pPr>
              <w:pStyle w:val="23"/>
              <w:widowControl w:val="0"/>
              <w:adjustRightInd w:val="0"/>
              <w:spacing w:before="0" w:beforeAutospacing="0" w:after="0" w:afterAutospacing="0" w:line="480" w:lineRule="exact"/>
              <w:ind w:firstLine="235" w:firstLineChars="98"/>
              <w:jc w:val="center"/>
              <w:rPr>
                <w:bCs/>
              </w:rPr>
            </w:pPr>
          </w:p>
          <w:p w14:paraId="68BA461D">
            <w:pPr>
              <w:pStyle w:val="23"/>
              <w:widowControl w:val="0"/>
              <w:adjustRightInd w:val="0"/>
              <w:spacing w:before="0" w:beforeAutospacing="0" w:after="0" w:afterAutospacing="0" w:line="480" w:lineRule="exact"/>
              <w:jc w:val="center"/>
              <w:rPr>
                <w:bCs/>
              </w:rPr>
            </w:pPr>
            <w:r>
              <w:rPr>
                <w:rFonts w:hint="eastAsia"/>
                <w:bCs/>
              </w:rPr>
              <w:t>单价（元）</w:t>
            </w:r>
          </w:p>
          <w:p w14:paraId="59D073C0">
            <w:pPr>
              <w:pStyle w:val="23"/>
              <w:widowControl w:val="0"/>
              <w:adjustRightInd w:val="0"/>
              <w:spacing w:before="0" w:beforeAutospacing="0" w:after="0" w:afterAutospacing="0" w:line="480" w:lineRule="exact"/>
              <w:ind w:firstLine="235" w:firstLineChars="98"/>
              <w:jc w:val="center"/>
              <w:rPr>
                <w:bCs/>
              </w:rPr>
            </w:pPr>
          </w:p>
        </w:tc>
        <w:tc>
          <w:tcPr>
            <w:tcW w:w="937" w:type="dxa"/>
            <w:vMerge w:val="restart"/>
            <w:tcBorders>
              <w:top w:val="single" w:color="auto" w:sz="4" w:space="0"/>
              <w:left w:val="single" w:color="auto" w:sz="4" w:space="0"/>
              <w:right w:val="single" w:color="auto" w:sz="4" w:space="0"/>
            </w:tcBorders>
            <w:noWrap/>
            <w:vAlign w:val="center"/>
          </w:tcPr>
          <w:p w14:paraId="79D9512E">
            <w:pPr>
              <w:pStyle w:val="23"/>
              <w:widowControl w:val="0"/>
              <w:adjustRightInd w:val="0"/>
              <w:spacing w:before="0" w:beforeAutospacing="0" w:after="0" w:afterAutospacing="0" w:line="480" w:lineRule="exact"/>
              <w:jc w:val="center"/>
              <w:rPr>
                <w:bCs/>
              </w:rPr>
            </w:pPr>
            <w:r>
              <w:rPr>
                <w:rFonts w:hint="eastAsia"/>
                <w:bCs/>
              </w:rPr>
              <w:t>合价（元）</w:t>
            </w:r>
          </w:p>
        </w:tc>
        <w:tc>
          <w:tcPr>
            <w:tcW w:w="1142" w:type="dxa"/>
            <w:vMerge w:val="restart"/>
            <w:tcBorders>
              <w:top w:val="single" w:color="auto" w:sz="4" w:space="0"/>
              <w:left w:val="single" w:color="auto" w:sz="4" w:space="0"/>
              <w:right w:val="single" w:color="auto" w:sz="4" w:space="0"/>
            </w:tcBorders>
            <w:noWrap/>
          </w:tcPr>
          <w:p w14:paraId="457C308C">
            <w:pPr>
              <w:pStyle w:val="23"/>
              <w:widowControl w:val="0"/>
              <w:adjustRightInd w:val="0"/>
              <w:spacing w:before="0" w:beforeAutospacing="0" w:after="0" w:afterAutospacing="0" w:line="480" w:lineRule="exact"/>
              <w:jc w:val="both"/>
              <w:rPr>
                <w:bCs/>
              </w:rPr>
            </w:pPr>
            <w:r>
              <w:rPr>
                <w:rFonts w:hint="eastAsia"/>
                <w:bCs/>
              </w:rPr>
              <w:t xml:space="preserve"> </w:t>
            </w:r>
          </w:p>
          <w:p w14:paraId="70B91169">
            <w:pPr>
              <w:pStyle w:val="23"/>
              <w:widowControl w:val="0"/>
              <w:adjustRightInd w:val="0"/>
              <w:spacing w:before="0" w:beforeAutospacing="0" w:after="0" w:afterAutospacing="0" w:line="480" w:lineRule="exact"/>
              <w:jc w:val="both"/>
              <w:rPr>
                <w:bCs/>
              </w:rPr>
            </w:pPr>
            <w:r>
              <w:rPr>
                <w:rFonts w:hint="eastAsia"/>
                <w:bCs/>
              </w:rPr>
              <w:t>执行标准</w:t>
            </w:r>
          </w:p>
        </w:tc>
      </w:tr>
      <w:tr w14:paraId="0A8F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307" w:type="dxa"/>
            <w:vMerge w:val="continue"/>
            <w:tcBorders>
              <w:left w:val="single" w:color="auto" w:sz="4" w:space="0"/>
              <w:bottom w:val="single" w:color="auto" w:sz="4" w:space="0"/>
              <w:right w:val="single" w:color="auto" w:sz="4" w:space="0"/>
            </w:tcBorders>
            <w:noWrap/>
            <w:vAlign w:val="center"/>
          </w:tcPr>
          <w:p w14:paraId="6FA63FBA">
            <w:pPr>
              <w:pStyle w:val="23"/>
              <w:widowControl w:val="0"/>
              <w:adjustRightInd w:val="0"/>
              <w:spacing w:before="0" w:beforeAutospacing="0" w:after="0" w:afterAutospacing="0" w:line="480" w:lineRule="exact"/>
              <w:jc w:val="center"/>
              <w:rPr>
                <w:bCs/>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77E82E2">
            <w:pPr>
              <w:pStyle w:val="23"/>
              <w:widowControl w:val="0"/>
              <w:adjustRightInd w:val="0"/>
              <w:spacing w:before="0" w:beforeAutospacing="0" w:after="0" w:afterAutospacing="0" w:line="480" w:lineRule="exact"/>
              <w:jc w:val="center"/>
              <w:rPr>
                <w:bCs/>
              </w:rPr>
            </w:pPr>
            <w:r>
              <w:rPr>
                <w:rFonts w:hint="eastAsia"/>
                <w:bCs/>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14:paraId="396DA852">
            <w:pPr>
              <w:pStyle w:val="23"/>
              <w:widowControl w:val="0"/>
              <w:adjustRightInd w:val="0"/>
              <w:spacing w:before="0" w:beforeAutospacing="0" w:after="0" w:afterAutospacing="0" w:line="480" w:lineRule="exact"/>
              <w:jc w:val="center"/>
              <w:rPr>
                <w:bCs/>
              </w:rPr>
            </w:pPr>
            <w:r>
              <w:rPr>
                <w:rFonts w:hint="eastAsia"/>
                <w:bCs/>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14:paraId="2207D636">
            <w:pPr>
              <w:pStyle w:val="23"/>
              <w:widowControl w:val="0"/>
              <w:adjustRightInd w:val="0"/>
              <w:spacing w:before="0" w:beforeAutospacing="0" w:after="0" w:afterAutospacing="0" w:line="480" w:lineRule="exact"/>
              <w:jc w:val="center"/>
              <w:rPr>
                <w:bCs/>
              </w:rPr>
            </w:pPr>
            <w:r>
              <w:rPr>
                <w:rFonts w:hint="eastAsia"/>
                <w:bCs/>
              </w:rPr>
              <w:t>技术参数</w:t>
            </w:r>
          </w:p>
        </w:tc>
        <w:tc>
          <w:tcPr>
            <w:tcW w:w="772" w:type="dxa"/>
            <w:vMerge w:val="continue"/>
            <w:tcBorders>
              <w:left w:val="single" w:color="auto" w:sz="4" w:space="0"/>
              <w:bottom w:val="single" w:color="auto" w:sz="4" w:space="0"/>
              <w:right w:val="single" w:color="auto" w:sz="4" w:space="0"/>
            </w:tcBorders>
            <w:noWrap/>
            <w:vAlign w:val="center"/>
          </w:tcPr>
          <w:p w14:paraId="2BE4DFA8">
            <w:pPr>
              <w:pStyle w:val="23"/>
              <w:widowControl w:val="0"/>
              <w:adjustRightInd w:val="0"/>
              <w:spacing w:before="0" w:beforeAutospacing="0" w:after="0" w:afterAutospacing="0" w:line="480" w:lineRule="exact"/>
              <w:jc w:val="center"/>
              <w:rPr>
                <w:bCs/>
                <w:highlight w:val="yellow"/>
              </w:rPr>
            </w:pPr>
          </w:p>
        </w:tc>
        <w:tc>
          <w:tcPr>
            <w:tcW w:w="723" w:type="dxa"/>
            <w:vMerge w:val="continue"/>
            <w:tcBorders>
              <w:left w:val="single" w:color="auto" w:sz="4" w:space="0"/>
              <w:bottom w:val="single" w:color="auto" w:sz="4" w:space="0"/>
              <w:right w:val="single" w:color="auto" w:sz="4" w:space="0"/>
            </w:tcBorders>
            <w:noWrap/>
            <w:vAlign w:val="center"/>
          </w:tcPr>
          <w:p w14:paraId="5A2AD1B8">
            <w:pPr>
              <w:pStyle w:val="23"/>
              <w:widowControl w:val="0"/>
              <w:adjustRightInd w:val="0"/>
              <w:spacing w:before="0" w:beforeAutospacing="0" w:after="0" w:afterAutospacing="0" w:line="480" w:lineRule="exact"/>
              <w:jc w:val="center"/>
              <w:rPr>
                <w:bCs/>
                <w:highlight w:val="yellow"/>
              </w:rPr>
            </w:pPr>
          </w:p>
        </w:tc>
        <w:tc>
          <w:tcPr>
            <w:tcW w:w="818" w:type="dxa"/>
            <w:vMerge w:val="continue"/>
            <w:tcBorders>
              <w:left w:val="single" w:color="auto" w:sz="4" w:space="0"/>
              <w:bottom w:val="single" w:color="auto" w:sz="4" w:space="0"/>
              <w:right w:val="single" w:color="auto" w:sz="4" w:space="0"/>
            </w:tcBorders>
            <w:noWrap/>
            <w:vAlign w:val="center"/>
          </w:tcPr>
          <w:p w14:paraId="3C7FDE4D">
            <w:pPr>
              <w:pStyle w:val="23"/>
              <w:widowControl w:val="0"/>
              <w:adjustRightInd w:val="0"/>
              <w:spacing w:before="0" w:beforeAutospacing="0" w:after="0" w:afterAutospacing="0" w:line="480" w:lineRule="exact"/>
              <w:ind w:firstLine="235" w:firstLineChars="98"/>
              <w:jc w:val="center"/>
              <w:rPr>
                <w:bCs/>
                <w:highlight w:val="yellow"/>
              </w:rPr>
            </w:pPr>
          </w:p>
        </w:tc>
        <w:tc>
          <w:tcPr>
            <w:tcW w:w="937" w:type="dxa"/>
            <w:vMerge w:val="continue"/>
            <w:tcBorders>
              <w:left w:val="single" w:color="auto" w:sz="4" w:space="0"/>
              <w:bottom w:val="single" w:color="auto" w:sz="4" w:space="0"/>
              <w:right w:val="single" w:color="auto" w:sz="4" w:space="0"/>
            </w:tcBorders>
            <w:noWrap/>
            <w:vAlign w:val="center"/>
          </w:tcPr>
          <w:p w14:paraId="1E7BD59C">
            <w:pPr>
              <w:pStyle w:val="23"/>
              <w:widowControl w:val="0"/>
              <w:adjustRightInd w:val="0"/>
              <w:spacing w:before="0" w:beforeAutospacing="0" w:after="0" w:afterAutospacing="0" w:line="480" w:lineRule="exact"/>
              <w:jc w:val="center"/>
              <w:rPr>
                <w:bCs/>
              </w:rPr>
            </w:pPr>
          </w:p>
        </w:tc>
        <w:tc>
          <w:tcPr>
            <w:tcW w:w="1142" w:type="dxa"/>
            <w:vMerge w:val="continue"/>
            <w:tcBorders>
              <w:left w:val="single" w:color="auto" w:sz="4" w:space="0"/>
              <w:bottom w:val="single" w:color="auto" w:sz="4" w:space="0"/>
              <w:right w:val="single" w:color="auto" w:sz="4" w:space="0"/>
            </w:tcBorders>
            <w:noWrap/>
          </w:tcPr>
          <w:p w14:paraId="68B3BB57">
            <w:pPr>
              <w:pStyle w:val="23"/>
              <w:widowControl w:val="0"/>
              <w:adjustRightInd w:val="0"/>
              <w:spacing w:before="0" w:beforeAutospacing="0" w:after="0" w:afterAutospacing="0" w:line="480" w:lineRule="exact"/>
              <w:ind w:left="105" w:leftChars="50" w:firstLine="115" w:firstLineChars="48"/>
              <w:jc w:val="center"/>
              <w:rPr>
                <w:bCs/>
              </w:rPr>
            </w:pPr>
          </w:p>
        </w:tc>
      </w:tr>
      <w:tr w14:paraId="16FA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6CA32A97">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3C842D20">
            <w:pPr>
              <w:spacing w:line="480" w:lineRule="exact"/>
              <w:jc w:val="center"/>
              <w:rPr>
                <w:rFonts w:ascii="宋体" w:hAnsi="宋体" w:cs="宋体"/>
                <w:bCs/>
                <w:sz w:val="24"/>
                <w:highlight w:val="yellow"/>
              </w:rPr>
            </w:pPr>
          </w:p>
        </w:tc>
        <w:tc>
          <w:tcPr>
            <w:tcW w:w="849" w:type="dxa"/>
            <w:tcBorders>
              <w:top w:val="single" w:color="auto" w:sz="4" w:space="0"/>
              <w:left w:val="single" w:color="auto" w:sz="4" w:space="0"/>
              <w:bottom w:val="single" w:color="auto" w:sz="4" w:space="0"/>
              <w:right w:val="single" w:color="auto" w:sz="4" w:space="0"/>
            </w:tcBorders>
            <w:noWrap/>
          </w:tcPr>
          <w:p w14:paraId="26C9AE80">
            <w:pPr>
              <w:spacing w:line="480" w:lineRule="exact"/>
              <w:jc w:val="center"/>
              <w:rPr>
                <w:rFonts w:ascii="宋体" w:hAnsi="宋体" w:cs="宋体"/>
                <w:bCs/>
                <w:sz w:val="24"/>
                <w:highlight w:val="yellow"/>
              </w:rPr>
            </w:pPr>
          </w:p>
        </w:tc>
        <w:tc>
          <w:tcPr>
            <w:tcW w:w="2518" w:type="dxa"/>
            <w:tcBorders>
              <w:top w:val="single" w:color="auto" w:sz="4" w:space="0"/>
              <w:left w:val="single" w:color="auto" w:sz="4" w:space="0"/>
              <w:bottom w:val="single" w:color="auto" w:sz="4" w:space="0"/>
              <w:right w:val="single" w:color="auto" w:sz="4" w:space="0"/>
            </w:tcBorders>
            <w:noWrap/>
          </w:tcPr>
          <w:p w14:paraId="6CA5690A">
            <w:pPr>
              <w:spacing w:line="480" w:lineRule="exact"/>
              <w:jc w:val="center"/>
              <w:rPr>
                <w:rFonts w:ascii="宋体" w:hAnsi="宋体" w:cs="宋体"/>
                <w:bCs/>
                <w:sz w:val="24"/>
                <w:highlight w:val="yellow"/>
              </w:rPr>
            </w:pPr>
          </w:p>
        </w:tc>
        <w:tc>
          <w:tcPr>
            <w:tcW w:w="772" w:type="dxa"/>
            <w:tcBorders>
              <w:top w:val="single" w:color="auto" w:sz="4" w:space="0"/>
              <w:left w:val="single" w:color="auto" w:sz="4" w:space="0"/>
              <w:bottom w:val="single" w:color="auto" w:sz="4" w:space="0"/>
              <w:right w:val="single" w:color="auto" w:sz="4" w:space="0"/>
            </w:tcBorders>
            <w:noWrap/>
          </w:tcPr>
          <w:p w14:paraId="70DEA490">
            <w:pPr>
              <w:spacing w:line="480" w:lineRule="exact"/>
              <w:jc w:val="center"/>
              <w:rPr>
                <w:rFonts w:ascii="宋体" w:hAnsi="宋体" w:cs="宋体"/>
                <w:bCs/>
                <w:sz w:val="24"/>
                <w:highlight w:val="yellow"/>
              </w:rPr>
            </w:pPr>
          </w:p>
        </w:tc>
        <w:tc>
          <w:tcPr>
            <w:tcW w:w="723" w:type="dxa"/>
            <w:tcBorders>
              <w:top w:val="single" w:color="auto" w:sz="4" w:space="0"/>
              <w:left w:val="single" w:color="auto" w:sz="4" w:space="0"/>
              <w:bottom w:val="single" w:color="auto" w:sz="4" w:space="0"/>
              <w:right w:val="single" w:color="auto" w:sz="4" w:space="0"/>
            </w:tcBorders>
            <w:noWrap/>
          </w:tcPr>
          <w:p w14:paraId="271D1508">
            <w:pPr>
              <w:spacing w:line="480" w:lineRule="exact"/>
              <w:jc w:val="center"/>
              <w:rPr>
                <w:rFonts w:ascii="宋体" w:hAnsi="宋体" w:cs="宋体"/>
                <w:bCs/>
                <w:sz w:val="24"/>
                <w:highlight w:val="yellow"/>
              </w:rPr>
            </w:pPr>
          </w:p>
        </w:tc>
        <w:tc>
          <w:tcPr>
            <w:tcW w:w="818" w:type="dxa"/>
            <w:tcBorders>
              <w:top w:val="single" w:color="auto" w:sz="4" w:space="0"/>
              <w:left w:val="single" w:color="auto" w:sz="4" w:space="0"/>
              <w:bottom w:val="single" w:color="auto" w:sz="4" w:space="0"/>
              <w:right w:val="single" w:color="auto" w:sz="4" w:space="0"/>
            </w:tcBorders>
            <w:noWrap/>
          </w:tcPr>
          <w:p w14:paraId="55FB29D9">
            <w:pPr>
              <w:spacing w:line="480" w:lineRule="exact"/>
              <w:jc w:val="center"/>
              <w:rPr>
                <w:rFonts w:ascii="宋体" w:hAnsi="宋体" w:cs="宋体"/>
                <w:bCs/>
                <w:sz w:val="24"/>
                <w:highlight w:val="yellow"/>
              </w:rPr>
            </w:pPr>
          </w:p>
        </w:tc>
        <w:tc>
          <w:tcPr>
            <w:tcW w:w="937" w:type="dxa"/>
            <w:tcBorders>
              <w:top w:val="single" w:color="auto" w:sz="4" w:space="0"/>
              <w:left w:val="single" w:color="auto" w:sz="4" w:space="0"/>
              <w:bottom w:val="single" w:color="auto" w:sz="4" w:space="0"/>
              <w:right w:val="single" w:color="auto" w:sz="4" w:space="0"/>
            </w:tcBorders>
            <w:noWrap/>
          </w:tcPr>
          <w:p w14:paraId="249A5603">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1142A41F">
            <w:pPr>
              <w:spacing w:line="480" w:lineRule="exact"/>
              <w:jc w:val="center"/>
              <w:rPr>
                <w:rFonts w:ascii="宋体" w:hAnsi="宋体" w:cs="宋体"/>
                <w:bCs/>
                <w:sz w:val="24"/>
              </w:rPr>
            </w:pPr>
            <w:r>
              <w:rPr>
                <w:rFonts w:hint="eastAsia" w:ascii="宋体" w:hAnsi="宋体" w:cs="宋体"/>
                <w:bCs/>
                <w:sz w:val="24"/>
              </w:rPr>
              <w:t>如：国家/行业标准...</w:t>
            </w:r>
          </w:p>
        </w:tc>
      </w:tr>
      <w:tr w14:paraId="1EAA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77672904">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7EA08B91">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460A72F0">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12BA9285">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5C5E232A">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089D32F7">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5BFB2656">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3FDB5979">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33AB3486">
            <w:pPr>
              <w:spacing w:line="480" w:lineRule="exact"/>
              <w:jc w:val="center"/>
              <w:rPr>
                <w:rFonts w:ascii="宋体" w:hAnsi="宋体" w:cs="宋体"/>
                <w:bCs/>
                <w:sz w:val="24"/>
              </w:rPr>
            </w:pPr>
          </w:p>
        </w:tc>
      </w:tr>
      <w:tr w14:paraId="3069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6664326C">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34E2B945">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527D4442">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1965F135">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42BC0983">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0EBADA1F">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40F99EF5">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1E51BD1B">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6A1A264F">
            <w:pPr>
              <w:spacing w:line="480" w:lineRule="exact"/>
              <w:jc w:val="center"/>
              <w:rPr>
                <w:rFonts w:ascii="宋体" w:hAnsi="宋体" w:cs="宋体"/>
                <w:bCs/>
                <w:sz w:val="24"/>
              </w:rPr>
            </w:pPr>
          </w:p>
        </w:tc>
      </w:tr>
      <w:tr w14:paraId="607A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13BD6D54">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47770F9D">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2D510421">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3C808C2C">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22A699C1">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1FAF0526">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1B2B37B7">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1B37DA36">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519C249C">
            <w:pPr>
              <w:spacing w:line="480" w:lineRule="exact"/>
              <w:jc w:val="center"/>
              <w:rPr>
                <w:rFonts w:ascii="宋体" w:hAnsi="宋体" w:cs="宋体"/>
                <w:bCs/>
                <w:sz w:val="24"/>
              </w:rPr>
            </w:pPr>
          </w:p>
        </w:tc>
      </w:tr>
      <w:tr w14:paraId="72E4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0357F908">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0624ECEE">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4174CD79">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16B6080E">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2DCBF21A">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28C80AAB">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0A183270">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23C4694A">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4C5FB838">
            <w:pPr>
              <w:spacing w:line="480" w:lineRule="exact"/>
              <w:jc w:val="center"/>
              <w:rPr>
                <w:rFonts w:ascii="宋体" w:hAnsi="宋体" w:cs="宋体"/>
                <w:bCs/>
                <w:sz w:val="24"/>
              </w:rPr>
            </w:pPr>
          </w:p>
        </w:tc>
      </w:tr>
      <w:tr w14:paraId="478A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2E6676E0">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noWrap/>
          </w:tcPr>
          <w:p w14:paraId="4F5FAC12">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noWrap/>
          </w:tcPr>
          <w:p w14:paraId="53938FC5">
            <w:pPr>
              <w:spacing w:line="480" w:lineRule="exact"/>
              <w:jc w:val="center"/>
              <w:rPr>
                <w:rFonts w:ascii="宋体" w:hAnsi="宋体" w:cs="宋体"/>
                <w:bCs/>
                <w:sz w:val="24"/>
              </w:rPr>
            </w:pPr>
          </w:p>
        </w:tc>
        <w:tc>
          <w:tcPr>
            <w:tcW w:w="2518" w:type="dxa"/>
            <w:tcBorders>
              <w:top w:val="single" w:color="auto" w:sz="4" w:space="0"/>
              <w:left w:val="single" w:color="auto" w:sz="4" w:space="0"/>
              <w:bottom w:val="single" w:color="auto" w:sz="4" w:space="0"/>
              <w:right w:val="single" w:color="auto" w:sz="4" w:space="0"/>
            </w:tcBorders>
            <w:noWrap/>
          </w:tcPr>
          <w:p w14:paraId="365D28AF">
            <w:pPr>
              <w:spacing w:line="480" w:lineRule="exact"/>
              <w:jc w:val="center"/>
              <w:rPr>
                <w:rFonts w:ascii="宋体" w:hAnsi="宋体" w:cs="宋体"/>
                <w:bCs/>
                <w:sz w:val="24"/>
              </w:rPr>
            </w:pPr>
          </w:p>
        </w:tc>
        <w:tc>
          <w:tcPr>
            <w:tcW w:w="772" w:type="dxa"/>
            <w:tcBorders>
              <w:top w:val="single" w:color="auto" w:sz="4" w:space="0"/>
              <w:left w:val="single" w:color="auto" w:sz="4" w:space="0"/>
              <w:bottom w:val="single" w:color="auto" w:sz="4" w:space="0"/>
              <w:right w:val="single" w:color="auto" w:sz="4" w:space="0"/>
            </w:tcBorders>
            <w:noWrap/>
          </w:tcPr>
          <w:p w14:paraId="1AB4CF0B">
            <w:pPr>
              <w:spacing w:line="480" w:lineRule="exact"/>
              <w:jc w:val="center"/>
              <w:rPr>
                <w:rFonts w:ascii="宋体" w:hAnsi="宋体" w:cs="宋体"/>
                <w:bCs/>
                <w:sz w:val="24"/>
              </w:rPr>
            </w:pPr>
          </w:p>
        </w:tc>
        <w:tc>
          <w:tcPr>
            <w:tcW w:w="723" w:type="dxa"/>
            <w:tcBorders>
              <w:top w:val="single" w:color="auto" w:sz="4" w:space="0"/>
              <w:left w:val="single" w:color="auto" w:sz="4" w:space="0"/>
              <w:bottom w:val="single" w:color="auto" w:sz="4" w:space="0"/>
              <w:right w:val="single" w:color="auto" w:sz="4" w:space="0"/>
            </w:tcBorders>
            <w:noWrap/>
          </w:tcPr>
          <w:p w14:paraId="2CDB087C">
            <w:pPr>
              <w:spacing w:line="480" w:lineRule="exact"/>
              <w:jc w:val="center"/>
              <w:rPr>
                <w:rFonts w:ascii="宋体" w:hAnsi="宋体" w:cs="宋体"/>
                <w:bCs/>
                <w:sz w:val="24"/>
              </w:rPr>
            </w:pPr>
          </w:p>
        </w:tc>
        <w:tc>
          <w:tcPr>
            <w:tcW w:w="818" w:type="dxa"/>
            <w:tcBorders>
              <w:top w:val="single" w:color="auto" w:sz="4" w:space="0"/>
              <w:left w:val="single" w:color="auto" w:sz="4" w:space="0"/>
              <w:bottom w:val="single" w:color="auto" w:sz="4" w:space="0"/>
              <w:right w:val="single" w:color="auto" w:sz="4" w:space="0"/>
            </w:tcBorders>
            <w:noWrap/>
          </w:tcPr>
          <w:p w14:paraId="03BE9AB3">
            <w:pPr>
              <w:spacing w:line="480" w:lineRule="exact"/>
              <w:jc w:val="center"/>
              <w:rPr>
                <w:rFonts w:ascii="宋体" w:hAnsi="宋体" w:cs="宋体"/>
                <w:bCs/>
                <w:sz w:val="24"/>
              </w:rPr>
            </w:pPr>
          </w:p>
        </w:tc>
        <w:tc>
          <w:tcPr>
            <w:tcW w:w="937" w:type="dxa"/>
            <w:tcBorders>
              <w:top w:val="single" w:color="auto" w:sz="4" w:space="0"/>
              <w:left w:val="single" w:color="auto" w:sz="4" w:space="0"/>
              <w:bottom w:val="single" w:color="auto" w:sz="4" w:space="0"/>
              <w:right w:val="single" w:color="auto" w:sz="4" w:space="0"/>
            </w:tcBorders>
            <w:noWrap/>
          </w:tcPr>
          <w:p w14:paraId="32BAE038">
            <w:pPr>
              <w:spacing w:line="480" w:lineRule="exact"/>
              <w:jc w:val="center"/>
              <w:rPr>
                <w:rFonts w:ascii="宋体" w:hAnsi="宋体" w:cs="宋体"/>
                <w:bCs/>
                <w:sz w:val="24"/>
              </w:rPr>
            </w:pPr>
          </w:p>
        </w:tc>
        <w:tc>
          <w:tcPr>
            <w:tcW w:w="1142" w:type="dxa"/>
            <w:tcBorders>
              <w:top w:val="single" w:color="auto" w:sz="4" w:space="0"/>
              <w:left w:val="single" w:color="auto" w:sz="4" w:space="0"/>
              <w:bottom w:val="single" w:color="auto" w:sz="4" w:space="0"/>
              <w:right w:val="single" w:color="auto" w:sz="4" w:space="0"/>
            </w:tcBorders>
            <w:noWrap/>
          </w:tcPr>
          <w:p w14:paraId="755E12BF">
            <w:pPr>
              <w:spacing w:line="480" w:lineRule="exact"/>
              <w:jc w:val="center"/>
              <w:rPr>
                <w:rFonts w:ascii="宋体" w:hAnsi="宋体" w:cs="宋体"/>
                <w:bCs/>
                <w:sz w:val="24"/>
              </w:rPr>
            </w:pPr>
          </w:p>
        </w:tc>
      </w:tr>
      <w:tr w14:paraId="0CF2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04A74B22">
            <w:pPr>
              <w:spacing w:line="480" w:lineRule="exact"/>
              <w:rPr>
                <w:rFonts w:ascii="宋体" w:hAnsi="宋体" w:cs="宋体"/>
                <w:bCs/>
                <w:sz w:val="24"/>
              </w:rPr>
            </w:pPr>
            <w:r>
              <w:rPr>
                <w:rFonts w:hint="eastAsia" w:ascii="宋体" w:hAnsi="宋体" w:cs="宋体"/>
                <w:bCs/>
                <w:sz w:val="24"/>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14:paraId="4C8F2D22">
            <w:pPr>
              <w:spacing w:line="480" w:lineRule="exact"/>
              <w:rPr>
                <w:rFonts w:ascii="宋体" w:hAnsi="宋体" w:cs="宋体"/>
                <w:bCs/>
                <w:sz w:val="24"/>
              </w:rPr>
            </w:pPr>
            <w:r>
              <w:rPr>
                <w:rFonts w:hint="eastAsia" w:ascii="宋体" w:hAnsi="宋体" w:cs="宋体"/>
                <w:bCs/>
                <w:sz w:val="24"/>
              </w:rPr>
              <w:t>大写：                                 小写：</w:t>
            </w:r>
          </w:p>
        </w:tc>
      </w:tr>
      <w:tr w14:paraId="2BF0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9917" w:type="dxa"/>
            <w:gridSpan w:val="9"/>
            <w:tcBorders>
              <w:top w:val="single" w:color="auto" w:sz="4" w:space="0"/>
              <w:left w:val="single" w:color="auto" w:sz="4" w:space="0"/>
              <w:bottom w:val="single" w:color="auto" w:sz="4" w:space="0"/>
              <w:right w:val="single" w:color="auto" w:sz="4" w:space="0"/>
            </w:tcBorders>
            <w:noWrap/>
          </w:tcPr>
          <w:p w14:paraId="55E987F0">
            <w:pPr>
              <w:spacing w:line="480" w:lineRule="exact"/>
              <w:rPr>
                <w:rFonts w:ascii="宋体" w:hAnsi="宋体" w:cs="宋体"/>
                <w:b/>
                <w:sz w:val="24"/>
              </w:rPr>
            </w:pPr>
            <w:r>
              <w:rPr>
                <w:rFonts w:hint="eastAsia" w:ascii="宋体" w:hAnsi="宋体" w:cs="宋体"/>
                <w:b/>
                <w:sz w:val="24"/>
              </w:rPr>
              <w:t>重要提示：1.本表的每一页须加盖企业印章；</w:t>
            </w:r>
          </w:p>
          <w:p w14:paraId="2DD9D6C3">
            <w:pPr>
              <w:spacing w:line="480" w:lineRule="exact"/>
              <w:rPr>
                <w:rFonts w:ascii="宋体" w:hAnsi="宋体" w:cs="宋体"/>
                <w:bCs/>
                <w:sz w:val="24"/>
              </w:rPr>
            </w:pPr>
            <w:r>
              <w:rPr>
                <w:rFonts w:hint="eastAsia" w:ascii="宋体" w:hAnsi="宋体" w:cs="宋体"/>
                <w:b/>
                <w:sz w:val="24"/>
              </w:rPr>
              <w:t>2.涉及有国家标准的产品，须填写名称、品牌、型号及技术参数、报价等本表内容（若品牌、型号等填写的与实际不符，按照无效标处理）。</w:t>
            </w:r>
          </w:p>
        </w:tc>
      </w:tr>
    </w:tbl>
    <w:p w14:paraId="7C57F608">
      <w:pPr>
        <w:spacing w:line="440" w:lineRule="exact"/>
        <w:ind w:firstLine="308" w:firstLineChars="147"/>
        <w:rPr>
          <w:rFonts w:ascii="宋体" w:hAnsi="宋体" w:cs="宋体"/>
          <w:bCs/>
          <w:szCs w:val="21"/>
          <w:highlight w:val="none"/>
        </w:rPr>
      </w:pPr>
    </w:p>
    <w:p w14:paraId="1D492043">
      <w:pPr>
        <w:adjustRightInd w:val="0"/>
        <w:snapToGrid w:val="0"/>
        <w:spacing w:before="189" w:beforeLines="50" w:line="360" w:lineRule="auto"/>
        <w:ind w:right="960"/>
        <w:rPr>
          <w:rFonts w:ascii="宋体" w:hAnsi="宋体" w:cs="宋体"/>
          <w:sz w:val="24"/>
          <w:highlight w:val="none"/>
        </w:rPr>
      </w:pPr>
      <w:r>
        <w:rPr>
          <w:rFonts w:hint="eastAsia" w:ascii="宋体" w:hAnsi="宋体" w:cs="宋体"/>
          <w:sz w:val="24"/>
          <w:highlight w:val="none"/>
        </w:rPr>
        <w:t>供应商名称（单位电子签章）：</w:t>
      </w:r>
    </w:p>
    <w:p w14:paraId="0A740239">
      <w:pPr>
        <w:spacing w:line="480" w:lineRule="exact"/>
        <w:rPr>
          <w:rFonts w:ascii="宋体" w:hAnsi="宋体" w:cs="宋体"/>
          <w:bCs/>
          <w:sz w:val="24"/>
          <w:highlight w:val="none"/>
        </w:rPr>
      </w:pPr>
      <w:r>
        <w:rPr>
          <w:rFonts w:hint="eastAsia" w:ascii="宋体" w:hAnsi="宋体" w:cs="宋体"/>
          <w:bCs/>
          <w:sz w:val="24"/>
          <w:highlight w:val="none"/>
        </w:rPr>
        <w:t>法定代表人</w:t>
      </w:r>
      <w:r>
        <w:rPr>
          <w:rFonts w:hint="eastAsia" w:ascii="宋体" w:hAnsi="宋体" w:cs="宋体"/>
          <w:bCs/>
          <w:sz w:val="24"/>
          <w:szCs w:val="20"/>
          <w:highlight w:val="none"/>
        </w:rPr>
        <w:t>或其委托代理人</w:t>
      </w:r>
      <w:r>
        <w:rPr>
          <w:rFonts w:hint="eastAsia" w:ascii="宋体" w:hAnsi="宋体" w:cs="宋体"/>
          <w:bCs/>
          <w:sz w:val="24"/>
          <w:highlight w:val="none"/>
        </w:rPr>
        <w:t>：（签字或盖章）</w:t>
      </w:r>
    </w:p>
    <w:p w14:paraId="679298BA">
      <w:pPr>
        <w:ind w:left="1050" w:leftChars="500"/>
        <w:jc w:val="right"/>
        <w:rPr>
          <w:rFonts w:ascii="宋体" w:hAnsi="宋体" w:cs="宋体"/>
          <w:bCs/>
          <w:sz w:val="24"/>
          <w:highlight w:val="none"/>
        </w:rPr>
      </w:pPr>
      <w:r>
        <w:rPr>
          <w:rFonts w:hint="eastAsia" w:ascii="宋体" w:hAnsi="宋体" w:cs="宋体"/>
          <w:bCs/>
          <w:sz w:val="24"/>
          <w:highlight w:val="none"/>
        </w:rPr>
        <w:t xml:space="preserve">               </w:t>
      </w:r>
    </w:p>
    <w:p w14:paraId="47AF59C9">
      <w:pPr>
        <w:ind w:left="1050" w:leftChars="500"/>
        <w:jc w:val="right"/>
        <w:rPr>
          <w:rFonts w:ascii="宋体" w:hAnsi="宋体" w:cs="宋体"/>
          <w:bCs/>
          <w:sz w:val="24"/>
          <w:highlight w:val="none"/>
        </w:rPr>
      </w:pPr>
      <w:r>
        <w:rPr>
          <w:rFonts w:hint="eastAsia" w:ascii="宋体" w:hAnsi="宋体" w:cs="宋体"/>
          <w:bCs/>
          <w:sz w:val="24"/>
          <w:highlight w:val="none"/>
        </w:rPr>
        <w:t xml:space="preserve"> 日  期：     年   月   日</w:t>
      </w:r>
    </w:p>
    <w:p w14:paraId="16B75E0E">
      <w:pPr>
        <w:autoSpaceDE w:val="0"/>
        <w:autoSpaceDN w:val="0"/>
        <w:adjustRightInd w:val="0"/>
        <w:spacing w:line="440" w:lineRule="exact"/>
        <w:jc w:val="center"/>
        <w:rPr>
          <w:rFonts w:ascii="宋体" w:hAnsi="宋体" w:cs="宋体"/>
          <w:b/>
          <w:sz w:val="30"/>
          <w:szCs w:val="30"/>
          <w:highlight w:val="none"/>
        </w:rPr>
      </w:pPr>
    </w:p>
    <w:p w14:paraId="6A4F5144">
      <w:pPr>
        <w:autoSpaceDE w:val="0"/>
        <w:autoSpaceDN w:val="0"/>
        <w:adjustRightInd w:val="0"/>
        <w:spacing w:line="440" w:lineRule="exact"/>
        <w:jc w:val="center"/>
        <w:rPr>
          <w:rFonts w:ascii="宋体" w:hAnsi="宋体" w:cs="宋体"/>
          <w:b/>
          <w:sz w:val="30"/>
          <w:szCs w:val="30"/>
          <w:highlight w:val="none"/>
        </w:rPr>
      </w:pPr>
    </w:p>
    <w:p w14:paraId="78AC04D2">
      <w:pPr>
        <w:autoSpaceDE w:val="0"/>
        <w:autoSpaceDN w:val="0"/>
        <w:adjustRightInd w:val="0"/>
        <w:spacing w:line="440" w:lineRule="exact"/>
        <w:jc w:val="center"/>
        <w:rPr>
          <w:rFonts w:ascii="宋体" w:hAnsi="宋体" w:cs="宋体"/>
          <w:b/>
          <w:sz w:val="30"/>
          <w:szCs w:val="30"/>
          <w:highlight w:val="none"/>
        </w:rPr>
      </w:pPr>
    </w:p>
    <w:p w14:paraId="590BE2D9">
      <w:pPr>
        <w:autoSpaceDE w:val="0"/>
        <w:autoSpaceDN w:val="0"/>
        <w:adjustRightInd w:val="0"/>
        <w:spacing w:line="440" w:lineRule="exact"/>
        <w:jc w:val="center"/>
        <w:rPr>
          <w:rFonts w:ascii="宋体" w:hAnsi="宋体" w:cs="宋体"/>
          <w:b/>
          <w:sz w:val="30"/>
          <w:szCs w:val="30"/>
          <w:highlight w:val="none"/>
        </w:rPr>
      </w:pPr>
      <w:r>
        <w:rPr>
          <w:rFonts w:hint="eastAsia" w:ascii="宋体" w:hAnsi="宋体" w:cs="宋体"/>
          <w:b/>
          <w:sz w:val="30"/>
          <w:szCs w:val="30"/>
          <w:highlight w:val="none"/>
        </w:rPr>
        <w:t>（四）技术偏离表</w:t>
      </w:r>
    </w:p>
    <w:p w14:paraId="4FD4680B">
      <w:pPr>
        <w:spacing w:line="440" w:lineRule="exact"/>
        <w:rPr>
          <w:rFonts w:ascii="宋体" w:hAnsi="宋体" w:cs="宋体"/>
          <w:sz w:val="32"/>
          <w:highlight w:val="none"/>
        </w:rPr>
      </w:pPr>
    </w:p>
    <w:tbl>
      <w:tblPr>
        <w:tblStyle w:val="28"/>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14:paraId="1FE10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14:paraId="3FF77346">
            <w:pPr>
              <w:spacing w:line="440" w:lineRule="exact"/>
              <w:ind w:left="-141"/>
              <w:jc w:val="center"/>
              <w:rPr>
                <w:rFonts w:ascii="宋体" w:hAnsi="宋体" w:cs="宋体"/>
                <w:b/>
                <w:sz w:val="24"/>
                <w:highlight w:val="none"/>
              </w:rPr>
            </w:pPr>
            <w:r>
              <w:rPr>
                <w:rFonts w:hint="eastAsia" w:ascii="宋体" w:hAnsi="宋体" w:cs="宋体"/>
                <w:b/>
                <w:sz w:val="24"/>
                <w:highlight w:val="none"/>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14:paraId="2E828A82">
            <w:pPr>
              <w:spacing w:line="440" w:lineRule="exact"/>
              <w:jc w:val="center"/>
              <w:rPr>
                <w:rFonts w:ascii="宋体" w:hAnsi="宋体" w:cs="宋体"/>
                <w:b/>
                <w:sz w:val="24"/>
                <w:highlight w:val="none"/>
              </w:rPr>
            </w:pPr>
            <w:r>
              <w:rPr>
                <w:rFonts w:hint="eastAsia" w:ascii="宋体" w:hAnsi="宋体" w:cs="宋体"/>
                <w:b/>
                <w:sz w:val="24"/>
                <w:highlight w:val="none"/>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14:paraId="33650E95">
            <w:pPr>
              <w:spacing w:line="440" w:lineRule="exact"/>
              <w:jc w:val="center"/>
              <w:rPr>
                <w:rFonts w:ascii="宋体" w:hAnsi="宋体" w:cs="宋体"/>
                <w:b/>
                <w:sz w:val="24"/>
                <w:highlight w:val="none"/>
              </w:rPr>
            </w:pPr>
            <w:r>
              <w:rPr>
                <w:rFonts w:hint="eastAsia" w:ascii="宋体" w:hAnsi="宋体" w:cs="宋体"/>
                <w:b/>
                <w:sz w:val="24"/>
                <w:highlight w:val="none"/>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14:paraId="7150B5C9">
            <w:pPr>
              <w:widowControl/>
              <w:spacing w:line="440" w:lineRule="exact"/>
              <w:jc w:val="center"/>
              <w:rPr>
                <w:rFonts w:ascii="宋体" w:hAnsi="宋体" w:cs="宋体"/>
                <w:b/>
                <w:sz w:val="24"/>
                <w:highlight w:val="none"/>
              </w:rPr>
            </w:pPr>
            <w:r>
              <w:rPr>
                <w:rFonts w:hint="eastAsia" w:ascii="宋体" w:hAnsi="宋体" w:cs="宋体"/>
                <w:b/>
                <w:sz w:val="24"/>
                <w:highlight w:val="none"/>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14:paraId="66BD09C7">
            <w:pPr>
              <w:widowControl/>
              <w:spacing w:line="440" w:lineRule="exact"/>
              <w:jc w:val="center"/>
              <w:rPr>
                <w:rFonts w:ascii="宋体" w:hAnsi="宋体" w:cs="宋体"/>
                <w:b/>
                <w:sz w:val="24"/>
                <w:highlight w:val="none"/>
              </w:rPr>
            </w:pPr>
            <w:r>
              <w:rPr>
                <w:rFonts w:hint="eastAsia" w:ascii="宋体" w:hAnsi="宋体" w:cs="宋体"/>
                <w:b/>
                <w:sz w:val="24"/>
                <w:highlight w:val="none"/>
              </w:rPr>
              <w:t>偏离说明</w:t>
            </w:r>
          </w:p>
          <w:p w14:paraId="35C1865A">
            <w:pPr>
              <w:widowControl/>
              <w:spacing w:line="440" w:lineRule="exact"/>
              <w:jc w:val="center"/>
              <w:rPr>
                <w:rFonts w:ascii="宋体" w:hAnsi="宋体" w:cs="宋体"/>
                <w:b/>
                <w:sz w:val="24"/>
                <w:highlight w:val="none"/>
              </w:rPr>
            </w:pPr>
            <w:r>
              <w:rPr>
                <w:rFonts w:hint="eastAsia" w:ascii="宋体" w:hAnsi="宋体" w:cs="宋体"/>
                <w:b/>
                <w:sz w:val="24"/>
                <w:highlight w:val="none"/>
              </w:rPr>
              <w:t>(说明偏离情况）</w:t>
            </w:r>
          </w:p>
        </w:tc>
      </w:tr>
      <w:tr w14:paraId="2951E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48AAB340">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6B1660CE">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2898F057">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1086A3F1">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2F48BF1F">
            <w:pPr>
              <w:spacing w:line="440" w:lineRule="exact"/>
              <w:jc w:val="center"/>
              <w:rPr>
                <w:rFonts w:ascii="宋体" w:hAnsi="宋体" w:cs="宋体"/>
                <w:bCs/>
                <w:sz w:val="18"/>
                <w:highlight w:val="none"/>
              </w:rPr>
            </w:pPr>
          </w:p>
        </w:tc>
      </w:tr>
      <w:tr w14:paraId="78A76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54C47368">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64DF7BA8">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6F272985">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70692066">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185EA046">
            <w:pPr>
              <w:spacing w:line="440" w:lineRule="exact"/>
              <w:jc w:val="center"/>
              <w:rPr>
                <w:rFonts w:ascii="宋体" w:hAnsi="宋体" w:cs="宋体"/>
                <w:bCs/>
                <w:sz w:val="18"/>
                <w:highlight w:val="none"/>
              </w:rPr>
            </w:pPr>
          </w:p>
        </w:tc>
      </w:tr>
      <w:tr w14:paraId="25933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6978C8EA">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743E1BEC">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69614784">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0EA7E357">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6C65FD49">
            <w:pPr>
              <w:spacing w:line="440" w:lineRule="exact"/>
              <w:jc w:val="center"/>
              <w:rPr>
                <w:rFonts w:ascii="宋体" w:hAnsi="宋体" w:cs="宋体"/>
                <w:bCs/>
                <w:sz w:val="18"/>
                <w:highlight w:val="none"/>
              </w:rPr>
            </w:pPr>
          </w:p>
        </w:tc>
      </w:tr>
      <w:tr w14:paraId="6DB21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60C162A6">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37D9E54A">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4D9C4C81">
            <w:pPr>
              <w:pStyle w:val="23"/>
              <w:widowControl w:val="0"/>
              <w:tabs>
                <w:tab w:val="left" w:pos="420"/>
              </w:tabs>
              <w:spacing w:before="0" w:beforeAutospacing="0" w:after="0" w:afterAutospacing="0" w:line="440" w:lineRule="exact"/>
              <w:jc w:val="both"/>
              <w:rPr>
                <w:bCs/>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4467A637">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409217D4">
            <w:pPr>
              <w:spacing w:line="440" w:lineRule="exact"/>
              <w:jc w:val="center"/>
              <w:rPr>
                <w:rFonts w:ascii="宋体" w:hAnsi="宋体" w:cs="宋体"/>
                <w:bCs/>
                <w:sz w:val="18"/>
                <w:highlight w:val="none"/>
              </w:rPr>
            </w:pPr>
          </w:p>
        </w:tc>
      </w:tr>
      <w:tr w14:paraId="0C260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176CA0BF">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6698A7B4">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328E245F">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6E10B810">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52F39B71">
            <w:pPr>
              <w:spacing w:line="440" w:lineRule="exact"/>
              <w:jc w:val="center"/>
              <w:rPr>
                <w:rFonts w:ascii="宋体" w:hAnsi="宋体" w:cs="宋体"/>
                <w:bCs/>
                <w:sz w:val="18"/>
                <w:highlight w:val="none"/>
              </w:rPr>
            </w:pPr>
          </w:p>
        </w:tc>
      </w:tr>
      <w:tr w14:paraId="48A53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599B5A46">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0EFF8AF4">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26A6CA72">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623DB8E6">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67BCBF59">
            <w:pPr>
              <w:spacing w:line="440" w:lineRule="exact"/>
              <w:jc w:val="center"/>
              <w:rPr>
                <w:rFonts w:ascii="宋体" w:hAnsi="宋体" w:cs="宋体"/>
                <w:bCs/>
                <w:sz w:val="18"/>
                <w:highlight w:val="none"/>
              </w:rPr>
            </w:pPr>
          </w:p>
        </w:tc>
      </w:tr>
    </w:tbl>
    <w:p w14:paraId="59F2AFF2">
      <w:pPr>
        <w:spacing w:line="500" w:lineRule="exact"/>
        <w:ind w:firstLine="480" w:firstLineChars="200"/>
        <w:rPr>
          <w:rFonts w:ascii="宋体" w:hAnsi="宋体"/>
          <w:sz w:val="24"/>
          <w:highlight w:val="none"/>
        </w:rPr>
      </w:pPr>
      <w:r>
        <w:rPr>
          <w:rFonts w:hint="eastAsia" w:ascii="宋体" w:hAnsi="宋体"/>
          <w:sz w:val="24"/>
          <w:highlight w:val="none"/>
        </w:rPr>
        <w:t>注：投标人须对照招标文件技术规格，将自己所投的所有货物的功能、技术性能、配置等内容按照上表格式与招标文件要求逐条填写，</w:t>
      </w:r>
      <w:r>
        <w:rPr>
          <w:rFonts w:hint="eastAsia" w:ascii="宋体" w:hAnsi="宋体"/>
          <w:b/>
          <w:bCs/>
          <w:sz w:val="24"/>
          <w:highlight w:val="none"/>
        </w:rPr>
        <w:t>供应商必须提供所投设备的具体参数值，并在偏离说明栏中标明技术及配置的实际响应情况</w:t>
      </w:r>
      <w:r>
        <w:rPr>
          <w:rFonts w:hint="eastAsia" w:ascii="宋体" w:hAnsi="宋体"/>
          <w:sz w:val="24"/>
          <w:highlight w:val="none"/>
        </w:rPr>
        <w:t>：</w:t>
      </w:r>
    </w:p>
    <w:p w14:paraId="5A459808">
      <w:pPr>
        <w:spacing w:line="500" w:lineRule="exact"/>
        <w:ind w:firstLine="480" w:firstLineChars="200"/>
        <w:rPr>
          <w:rFonts w:ascii="宋体" w:hAnsi="宋体"/>
          <w:sz w:val="24"/>
          <w:highlight w:val="none"/>
        </w:rPr>
      </w:pPr>
      <w:r>
        <w:rPr>
          <w:rFonts w:hint="eastAsia" w:ascii="宋体" w:hAnsi="宋体"/>
          <w:sz w:val="24"/>
          <w:highlight w:val="none"/>
        </w:rPr>
        <w:t>1、偏离说明栏中必须标明技术及配置的响应情况，整项货物及该项货物各部分相应情况须按下列要求填写，任何不真实响应都将按无效投标处理：</w:t>
      </w:r>
    </w:p>
    <w:p w14:paraId="78E24152">
      <w:pPr>
        <w:numPr>
          <w:ilvl w:val="0"/>
          <w:numId w:val="13"/>
        </w:numPr>
        <w:spacing w:line="500" w:lineRule="exact"/>
        <w:ind w:firstLine="480" w:firstLineChars="200"/>
        <w:rPr>
          <w:rFonts w:ascii="宋体" w:hAnsi="宋体"/>
          <w:sz w:val="24"/>
          <w:highlight w:val="none"/>
        </w:rPr>
      </w:pPr>
      <w:r>
        <w:rPr>
          <w:rFonts w:hint="eastAsia" w:ascii="宋体" w:hAnsi="宋体"/>
          <w:sz w:val="24"/>
          <w:highlight w:val="none"/>
        </w:rPr>
        <w:t>对应项中的所有技术参数、性能和配置全部符合招标文件要求的才能填写“符合”；</w:t>
      </w:r>
    </w:p>
    <w:p w14:paraId="19302900">
      <w:pPr>
        <w:numPr>
          <w:ilvl w:val="0"/>
          <w:numId w:val="13"/>
        </w:numPr>
        <w:spacing w:line="500" w:lineRule="exact"/>
        <w:ind w:firstLine="480" w:firstLineChars="200"/>
        <w:rPr>
          <w:rFonts w:ascii="宋体" w:hAnsi="宋体"/>
          <w:sz w:val="24"/>
          <w:highlight w:val="none"/>
        </w:rPr>
      </w:pPr>
      <w:r>
        <w:rPr>
          <w:rFonts w:hint="eastAsia" w:ascii="宋体" w:hAnsi="宋体"/>
          <w:sz w:val="24"/>
          <w:highlight w:val="none"/>
        </w:rPr>
        <w:t>对应项中的所有技术参数、性能和配置全部符合招标文件要求并且其中有一个或以上指标优于招标文件要求的，可填写“正偏离”；</w:t>
      </w:r>
    </w:p>
    <w:p w14:paraId="066D3611">
      <w:pPr>
        <w:spacing w:line="500" w:lineRule="exact"/>
        <w:rPr>
          <w:rFonts w:ascii="宋体" w:hAnsi="宋体" w:cs="宋体"/>
          <w:sz w:val="24"/>
          <w:highlight w:val="none"/>
        </w:rPr>
      </w:pPr>
    </w:p>
    <w:p w14:paraId="21AFB3D7">
      <w:pPr>
        <w:adjustRightInd w:val="0"/>
        <w:snapToGrid w:val="0"/>
        <w:spacing w:before="189" w:beforeLines="50" w:line="360" w:lineRule="auto"/>
        <w:ind w:right="960"/>
        <w:rPr>
          <w:rFonts w:ascii="宋体" w:hAnsi="宋体" w:cs="宋体"/>
          <w:sz w:val="24"/>
          <w:highlight w:val="none"/>
        </w:rPr>
      </w:pPr>
      <w:r>
        <w:rPr>
          <w:rFonts w:hint="eastAsia" w:ascii="宋体" w:hAnsi="宋体" w:cs="宋体"/>
          <w:sz w:val="24"/>
          <w:highlight w:val="none"/>
        </w:rPr>
        <w:t>供应商名称（单位电子签章）：</w:t>
      </w:r>
    </w:p>
    <w:p w14:paraId="0DCA1231">
      <w:pPr>
        <w:spacing w:line="480" w:lineRule="exact"/>
        <w:rPr>
          <w:rFonts w:ascii="宋体" w:hAnsi="宋体" w:cs="宋体"/>
          <w:bCs/>
          <w:sz w:val="24"/>
          <w:highlight w:val="none"/>
        </w:rPr>
      </w:pPr>
      <w:r>
        <w:rPr>
          <w:rFonts w:hint="eastAsia" w:ascii="宋体" w:hAnsi="宋体" w:cs="宋体"/>
          <w:bCs/>
          <w:sz w:val="24"/>
          <w:highlight w:val="none"/>
        </w:rPr>
        <w:t>法定代表人</w:t>
      </w:r>
      <w:r>
        <w:rPr>
          <w:rFonts w:hint="eastAsia" w:ascii="宋体" w:hAnsi="宋体" w:cs="宋体"/>
          <w:bCs/>
          <w:sz w:val="24"/>
          <w:szCs w:val="20"/>
          <w:highlight w:val="none"/>
        </w:rPr>
        <w:t>或其委托代理人</w:t>
      </w:r>
      <w:r>
        <w:rPr>
          <w:rFonts w:hint="eastAsia" w:ascii="宋体" w:hAnsi="宋体" w:cs="宋体"/>
          <w:bCs/>
          <w:sz w:val="24"/>
          <w:highlight w:val="none"/>
        </w:rPr>
        <w:t>：（签字或盖章）</w:t>
      </w:r>
    </w:p>
    <w:p w14:paraId="452087E9">
      <w:pPr>
        <w:ind w:left="1050" w:leftChars="500"/>
        <w:jc w:val="right"/>
        <w:rPr>
          <w:rFonts w:ascii="宋体" w:hAnsi="宋体" w:cs="宋体"/>
          <w:bCs/>
          <w:sz w:val="24"/>
          <w:highlight w:val="none"/>
        </w:rPr>
      </w:pPr>
      <w:r>
        <w:rPr>
          <w:rFonts w:hint="eastAsia" w:ascii="宋体" w:hAnsi="宋体" w:cs="宋体"/>
          <w:bCs/>
          <w:sz w:val="24"/>
          <w:highlight w:val="none"/>
        </w:rPr>
        <w:t xml:space="preserve">              </w:t>
      </w:r>
    </w:p>
    <w:p w14:paraId="0B2B25A0">
      <w:pPr>
        <w:ind w:left="1050" w:leftChars="500"/>
        <w:jc w:val="right"/>
        <w:rPr>
          <w:rFonts w:ascii="宋体" w:hAnsi="宋体" w:cs="宋体"/>
          <w:bCs/>
          <w:sz w:val="24"/>
          <w:highlight w:val="none"/>
        </w:rPr>
      </w:pPr>
      <w:r>
        <w:rPr>
          <w:rFonts w:hint="eastAsia" w:ascii="宋体" w:hAnsi="宋体" w:cs="宋体"/>
          <w:bCs/>
          <w:sz w:val="24"/>
          <w:highlight w:val="none"/>
        </w:rPr>
        <w:t xml:space="preserve"> 日  期：     年   月   日</w:t>
      </w:r>
    </w:p>
    <w:p w14:paraId="42FF7015">
      <w:pPr>
        <w:pStyle w:val="27"/>
        <w:ind w:firstLine="480"/>
        <w:rPr>
          <w:rFonts w:asciiTheme="minorEastAsia" w:hAnsiTheme="minorEastAsia" w:eastAsiaTheme="minorEastAsia" w:cstheme="minorEastAsia"/>
          <w:sz w:val="24"/>
          <w:highlight w:val="none"/>
        </w:rPr>
      </w:pPr>
    </w:p>
    <w:p w14:paraId="67D6BB5A">
      <w:pPr>
        <w:numPr>
          <w:ilvl w:val="0"/>
          <w:numId w:val="14"/>
        </w:numPr>
        <w:jc w:val="center"/>
        <w:rPr>
          <w:b/>
          <w:bCs/>
          <w:sz w:val="28"/>
          <w:szCs w:val="28"/>
          <w:highlight w:val="none"/>
        </w:rPr>
      </w:pPr>
      <w:bookmarkStart w:id="293" w:name="_Toc5614"/>
      <w:bookmarkStart w:id="294" w:name="_Toc2213"/>
      <w:bookmarkStart w:id="295" w:name="_Toc26698"/>
      <w:r>
        <w:rPr>
          <w:rFonts w:hint="eastAsia"/>
          <w:b/>
          <w:bCs/>
          <w:sz w:val="28"/>
          <w:szCs w:val="28"/>
          <w:highlight w:val="none"/>
        </w:rPr>
        <w:t>法定代表人身份证明书</w:t>
      </w:r>
      <w:bookmarkEnd w:id="293"/>
      <w:bookmarkEnd w:id="294"/>
      <w:bookmarkEnd w:id="295"/>
    </w:p>
    <w:p w14:paraId="2CE0B094">
      <w:pPr>
        <w:rPr>
          <w:highlight w:val="none"/>
        </w:rPr>
      </w:pPr>
    </w:p>
    <w:p w14:paraId="666A2646">
      <w:pPr>
        <w:spacing w:line="360" w:lineRule="auto"/>
        <w:ind w:firstLine="480" w:firstLineChars="200"/>
        <w:rPr>
          <w:rFonts w:ascii="宋体" w:hAnsi="宋体"/>
          <w:sz w:val="24"/>
          <w:highlight w:val="none"/>
        </w:rPr>
      </w:pPr>
      <w:r>
        <w:rPr>
          <w:rFonts w:hint="eastAsia" w:ascii="宋体" w:hAnsi="宋体"/>
          <w:sz w:val="24"/>
          <w:szCs w:val="18"/>
          <w:highlight w:val="none"/>
        </w:rPr>
        <w:t>供应商</w:t>
      </w:r>
      <w:r>
        <w:rPr>
          <w:rFonts w:hint="eastAsia" w:ascii="宋体" w:hAnsi="宋体"/>
          <w:sz w:val="24"/>
          <w:highlight w:val="none"/>
        </w:rPr>
        <w:t>名称：</w:t>
      </w:r>
      <w:r>
        <w:rPr>
          <w:rFonts w:hint="eastAsia" w:ascii="宋体" w:hAnsi="宋体"/>
          <w:sz w:val="24"/>
          <w:highlight w:val="none"/>
          <w:u w:val="single"/>
        </w:rPr>
        <w:t xml:space="preserve">                                </w:t>
      </w:r>
      <w:r>
        <w:rPr>
          <w:rFonts w:hint="eastAsia" w:ascii="宋体" w:hAnsi="宋体"/>
          <w:sz w:val="24"/>
          <w:highlight w:val="none"/>
        </w:rPr>
        <w:t xml:space="preserve"> </w:t>
      </w:r>
    </w:p>
    <w:p w14:paraId="61F90147">
      <w:pPr>
        <w:spacing w:line="360" w:lineRule="auto"/>
        <w:ind w:firstLine="480" w:firstLineChars="200"/>
        <w:rPr>
          <w:rFonts w:ascii="宋体" w:hAnsi="宋体"/>
          <w:sz w:val="24"/>
          <w:highlight w:val="none"/>
        </w:rPr>
      </w:pPr>
      <w:r>
        <w:rPr>
          <w:rFonts w:hint="eastAsia" w:ascii="宋体" w:hAnsi="宋体"/>
          <w:sz w:val="24"/>
          <w:highlight w:val="none"/>
        </w:rPr>
        <w:t>单位性质：</w:t>
      </w:r>
      <w:r>
        <w:rPr>
          <w:rFonts w:hint="eastAsia" w:ascii="宋体" w:hAnsi="宋体"/>
          <w:sz w:val="24"/>
          <w:highlight w:val="none"/>
          <w:u w:val="single"/>
        </w:rPr>
        <w:t xml:space="preserve">                                  </w:t>
      </w:r>
      <w:r>
        <w:rPr>
          <w:rFonts w:hint="eastAsia" w:ascii="宋体" w:hAnsi="宋体"/>
          <w:sz w:val="24"/>
          <w:highlight w:val="none"/>
        </w:rPr>
        <w:t xml:space="preserve"> </w:t>
      </w:r>
    </w:p>
    <w:p w14:paraId="5E3E5D16">
      <w:pPr>
        <w:spacing w:line="360" w:lineRule="auto"/>
        <w:ind w:firstLine="480" w:firstLineChars="200"/>
        <w:rPr>
          <w:rFonts w:ascii="宋体" w:hAnsi="宋体"/>
          <w:sz w:val="24"/>
          <w:highlight w:val="non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w:t>
      </w:r>
    </w:p>
    <w:p w14:paraId="5D0C9144">
      <w:pPr>
        <w:spacing w:line="360" w:lineRule="auto"/>
        <w:ind w:firstLine="480" w:firstLineChars="200"/>
        <w:rPr>
          <w:rFonts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18E4F0BC">
      <w:pPr>
        <w:spacing w:line="360" w:lineRule="auto"/>
        <w:ind w:firstLine="480" w:firstLineChars="200"/>
        <w:rPr>
          <w:rFonts w:ascii="宋体" w:hAnsi="宋体"/>
          <w:sz w:val="24"/>
          <w:highlight w:val="none"/>
        </w:rPr>
      </w:pPr>
      <w:r>
        <w:rPr>
          <w:rFonts w:hint="eastAsia" w:ascii="宋体" w:hAnsi="宋体"/>
          <w:sz w:val="24"/>
          <w:highlight w:val="none"/>
        </w:rPr>
        <w:t>经营期限：</w:t>
      </w:r>
      <w:r>
        <w:rPr>
          <w:rFonts w:hint="eastAsia" w:ascii="宋体" w:hAnsi="宋体"/>
          <w:sz w:val="24"/>
          <w:highlight w:val="none"/>
          <w:u w:val="single"/>
        </w:rPr>
        <w:t xml:space="preserve">                                </w:t>
      </w:r>
      <w:r>
        <w:rPr>
          <w:rFonts w:hint="eastAsia" w:ascii="宋体" w:hAnsi="宋体"/>
          <w:sz w:val="24"/>
          <w:highlight w:val="none"/>
        </w:rPr>
        <w:t xml:space="preserve"> </w:t>
      </w:r>
    </w:p>
    <w:p w14:paraId="0C02AC80">
      <w:pPr>
        <w:spacing w:line="360" w:lineRule="auto"/>
        <w:ind w:firstLine="480" w:firstLineChars="200"/>
        <w:rPr>
          <w:rFonts w:ascii="宋体" w:hAnsi="宋体"/>
          <w:sz w:val="24"/>
          <w:highlight w:val="none"/>
        </w:rPr>
      </w:pPr>
      <w:r>
        <w:rPr>
          <w:rFonts w:hint="eastAsia" w:ascii="宋体" w:hAnsi="宋体"/>
          <w:sz w:val="24"/>
          <w:highlight w:val="none"/>
        </w:rPr>
        <w:t>姓名：</w:t>
      </w:r>
      <w:r>
        <w:rPr>
          <w:rFonts w:hint="eastAsia" w:ascii="宋体" w:hAnsi="宋体"/>
          <w:sz w:val="24"/>
          <w:highlight w:val="none"/>
          <w:u w:val="single"/>
        </w:rPr>
        <w:t xml:space="preserve">           </w:t>
      </w:r>
      <w:r>
        <w:rPr>
          <w:rFonts w:hint="eastAsia" w:ascii="宋体" w:hAnsi="宋体"/>
          <w:sz w:val="24"/>
          <w:highlight w:val="none"/>
        </w:rPr>
        <w:t>性别：</w:t>
      </w:r>
      <w:r>
        <w:rPr>
          <w:rFonts w:hint="eastAsia" w:ascii="宋体" w:hAnsi="宋体"/>
          <w:sz w:val="24"/>
          <w:highlight w:val="none"/>
          <w:u w:val="single"/>
        </w:rPr>
        <w:t xml:space="preserve">        </w:t>
      </w:r>
      <w:r>
        <w:rPr>
          <w:rFonts w:hint="eastAsia" w:ascii="宋体" w:hAnsi="宋体"/>
          <w:sz w:val="24"/>
          <w:highlight w:val="none"/>
        </w:rPr>
        <w:t>年龄：</w:t>
      </w:r>
      <w:r>
        <w:rPr>
          <w:rFonts w:hint="eastAsia" w:ascii="宋体" w:hAnsi="宋体"/>
          <w:sz w:val="24"/>
          <w:highlight w:val="none"/>
          <w:u w:val="single"/>
        </w:rPr>
        <w:t xml:space="preserve">        </w:t>
      </w:r>
      <w:r>
        <w:rPr>
          <w:rFonts w:hint="eastAsia" w:ascii="宋体" w:hAnsi="宋体"/>
          <w:sz w:val="24"/>
          <w:highlight w:val="none"/>
        </w:rPr>
        <w:t xml:space="preserve"> 职务：</w:t>
      </w:r>
      <w:r>
        <w:rPr>
          <w:rFonts w:hint="eastAsia" w:ascii="宋体" w:hAnsi="宋体"/>
          <w:sz w:val="24"/>
          <w:highlight w:val="none"/>
          <w:u w:val="single"/>
        </w:rPr>
        <w:t xml:space="preserve">       </w:t>
      </w:r>
      <w:r>
        <w:rPr>
          <w:rFonts w:hint="eastAsia" w:ascii="宋体" w:hAnsi="宋体"/>
          <w:sz w:val="24"/>
          <w:highlight w:val="none"/>
        </w:rPr>
        <w:t>_</w:t>
      </w:r>
    </w:p>
    <w:p w14:paraId="17EDB779">
      <w:pPr>
        <w:spacing w:line="360" w:lineRule="auto"/>
        <w:ind w:firstLine="480" w:firstLineChars="200"/>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rPr>
        <w:t>（供应商名称）的法定代表人。</w:t>
      </w:r>
    </w:p>
    <w:p w14:paraId="0186D58B">
      <w:pPr>
        <w:spacing w:line="360" w:lineRule="auto"/>
        <w:ind w:firstLine="480" w:firstLineChars="200"/>
        <w:rPr>
          <w:rFonts w:ascii="宋体" w:hAnsi="宋体"/>
          <w:sz w:val="24"/>
          <w:highlight w:val="none"/>
        </w:rPr>
      </w:pPr>
      <w:r>
        <w:rPr>
          <w:rFonts w:hint="eastAsia" w:ascii="宋体" w:hAnsi="宋体"/>
          <w:sz w:val="24"/>
          <w:highlight w:val="none"/>
        </w:rPr>
        <w:t>特此证明。</w:t>
      </w:r>
    </w:p>
    <w:p w14:paraId="2ADF0094">
      <w:pPr>
        <w:rPr>
          <w:rFonts w:ascii="宋体" w:hAnsi="宋体"/>
          <w:sz w:val="24"/>
          <w:highlight w:val="none"/>
        </w:rPr>
      </w:pP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E442023"/>
                        </w:txbxContent>
                      </wps:txbx>
                      <wps:bodyPr upright="1"/>
                    </wps:wsp>
                  </a:graphicData>
                </a:graphic>
              </wp:anchor>
            </w:drawing>
          </mc:Choice>
          <mc:Fallback>
            <w:pict>
              <v:shape id="自选图形 3" o:spid="_x0000_s1026" o:spt="176" type="#_x0000_t176" style="position:absolute;left:0pt;margin-left:-23.4pt;margin-top:21.65pt;height:176pt;width:229.35pt;z-index:251659264;mso-width-relative:page;mso-height-relative:page;" fillcolor="#FFFFFF" filled="t" stroked="t" coordsize="21600,21600" o:gfxdata="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1pmXZ&#10;AAAACgEAAA8AAAAAAAAAAQAgAAAAIgAAAGRycy9kb3ducmV2LnhtbFBLAQIUABQAAAAIAIdO4kCw&#10;2FMyHwIAAFMEAAAOAAAAAAAAAAEAIAAAACgBAABkcnMvZTJvRG9jLnhtbFBLBQYAAAAABgAGAFkB&#10;AAC5BQAAAAA=&#10;">
                <v:fill on="t" focussize="0,0"/>
                <v:stroke color="#000000" joinstyle="miter"/>
                <v:imagedata o:title=""/>
                <o:lock v:ext="edit" aspectratio="f"/>
                <v:textbox>
                  <w:txbxContent>
                    <w:p w14:paraId="1E442023"/>
                  </w:txbxContent>
                </v:textbox>
              </v:shape>
            </w:pict>
          </mc:Fallback>
        </mc:AlternateContent>
      </w:r>
    </w:p>
    <w:p w14:paraId="6403489B">
      <w:pPr>
        <w:rPr>
          <w:rFonts w:ascii="宋体" w:hAnsi="宋体"/>
          <w:sz w:val="24"/>
          <w:highlight w:val="none"/>
        </w:rPr>
      </w:pPr>
      <w:r>
        <w:rPr>
          <w:sz w:val="24"/>
          <w:highlight w:val="none"/>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40640</wp:posOffset>
                </wp:positionV>
                <wp:extent cx="2954655" cy="2268220"/>
                <wp:effectExtent l="4445" t="5080" r="12700" b="12700"/>
                <wp:wrapNone/>
                <wp:docPr id="3" name="自选图形 2"/>
                <wp:cNvGraphicFramePr/>
                <a:graphic xmlns:a="http://schemas.openxmlformats.org/drawingml/2006/main">
                  <a:graphicData uri="http://schemas.microsoft.com/office/word/2010/wordprocessingShape">
                    <wps:wsp>
                      <wps:cNvSpPr/>
                      <wps:spPr>
                        <a:xfrm>
                          <a:off x="0" y="0"/>
                          <a:ext cx="2954655" cy="22682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27C4348"/>
                        </w:txbxContent>
                      </wps:txbx>
                      <wps:bodyPr upright="1"/>
                    </wps:wsp>
                  </a:graphicData>
                </a:graphic>
              </wp:anchor>
            </w:drawing>
          </mc:Choice>
          <mc:Fallback>
            <w:pict>
              <v:shape id="自选图形 2" o:spid="_x0000_s1026" o:spt="176" type="#_x0000_t176" style="position:absolute;left:0pt;margin-left:208.6pt;margin-top:3.2pt;height:178.6pt;width:232.65pt;z-index:251661312;mso-width-relative:page;mso-height-relative:page;" fillcolor="#FFFFFF" filled="t" stroked="t" coordsize="21600,21600" o:gfxdata="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SAD&#10;N9gAAAAJAQAADwAAAAAAAAABACAAAAAiAAAAZHJzL2Rvd25yZXYueG1sUEsBAhQAFAAAAAgAh07i&#10;QCHUUvEiAgAAUwQAAA4AAAAAAAAAAQAgAAAAJwEAAGRycy9lMm9Eb2MueG1sUEsFBgAAAAAGAAYA&#10;WQEAALsFAAAAAA==&#10;">
                <v:fill on="t" focussize="0,0"/>
                <v:stroke color="#000000" joinstyle="miter"/>
                <v:imagedata o:title=""/>
                <o:lock v:ext="edit" aspectratio="f"/>
                <v:textbox>
                  <w:txbxContent>
                    <w:p w14:paraId="327C4348"/>
                  </w:txbxContent>
                </v:textbox>
              </v:shape>
            </w:pict>
          </mc:Fallback>
        </mc:AlternateContent>
      </w:r>
    </w:p>
    <w:p w14:paraId="2B773A1F">
      <w:pPr>
        <w:rPr>
          <w:rFonts w:ascii="宋体" w:hAnsi="宋体"/>
          <w:sz w:val="24"/>
          <w:highlight w:val="none"/>
        </w:rPr>
      </w:pP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416560</wp:posOffset>
                </wp:positionV>
                <wp:extent cx="2403475" cy="677545"/>
                <wp:effectExtent l="4445" t="4445" r="11430" b="22860"/>
                <wp:wrapNone/>
                <wp:docPr id="2" name="文本框 5"/>
                <wp:cNvGraphicFramePr/>
                <a:graphic xmlns:a="http://schemas.openxmlformats.org/drawingml/2006/main">
                  <a:graphicData uri="http://schemas.microsoft.com/office/word/2010/wordprocessingShape">
                    <wps:wsp>
                      <wps:cNvSpPr txBox="1"/>
                      <wps:spPr>
                        <a:xfrm>
                          <a:off x="0" y="0"/>
                          <a:ext cx="2403475" cy="677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0A64A9">
                            <w:pPr>
                              <w:jc w:val="center"/>
                            </w:pPr>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8.3pt;margin-top:32.8pt;height:53.35pt;width:189.25pt;z-index:251660288;mso-width-relative:page;mso-height-relative:page;" fillcolor="#FFFFFF" filled="t" stroked="t" coordsize="21600,21600" o:gfxdata="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N12bZAAAACgEAAA8AAAAA&#10;AAAAAQAgAAAAIgAAAGRycy9kb3ducmV2LnhtbFBLAQIUABQAAAAIAIdO4kAM3l49EwIAAEQEAAAO&#10;AAAAAAAAAAEAIAAAACgBAABkcnMvZTJvRG9jLnhtbFBLBQYAAAAABgAGAFkBAACtBQAAAAA=&#10;">
                <v:fill on="t" focussize="0,0"/>
                <v:stroke color="#000000" joinstyle="miter"/>
                <v:imagedata o:title=""/>
                <o:lock v:ext="edit" aspectratio="f"/>
                <v:textbox>
                  <w:txbxContent>
                    <w:p w14:paraId="280A64A9">
                      <w:pPr>
                        <w:jc w:val="center"/>
                      </w:pPr>
                      <w:r>
                        <w:rPr>
                          <w:rFonts w:hint="eastAsia" w:ascii="宋体" w:hAnsi="宋体"/>
                          <w:sz w:val="24"/>
                        </w:rPr>
                        <w:t>法定代表人身份证复印件粘贴处（正面）</w:t>
                      </w:r>
                    </w:p>
                  </w:txbxContent>
                </v:textbox>
              </v:shape>
            </w:pict>
          </mc:Fallback>
        </mc:AlternateContent>
      </w:r>
      <w:r>
        <w:rPr>
          <w:sz w:val="24"/>
          <w:highlight w:val="none"/>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361315</wp:posOffset>
                </wp:positionV>
                <wp:extent cx="2673985" cy="766445"/>
                <wp:effectExtent l="4445" t="5080" r="7620" b="9525"/>
                <wp:wrapNone/>
                <wp:docPr id="4" name="文本框 4"/>
                <wp:cNvGraphicFramePr/>
                <a:graphic xmlns:a="http://schemas.openxmlformats.org/drawingml/2006/main">
                  <a:graphicData uri="http://schemas.microsoft.com/office/word/2010/wordprocessingShape">
                    <wps:wsp>
                      <wps:cNvSpPr txBox="1"/>
                      <wps:spPr>
                        <a:xfrm>
                          <a:off x="0" y="0"/>
                          <a:ext cx="2673985" cy="7664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D2CADB">
                            <w:pPr>
                              <w:jc w:val="center"/>
                              <w:rPr>
                                <w:rFonts w:ascii="宋体" w:hAnsi="宋体"/>
                                <w:sz w:val="24"/>
                              </w:rPr>
                            </w:pPr>
                            <w:r>
                              <w:rPr>
                                <w:rFonts w:hint="eastAsia" w:ascii="宋体" w:hAnsi="宋体"/>
                                <w:sz w:val="24"/>
                              </w:rPr>
                              <w:t>法定代表人身份证复印件粘贴处</w:t>
                            </w:r>
                          </w:p>
                          <w:p w14:paraId="07BAD688">
                            <w:pPr>
                              <w:jc w:val="center"/>
                            </w:pPr>
                            <w:r>
                              <w:rPr>
                                <w:rFonts w:hint="eastAsia" w:ascii="宋体" w:hAnsi="宋体"/>
                                <w:sz w:val="24"/>
                              </w:rPr>
                              <w:t>（背面）</w:t>
                            </w:r>
                          </w:p>
                        </w:txbxContent>
                      </wps:txbx>
                      <wps:bodyPr upright="1"/>
                    </wps:wsp>
                  </a:graphicData>
                </a:graphic>
              </wp:anchor>
            </w:drawing>
          </mc:Choice>
          <mc:Fallback>
            <w:pict>
              <v:shape id="_x0000_s1026" o:spid="_x0000_s1026" o:spt="202" type="#_x0000_t202" style="position:absolute;left:0pt;margin-left:219pt;margin-top:28.45pt;height:60.35pt;width:210.55pt;z-index:251662336;mso-width-relative:page;mso-height-relative:page;" fillcolor="#FFFFFF" filled="t" stroked="t" coordsize="21600,21600" o:gfxdata="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kje2QAAAAoBAAAPAAAAAAAA&#10;AAEAIAAAACIAAABkcnMvZG93bnJldi54bWxQSwECFAAUAAAACACHTuJAaJ2HfRECAABEBAAADgAA&#10;AAAAAAABACAAAAAoAQAAZHJzL2Uyb0RvYy54bWxQSwUGAAAAAAYABgBZAQAAqwUAAAAA&#10;">
                <v:fill on="t" focussize="0,0"/>
                <v:stroke color="#000000" joinstyle="miter"/>
                <v:imagedata o:title=""/>
                <o:lock v:ext="edit" aspectratio="f"/>
                <v:textbox>
                  <w:txbxContent>
                    <w:p w14:paraId="48D2CADB">
                      <w:pPr>
                        <w:jc w:val="center"/>
                        <w:rPr>
                          <w:rFonts w:ascii="宋体" w:hAnsi="宋体"/>
                          <w:sz w:val="24"/>
                        </w:rPr>
                      </w:pPr>
                      <w:r>
                        <w:rPr>
                          <w:rFonts w:hint="eastAsia" w:ascii="宋体" w:hAnsi="宋体"/>
                          <w:sz w:val="24"/>
                        </w:rPr>
                        <w:t>法定代表人身份证复印件粘贴处</w:t>
                      </w:r>
                    </w:p>
                    <w:p w14:paraId="07BAD688">
                      <w:pPr>
                        <w:jc w:val="center"/>
                      </w:pPr>
                      <w:r>
                        <w:rPr>
                          <w:rFonts w:hint="eastAsia" w:ascii="宋体" w:hAnsi="宋体"/>
                          <w:sz w:val="24"/>
                        </w:rPr>
                        <w:t>（背面）</w:t>
                      </w:r>
                    </w:p>
                  </w:txbxContent>
                </v:textbox>
              </v:shape>
            </w:pict>
          </mc:Fallback>
        </mc:AlternateContent>
      </w:r>
    </w:p>
    <w:p w14:paraId="2AC31467">
      <w:pPr>
        <w:rPr>
          <w:rFonts w:ascii="宋体" w:hAnsi="宋体"/>
          <w:sz w:val="24"/>
          <w:highlight w:val="none"/>
        </w:rPr>
      </w:pPr>
    </w:p>
    <w:p w14:paraId="3995C5F7">
      <w:pPr>
        <w:rPr>
          <w:highlight w:val="none"/>
        </w:rPr>
      </w:pPr>
    </w:p>
    <w:p w14:paraId="29932CB1">
      <w:pPr>
        <w:spacing w:line="360" w:lineRule="auto"/>
        <w:ind w:firstLine="480" w:firstLineChars="200"/>
        <w:rPr>
          <w:rFonts w:ascii="宋体" w:hAnsi="宋体"/>
          <w:sz w:val="24"/>
          <w:highlight w:val="none"/>
        </w:rPr>
      </w:pPr>
    </w:p>
    <w:p w14:paraId="3451FDF4">
      <w:pPr>
        <w:spacing w:line="360" w:lineRule="auto"/>
        <w:rPr>
          <w:rFonts w:ascii="宋体" w:hAnsi="宋体"/>
          <w:sz w:val="24"/>
          <w:highlight w:val="none"/>
        </w:rPr>
      </w:pPr>
      <w:r>
        <w:rPr>
          <w:rFonts w:hint="eastAsia" w:ascii="宋体" w:hAnsi="宋体"/>
          <w:sz w:val="24"/>
          <w:highlight w:val="none"/>
        </w:rPr>
        <w:t>供应商： （盖单位章）</w:t>
      </w:r>
    </w:p>
    <w:p w14:paraId="0E837CE6">
      <w:pPr>
        <w:spacing w:line="360" w:lineRule="auto"/>
        <w:ind w:firstLine="480" w:firstLineChars="200"/>
        <w:rPr>
          <w:rFonts w:ascii="宋体" w:hAnsi="宋体"/>
          <w:sz w:val="24"/>
          <w:highlight w:val="none"/>
        </w:rPr>
      </w:pPr>
      <w:r>
        <w:rPr>
          <w:rFonts w:hint="eastAsia" w:ascii="宋体" w:hAnsi="宋体"/>
          <w:sz w:val="24"/>
          <w:highlight w:val="none"/>
        </w:rPr>
        <w:t xml:space="preserve">         </w:t>
      </w:r>
    </w:p>
    <w:p w14:paraId="2428E739">
      <w:pPr>
        <w:spacing w:line="360" w:lineRule="auto"/>
        <w:ind w:firstLine="480" w:firstLineChars="200"/>
        <w:rPr>
          <w:rFonts w:ascii="宋体" w:hAnsi="宋体"/>
          <w:sz w:val="24"/>
          <w:highlight w:val="none"/>
        </w:rPr>
      </w:pPr>
    </w:p>
    <w:p w14:paraId="0A983169">
      <w:pPr>
        <w:spacing w:line="360" w:lineRule="auto"/>
        <w:rPr>
          <w:rFonts w:ascii="宋体" w:hAnsi="宋体"/>
          <w:sz w:val="24"/>
          <w:highlight w:val="none"/>
        </w:rPr>
      </w:pPr>
      <w:r>
        <w:rPr>
          <w:rFonts w:hint="eastAsia" w:ascii="宋体" w:hAnsi="宋体"/>
          <w:sz w:val="24"/>
          <w:highlight w:val="none"/>
        </w:rPr>
        <w:t>供应商： （</w:t>
      </w:r>
      <w:r>
        <w:rPr>
          <w:rFonts w:hint="eastAsia" w:ascii="宋体" w:hAnsi="宋体" w:cs="宋体"/>
          <w:sz w:val="24"/>
          <w:highlight w:val="none"/>
        </w:rPr>
        <w:t>企业电子签章</w:t>
      </w:r>
      <w:r>
        <w:rPr>
          <w:rFonts w:hint="eastAsia" w:ascii="宋体" w:hAnsi="宋体"/>
          <w:sz w:val="24"/>
          <w:highlight w:val="none"/>
        </w:rPr>
        <w:t>）</w:t>
      </w:r>
    </w:p>
    <w:p w14:paraId="3E306407">
      <w:pPr>
        <w:spacing w:line="360" w:lineRule="auto"/>
        <w:ind w:firstLine="5760" w:firstLineChars="2400"/>
        <w:rPr>
          <w:rFonts w:ascii="宋体" w:hAnsi="宋体"/>
          <w:sz w:val="24"/>
          <w:highlight w:val="none"/>
        </w:rPr>
      </w:pPr>
    </w:p>
    <w:p w14:paraId="58AB1D36">
      <w:pPr>
        <w:spacing w:line="360" w:lineRule="auto"/>
        <w:ind w:firstLine="5760" w:firstLineChars="2400"/>
        <w:rPr>
          <w:rFonts w:ascii="宋体" w:hAnsi="宋体"/>
          <w:sz w:val="24"/>
          <w:highlight w:val="none"/>
        </w:rPr>
      </w:pPr>
      <w:r>
        <w:rPr>
          <w:rFonts w:hint="eastAsia" w:ascii="宋体" w:hAnsi="宋体"/>
          <w:sz w:val="24"/>
          <w:highlight w:val="none"/>
        </w:rPr>
        <w:t>日期：  年    月     日</w:t>
      </w:r>
    </w:p>
    <w:p w14:paraId="14873FAE">
      <w:pPr>
        <w:spacing w:line="440" w:lineRule="exact"/>
        <w:rPr>
          <w:rFonts w:asciiTheme="minorEastAsia" w:hAnsiTheme="minorEastAsia" w:eastAsiaTheme="minorEastAsia" w:cstheme="minorEastAsia"/>
          <w:highlight w:val="none"/>
        </w:rPr>
      </w:pPr>
    </w:p>
    <w:p w14:paraId="42F3FB19">
      <w:pPr>
        <w:pStyle w:val="24"/>
        <w:spacing w:before="120" w:after="120" w:line="500" w:lineRule="exact"/>
        <w:ind w:right="29" w:rightChars="14"/>
        <w:outlineLvl w:val="9"/>
        <w:rPr>
          <w:rFonts w:asciiTheme="minorEastAsia" w:hAnsiTheme="minorEastAsia" w:eastAsiaTheme="minorEastAsia" w:cstheme="minorEastAsia"/>
          <w:sz w:val="30"/>
          <w:szCs w:val="30"/>
          <w:highlight w:val="none"/>
        </w:rPr>
      </w:pPr>
      <w:bookmarkStart w:id="296" w:name="_Toc6009"/>
      <w:bookmarkStart w:id="297" w:name="_Toc15395"/>
    </w:p>
    <w:p w14:paraId="1301ECC0">
      <w:pPr>
        <w:pStyle w:val="24"/>
        <w:spacing w:before="120" w:after="120" w:line="500" w:lineRule="exact"/>
        <w:ind w:right="29" w:rightChars="14"/>
        <w:outlineLvl w:val="9"/>
        <w:rPr>
          <w:rFonts w:asciiTheme="minorEastAsia" w:hAnsiTheme="minorEastAsia" w:eastAsiaTheme="minorEastAsia" w:cstheme="minorEastAsia"/>
          <w:sz w:val="30"/>
          <w:szCs w:val="30"/>
          <w:highlight w:val="none"/>
        </w:rPr>
      </w:pPr>
      <w:bookmarkStart w:id="298" w:name="_Toc17980"/>
    </w:p>
    <w:p w14:paraId="5EFE0C33">
      <w:pPr>
        <w:pStyle w:val="24"/>
        <w:spacing w:before="120" w:after="120" w:line="500" w:lineRule="exact"/>
        <w:ind w:right="29" w:rightChars="14"/>
        <w:jc w:val="both"/>
        <w:outlineLvl w:val="9"/>
        <w:rPr>
          <w:rFonts w:asciiTheme="minorEastAsia" w:hAnsiTheme="minorEastAsia" w:eastAsiaTheme="minorEastAsia" w:cstheme="minorEastAsia"/>
          <w:sz w:val="30"/>
          <w:szCs w:val="30"/>
          <w:highlight w:val="none"/>
        </w:rPr>
      </w:pPr>
    </w:p>
    <w:p w14:paraId="504838BD">
      <w:pPr>
        <w:jc w:val="center"/>
        <w:rPr>
          <w:b/>
          <w:bCs/>
          <w:sz w:val="28"/>
          <w:szCs w:val="28"/>
          <w:highlight w:val="none"/>
        </w:rPr>
      </w:pPr>
      <w:r>
        <w:rPr>
          <w:rFonts w:hint="eastAsia"/>
          <w:b/>
          <w:bCs/>
          <w:sz w:val="28"/>
          <w:szCs w:val="28"/>
          <w:highlight w:val="none"/>
        </w:rPr>
        <w:t>三、授权委托书</w:t>
      </w:r>
      <w:bookmarkEnd w:id="296"/>
      <w:bookmarkEnd w:id="297"/>
      <w:bookmarkEnd w:id="298"/>
    </w:p>
    <w:p w14:paraId="2427EA1B">
      <w:pPr>
        <w:rPr>
          <w:highlight w:val="none"/>
        </w:rPr>
      </w:pPr>
    </w:p>
    <w:p w14:paraId="322C87AE">
      <w:pPr>
        <w:spacing w:line="360" w:lineRule="auto"/>
        <w:ind w:firstLine="480" w:firstLineChars="200"/>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w:t>
      </w:r>
      <w:r>
        <w:rPr>
          <w:rFonts w:hint="eastAsia" w:ascii="宋体" w:hAnsi="宋体"/>
          <w:sz w:val="24"/>
          <w:highlight w:val="none"/>
        </w:rPr>
        <w:t>（姓名）系</w:t>
      </w:r>
      <w:r>
        <w:rPr>
          <w:rFonts w:hint="eastAsia" w:ascii="宋体" w:hAnsi="宋体"/>
          <w:sz w:val="24"/>
          <w:highlight w:val="none"/>
          <w:u w:val="single"/>
        </w:rPr>
        <w:t xml:space="preserve">                       </w:t>
      </w:r>
      <w:r>
        <w:rPr>
          <w:rFonts w:hint="eastAsia" w:ascii="宋体" w:hAnsi="宋体"/>
          <w:sz w:val="24"/>
          <w:highlight w:val="none"/>
        </w:rPr>
        <w:t>（供应商名称）的法定代表人，现委托</w:t>
      </w:r>
      <w:r>
        <w:rPr>
          <w:rFonts w:hint="eastAsia" w:ascii="宋体" w:hAnsi="宋体"/>
          <w:sz w:val="24"/>
          <w:highlight w:val="none"/>
          <w:u w:val="single"/>
        </w:rPr>
        <w:t xml:space="preserve">             </w:t>
      </w:r>
      <w:r>
        <w:rPr>
          <w:rFonts w:hint="eastAsia" w:ascii="宋体" w:hAnsi="宋体"/>
          <w:sz w:val="24"/>
          <w:highlight w:val="none"/>
        </w:rPr>
        <w:t>（姓名）为我方代理人。代理人根据授权，以我方名义签署、澄清、说明、补正、递交、撤回、修改</w:t>
      </w:r>
      <w:r>
        <w:rPr>
          <w:rFonts w:hint="eastAsia" w:ascii="宋体" w:hAnsi="宋体"/>
          <w:sz w:val="24"/>
          <w:highlight w:val="none"/>
          <w:u w:val="single"/>
        </w:rPr>
        <w:t xml:space="preserve">                                 </w:t>
      </w:r>
      <w:r>
        <w:rPr>
          <w:rFonts w:hint="eastAsia" w:ascii="宋体" w:hAnsi="宋体"/>
          <w:sz w:val="24"/>
          <w:highlight w:val="none"/>
        </w:rPr>
        <w:t>（项目名称）项目响应文件、签订合同和处理有关事宜，其法律后果由我方承担。</w:t>
      </w:r>
    </w:p>
    <w:p w14:paraId="48933A70">
      <w:pPr>
        <w:spacing w:line="360" w:lineRule="auto"/>
        <w:ind w:firstLine="480" w:firstLineChars="200"/>
        <w:rPr>
          <w:rFonts w:ascii="宋体" w:hAnsi="宋体"/>
          <w:sz w:val="24"/>
          <w:highlight w:val="none"/>
        </w:rPr>
      </w:pPr>
      <w:r>
        <w:rPr>
          <w:rFonts w:hint="eastAsia" w:ascii="宋体" w:hAnsi="宋体"/>
          <w:sz w:val="24"/>
          <w:highlight w:val="none"/>
        </w:rPr>
        <w:t>委托期限：</w:t>
      </w:r>
      <w:r>
        <w:rPr>
          <w:rFonts w:hint="eastAsia" w:ascii="宋体" w:hAnsi="宋体"/>
          <w:sz w:val="24"/>
          <w:highlight w:val="none"/>
          <w:u w:val="single"/>
        </w:rPr>
        <w:t xml:space="preserve">                                </w:t>
      </w:r>
    </w:p>
    <w:p w14:paraId="6A553E26">
      <w:pPr>
        <w:spacing w:line="360" w:lineRule="auto"/>
        <w:ind w:firstLine="480" w:firstLineChars="200"/>
        <w:rPr>
          <w:rFonts w:ascii="宋体" w:hAnsi="宋体"/>
          <w:sz w:val="24"/>
          <w:highlight w:val="none"/>
        </w:rPr>
      </w:pPr>
      <w:r>
        <w:rPr>
          <w:rFonts w:hint="eastAsia" w:ascii="宋体" w:hAnsi="宋体"/>
          <w:sz w:val="24"/>
          <w:highlight w:val="none"/>
        </w:rPr>
        <w:t>代理人无转委托权。</w:t>
      </w:r>
    </w:p>
    <w:p w14:paraId="7806C66F">
      <w:pPr>
        <w:spacing w:line="360" w:lineRule="auto"/>
        <w:ind w:firstLine="480" w:firstLineChars="200"/>
        <w:rPr>
          <w:rFonts w:ascii="宋体" w:hAnsi="宋体"/>
          <w:sz w:val="24"/>
          <w:highlight w:val="none"/>
        </w:rPr>
      </w:pPr>
      <w:r>
        <w:rPr>
          <w:sz w:val="24"/>
          <w:highlight w:val="none"/>
        </w:rPr>
        <mc:AlternateContent>
          <mc:Choice Requires="wps">
            <w:drawing>
              <wp:anchor distT="0" distB="0" distL="114300" distR="114300" simplePos="0" relativeHeight="251663360" behindDoc="0" locked="0" layoutInCell="1" allowOverlap="1">
                <wp:simplePos x="0" y="0"/>
                <wp:positionH relativeFrom="column">
                  <wp:posOffset>-411480</wp:posOffset>
                </wp:positionH>
                <wp:positionV relativeFrom="paragraph">
                  <wp:posOffset>158750</wp:posOffset>
                </wp:positionV>
                <wp:extent cx="3098165" cy="2235200"/>
                <wp:effectExtent l="4445" t="4445" r="21590" b="8255"/>
                <wp:wrapNone/>
                <wp:docPr id="5" name="自选图形 7"/>
                <wp:cNvGraphicFramePr/>
                <a:graphic xmlns:a="http://schemas.openxmlformats.org/drawingml/2006/main">
                  <a:graphicData uri="http://schemas.microsoft.com/office/word/2010/wordprocessingShape">
                    <wps:wsp>
                      <wps:cNvSpPr/>
                      <wps:spPr>
                        <a:xfrm>
                          <a:off x="0" y="0"/>
                          <a:ext cx="3098165"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CBE76B8"/>
                        </w:txbxContent>
                      </wps:txbx>
                      <wps:bodyPr upright="1"/>
                    </wps:wsp>
                  </a:graphicData>
                </a:graphic>
              </wp:anchor>
            </w:drawing>
          </mc:Choice>
          <mc:Fallback>
            <w:pict>
              <v:shape id="自选图形 7" o:spid="_x0000_s1026" o:spt="176" type="#_x0000_t176" style="position:absolute;left:0pt;margin-left:-32.4pt;margin-top:12.5pt;height:176pt;width:243.95pt;z-index:251663360;mso-width-relative:page;mso-height-relative:page;" fillcolor="#FFFFFF" filled="t" stroked="t" coordsize="21600,21600" o:gfxdata="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XZ8DZ&#10;AAAACgEAAA8AAAAAAAAAAQAgAAAAIgAAAGRycy9kb3ducmV2LnhtbFBLAQIUABQAAAAIAIdO4kB1&#10;oigPHwIAAFMEAAAOAAAAAAAAAAEAIAAAACgBAABkcnMvZTJvRG9jLnhtbFBLBQYAAAAABgAGAFkB&#10;AAC5BQAAAAA=&#10;">
                <v:fill on="t" focussize="0,0"/>
                <v:stroke color="#000000" joinstyle="miter"/>
                <v:imagedata o:title=""/>
                <o:lock v:ext="edit" aspectratio="f"/>
                <v:textbox>
                  <w:txbxContent>
                    <w:p w14:paraId="1CBE76B8"/>
                  </w:txbxContent>
                </v:textbox>
              </v:shape>
            </w:pict>
          </mc:Fallback>
        </mc:AlternateContent>
      </w:r>
      <w:r>
        <w:rPr>
          <w:sz w:val="24"/>
          <w:highlight w:val="none"/>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3P97zZAAAACgEA&#10;AA8AAAAAAAAAAQAgAAAAIgAAAGRycy9kb3ducmV2LnhtbFBLAQIUABQAAAAIAIdO4kAo8F1CGQIA&#10;AEgEAAAOAAAAAAAAAAEAIAAAACgBAABkcnMvZTJvRG9jLnhtbFBLBQYAAAAABgAGAFkBAACzBQAA&#10;AAA=&#10;">
                <v:fill on="t" focussize="0,0"/>
                <v:stroke color="#000000" joinstyle="miter"/>
                <v:imagedata o:title=""/>
                <o:lock v:ext="edit" aspectratio="f"/>
              </v:shape>
            </w:pict>
          </mc:Fallback>
        </mc:AlternateContent>
      </w:r>
    </w:p>
    <w:p w14:paraId="0211E357">
      <w:pPr>
        <w:spacing w:line="360" w:lineRule="auto"/>
        <w:ind w:firstLine="480" w:firstLineChars="200"/>
        <w:rPr>
          <w:rFonts w:ascii="宋体" w:hAnsi="宋体"/>
          <w:sz w:val="24"/>
          <w:highlight w:val="none"/>
        </w:rPr>
      </w:pPr>
    </w:p>
    <w:p w14:paraId="5A767179">
      <w:pPr>
        <w:spacing w:line="360" w:lineRule="auto"/>
        <w:ind w:firstLine="480" w:firstLineChars="200"/>
        <w:jc w:val="left"/>
        <w:rPr>
          <w:rFonts w:ascii="宋体" w:hAnsi="宋体"/>
          <w:sz w:val="24"/>
          <w:highlight w:val="none"/>
        </w:rPr>
      </w:pPr>
      <w:r>
        <w:rPr>
          <w:sz w:val="24"/>
          <w:highlight w:val="none"/>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139065</wp:posOffset>
                </wp:positionV>
                <wp:extent cx="2345690" cy="673100"/>
                <wp:effectExtent l="4445" t="5080" r="12065" b="7620"/>
                <wp:wrapNone/>
                <wp:docPr id="7" name="文本框 8"/>
                <wp:cNvGraphicFramePr/>
                <a:graphic xmlns:a="http://schemas.openxmlformats.org/drawingml/2006/main">
                  <a:graphicData uri="http://schemas.microsoft.com/office/word/2010/wordprocessingShape">
                    <wps:wsp>
                      <wps:cNvSpPr txBox="1"/>
                      <wps:spPr>
                        <a:xfrm>
                          <a:off x="0" y="0"/>
                          <a:ext cx="2345690" cy="673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FD65EAE">
                            <w:pPr>
                              <w:jc w:val="center"/>
                            </w:pPr>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6pt;margin-top:10.95pt;height:53pt;width:184.7pt;z-index:251665408;mso-width-relative:page;mso-height-relative:page;" fillcolor="#FFFFFF" filled="t" stroked="t" coordsize="21600,21600" o:gfxdata="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BCMa/YAAAACQEAAA8AAAAA&#10;AAAAAQAgAAAAIgAAAGRycy9kb3ducmV2LnhtbFBLAQIUABQAAAAIAIdO4kBey51HFAIAAEQEAAAO&#10;AAAAAAAAAAEAIAAAACcBAABkcnMvZTJvRG9jLnhtbFBLBQYAAAAABgAGAFkBAACtBQAAAAA=&#10;">
                <v:fill on="t" focussize="0,0"/>
                <v:stroke color="#000000" joinstyle="miter"/>
                <v:imagedata o:title=""/>
                <o:lock v:ext="edit" aspectratio="f"/>
                <v:textbox>
                  <w:txbxContent>
                    <w:p w14:paraId="6FD65EAE">
                      <w:pPr>
                        <w:jc w:val="center"/>
                      </w:pPr>
                      <w:r>
                        <w:rPr>
                          <w:rFonts w:hint="eastAsia" w:ascii="宋体" w:hAnsi="宋体"/>
                          <w:sz w:val="24"/>
                        </w:rPr>
                        <w:t>委托代理人身份证复印件粘贴处（正面）</w:t>
                      </w:r>
                    </w:p>
                  </w:txbxContent>
                </v:textbox>
              </v:shape>
            </w:pict>
          </mc:Fallback>
        </mc:AlternateContent>
      </w:r>
      <w:r>
        <w:rPr>
          <w:sz w:val="24"/>
          <w:highlight w:val="none"/>
        </w:rPr>
        <mc:AlternateContent>
          <mc:Choice Requires="wps">
            <w:drawing>
              <wp:anchor distT="0" distB="0" distL="114300" distR="114300" simplePos="0" relativeHeight="251666432" behindDoc="0" locked="0" layoutInCell="1" allowOverlap="1">
                <wp:simplePos x="0" y="0"/>
                <wp:positionH relativeFrom="column">
                  <wp:posOffset>3063240</wp:posOffset>
                </wp:positionH>
                <wp:positionV relativeFrom="paragraph">
                  <wp:posOffset>176530</wp:posOffset>
                </wp:positionV>
                <wp:extent cx="2381250" cy="684530"/>
                <wp:effectExtent l="4445" t="4445" r="14605" b="15875"/>
                <wp:wrapNone/>
                <wp:docPr id="8" name="文本框 9"/>
                <wp:cNvGraphicFramePr/>
                <a:graphic xmlns:a="http://schemas.openxmlformats.org/drawingml/2006/main">
                  <a:graphicData uri="http://schemas.microsoft.com/office/word/2010/wordprocessingShape">
                    <wps:wsp>
                      <wps:cNvSpPr txBox="1"/>
                      <wps:spPr>
                        <a:xfrm>
                          <a:off x="0" y="0"/>
                          <a:ext cx="2381250" cy="684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4CF6AA">
                            <w:pPr>
                              <w:jc w:val="center"/>
                            </w:pPr>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41.2pt;margin-top:13.9pt;height:53.9pt;width:187.5pt;z-index:251666432;mso-width-relative:page;mso-height-relative:page;" fillcolor="#FFFFFF" filled="t" stroked="t" coordsize="21600,21600" o:gfxdata="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LgQRPZAAAACgEAAA8AAAAA&#10;AAAAAQAgAAAAIgAAAGRycy9kb3ducmV2LnhtbFBLAQIUABQAAAAIAIdO4kBc9iT8EwIAAEQEAAAO&#10;AAAAAAAAAAEAIAAAACgBAABkcnMvZTJvRG9jLnhtbFBLBQYAAAAABgAGAFkBAACtBQAAAAA=&#10;">
                <v:fill on="t" focussize="0,0"/>
                <v:stroke color="#000000" joinstyle="miter"/>
                <v:imagedata o:title=""/>
                <o:lock v:ext="edit" aspectratio="f"/>
                <v:textbox>
                  <w:txbxContent>
                    <w:p w14:paraId="754CF6AA">
                      <w:pPr>
                        <w:jc w:val="center"/>
                      </w:pPr>
                      <w:r>
                        <w:rPr>
                          <w:rFonts w:hint="eastAsia" w:ascii="宋体" w:hAnsi="宋体"/>
                          <w:sz w:val="24"/>
                        </w:rPr>
                        <w:t>委托代理人身份证复印件粘贴处（背面）</w:t>
                      </w:r>
                    </w:p>
                  </w:txbxContent>
                </v:textbox>
              </v:shape>
            </w:pict>
          </mc:Fallback>
        </mc:AlternateContent>
      </w:r>
    </w:p>
    <w:p w14:paraId="2B3BC3A4">
      <w:pPr>
        <w:spacing w:line="360" w:lineRule="auto"/>
        <w:ind w:firstLine="480" w:firstLineChars="200"/>
        <w:jc w:val="left"/>
        <w:rPr>
          <w:rFonts w:ascii="宋体" w:hAnsi="宋体"/>
          <w:sz w:val="24"/>
          <w:highlight w:val="none"/>
        </w:rPr>
      </w:pPr>
    </w:p>
    <w:p w14:paraId="14712F74">
      <w:pPr>
        <w:spacing w:line="360" w:lineRule="auto"/>
        <w:ind w:firstLine="480" w:firstLineChars="200"/>
        <w:jc w:val="left"/>
        <w:rPr>
          <w:rFonts w:ascii="宋体" w:hAnsi="宋体"/>
          <w:sz w:val="24"/>
          <w:highlight w:val="none"/>
        </w:rPr>
      </w:pPr>
    </w:p>
    <w:p w14:paraId="2B2D911C">
      <w:pPr>
        <w:spacing w:line="360" w:lineRule="auto"/>
        <w:ind w:firstLine="480" w:firstLineChars="200"/>
        <w:jc w:val="left"/>
        <w:rPr>
          <w:rFonts w:ascii="宋体" w:hAnsi="宋体"/>
          <w:sz w:val="24"/>
          <w:highlight w:val="none"/>
        </w:rPr>
      </w:pPr>
    </w:p>
    <w:p w14:paraId="5AAD93B3">
      <w:pPr>
        <w:spacing w:line="360" w:lineRule="auto"/>
        <w:ind w:firstLine="480" w:firstLineChars="200"/>
        <w:jc w:val="left"/>
        <w:rPr>
          <w:rFonts w:ascii="宋体" w:hAnsi="宋体"/>
          <w:sz w:val="24"/>
          <w:highlight w:val="none"/>
        </w:rPr>
      </w:pPr>
    </w:p>
    <w:p w14:paraId="0CF163D6">
      <w:pPr>
        <w:spacing w:line="360" w:lineRule="auto"/>
        <w:ind w:firstLine="480" w:firstLineChars="200"/>
        <w:jc w:val="left"/>
        <w:rPr>
          <w:rFonts w:ascii="宋体" w:hAnsi="宋体"/>
          <w:sz w:val="24"/>
          <w:highlight w:val="none"/>
        </w:rPr>
      </w:pPr>
    </w:p>
    <w:p w14:paraId="39058A7C">
      <w:pPr>
        <w:spacing w:line="360" w:lineRule="auto"/>
        <w:jc w:val="left"/>
        <w:rPr>
          <w:rFonts w:ascii="宋体" w:hAnsi="宋体"/>
          <w:sz w:val="24"/>
          <w:highlight w:val="none"/>
        </w:rPr>
      </w:pPr>
    </w:p>
    <w:bookmarkEnd w:id="246"/>
    <w:p w14:paraId="06507F9A">
      <w:pPr>
        <w:spacing w:line="360" w:lineRule="auto"/>
        <w:ind w:firstLine="480" w:firstLineChars="200"/>
        <w:rPr>
          <w:rFonts w:ascii="宋体" w:hAnsi="宋体"/>
          <w:sz w:val="24"/>
          <w:highlight w:val="none"/>
        </w:rPr>
      </w:pPr>
      <w:r>
        <w:rPr>
          <w:rFonts w:hint="eastAsia" w:ascii="宋体" w:hAnsi="宋体"/>
          <w:sz w:val="24"/>
          <w:highlight w:val="none"/>
        </w:rPr>
        <w:t>供应商：</w:t>
      </w:r>
      <w:r>
        <w:rPr>
          <w:rFonts w:hint="eastAsia" w:ascii="宋体" w:hAnsi="宋体"/>
          <w:sz w:val="24"/>
          <w:highlight w:val="none"/>
          <w:u w:val="single"/>
        </w:rPr>
        <w:t xml:space="preserve">              </w:t>
      </w:r>
      <w:r>
        <w:rPr>
          <w:rFonts w:hint="eastAsia" w:ascii="宋体" w:hAnsi="宋体"/>
          <w:sz w:val="24"/>
          <w:highlight w:val="none"/>
        </w:rPr>
        <w:t xml:space="preserve">（企业电子签章） </w:t>
      </w:r>
    </w:p>
    <w:p w14:paraId="564402E5">
      <w:pPr>
        <w:spacing w:line="360" w:lineRule="auto"/>
        <w:ind w:firstLine="480" w:firstLineChars="200"/>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rPr>
        <w:t>（签字或盖章）</w:t>
      </w:r>
    </w:p>
    <w:p w14:paraId="097DF05A">
      <w:pPr>
        <w:spacing w:line="360" w:lineRule="auto"/>
        <w:ind w:firstLine="480" w:firstLineChars="200"/>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w:t>
      </w:r>
      <w:r>
        <w:rPr>
          <w:rFonts w:hint="eastAsia" w:ascii="宋体" w:hAnsi="宋体"/>
          <w:sz w:val="24"/>
          <w:highlight w:val="none"/>
        </w:rPr>
        <w:t>（签字或盖章）</w:t>
      </w:r>
    </w:p>
    <w:p w14:paraId="7A9E121F">
      <w:pPr>
        <w:pStyle w:val="33"/>
        <w:rPr>
          <w:highlight w:val="none"/>
        </w:rPr>
      </w:pPr>
    </w:p>
    <w:p w14:paraId="70C94AFE">
      <w:pPr>
        <w:adjustRightInd w:val="0"/>
        <w:snapToGrid w:val="0"/>
        <w:spacing w:line="440" w:lineRule="exact"/>
        <w:ind w:firstLine="5400" w:firstLineChars="2250"/>
        <w:rPr>
          <w:rFonts w:ascii="宋体" w:hAnsi="宋体" w:cs="宋体"/>
          <w:sz w:val="24"/>
          <w:highlight w:val="none"/>
        </w:rPr>
      </w:pPr>
      <w:r>
        <w:rPr>
          <w:rFonts w:hint="eastAsia" w:ascii="宋体" w:hAnsi="宋体" w:cs="宋体"/>
          <w:sz w:val="24"/>
          <w:highlight w:val="none"/>
        </w:rPr>
        <w:t>日期：  年   月    日</w:t>
      </w:r>
    </w:p>
    <w:p w14:paraId="518E3B23">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kern w:val="2"/>
          <w:sz w:val="30"/>
          <w:szCs w:val="30"/>
          <w:highlight w:val="none"/>
        </w:rPr>
      </w:pPr>
    </w:p>
    <w:p w14:paraId="3AC93A1F">
      <w:pPr>
        <w:pStyle w:val="23"/>
        <w:widowControl w:val="0"/>
        <w:spacing w:before="120" w:beforeAutospacing="0" w:after="120" w:afterAutospacing="0" w:line="500" w:lineRule="exact"/>
        <w:ind w:right="29" w:rightChars="14"/>
        <w:jc w:val="both"/>
        <w:rPr>
          <w:rFonts w:asciiTheme="minorEastAsia" w:hAnsiTheme="minorEastAsia" w:eastAsiaTheme="minorEastAsia" w:cstheme="minorEastAsia"/>
          <w:b/>
          <w:bCs/>
          <w:kern w:val="2"/>
          <w:sz w:val="30"/>
          <w:szCs w:val="30"/>
          <w:highlight w:val="none"/>
        </w:rPr>
      </w:pPr>
    </w:p>
    <w:p w14:paraId="77CC3F52">
      <w:pPr>
        <w:pStyle w:val="23"/>
        <w:widowControl w:val="0"/>
        <w:spacing w:before="120" w:beforeAutospacing="0" w:after="120" w:afterAutospacing="0" w:line="500" w:lineRule="exact"/>
        <w:ind w:right="29" w:rightChars="14"/>
        <w:jc w:val="center"/>
        <w:outlineLvl w:val="9"/>
        <w:rPr>
          <w:rFonts w:asciiTheme="minorEastAsia" w:hAnsiTheme="minorEastAsia" w:eastAsiaTheme="minorEastAsia" w:cstheme="minorEastAsia"/>
          <w:b/>
          <w:kern w:val="2"/>
          <w:sz w:val="30"/>
          <w:szCs w:val="30"/>
          <w:highlight w:val="none"/>
        </w:rPr>
      </w:pPr>
      <w:bookmarkStart w:id="299" w:name="_Toc8304"/>
      <w:bookmarkStart w:id="300" w:name="_Toc25161"/>
    </w:p>
    <w:p w14:paraId="1B66ED65">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b/>
          <w:kern w:val="2"/>
          <w:sz w:val="30"/>
          <w:szCs w:val="30"/>
          <w:highlight w:val="none"/>
        </w:rPr>
        <w:t>四、</w:t>
      </w:r>
      <w:bookmarkEnd w:id="299"/>
      <w:bookmarkEnd w:id="300"/>
      <w:r>
        <w:rPr>
          <w:rFonts w:hint="eastAsia" w:asciiTheme="minorEastAsia" w:hAnsiTheme="minorEastAsia" w:eastAsiaTheme="minorEastAsia" w:cstheme="minorEastAsia"/>
          <w:b/>
          <w:kern w:val="2"/>
          <w:sz w:val="30"/>
          <w:szCs w:val="30"/>
          <w:highlight w:val="none"/>
        </w:rPr>
        <w:t>项目实施方案等</w:t>
      </w:r>
    </w:p>
    <w:p w14:paraId="42D87EB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74B89295">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20BE03D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404FD33B">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27D1CF5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6F8F036E">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46631EA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623A50E8">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66830174">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54E8C07E">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4BDAABF9">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51D81C22">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3DBE598A">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564DC1AD">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1A661CBB">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67DCCE3C">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5C295915">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0EB1B65B">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6E41E70F">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p>
    <w:p w14:paraId="5F434CE4">
      <w:pPr>
        <w:pStyle w:val="27"/>
        <w:ind w:firstLine="480"/>
        <w:rPr>
          <w:rFonts w:ascii="宋体" w:hAnsi="宋体" w:cs="宋体"/>
          <w:sz w:val="24"/>
          <w:highlight w:val="none"/>
        </w:rPr>
      </w:pPr>
    </w:p>
    <w:p w14:paraId="06AA7DBB">
      <w:pPr>
        <w:rPr>
          <w:rFonts w:ascii="宋体" w:hAnsi="宋体" w:cs="宋体"/>
          <w:highlight w:val="none"/>
        </w:rPr>
      </w:pPr>
    </w:p>
    <w:p w14:paraId="4FD62F68">
      <w:pPr>
        <w:spacing w:line="360" w:lineRule="auto"/>
        <w:rPr>
          <w:rFonts w:ascii="宋体" w:hAnsi="宋体" w:cs="宋体"/>
          <w:sz w:val="28"/>
          <w:szCs w:val="28"/>
          <w:highlight w:val="none"/>
        </w:rPr>
      </w:pPr>
    </w:p>
    <w:p w14:paraId="2520EAE9">
      <w:pPr>
        <w:spacing w:line="460" w:lineRule="exact"/>
        <w:jc w:val="center"/>
        <w:rPr>
          <w:rFonts w:ascii="宋体" w:hAnsi="宋体" w:cs="宋体"/>
          <w:b/>
          <w:sz w:val="28"/>
          <w:szCs w:val="28"/>
          <w:highlight w:val="none"/>
        </w:rPr>
      </w:pPr>
      <w:r>
        <w:rPr>
          <w:rFonts w:hint="eastAsia" w:ascii="宋体" w:hAnsi="宋体" w:cs="宋体"/>
          <w:b/>
          <w:sz w:val="28"/>
          <w:szCs w:val="28"/>
          <w:highlight w:val="none"/>
        </w:rPr>
        <w:t>五、供应商资格证明承诺函</w:t>
      </w:r>
    </w:p>
    <w:p w14:paraId="3C6B0AA1">
      <w:pPr>
        <w:spacing w:line="460" w:lineRule="exact"/>
        <w:ind w:right="330" w:rightChars="157"/>
        <w:rPr>
          <w:sz w:val="24"/>
          <w:highlight w:val="none"/>
        </w:rPr>
      </w:pPr>
      <w:r>
        <w:rPr>
          <w:rFonts w:hint="eastAsia"/>
          <w:sz w:val="24"/>
          <w:highlight w:val="none"/>
        </w:rPr>
        <w:t xml:space="preserve">致（采购人） ： </w:t>
      </w:r>
    </w:p>
    <w:p w14:paraId="1ACC794E">
      <w:pPr>
        <w:spacing w:line="460" w:lineRule="exact"/>
        <w:ind w:right="330" w:rightChars="157" w:firstLine="480" w:firstLineChars="200"/>
        <w:rPr>
          <w:sz w:val="24"/>
          <w:highlight w:val="none"/>
        </w:rPr>
      </w:pPr>
      <w:r>
        <w:rPr>
          <w:rFonts w:hint="eastAsia"/>
          <w:sz w:val="24"/>
          <w:highlight w:val="none"/>
        </w:rPr>
        <w:t>供应商名称：</w:t>
      </w:r>
      <w:r>
        <w:rPr>
          <w:rFonts w:hint="eastAsia" w:ascii="宋体" w:hAnsi="宋体" w:cs="宋体"/>
          <w:sz w:val="24"/>
          <w:highlight w:val="none"/>
          <w:u w:val="single"/>
        </w:rPr>
        <w:t xml:space="preserve">                             </w:t>
      </w:r>
      <w:r>
        <w:rPr>
          <w:rFonts w:hint="eastAsia"/>
          <w:sz w:val="24"/>
          <w:highlight w:val="none"/>
        </w:rPr>
        <w:t xml:space="preserve">                       </w:t>
      </w:r>
    </w:p>
    <w:p w14:paraId="46034DC7">
      <w:pPr>
        <w:spacing w:line="460" w:lineRule="exact"/>
        <w:ind w:right="330" w:rightChars="157" w:firstLine="480" w:firstLineChars="200"/>
        <w:rPr>
          <w:sz w:val="24"/>
          <w:highlight w:val="none"/>
        </w:rPr>
      </w:pPr>
      <w:r>
        <w:rPr>
          <w:rFonts w:hint="eastAsia"/>
          <w:sz w:val="24"/>
          <w:highlight w:val="none"/>
        </w:rPr>
        <w:t>统一社会信用代码：</w:t>
      </w:r>
      <w:r>
        <w:rPr>
          <w:rFonts w:hint="eastAsia"/>
          <w:sz w:val="24"/>
          <w:highlight w:val="none"/>
          <w:u w:val="single"/>
        </w:rPr>
        <w:t xml:space="preserve">                       </w:t>
      </w:r>
    </w:p>
    <w:p w14:paraId="48F85F17">
      <w:pPr>
        <w:spacing w:line="460" w:lineRule="exact"/>
        <w:ind w:right="330" w:rightChars="157" w:firstLine="480" w:firstLineChars="200"/>
        <w:jc w:val="left"/>
        <w:rPr>
          <w:sz w:val="24"/>
          <w:highlight w:val="none"/>
          <w:u w:val="single"/>
        </w:rPr>
      </w:pPr>
      <w:r>
        <w:rPr>
          <w:rFonts w:hint="eastAsia"/>
          <w:sz w:val="24"/>
          <w:highlight w:val="none"/>
        </w:rPr>
        <w:t>供应商地址：</w:t>
      </w:r>
      <w:r>
        <w:rPr>
          <w:rFonts w:hint="eastAsia"/>
          <w:sz w:val="24"/>
          <w:highlight w:val="none"/>
          <w:u w:val="single"/>
        </w:rPr>
        <w:t xml:space="preserve">                              </w:t>
      </w:r>
    </w:p>
    <w:p w14:paraId="02B9F048">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我单位自愿参加本次政府采购活动，严格遵守《中华人民共和国政府采购法》及相关法律法规，依法诚信经营，无条件遵守本次政府采购活动的各项规定。我单位郑重承诺：</w:t>
      </w:r>
    </w:p>
    <w:p w14:paraId="4B23DC20">
      <w:pPr>
        <w:widowControl/>
        <w:spacing w:line="360" w:lineRule="auto"/>
        <w:ind w:firstLine="480" w:firstLineChars="200"/>
        <w:jc w:val="left"/>
        <w:rPr>
          <w:rFonts w:ascii="宋体" w:hAnsi="宋体" w:cs="宋体"/>
          <w:sz w:val="24"/>
          <w:highlight w:val="none"/>
        </w:rPr>
      </w:pPr>
      <w:r>
        <w:rPr>
          <w:rFonts w:hint="eastAsia" w:asciiTheme="minorEastAsia" w:hAnsiTheme="minorEastAsia" w:eastAsiaTheme="minorEastAsia" w:cstheme="minorEastAsia"/>
          <w:sz w:val="24"/>
          <w:szCs w:val="21"/>
          <w:highlight w:val="none"/>
        </w:rPr>
        <w:t>一、我单位具有有效的营业执照（三证合一）；</w:t>
      </w:r>
    </w:p>
    <w:p w14:paraId="57175BBB">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 xml:space="preserve">二、我单位符合《中华人民共和国政府采购法》第二十二条规定的条件： </w:t>
      </w:r>
    </w:p>
    <w:p w14:paraId="420C22E7">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1.我单位具有符合采购文件资格要求独立承担民事责任的能力。</w:t>
      </w:r>
    </w:p>
    <w:p w14:paraId="2C2597CF">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 xml:space="preserve">2.我单位具有符合采购文件资格要求的财务状况报告。 </w:t>
      </w:r>
    </w:p>
    <w:p w14:paraId="1B4E3446">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 xml:space="preserve">3.我单位具有符合采购文件资格要求的依法缴纳税收和社会保障记录的良好记录。 </w:t>
      </w:r>
    </w:p>
    <w:p w14:paraId="490404ED">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 xml:space="preserve">4.我单位具有符合采购文件资格要求履行合同所必需的设备和专业技术能力。 </w:t>
      </w:r>
    </w:p>
    <w:p w14:paraId="21EC6AA5">
      <w:pPr>
        <w:spacing w:line="460" w:lineRule="exact"/>
        <w:ind w:right="330" w:rightChars="157"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2BD58ECD">
      <w:pPr>
        <w:spacing w:line="460" w:lineRule="exact"/>
        <w:ind w:right="330" w:rightChars="157" w:firstLine="480" w:firstLineChars="200"/>
        <w:rPr>
          <w:sz w:val="24"/>
          <w:highlight w:val="none"/>
        </w:rPr>
      </w:pPr>
      <w:r>
        <w:rPr>
          <w:rFonts w:hint="eastAsia" w:ascii="宋体" w:hAnsi="宋体" w:cs="宋体"/>
          <w:sz w:val="24"/>
          <w:highlight w:val="none"/>
        </w:rPr>
        <w:t>若我单位承诺不实，自愿承担提供虚假</w:t>
      </w:r>
      <w:r>
        <w:rPr>
          <w:rFonts w:hint="eastAsia"/>
          <w:sz w:val="24"/>
          <w:highlight w:val="none"/>
        </w:rPr>
        <w:t>材料谋取中标、成交的法律责任。</w:t>
      </w:r>
    </w:p>
    <w:p w14:paraId="6384CA0E">
      <w:pPr>
        <w:spacing w:line="460" w:lineRule="exact"/>
        <w:ind w:right="330" w:rightChars="157" w:firstLine="480" w:firstLineChars="200"/>
        <w:rPr>
          <w:sz w:val="24"/>
          <w:highlight w:val="none"/>
        </w:rPr>
      </w:pPr>
    </w:p>
    <w:p w14:paraId="24F67028">
      <w:pPr>
        <w:spacing w:line="460" w:lineRule="exact"/>
        <w:ind w:right="330" w:rightChars="157" w:firstLine="3120" w:firstLineChars="1300"/>
        <w:rPr>
          <w:sz w:val="24"/>
          <w:highlight w:val="none"/>
        </w:rPr>
      </w:pPr>
      <w:r>
        <w:rPr>
          <w:rFonts w:hint="eastAsia"/>
          <w:sz w:val="24"/>
          <w:highlight w:val="none"/>
        </w:rPr>
        <w:t xml:space="preserve">承诺供应商（全称并加盖公章）： </w:t>
      </w:r>
    </w:p>
    <w:p w14:paraId="7A5A6AF7">
      <w:pPr>
        <w:spacing w:line="460" w:lineRule="exact"/>
        <w:ind w:right="330" w:rightChars="157" w:firstLine="3120" w:firstLineChars="1300"/>
        <w:rPr>
          <w:sz w:val="24"/>
          <w:highlight w:val="none"/>
        </w:rPr>
      </w:pPr>
      <w:r>
        <w:rPr>
          <w:rFonts w:hint="eastAsia"/>
          <w:sz w:val="24"/>
          <w:highlight w:val="none"/>
        </w:rPr>
        <w:t xml:space="preserve">法定代表人或授权代表(签字或签章)： </w:t>
      </w:r>
    </w:p>
    <w:p w14:paraId="15775D78">
      <w:pPr>
        <w:spacing w:line="460" w:lineRule="exact"/>
        <w:ind w:right="330" w:rightChars="157" w:firstLine="4800" w:firstLineChars="2000"/>
        <w:rPr>
          <w:sz w:val="24"/>
          <w:highlight w:val="none"/>
        </w:rPr>
      </w:pPr>
      <w:r>
        <w:rPr>
          <w:rFonts w:hint="eastAsia"/>
          <w:sz w:val="24"/>
          <w:highlight w:val="none"/>
        </w:rPr>
        <w:t xml:space="preserve">日期： 年 月 日 </w:t>
      </w:r>
    </w:p>
    <w:p w14:paraId="35248A25">
      <w:pPr>
        <w:spacing w:line="460" w:lineRule="exact"/>
        <w:ind w:right="330" w:rightChars="157" w:firstLine="480" w:firstLineChars="200"/>
        <w:rPr>
          <w:sz w:val="24"/>
          <w:highlight w:val="none"/>
        </w:rPr>
      </w:pPr>
    </w:p>
    <w:p w14:paraId="4A34AB47">
      <w:pPr>
        <w:pStyle w:val="4"/>
        <w:spacing w:line="440" w:lineRule="exact"/>
        <w:ind w:firstLine="241" w:firstLineChars="100"/>
        <w:jc w:val="left"/>
        <w:rPr>
          <w:rFonts w:ascii="宋体" w:hAnsi="宋体" w:cs="宋体"/>
          <w:sz w:val="24"/>
          <w:highlight w:val="none"/>
        </w:rPr>
      </w:pPr>
      <w:r>
        <w:rPr>
          <w:rFonts w:hint="eastAsia" w:ascii="宋体" w:hAnsi="宋体" w:cs="宋体"/>
          <w:sz w:val="24"/>
          <w:highlight w:val="none"/>
        </w:rPr>
        <w:t>注：供应商须在投标文件中按此模板提供承诺函，未提供视为未实质性响应招标文件要求，按无效投标处理。</w:t>
      </w:r>
    </w:p>
    <w:p w14:paraId="3B0FB21B">
      <w:pPr>
        <w:rPr>
          <w:rFonts w:ascii="宋体" w:hAnsi="宋体" w:cs="宋体"/>
          <w:sz w:val="24"/>
          <w:highlight w:val="none"/>
        </w:rPr>
      </w:pPr>
    </w:p>
    <w:p w14:paraId="5B8C8555">
      <w:pPr>
        <w:pStyle w:val="26"/>
        <w:ind w:firstLine="320"/>
        <w:rPr>
          <w:rFonts w:hint="default"/>
          <w:highlight w:val="none"/>
        </w:rPr>
      </w:pPr>
    </w:p>
    <w:p w14:paraId="06FD1AED">
      <w:pPr>
        <w:pStyle w:val="27"/>
        <w:ind w:firstLine="0" w:firstLineChars="0"/>
        <w:rPr>
          <w:highlight w:val="none"/>
        </w:rPr>
      </w:pPr>
    </w:p>
    <w:p w14:paraId="560FBFAA">
      <w:pPr>
        <w:pStyle w:val="23"/>
        <w:widowControl w:val="0"/>
        <w:tabs>
          <w:tab w:val="left" w:pos="0"/>
        </w:tabs>
        <w:spacing w:before="120" w:beforeAutospacing="0" w:after="120" w:afterAutospacing="0" w:line="500" w:lineRule="exact"/>
        <w:ind w:right="29" w:rightChars="14"/>
        <w:jc w:val="both"/>
        <w:rPr>
          <w:rFonts w:asciiTheme="minorEastAsia" w:hAnsiTheme="minorEastAsia" w:eastAsiaTheme="minorEastAsia" w:cstheme="minorEastAsia"/>
          <w:b/>
          <w:kern w:val="2"/>
          <w:sz w:val="30"/>
          <w:szCs w:val="30"/>
          <w:highlight w:val="none"/>
        </w:rPr>
      </w:pPr>
      <w:bookmarkStart w:id="301" w:name="_Toc8330"/>
      <w:bookmarkStart w:id="302" w:name="_Toc6465"/>
      <w:bookmarkStart w:id="303" w:name="_Toc31553"/>
    </w:p>
    <w:p w14:paraId="1112E2B5">
      <w:pPr>
        <w:pStyle w:val="2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bookmarkStart w:id="304" w:name="_Toc4390"/>
      <w:r>
        <w:rPr>
          <w:rFonts w:hint="eastAsia" w:asciiTheme="minorEastAsia" w:hAnsiTheme="minorEastAsia" w:eastAsiaTheme="minorEastAsia" w:cstheme="minorEastAsia"/>
          <w:b/>
          <w:kern w:val="2"/>
          <w:sz w:val="30"/>
          <w:szCs w:val="30"/>
          <w:highlight w:val="none"/>
        </w:rPr>
        <w:t>六、供应商服务承诺和优惠承诺</w:t>
      </w:r>
      <w:bookmarkEnd w:id="304"/>
    </w:p>
    <w:p w14:paraId="7E5936C1">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038CEA15">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1DADE25F">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4AEBC893">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44900754">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39E43E77">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2CF4E1BE">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10678A8C">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1235DE8B">
      <w:pPr>
        <w:pStyle w:val="23"/>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14:paraId="437724E0">
      <w:pPr>
        <w:spacing w:line="360" w:lineRule="auto"/>
        <w:rPr>
          <w:rFonts w:ascii="宋体" w:hAnsi="宋体" w:cs="宋体"/>
          <w:sz w:val="24"/>
          <w:highlight w:val="none"/>
        </w:rPr>
      </w:pPr>
      <w:bookmarkStart w:id="305" w:name="_Toc700"/>
    </w:p>
    <w:p w14:paraId="5F403C48">
      <w:pPr>
        <w:pStyle w:val="33"/>
        <w:rPr>
          <w:rFonts w:ascii="宋体" w:hAnsi="宋体" w:cs="宋体"/>
          <w:highlight w:val="none"/>
        </w:rPr>
      </w:pPr>
    </w:p>
    <w:p w14:paraId="4927FE0B">
      <w:pPr>
        <w:pStyle w:val="34"/>
        <w:rPr>
          <w:rFonts w:ascii="宋体" w:hAnsi="宋体" w:cs="宋体"/>
          <w:color w:val="auto"/>
          <w:highlight w:val="none"/>
        </w:rPr>
      </w:pPr>
    </w:p>
    <w:p w14:paraId="0D0F4110">
      <w:pPr>
        <w:pStyle w:val="35"/>
        <w:rPr>
          <w:rFonts w:ascii="宋体" w:hAnsi="宋体" w:eastAsia="宋体" w:cs="宋体"/>
          <w:sz w:val="24"/>
          <w:highlight w:val="none"/>
        </w:rPr>
      </w:pPr>
    </w:p>
    <w:p w14:paraId="0671E654">
      <w:pPr>
        <w:pStyle w:val="36"/>
        <w:rPr>
          <w:rFonts w:ascii="宋体" w:hAnsi="宋体" w:cs="宋体"/>
          <w:sz w:val="24"/>
          <w:highlight w:val="none"/>
        </w:rPr>
      </w:pPr>
    </w:p>
    <w:p w14:paraId="02BCC994">
      <w:pPr>
        <w:rPr>
          <w:rFonts w:ascii="宋体" w:hAnsi="宋体" w:cs="宋体"/>
          <w:sz w:val="24"/>
          <w:highlight w:val="none"/>
        </w:rPr>
      </w:pPr>
    </w:p>
    <w:p w14:paraId="7B6E2A1E">
      <w:pPr>
        <w:pStyle w:val="33"/>
        <w:rPr>
          <w:rFonts w:ascii="宋体" w:hAnsi="宋体" w:cs="宋体"/>
          <w:highlight w:val="none"/>
        </w:rPr>
      </w:pPr>
    </w:p>
    <w:p w14:paraId="768241E4">
      <w:pPr>
        <w:pStyle w:val="34"/>
        <w:rPr>
          <w:rFonts w:ascii="宋体" w:hAnsi="宋体" w:cs="宋体"/>
          <w:color w:val="auto"/>
          <w:highlight w:val="none"/>
        </w:rPr>
      </w:pPr>
    </w:p>
    <w:p w14:paraId="0372A143">
      <w:pPr>
        <w:pStyle w:val="35"/>
        <w:rPr>
          <w:rFonts w:ascii="宋体" w:hAnsi="宋体" w:eastAsia="宋体" w:cs="宋体"/>
          <w:sz w:val="24"/>
          <w:highlight w:val="none"/>
        </w:rPr>
      </w:pPr>
    </w:p>
    <w:p w14:paraId="1628B1C7">
      <w:pPr>
        <w:pStyle w:val="36"/>
        <w:rPr>
          <w:highlight w:val="none"/>
        </w:rPr>
      </w:pPr>
    </w:p>
    <w:p w14:paraId="41FE0F14">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highlight w:val="none"/>
        </w:rPr>
      </w:pPr>
    </w:p>
    <w:p w14:paraId="35F9257D">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highlight w:val="none"/>
        </w:rPr>
      </w:pPr>
    </w:p>
    <w:p w14:paraId="4D9828F4">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highlight w:val="none"/>
        </w:rPr>
      </w:pPr>
    </w:p>
    <w:p w14:paraId="78A5F2D0">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highlight w:val="none"/>
        </w:rPr>
      </w:pPr>
    </w:p>
    <w:p w14:paraId="11B04FFB">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highlight w:val="none"/>
        </w:rPr>
      </w:pPr>
    </w:p>
    <w:p w14:paraId="126FA51A">
      <w:pPr>
        <w:pStyle w:val="2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b/>
          <w:kern w:val="2"/>
          <w:sz w:val="30"/>
          <w:szCs w:val="30"/>
          <w:highlight w:val="none"/>
        </w:rPr>
        <w:t>七、供应商所投产品属于当期政府采购清单规定的节能环保产品的</w:t>
      </w:r>
      <w:bookmarkEnd w:id="301"/>
      <w:bookmarkEnd w:id="305"/>
    </w:p>
    <w:p w14:paraId="265F25B0">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highlight w:val="none"/>
        </w:rPr>
      </w:pPr>
      <w:bookmarkStart w:id="306" w:name="_Toc24210"/>
      <w:bookmarkStart w:id="307" w:name="_Toc18925"/>
      <w:bookmarkStart w:id="308" w:name="_Toc28422"/>
      <w:bookmarkStart w:id="309" w:name="_Toc21287"/>
      <w:r>
        <w:rPr>
          <w:rFonts w:hint="eastAsia" w:asciiTheme="minorEastAsia" w:hAnsiTheme="minorEastAsia" w:eastAsiaTheme="minorEastAsia" w:cstheme="minorEastAsia"/>
          <w:b/>
          <w:kern w:val="2"/>
          <w:sz w:val="30"/>
          <w:szCs w:val="30"/>
          <w:highlight w:val="none"/>
        </w:rPr>
        <w:t>证明材料</w:t>
      </w:r>
      <w:bookmarkEnd w:id="302"/>
      <w:bookmarkEnd w:id="306"/>
      <w:bookmarkEnd w:id="307"/>
      <w:bookmarkEnd w:id="308"/>
      <w:r>
        <w:rPr>
          <w:rFonts w:hint="eastAsia" w:asciiTheme="minorEastAsia" w:hAnsiTheme="minorEastAsia" w:eastAsiaTheme="minorEastAsia" w:cstheme="minorEastAsia"/>
          <w:b/>
          <w:kern w:val="2"/>
          <w:sz w:val="30"/>
          <w:szCs w:val="30"/>
          <w:highlight w:val="none"/>
        </w:rPr>
        <w:t>（如有）</w:t>
      </w:r>
      <w:bookmarkEnd w:id="309"/>
    </w:p>
    <w:p w14:paraId="3A34C14E">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18B4F8B1">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1D767F18">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36AAA96B">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02494CEC">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548AC609">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63E9AD16">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781A53F1">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66264A62">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08802E18">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77C0A9A7">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387D3E6B">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398C8DFB">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0D2B5A6C">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728C4BA4">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01E14931">
      <w:pPr>
        <w:pStyle w:val="2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14:paraId="0DBE433A">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bookmarkStart w:id="310" w:name="_Toc24850"/>
      <w:bookmarkStart w:id="311" w:name="_Toc23227"/>
      <w:bookmarkStart w:id="312" w:name="_Toc10717"/>
    </w:p>
    <w:p w14:paraId="564C1B1D">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p>
    <w:p w14:paraId="15D695C6">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p>
    <w:p w14:paraId="257646C1">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p>
    <w:p w14:paraId="0A895FC0">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b/>
          <w:kern w:val="2"/>
          <w:sz w:val="30"/>
          <w:szCs w:val="30"/>
          <w:highlight w:val="none"/>
        </w:rPr>
        <w:t>八、中小企业声明函</w:t>
      </w:r>
      <w:bookmarkEnd w:id="310"/>
      <w:bookmarkEnd w:id="311"/>
      <w:bookmarkEnd w:id="312"/>
    </w:p>
    <w:p w14:paraId="5237814E">
      <w:pPr>
        <w:pStyle w:val="23"/>
        <w:widowControl w:val="0"/>
        <w:numPr>
          <w:ilvl w:val="0"/>
          <w:numId w:val="0"/>
        </w:numPr>
        <w:spacing w:before="120" w:beforeAutospacing="0" w:after="120" w:afterAutospacing="0" w:line="500" w:lineRule="exact"/>
        <w:ind w:right="29" w:rightChars="14"/>
        <w:jc w:val="center"/>
        <w:outlineLvl w:val="1"/>
        <w:rPr>
          <w:rFonts w:hint="eastAsia" w:eastAsia="宋体" w:asciiTheme="minorEastAsia" w:hAnsiTheme="minorEastAsia" w:cstheme="minorEastAsia"/>
          <w:b/>
          <w:kern w:val="2"/>
          <w:sz w:val="30"/>
          <w:szCs w:val="30"/>
          <w:highlight w:val="none"/>
          <w:lang w:val="en-US" w:eastAsia="zh-CN"/>
        </w:rPr>
      </w:pPr>
      <w:bookmarkStart w:id="313" w:name="_Toc12390"/>
      <w:bookmarkStart w:id="314" w:name="_Toc309736882"/>
      <w:bookmarkStart w:id="315" w:name="_Toc352061202"/>
      <w:r>
        <w:rPr>
          <w:rFonts w:hint="eastAsia" w:ascii="宋体" w:hAnsi="宋体" w:eastAsia="宋体" w:cs="宋体"/>
          <w:b/>
          <w:bCs/>
          <w:color w:val="auto"/>
          <w:sz w:val="28"/>
          <w:szCs w:val="28"/>
          <w:highlight w:val="none"/>
        </w:rPr>
        <w:t>中小企业声明函</w:t>
      </w:r>
      <w:r>
        <w:rPr>
          <w:rFonts w:hint="eastAsia" w:cs="宋体"/>
          <w:b/>
          <w:bCs/>
          <w:color w:val="auto"/>
          <w:sz w:val="28"/>
          <w:szCs w:val="28"/>
          <w:highlight w:val="none"/>
          <w:lang w:eastAsia="zh-CN"/>
        </w:rPr>
        <w:t>（</w:t>
      </w:r>
      <w:r>
        <w:rPr>
          <w:rFonts w:hint="eastAsia" w:cs="宋体"/>
          <w:b/>
          <w:bCs/>
          <w:color w:val="auto"/>
          <w:sz w:val="28"/>
          <w:szCs w:val="28"/>
          <w:highlight w:val="none"/>
          <w:lang w:val="en-US" w:eastAsia="zh-CN"/>
        </w:rPr>
        <w:t>货物</w:t>
      </w:r>
      <w:r>
        <w:rPr>
          <w:rFonts w:hint="eastAsia" w:cs="宋体"/>
          <w:b/>
          <w:bCs/>
          <w:color w:val="auto"/>
          <w:sz w:val="28"/>
          <w:szCs w:val="28"/>
          <w:highlight w:val="none"/>
          <w:lang w:eastAsia="zh-CN"/>
        </w:rPr>
        <w:t>）</w:t>
      </w:r>
    </w:p>
    <w:p w14:paraId="199A71C9">
      <w:pPr>
        <w:spacing w:line="560" w:lineRule="exact"/>
        <w:ind w:firstLine="480" w:firstLineChars="200"/>
        <w:rPr>
          <w:rFonts w:ascii="宋体" w:hAnsi="宋体" w:cs="宋体"/>
          <w:sz w:val="24"/>
          <w:highlight w:val="none"/>
        </w:rPr>
      </w:pPr>
      <w:r>
        <w:rPr>
          <w:rFonts w:ascii="宋体" w:hAnsi="宋体" w:cs="宋体"/>
          <w:sz w:val="24"/>
          <w:highlight w:val="none"/>
        </w:rPr>
        <w:t>本公司（联合体）郑重声明，根据《政府采购促进中小企业发展管理办法》（财库﹝2020﹞46 号）的规定，本公司 （联合体）参加</w:t>
      </w:r>
      <w:r>
        <w:rPr>
          <w:rFonts w:ascii="宋体" w:hAnsi="宋体" w:cs="宋体"/>
          <w:sz w:val="24"/>
          <w:highlight w:val="none"/>
          <w:u w:val="single"/>
        </w:rPr>
        <w:t>（单位名称）</w:t>
      </w:r>
      <w:r>
        <w:rPr>
          <w:rFonts w:ascii="宋体" w:hAnsi="宋体" w:cs="宋体"/>
          <w:sz w:val="24"/>
          <w:highlight w:val="none"/>
        </w:rPr>
        <w:t>的</w:t>
      </w:r>
      <w:r>
        <w:rPr>
          <w:rFonts w:ascii="宋体" w:hAnsi="宋体" w:cs="宋体"/>
          <w:sz w:val="24"/>
          <w:highlight w:val="none"/>
          <w:u w:val="single"/>
        </w:rPr>
        <w:t>（项目名称）</w:t>
      </w:r>
      <w:r>
        <w:rPr>
          <w:rFonts w:ascii="宋体" w:hAnsi="宋体" w:cs="宋体"/>
          <w:sz w:val="24"/>
          <w:highlight w:val="none"/>
        </w:rPr>
        <w:t>采购活动，提供的货物全部由符合政策要求的中小企业制造。相关企业 （含联合体中的中小企业、签订分包意向协议的中小企业） 的具体情况如下：</w:t>
      </w:r>
    </w:p>
    <w:p w14:paraId="2D353FAB">
      <w:pPr>
        <w:numPr>
          <w:ilvl w:val="0"/>
          <w:numId w:val="15"/>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（标的名称）</w:t>
      </w:r>
      <w:r>
        <w:rPr>
          <w:rFonts w:ascii="宋体" w:hAnsi="宋体" w:cs="宋体"/>
          <w:sz w:val="24"/>
          <w:highlight w:val="none"/>
        </w:rPr>
        <w:t xml:space="preserve"> ，属于</w:t>
      </w:r>
      <w:r>
        <w:rPr>
          <w:rFonts w:ascii="宋体" w:hAnsi="宋体" w:cs="宋体"/>
          <w:sz w:val="24"/>
          <w:highlight w:val="none"/>
          <w:u w:val="single"/>
        </w:rPr>
        <w:t>（采购文件中明确的所属行业）</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 ，属于</w:t>
      </w:r>
      <w:r>
        <w:rPr>
          <w:rFonts w:ascii="宋体" w:hAnsi="宋体" w:cs="宋体"/>
          <w:sz w:val="24"/>
          <w:highlight w:val="none"/>
          <w:u w:val="single"/>
        </w:rPr>
        <w:t>（中型企业、小 型企业、微型企业）</w:t>
      </w:r>
      <w:r>
        <w:rPr>
          <w:rFonts w:ascii="宋体" w:hAnsi="宋体" w:cs="宋体"/>
          <w:sz w:val="24"/>
          <w:highlight w:val="none"/>
        </w:rPr>
        <w:t>；</w:t>
      </w:r>
    </w:p>
    <w:p w14:paraId="32B15496">
      <w:pPr>
        <w:numPr>
          <w:ilvl w:val="0"/>
          <w:numId w:val="15"/>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 xml:space="preserve">（标的名称） </w:t>
      </w:r>
      <w:r>
        <w:rPr>
          <w:rFonts w:ascii="宋体" w:hAnsi="宋体" w:cs="宋体"/>
          <w:sz w:val="24"/>
          <w:highlight w:val="none"/>
        </w:rPr>
        <w:t>，属于</w:t>
      </w:r>
      <w:r>
        <w:rPr>
          <w:rFonts w:ascii="宋体" w:hAnsi="宋体" w:cs="宋体"/>
          <w:sz w:val="24"/>
          <w:highlight w:val="none"/>
          <w:u w:val="single"/>
        </w:rPr>
        <w:t>（采购文件中明确的所属行业）</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万元，属于</w:t>
      </w:r>
      <w:r>
        <w:rPr>
          <w:rFonts w:ascii="宋体" w:hAnsi="宋体" w:cs="宋体"/>
          <w:sz w:val="24"/>
          <w:highlight w:val="none"/>
          <w:u w:val="single"/>
        </w:rPr>
        <w:t>（中型企业、小型 企业、微型企业）</w:t>
      </w:r>
      <w:r>
        <w:rPr>
          <w:rFonts w:ascii="宋体" w:hAnsi="宋体" w:cs="宋体"/>
          <w:sz w:val="24"/>
          <w:highlight w:val="none"/>
        </w:rPr>
        <w:t>；</w:t>
      </w:r>
    </w:p>
    <w:p w14:paraId="4E53303A">
      <w:pPr>
        <w:spacing w:line="560" w:lineRule="exact"/>
        <w:ind w:left="525" w:leftChars="250"/>
        <w:rPr>
          <w:rFonts w:ascii="宋体" w:hAnsi="宋体" w:cs="宋体"/>
          <w:sz w:val="24"/>
          <w:highlight w:val="none"/>
        </w:rPr>
      </w:pPr>
      <w:r>
        <w:rPr>
          <w:rFonts w:ascii="宋体" w:hAnsi="宋体" w:cs="宋体"/>
          <w:sz w:val="24"/>
          <w:highlight w:val="none"/>
        </w:rPr>
        <w:t xml:space="preserve"> …… </w:t>
      </w:r>
    </w:p>
    <w:p w14:paraId="4DD62F75">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以上企业，不属于大企业的分支机构，不存在控股股东 为大企业的情形，也不存在与大企业的负责人为同一人的情形。 </w:t>
      </w:r>
    </w:p>
    <w:p w14:paraId="2D4392BB">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本企业对上述声明内容的真实性负责。如有虚假，将依 法承担相应责任。 </w:t>
      </w:r>
    </w:p>
    <w:p w14:paraId="3C2C4F89">
      <w:pPr>
        <w:spacing w:line="560" w:lineRule="exact"/>
        <w:ind w:left="5" w:firstLine="518" w:firstLineChars="216"/>
        <w:rPr>
          <w:rFonts w:ascii="宋体" w:hAnsi="宋体" w:cs="宋体"/>
          <w:sz w:val="24"/>
          <w:highlight w:val="none"/>
        </w:rPr>
      </w:pPr>
    </w:p>
    <w:p w14:paraId="1D7385A1">
      <w:pPr>
        <w:spacing w:line="560" w:lineRule="exact"/>
        <w:ind w:left="5" w:firstLine="518" w:firstLineChars="216"/>
        <w:rPr>
          <w:rFonts w:ascii="宋体" w:hAnsi="宋体" w:cs="宋体"/>
          <w:sz w:val="24"/>
          <w:highlight w:val="none"/>
        </w:rPr>
      </w:pPr>
    </w:p>
    <w:p w14:paraId="540E338A">
      <w:pPr>
        <w:spacing w:line="560" w:lineRule="exact"/>
        <w:ind w:left="5" w:firstLine="518" w:firstLineChars="216"/>
        <w:jc w:val="right"/>
        <w:rPr>
          <w:rFonts w:ascii="宋体" w:hAnsi="宋体" w:cs="宋体"/>
          <w:sz w:val="24"/>
          <w:highlight w:val="none"/>
        </w:rPr>
      </w:pPr>
      <w:r>
        <w:rPr>
          <w:rFonts w:ascii="宋体" w:hAnsi="宋体" w:cs="宋体"/>
          <w:sz w:val="24"/>
          <w:highlight w:val="none"/>
        </w:rPr>
        <w:t>企业名称（盖章）：</w:t>
      </w:r>
    </w:p>
    <w:p w14:paraId="34D94F7A">
      <w:pPr>
        <w:spacing w:line="560" w:lineRule="exact"/>
        <w:ind w:left="5" w:firstLine="518" w:firstLineChars="216"/>
        <w:jc w:val="right"/>
        <w:rPr>
          <w:rFonts w:ascii="宋体" w:hAnsi="宋体" w:cs="宋体"/>
          <w:sz w:val="24"/>
          <w:highlight w:val="none"/>
        </w:rPr>
      </w:pPr>
      <w:r>
        <w:rPr>
          <w:rFonts w:ascii="宋体" w:hAnsi="宋体" w:cs="宋体"/>
          <w:sz w:val="24"/>
          <w:highlight w:val="none"/>
        </w:rPr>
        <w:t xml:space="preserve"> 日 期： </w:t>
      </w:r>
    </w:p>
    <w:p w14:paraId="72F5CED8">
      <w:pPr>
        <w:spacing w:line="560" w:lineRule="exact"/>
        <w:ind w:left="5" w:firstLine="518" w:firstLineChars="216"/>
        <w:rPr>
          <w:rFonts w:ascii="宋体" w:hAnsi="宋体" w:cs="宋体"/>
          <w:sz w:val="24"/>
          <w:highlight w:val="none"/>
        </w:rPr>
      </w:pPr>
      <w:r>
        <w:rPr>
          <w:rFonts w:hint="eastAsia" w:ascii="宋体" w:hAnsi="宋体" w:cs="宋体"/>
          <w:sz w:val="24"/>
          <w:highlight w:val="none"/>
        </w:rPr>
        <w:t>注：1、</w:t>
      </w:r>
      <w:r>
        <w:rPr>
          <w:rFonts w:ascii="宋体" w:hAnsi="宋体" w:cs="宋体"/>
          <w:sz w:val="24"/>
          <w:highlight w:val="none"/>
        </w:rPr>
        <w:t>从业人员、营业收入、资产总额填报上一年度数据，无上一年度数据的新成立企业可不填报。</w:t>
      </w:r>
    </w:p>
    <w:p w14:paraId="7BBDA8EE">
      <w:pPr>
        <w:pStyle w:val="27"/>
        <w:ind w:firstLine="480"/>
        <w:rPr>
          <w:rFonts w:ascii="宋体"/>
          <w:highlight w:val="none"/>
        </w:rPr>
      </w:pPr>
      <w:r>
        <w:rPr>
          <w:rFonts w:hint="eastAsia" w:ascii="宋体" w:hAnsi="宋体" w:cs="宋体"/>
          <w:sz w:val="24"/>
          <w:highlight w:val="none"/>
        </w:rPr>
        <w:t>2、供应商提供的声明函将在中标后随中标公告一并公示，若声明函内容不实的，将依照《政府采购法》等国家有关规定追究相应责任。</w:t>
      </w:r>
    </w:p>
    <w:p w14:paraId="4AF2789F">
      <w:pPr>
        <w:pStyle w:val="27"/>
        <w:numPr>
          <w:ilvl w:val="0"/>
          <w:numId w:val="0"/>
        </w:numPr>
        <w:rPr>
          <w:rFonts w:ascii="宋体" w:hAnsi="宋体" w:cs="宋体"/>
          <w:sz w:val="24"/>
          <w:highlight w:val="none"/>
        </w:rPr>
      </w:pPr>
    </w:p>
    <w:bookmarkEnd w:id="313"/>
    <w:bookmarkEnd w:id="314"/>
    <w:bookmarkEnd w:id="315"/>
    <w:p w14:paraId="7F6B677A">
      <w:pPr>
        <w:pStyle w:val="2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r>
        <w:rPr>
          <w:rFonts w:hint="eastAsia" w:asciiTheme="minorEastAsia" w:hAnsiTheme="minorEastAsia" w:eastAsiaTheme="minorEastAsia" w:cstheme="minorEastAsia"/>
          <w:b/>
          <w:kern w:val="2"/>
          <w:sz w:val="30"/>
          <w:szCs w:val="30"/>
          <w:highlight w:val="none"/>
        </w:rPr>
        <w:br w:type="page"/>
      </w:r>
      <w:bookmarkStart w:id="316" w:name="_Toc20881"/>
      <w:bookmarkStart w:id="317" w:name="_Toc11708"/>
      <w:bookmarkStart w:id="318" w:name="_Toc14292"/>
      <w:bookmarkStart w:id="319" w:name="_Toc30170"/>
      <w:r>
        <w:rPr>
          <w:rFonts w:hint="eastAsia" w:asciiTheme="minorEastAsia" w:hAnsiTheme="minorEastAsia" w:eastAsiaTheme="minorEastAsia" w:cstheme="minorEastAsia"/>
          <w:b/>
          <w:kern w:val="2"/>
          <w:sz w:val="30"/>
          <w:szCs w:val="30"/>
          <w:highlight w:val="none"/>
        </w:rPr>
        <w:t>九、残疾人福利性单位声明函（如有）</w:t>
      </w:r>
      <w:bookmarkEnd w:id="316"/>
      <w:bookmarkEnd w:id="317"/>
    </w:p>
    <w:p w14:paraId="485EC53A">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 141</w:t>
      </w:r>
      <w:r>
        <w:rPr>
          <w:rFonts w:hint="eastAsia" w:ascii="宋体" w:hAnsi="宋体" w:cs="宋体"/>
          <w:spacing w:val="6"/>
          <w:sz w:val="24"/>
          <w:highlight w:val="none"/>
        </w:rPr>
        <w:t>号）的规定，本单位为符合条件的残疾人福利性单位，且本单位参加</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rPr>
        <w:t>单位的</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640A65F8">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14:paraId="424CFD28">
      <w:pPr>
        <w:spacing w:line="588" w:lineRule="exact"/>
        <w:ind w:firstLine="504" w:firstLineChars="200"/>
        <w:rPr>
          <w:rFonts w:ascii="宋体" w:hAnsi="宋体" w:cs="宋体"/>
          <w:spacing w:val="6"/>
          <w:sz w:val="24"/>
          <w:highlight w:val="none"/>
        </w:rPr>
      </w:pPr>
    </w:p>
    <w:p w14:paraId="34F50600">
      <w:pPr>
        <w:spacing w:line="588" w:lineRule="exact"/>
        <w:ind w:firstLine="504" w:firstLineChars="200"/>
        <w:rPr>
          <w:rFonts w:ascii="宋体" w:hAnsi="宋体" w:cs="宋体"/>
          <w:spacing w:val="6"/>
          <w:sz w:val="24"/>
          <w:highlight w:val="none"/>
        </w:rPr>
      </w:pPr>
    </w:p>
    <w:p w14:paraId="390BD24F">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单位名称（单位电子签章）：</w:t>
      </w:r>
    </w:p>
    <w:p w14:paraId="4C218E72">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日  期：</w:t>
      </w:r>
    </w:p>
    <w:p w14:paraId="509DC213">
      <w:pPr>
        <w:spacing w:after="758" w:afterLines="200"/>
        <w:ind w:firstLine="2259" w:firstLineChars="750"/>
        <w:rPr>
          <w:rFonts w:asciiTheme="minorEastAsia" w:hAnsiTheme="minorEastAsia" w:eastAsiaTheme="minorEastAsia" w:cstheme="minorEastAsia"/>
          <w:b/>
          <w:sz w:val="30"/>
          <w:szCs w:val="30"/>
          <w:highlight w:val="none"/>
        </w:rPr>
      </w:pPr>
    </w:p>
    <w:p w14:paraId="1D4A50A6">
      <w:pPr>
        <w:spacing w:after="758" w:afterLines="200"/>
        <w:ind w:firstLine="2259" w:firstLineChars="750"/>
        <w:rPr>
          <w:rFonts w:asciiTheme="minorEastAsia" w:hAnsiTheme="minorEastAsia" w:eastAsiaTheme="minorEastAsia" w:cstheme="minorEastAsia"/>
          <w:b/>
          <w:sz w:val="30"/>
          <w:szCs w:val="30"/>
          <w:highlight w:val="none"/>
        </w:rPr>
      </w:pPr>
    </w:p>
    <w:p w14:paraId="29C06B0B">
      <w:pPr>
        <w:spacing w:after="758" w:afterLines="200"/>
        <w:ind w:firstLine="2259" w:firstLineChars="750"/>
        <w:rPr>
          <w:rFonts w:asciiTheme="minorEastAsia" w:hAnsiTheme="minorEastAsia" w:eastAsiaTheme="minorEastAsia" w:cstheme="minorEastAsia"/>
          <w:b/>
          <w:sz w:val="30"/>
          <w:szCs w:val="30"/>
          <w:highlight w:val="none"/>
        </w:rPr>
      </w:pPr>
    </w:p>
    <w:p w14:paraId="716CA965">
      <w:pPr>
        <w:spacing w:after="758" w:afterLines="200"/>
        <w:ind w:firstLine="2259" w:firstLineChars="750"/>
        <w:rPr>
          <w:rFonts w:asciiTheme="minorEastAsia" w:hAnsiTheme="minorEastAsia" w:eastAsiaTheme="minorEastAsia" w:cstheme="minorEastAsia"/>
          <w:b/>
          <w:sz w:val="30"/>
          <w:szCs w:val="30"/>
          <w:highlight w:val="none"/>
        </w:rPr>
      </w:pPr>
    </w:p>
    <w:p w14:paraId="11ABA148">
      <w:pPr>
        <w:spacing w:after="758" w:afterLines="200"/>
        <w:ind w:firstLine="2259" w:firstLineChars="750"/>
        <w:rPr>
          <w:rFonts w:asciiTheme="minorEastAsia" w:hAnsiTheme="minorEastAsia" w:eastAsiaTheme="minorEastAsia" w:cstheme="minorEastAsia"/>
          <w:b/>
          <w:sz w:val="30"/>
          <w:szCs w:val="30"/>
          <w:highlight w:val="none"/>
        </w:rPr>
      </w:pPr>
    </w:p>
    <w:bookmarkEnd w:id="303"/>
    <w:bookmarkEnd w:id="318"/>
    <w:bookmarkEnd w:id="319"/>
    <w:p w14:paraId="712832C7">
      <w:pPr>
        <w:pStyle w:val="23"/>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highlight w:val="none"/>
        </w:rPr>
      </w:pPr>
      <w:bookmarkStart w:id="320" w:name="_Toc18605"/>
      <w:bookmarkStart w:id="321" w:name="_Toc16608"/>
      <w:r>
        <w:rPr>
          <w:rFonts w:hint="eastAsia" w:asciiTheme="minorEastAsia" w:hAnsiTheme="minorEastAsia" w:eastAsiaTheme="minorEastAsia" w:cstheme="minorEastAsia"/>
          <w:b/>
          <w:kern w:val="2"/>
          <w:sz w:val="30"/>
          <w:szCs w:val="30"/>
          <w:highlight w:val="none"/>
        </w:rPr>
        <w:t>十、招标文件要求的或供应商认为须提交的其他材料</w:t>
      </w:r>
      <w:bookmarkEnd w:id="320"/>
      <w:bookmarkEnd w:id="321"/>
    </w:p>
    <w:p w14:paraId="4CF118D0">
      <w:pPr>
        <w:spacing w:line="360" w:lineRule="auto"/>
        <w:rPr>
          <w:rFonts w:asciiTheme="minorEastAsia" w:hAnsiTheme="minorEastAsia" w:eastAsiaTheme="minorEastAsia" w:cstheme="minorEastAsia"/>
          <w:sz w:val="24"/>
          <w:highlight w:val="none"/>
          <w:shd w:val="clear" w:color="FFFFFF" w:fill="D9D9D9"/>
        </w:rPr>
      </w:pPr>
    </w:p>
    <w:p w14:paraId="2A75A2A1">
      <w:pPr>
        <w:spacing w:line="600" w:lineRule="exact"/>
        <w:ind w:firstLine="560" w:firstLineChars="200"/>
        <w:rPr>
          <w:rFonts w:ascii="宋体" w:hAnsi="宋体" w:cs="宋体"/>
          <w:sz w:val="28"/>
          <w:szCs w:val="28"/>
          <w:highlight w:val="none"/>
        </w:rPr>
      </w:pPr>
      <w:r>
        <w:rPr>
          <w:rFonts w:hint="eastAsia" w:ascii="宋体" w:hAnsi="宋体" w:cs="宋体"/>
          <w:sz w:val="28"/>
          <w:szCs w:val="28"/>
          <w:highlight w:val="none"/>
        </w:rPr>
        <w:t>招标文件规定的其他资料及供应商认为需要提交的其他材料。</w:t>
      </w:r>
    </w:p>
    <w:p w14:paraId="45690862">
      <w:pPr>
        <w:spacing w:line="600" w:lineRule="exact"/>
        <w:ind w:firstLine="600" w:firstLineChars="200"/>
        <w:rPr>
          <w:rFonts w:ascii="仿宋" w:hAnsi="仿宋" w:eastAsia="仿宋" w:cs="仿宋"/>
          <w:sz w:val="30"/>
          <w:szCs w:val="30"/>
          <w:highlight w:val="none"/>
        </w:rPr>
      </w:pPr>
    </w:p>
    <w:p w14:paraId="14B01D27">
      <w:pPr>
        <w:widowControl/>
        <w:spacing w:line="580" w:lineRule="atLeast"/>
        <w:jc w:val="center"/>
        <w:rPr>
          <w:rFonts w:asciiTheme="minorEastAsia" w:hAnsiTheme="minorEastAsia" w:eastAsiaTheme="minorEastAsia" w:cstheme="minorEastAsia"/>
          <w:b/>
          <w:kern w:val="0"/>
          <w:sz w:val="32"/>
          <w:szCs w:val="32"/>
          <w:highlight w:val="none"/>
        </w:rPr>
      </w:pPr>
    </w:p>
    <w:p w14:paraId="5323CF49">
      <w:pPr>
        <w:spacing w:line="440" w:lineRule="exact"/>
        <w:rPr>
          <w:rFonts w:ascii="宋体" w:hAnsi="宋体" w:cs="宋体"/>
          <w:b/>
          <w:sz w:val="36"/>
          <w:szCs w:val="36"/>
          <w:highlight w:val="none"/>
        </w:rPr>
      </w:pPr>
    </w:p>
    <w:p w14:paraId="539B1057">
      <w:pPr>
        <w:spacing w:line="440" w:lineRule="exact"/>
        <w:jc w:val="center"/>
        <w:rPr>
          <w:rFonts w:ascii="宋体" w:hAnsi="宋体" w:cs="宋体"/>
          <w:b/>
          <w:sz w:val="36"/>
          <w:szCs w:val="36"/>
          <w:highlight w:val="none"/>
        </w:rPr>
      </w:pPr>
    </w:p>
    <w:p w14:paraId="18F8D910">
      <w:pPr>
        <w:rPr>
          <w:rFonts w:ascii="宋体" w:hAnsi="宋体" w:cs="宋体"/>
          <w:sz w:val="36"/>
          <w:szCs w:val="36"/>
          <w:highlight w:val="none"/>
        </w:rPr>
      </w:pPr>
    </w:p>
    <w:p w14:paraId="39EE7790">
      <w:pPr>
        <w:rPr>
          <w:rFonts w:ascii="宋体" w:hAnsi="宋体" w:cs="宋体"/>
          <w:b/>
          <w:sz w:val="36"/>
          <w:szCs w:val="36"/>
          <w:highlight w:val="none"/>
        </w:rPr>
      </w:pPr>
    </w:p>
    <w:p w14:paraId="4DC4DF99">
      <w:pPr>
        <w:spacing w:line="440" w:lineRule="exact"/>
        <w:jc w:val="center"/>
        <w:rPr>
          <w:rFonts w:ascii="宋体" w:hAnsi="宋体" w:cs="宋体"/>
          <w:b/>
          <w:sz w:val="36"/>
          <w:szCs w:val="36"/>
          <w:highlight w:val="none"/>
        </w:rPr>
      </w:pPr>
    </w:p>
    <w:p w14:paraId="0EA329B8">
      <w:pPr>
        <w:rPr>
          <w:highlight w:val="none"/>
        </w:rPr>
      </w:pPr>
    </w:p>
    <w:p w14:paraId="3F49776E">
      <w:pPr>
        <w:pStyle w:val="33"/>
        <w:rPr>
          <w:highlight w:val="none"/>
        </w:rPr>
      </w:pPr>
    </w:p>
    <w:p w14:paraId="059882AE">
      <w:pPr>
        <w:pStyle w:val="34"/>
        <w:rPr>
          <w:color w:val="auto"/>
          <w:highlight w:val="none"/>
        </w:rPr>
      </w:pPr>
    </w:p>
    <w:p w14:paraId="3D9EC4D8">
      <w:pPr>
        <w:pStyle w:val="35"/>
        <w:rPr>
          <w:highlight w:val="none"/>
        </w:rPr>
      </w:pPr>
    </w:p>
    <w:p w14:paraId="7F6CD840">
      <w:pPr>
        <w:pStyle w:val="36"/>
        <w:rPr>
          <w:highlight w:val="none"/>
        </w:rPr>
      </w:pPr>
    </w:p>
    <w:p w14:paraId="286A063C">
      <w:pPr>
        <w:rPr>
          <w:highlight w:val="none"/>
        </w:rPr>
      </w:pPr>
    </w:p>
    <w:p w14:paraId="34DFED4D">
      <w:pPr>
        <w:pStyle w:val="33"/>
        <w:rPr>
          <w:highlight w:val="none"/>
        </w:rPr>
      </w:pPr>
    </w:p>
    <w:p w14:paraId="0997BC8B">
      <w:pPr>
        <w:pStyle w:val="34"/>
        <w:rPr>
          <w:color w:val="auto"/>
          <w:highlight w:val="none"/>
        </w:rPr>
      </w:pPr>
    </w:p>
    <w:p w14:paraId="0C3D5355">
      <w:pPr>
        <w:pStyle w:val="35"/>
        <w:rPr>
          <w:highlight w:val="none"/>
        </w:rPr>
      </w:pPr>
    </w:p>
    <w:p w14:paraId="24433D8E">
      <w:pPr>
        <w:pStyle w:val="36"/>
        <w:rPr>
          <w:highlight w:val="none"/>
        </w:rPr>
      </w:pPr>
    </w:p>
    <w:p w14:paraId="740E46A7">
      <w:pPr>
        <w:rPr>
          <w:highlight w:val="none"/>
        </w:rPr>
      </w:pPr>
    </w:p>
    <w:p w14:paraId="31221849">
      <w:pPr>
        <w:pStyle w:val="33"/>
        <w:rPr>
          <w:highlight w:val="none"/>
        </w:rPr>
      </w:pPr>
    </w:p>
    <w:p w14:paraId="4AF420F8">
      <w:pPr>
        <w:pStyle w:val="34"/>
        <w:rPr>
          <w:color w:val="auto"/>
          <w:highlight w:val="none"/>
        </w:rPr>
      </w:pPr>
    </w:p>
    <w:p w14:paraId="5E8FF2A1">
      <w:pPr>
        <w:pStyle w:val="35"/>
        <w:rPr>
          <w:highlight w:val="none"/>
        </w:rPr>
      </w:pPr>
    </w:p>
    <w:p w14:paraId="77D1297A">
      <w:pPr>
        <w:pStyle w:val="36"/>
        <w:rPr>
          <w:highlight w:val="none"/>
        </w:rPr>
      </w:pPr>
    </w:p>
    <w:p w14:paraId="7502668F">
      <w:pPr>
        <w:pStyle w:val="33"/>
        <w:rPr>
          <w:highlight w:val="none"/>
        </w:rPr>
      </w:pPr>
    </w:p>
    <w:p w14:paraId="0B6F74E0">
      <w:pPr>
        <w:spacing w:line="360" w:lineRule="auto"/>
        <w:jc w:val="center"/>
        <w:rPr>
          <w:rFonts w:asciiTheme="majorEastAsia" w:hAnsiTheme="majorEastAsia" w:eastAsiaTheme="majorEastAsia" w:cstheme="majorEastAsia"/>
          <w:b/>
          <w:sz w:val="36"/>
          <w:szCs w:val="36"/>
          <w:highlight w:val="none"/>
        </w:rPr>
      </w:pPr>
      <w:r>
        <w:rPr>
          <w:rFonts w:hint="eastAsia" w:asciiTheme="majorEastAsia" w:hAnsiTheme="majorEastAsia" w:eastAsiaTheme="majorEastAsia" w:cstheme="majorEastAsia"/>
          <w:b/>
          <w:sz w:val="36"/>
          <w:szCs w:val="36"/>
          <w:highlight w:val="none"/>
        </w:rPr>
        <w:t>优化和提升政府采购政策</w:t>
      </w:r>
    </w:p>
    <w:p w14:paraId="5CD054D3">
      <w:pPr>
        <w:pStyle w:val="33"/>
        <w:rPr>
          <w:highlight w:val="none"/>
        </w:rPr>
      </w:pPr>
    </w:p>
    <w:p w14:paraId="7056D797">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一、全面取消采购文件费用和投标保证金费用。</w:t>
      </w:r>
    </w:p>
    <w:p w14:paraId="5BA6085D">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二、免收履约保证金。确因项目需要的，应以保函等非现金形式收取，比例不得超过合同金额的</w:t>
      </w:r>
      <w:r>
        <w:rPr>
          <w:rFonts w:hint="eastAsia" w:asciiTheme="minorEastAsia" w:hAnsiTheme="minorEastAsia" w:eastAsiaTheme="minorEastAsia" w:cstheme="minorEastAsia"/>
          <w:sz w:val="24"/>
          <w:highlight w:val="none"/>
          <w:u w:val="single"/>
        </w:rPr>
        <w:t>6%</w:t>
      </w:r>
      <w:r>
        <w:rPr>
          <w:rFonts w:hint="eastAsia" w:asciiTheme="minorEastAsia" w:hAnsiTheme="minorEastAsia" w:eastAsiaTheme="minorEastAsia" w:cstheme="minorEastAsia"/>
          <w:sz w:val="24"/>
          <w:highlight w:val="none"/>
        </w:rPr>
        <w:t>，并按约定的时间和条件退还。</w:t>
      </w:r>
    </w:p>
    <w:p w14:paraId="262C45C6">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三、评标结果确认时限。自评标（评审）结束后应2个工作日内确定中标供应商，5个工作日内公告结果，同时发送中标通知书。</w:t>
      </w:r>
    </w:p>
    <w:p w14:paraId="04569FE5">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四、合同签订时限。自中标通知书发出之日起</w:t>
      </w:r>
      <w:r>
        <w:rPr>
          <w:rFonts w:hint="eastAsia" w:asciiTheme="minorEastAsia" w:hAnsiTheme="minorEastAsia" w:eastAsiaTheme="minorEastAsia" w:cstheme="minorEastAsia"/>
          <w:sz w:val="24"/>
          <w:highlight w:val="none"/>
          <w:u w:val="single"/>
        </w:rPr>
        <w:t>15</w:t>
      </w:r>
      <w:r>
        <w:rPr>
          <w:rFonts w:hint="eastAsia" w:asciiTheme="minorEastAsia" w:hAnsiTheme="minorEastAsia" w:eastAsiaTheme="minorEastAsia" w:cstheme="minorEastAsia"/>
          <w:sz w:val="24"/>
          <w:highlight w:val="none"/>
        </w:rPr>
        <w:t xml:space="preserve">日内，按照采购文件和投标文件确定的事项签订政府采购合同。 </w:t>
      </w:r>
    </w:p>
    <w:p w14:paraId="537E67A6">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五、合同公告和备案时限。自合同签订之日起2个工作日内。</w:t>
      </w:r>
    </w:p>
    <w:p w14:paraId="30E13186">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六、项目验收。自收到供应商项目验收建议之日起5个工作日内组织验收；验收结束后2个工作日内出具《验收报告》，并在焦作市政府采购网公告验收结果。</w:t>
      </w:r>
    </w:p>
    <w:p w14:paraId="4E41ADBE">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七、资金支付。按照合同约定的条件及时支付资金，不得因机构变更、人员更替、政策调整等原因拒绝或延迟资金支付。</w:t>
      </w:r>
    </w:p>
    <w:p w14:paraId="7942215A">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在政府采购活动中，若发现采购人或采购代理机构未按以上政策执行的，可向监督部门举报反映。</w:t>
      </w:r>
    </w:p>
    <w:p w14:paraId="37AEB8C8">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监督单位：博爱县财政局政府采购监督管理办公室</w:t>
      </w:r>
    </w:p>
    <w:p w14:paraId="2D9E8F22">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监督电话：0391-8683273</w:t>
      </w:r>
    </w:p>
    <w:p w14:paraId="4DE14BA0">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地址：博爱县发展大道188号机关综合办公楼主楼1213室</w:t>
      </w:r>
    </w:p>
    <w:p w14:paraId="015F886C">
      <w:pPr>
        <w:spacing w:line="440" w:lineRule="exact"/>
        <w:jc w:val="center"/>
        <w:rPr>
          <w:rFonts w:ascii="宋体" w:hAnsi="宋体" w:cs="宋体"/>
          <w:b/>
          <w:sz w:val="36"/>
          <w:szCs w:val="36"/>
          <w:highlight w:val="none"/>
        </w:rPr>
      </w:pPr>
    </w:p>
    <w:p w14:paraId="5DA2AE3D">
      <w:pPr>
        <w:spacing w:line="440" w:lineRule="exact"/>
        <w:jc w:val="center"/>
        <w:rPr>
          <w:rFonts w:ascii="宋体" w:hAnsi="宋体" w:cs="宋体"/>
          <w:b/>
          <w:sz w:val="36"/>
          <w:szCs w:val="36"/>
          <w:highlight w:val="none"/>
        </w:rPr>
      </w:pPr>
    </w:p>
    <w:p w14:paraId="18853B4D">
      <w:pPr>
        <w:pStyle w:val="4"/>
        <w:rPr>
          <w:rFonts w:ascii="宋体" w:hAnsi="宋体" w:cs="宋体"/>
          <w:sz w:val="36"/>
          <w:szCs w:val="36"/>
          <w:highlight w:val="none"/>
        </w:rPr>
      </w:pPr>
    </w:p>
    <w:p w14:paraId="5B559A6B">
      <w:pPr>
        <w:spacing w:line="440" w:lineRule="exact"/>
        <w:rPr>
          <w:rFonts w:ascii="宋体" w:hAnsi="宋体" w:cs="宋体"/>
          <w:b/>
          <w:sz w:val="36"/>
          <w:szCs w:val="36"/>
          <w:highlight w:val="none"/>
        </w:rPr>
      </w:pPr>
    </w:p>
    <w:p w14:paraId="08471417">
      <w:pPr>
        <w:pStyle w:val="33"/>
        <w:rPr>
          <w:highlight w:val="none"/>
        </w:rPr>
      </w:pPr>
    </w:p>
    <w:p w14:paraId="7B8C04DD">
      <w:pPr>
        <w:spacing w:line="440" w:lineRule="exact"/>
        <w:jc w:val="center"/>
        <w:rPr>
          <w:rFonts w:ascii="宋体" w:hAnsi="宋体" w:cs="宋体"/>
          <w:b/>
          <w:sz w:val="36"/>
          <w:szCs w:val="36"/>
          <w:highlight w:val="none"/>
        </w:rPr>
      </w:pPr>
      <w:r>
        <w:rPr>
          <w:rFonts w:hint="eastAsia" w:ascii="宋体" w:hAnsi="宋体" w:cs="宋体"/>
          <w:b/>
          <w:sz w:val="36"/>
          <w:szCs w:val="36"/>
          <w:highlight w:val="none"/>
        </w:rPr>
        <w:t>河南省政府采购合同融资政策告知函</w:t>
      </w:r>
    </w:p>
    <w:p w14:paraId="1BA00A29">
      <w:pPr>
        <w:spacing w:line="420" w:lineRule="exact"/>
        <w:ind w:firstLine="420" w:firstLineChars="175"/>
        <w:rPr>
          <w:rFonts w:ascii="宋体" w:hAnsi="宋体" w:cs="宋体"/>
          <w:bCs/>
          <w:sz w:val="24"/>
          <w:highlight w:val="none"/>
        </w:rPr>
      </w:pPr>
      <w:r>
        <w:rPr>
          <w:rFonts w:hint="eastAsia" w:ascii="宋体" w:hAnsi="宋体" w:cs="宋体"/>
          <w:bCs/>
          <w:sz w:val="24"/>
          <w:highlight w:val="none"/>
        </w:rPr>
        <w:t>各供应商：</w:t>
      </w:r>
    </w:p>
    <w:p w14:paraId="59DBC021">
      <w:pPr>
        <w:spacing w:line="420" w:lineRule="exact"/>
        <w:ind w:firstLine="420" w:firstLineChars="175"/>
        <w:rPr>
          <w:rFonts w:ascii="宋体" w:hAnsi="宋体" w:cs="宋体"/>
          <w:bCs/>
          <w:sz w:val="24"/>
          <w:highlight w:val="none"/>
        </w:rPr>
      </w:pPr>
      <w:r>
        <w:rPr>
          <w:rFonts w:hint="eastAsia" w:ascii="宋体" w:hAnsi="宋体" w:cs="宋体"/>
          <w:bCs/>
          <w:sz w:val="24"/>
          <w:highlight w:val="none"/>
        </w:rPr>
        <w:t xml:space="preserve">   欢迎贵公司参与河南省政府采购活动！</w:t>
      </w:r>
    </w:p>
    <w:p w14:paraId="5E5BFA30">
      <w:pPr>
        <w:spacing w:line="420" w:lineRule="exact"/>
        <w:ind w:firstLine="420" w:firstLineChars="175"/>
        <w:rPr>
          <w:rFonts w:ascii="宋体" w:hAnsi="宋体" w:cs="宋体"/>
          <w:bCs/>
          <w:sz w:val="24"/>
          <w:highlight w:val="none"/>
        </w:rPr>
      </w:pPr>
      <w:r>
        <w:rPr>
          <w:rFonts w:hint="eastAsia" w:ascii="宋体" w:hAnsi="宋体" w:cs="宋体"/>
          <w:bCs/>
          <w:sz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2947F533">
      <w:pPr>
        <w:spacing w:line="420" w:lineRule="exact"/>
        <w:ind w:firstLine="420" w:firstLineChars="175"/>
        <w:rPr>
          <w:rFonts w:ascii="宋体" w:hAnsi="宋体" w:cs="宋体"/>
          <w:bCs/>
          <w:sz w:val="24"/>
          <w:highlight w:val="none"/>
        </w:rPr>
      </w:pPr>
      <w:r>
        <w:rPr>
          <w:rFonts w:hint="eastAsia" w:ascii="宋体" w:hAnsi="宋体" w:cs="宋体"/>
          <w:bCs/>
          <w:sz w:val="24"/>
          <w:highlight w:val="none"/>
        </w:rPr>
        <w:t xml:space="preserve"> 贷款渠道和提供贷款的金融机构，可在河南省政府采购网“河南省政府采购合同融资平台”查询联系。</w:t>
      </w:r>
    </w:p>
    <w:p w14:paraId="40CBE14A">
      <w:pPr>
        <w:jc w:val="center"/>
        <w:rPr>
          <w:rFonts w:ascii="宋体" w:hAnsi="宋体"/>
          <w:b/>
          <w:sz w:val="32"/>
          <w:szCs w:val="32"/>
          <w:highlight w:val="none"/>
        </w:rPr>
      </w:pPr>
      <w:r>
        <w:rPr>
          <w:rFonts w:hint="eastAsia" w:ascii="宋体" w:hAnsi="宋体"/>
          <w:b/>
          <w:sz w:val="32"/>
          <w:szCs w:val="32"/>
          <w:highlight w:val="none"/>
        </w:rPr>
        <w:t>焦作市政府采购合同融资合作企业</w:t>
      </w:r>
    </w:p>
    <w:tbl>
      <w:tblPr>
        <w:tblStyle w:val="28"/>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14:paraId="6B87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23" w:type="dxa"/>
            <w:vAlign w:val="center"/>
          </w:tcPr>
          <w:p w14:paraId="7C6543A6">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名称</w:t>
            </w:r>
          </w:p>
        </w:tc>
        <w:tc>
          <w:tcPr>
            <w:tcW w:w="1353" w:type="dxa"/>
            <w:vAlign w:val="center"/>
          </w:tcPr>
          <w:p w14:paraId="59F5D40B">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联系人</w:t>
            </w:r>
          </w:p>
        </w:tc>
        <w:tc>
          <w:tcPr>
            <w:tcW w:w="2064" w:type="dxa"/>
            <w:vAlign w:val="center"/>
          </w:tcPr>
          <w:p w14:paraId="418531B8">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联系电话</w:t>
            </w:r>
          </w:p>
        </w:tc>
        <w:tc>
          <w:tcPr>
            <w:tcW w:w="2558" w:type="dxa"/>
            <w:vAlign w:val="center"/>
          </w:tcPr>
          <w:p w14:paraId="58FF2FE7">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地址</w:t>
            </w:r>
          </w:p>
        </w:tc>
      </w:tr>
      <w:tr w14:paraId="676B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023" w:type="dxa"/>
            <w:shd w:val="clear" w:color="auto" w:fill="auto"/>
            <w:vAlign w:val="center"/>
          </w:tcPr>
          <w:p w14:paraId="248CC2E0">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中国农业银行股份有限公司</w:t>
            </w:r>
          </w:p>
          <w:p w14:paraId="6EAF63E2">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焦作分行</w:t>
            </w:r>
          </w:p>
        </w:tc>
        <w:tc>
          <w:tcPr>
            <w:tcW w:w="1353" w:type="dxa"/>
            <w:shd w:val="solid" w:color="FFFFFF" w:fill="auto"/>
            <w:vAlign w:val="center"/>
          </w:tcPr>
          <w:p w14:paraId="74026A21">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薛国战</w:t>
            </w:r>
          </w:p>
        </w:tc>
        <w:tc>
          <w:tcPr>
            <w:tcW w:w="2064" w:type="dxa"/>
            <w:shd w:val="solid" w:color="FFFFFF" w:fill="auto"/>
            <w:vAlign w:val="center"/>
          </w:tcPr>
          <w:p w14:paraId="25A86910">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0391-2878039       13839109026</w:t>
            </w:r>
          </w:p>
        </w:tc>
        <w:tc>
          <w:tcPr>
            <w:tcW w:w="2558" w:type="dxa"/>
            <w:shd w:val="solid" w:color="FFFFFF" w:fill="auto"/>
            <w:vAlign w:val="center"/>
          </w:tcPr>
          <w:p w14:paraId="51187D66">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焦作市民主南路88号</w:t>
            </w:r>
          </w:p>
        </w:tc>
      </w:tr>
      <w:tr w14:paraId="46FC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14:paraId="06668322">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中国银行股份有限公司焦作分行</w:t>
            </w:r>
          </w:p>
        </w:tc>
        <w:tc>
          <w:tcPr>
            <w:tcW w:w="1353" w:type="dxa"/>
            <w:shd w:val="solid" w:color="FFFFFF" w:fill="auto"/>
            <w:vAlign w:val="center"/>
          </w:tcPr>
          <w:p w14:paraId="0415FD12">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曹阳</w:t>
            </w:r>
          </w:p>
        </w:tc>
        <w:tc>
          <w:tcPr>
            <w:tcW w:w="2064" w:type="dxa"/>
            <w:shd w:val="solid" w:color="FFFFFF" w:fill="auto"/>
            <w:vAlign w:val="center"/>
          </w:tcPr>
          <w:p w14:paraId="43909546">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0391-8825171  13839118160</w:t>
            </w:r>
          </w:p>
        </w:tc>
        <w:tc>
          <w:tcPr>
            <w:tcW w:w="2558" w:type="dxa"/>
            <w:shd w:val="solid" w:color="FFFFFF" w:fill="auto"/>
            <w:vAlign w:val="center"/>
          </w:tcPr>
          <w:p w14:paraId="31F18E0E">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焦作市丰收路159号</w:t>
            </w:r>
          </w:p>
        </w:tc>
      </w:tr>
      <w:tr w14:paraId="5522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3" w:type="dxa"/>
            <w:shd w:val="clear" w:color="auto" w:fill="auto"/>
            <w:vAlign w:val="center"/>
          </w:tcPr>
          <w:p w14:paraId="1FF81295">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中国建设银行股份有限公司焦作分行</w:t>
            </w:r>
          </w:p>
        </w:tc>
        <w:tc>
          <w:tcPr>
            <w:tcW w:w="1353" w:type="dxa"/>
            <w:shd w:val="clear" w:color="auto" w:fill="auto"/>
            <w:vAlign w:val="center"/>
          </w:tcPr>
          <w:p w14:paraId="76637526">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李华莹</w:t>
            </w:r>
          </w:p>
        </w:tc>
        <w:tc>
          <w:tcPr>
            <w:tcW w:w="2064" w:type="dxa"/>
            <w:shd w:val="clear" w:color="auto" w:fill="auto"/>
            <w:vAlign w:val="center"/>
          </w:tcPr>
          <w:p w14:paraId="7A7FB2F6">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0391-3918471</w:t>
            </w:r>
          </w:p>
        </w:tc>
        <w:tc>
          <w:tcPr>
            <w:tcW w:w="2558" w:type="dxa"/>
            <w:shd w:val="solid" w:color="FFFFFF" w:fill="auto"/>
            <w:vAlign w:val="center"/>
          </w:tcPr>
          <w:p w14:paraId="42B3AA4B">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焦作市建设东路152号</w:t>
            </w:r>
          </w:p>
        </w:tc>
      </w:tr>
      <w:tr w14:paraId="2441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14:paraId="0EAC1CB7">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中国邮政储蓄银行股份有限公司焦作市分行</w:t>
            </w:r>
          </w:p>
        </w:tc>
        <w:tc>
          <w:tcPr>
            <w:tcW w:w="1353" w:type="dxa"/>
            <w:shd w:val="solid" w:color="FFFFFF" w:fill="auto"/>
            <w:vAlign w:val="center"/>
          </w:tcPr>
          <w:p w14:paraId="4DED9218">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李天祥</w:t>
            </w:r>
          </w:p>
        </w:tc>
        <w:tc>
          <w:tcPr>
            <w:tcW w:w="2064" w:type="dxa"/>
            <w:shd w:val="solid" w:color="FFFFFF" w:fill="auto"/>
            <w:vAlign w:val="center"/>
          </w:tcPr>
          <w:p w14:paraId="3F95715F">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0391-2981968 13523359082</w:t>
            </w:r>
          </w:p>
        </w:tc>
        <w:tc>
          <w:tcPr>
            <w:tcW w:w="2558" w:type="dxa"/>
            <w:shd w:val="solid" w:color="FFFFFF" w:fill="auto"/>
            <w:vAlign w:val="center"/>
          </w:tcPr>
          <w:p w14:paraId="133C6263">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焦作市丰收中路2233号</w:t>
            </w:r>
          </w:p>
        </w:tc>
      </w:tr>
      <w:tr w14:paraId="3902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023" w:type="dxa"/>
            <w:shd w:val="clear" w:color="auto" w:fill="auto"/>
            <w:vAlign w:val="center"/>
          </w:tcPr>
          <w:p w14:paraId="766280E5">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焦作中旅银行股份有限公司</w:t>
            </w:r>
          </w:p>
        </w:tc>
        <w:tc>
          <w:tcPr>
            <w:tcW w:w="1353" w:type="dxa"/>
            <w:shd w:val="solid" w:color="FFFFFF" w:fill="auto"/>
            <w:vAlign w:val="center"/>
          </w:tcPr>
          <w:p w14:paraId="0E23519C">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周建林</w:t>
            </w:r>
          </w:p>
        </w:tc>
        <w:tc>
          <w:tcPr>
            <w:tcW w:w="2064" w:type="dxa"/>
            <w:shd w:val="solid" w:color="FFFFFF" w:fill="auto"/>
            <w:vAlign w:val="center"/>
          </w:tcPr>
          <w:p w14:paraId="54CE9670">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 xml:space="preserve">0391-2116963 15893053027 </w:t>
            </w:r>
          </w:p>
        </w:tc>
        <w:tc>
          <w:tcPr>
            <w:tcW w:w="2558" w:type="dxa"/>
            <w:shd w:val="solid" w:color="FFFFFF" w:fill="auto"/>
            <w:vAlign w:val="center"/>
          </w:tcPr>
          <w:p w14:paraId="7C63A65E">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焦作市山阳区迎宾路1号</w:t>
            </w:r>
          </w:p>
        </w:tc>
      </w:tr>
      <w:tr w14:paraId="497E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023" w:type="dxa"/>
            <w:shd w:val="clear" w:color="auto" w:fill="auto"/>
            <w:vAlign w:val="center"/>
          </w:tcPr>
          <w:p w14:paraId="6432F37E">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中信银行股份有限公司焦作分行</w:t>
            </w:r>
          </w:p>
        </w:tc>
        <w:tc>
          <w:tcPr>
            <w:tcW w:w="1353" w:type="dxa"/>
            <w:shd w:val="clear" w:color="auto" w:fill="auto"/>
            <w:vAlign w:val="center"/>
          </w:tcPr>
          <w:p w14:paraId="1AD8D85B">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周江江</w:t>
            </w:r>
          </w:p>
        </w:tc>
        <w:tc>
          <w:tcPr>
            <w:tcW w:w="2064" w:type="dxa"/>
            <w:shd w:val="clear" w:color="auto" w:fill="auto"/>
            <w:vAlign w:val="center"/>
          </w:tcPr>
          <w:p w14:paraId="35E531D7">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17639185001</w:t>
            </w:r>
          </w:p>
        </w:tc>
        <w:tc>
          <w:tcPr>
            <w:tcW w:w="2558" w:type="dxa"/>
            <w:shd w:val="solid" w:color="FFFFFF" w:fill="auto"/>
            <w:vAlign w:val="center"/>
          </w:tcPr>
          <w:p w14:paraId="4F6D0A87">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焦作市塔南路1736号嘉隆国际中心</w:t>
            </w:r>
          </w:p>
        </w:tc>
      </w:tr>
      <w:tr w14:paraId="3167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023" w:type="dxa"/>
            <w:shd w:val="clear" w:color="auto" w:fill="auto"/>
            <w:vAlign w:val="center"/>
          </w:tcPr>
          <w:p w14:paraId="1A8879B4">
            <w:pPr>
              <w:widowControl/>
              <w:tabs>
                <w:tab w:val="left" w:pos="0"/>
              </w:tabs>
              <w:spacing w:line="360" w:lineRule="exact"/>
              <w:rPr>
                <w:rFonts w:ascii="宋体" w:hAnsi="宋体" w:cs="宋体"/>
                <w:sz w:val="24"/>
                <w:highlight w:val="none"/>
              </w:rPr>
            </w:pPr>
            <w:r>
              <w:rPr>
                <w:rFonts w:hint="eastAsia" w:ascii="宋体" w:hAnsi="宋体" w:cs="宋体"/>
                <w:bCs/>
                <w:sz w:val="24"/>
                <w:highlight w:val="none"/>
              </w:rPr>
              <w:t>中国光大银行股份有限公司焦作分行</w:t>
            </w:r>
          </w:p>
        </w:tc>
        <w:tc>
          <w:tcPr>
            <w:tcW w:w="1353" w:type="dxa"/>
            <w:shd w:val="solid" w:color="FFFFFF" w:fill="auto"/>
            <w:vAlign w:val="center"/>
          </w:tcPr>
          <w:p w14:paraId="2413C32C">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王海宾</w:t>
            </w:r>
          </w:p>
        </w:tc>
        <w:tc>
          <w:tcPr>
            <w:tcW w:w="2064" w:type="dxa"/>
            <w:shd w:val="solid" w:color="FFFFFF" w:fill="auto"/>
            <w:vAlign w:val="center"/>
          </w:tcPr>
          <w:p w14:paraId="449C07DF">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0391-8787996 13598534626</w:t>
            </w:r>
          </w:p>
        </w:tc>
        <w:tc>
          <w:tcPr>
            <w:tcW w:w="2558" w:type="dxa"/>
            <w:shd w:val="solid" w:color="FFFFFF" w:fill="auto"/>
            <w:vAlign w:val="center"/>
          </w:tcPr>
          <w:p w14:paraId="664C3383">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焦作市塔南路1736号</w:t>
            </w:r>
          </w:p>
        </w:tc>
      </w:tr>
      <w:tr w14:paraId="746B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023" w:type="dxa"/>
            <w:shd w:val="clear" w:color="auto" w:fill="auto"/>
            <w:vAlign w:val="center"/>
          </w:tcPr>
          <w:p w14:paraId="0C3A7DC5">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中原银行股份有限公司焦作分行</w:t>
            </w:r>
          </w:p>
        </w:tc>
        <w:tc>
          <w:tcPr>
            <w:tcW w:w="1353" w:type="dxa"/>
            <w:shd w:val="solid" w:color="FFFFFF" w:fill="auto"/>
            <w:vAlign w:val="center"/>
          </w:tcPr>
          <w:p w14:paraId="78312CD4">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赵伟</w:t>
            </w:r>
          </w:p>
        </w:tc>
        <w:tc>
          <w:tcPr>
            <w:tcW w:w="2064" w:type="dxa"/>
            <w:shd w:val="solid" w:color="FFFFFF" w:fill="auto"/>
            <w:vAlign w:val="center"/>
          </w:tcPr>
          <w:p w14:paraId="39DAD0FA">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0391-8796520 15738533033</w:t>
            </w:r>
          </w:p>
        </w:tc>
        <w:tc>
          <w:tcPr>
            <w:tcW w:w="2558" w:type="dxa"/>
            <w:shd w:val="solid" w:color="FFFFFF" w:fill="auto"/>
            <w:vAlign w:val="center"/>
          </w:tcPr>
          <w:p w14:paraId="30AC503D">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焦作市解放区人民路479号</w:t>
            </w:r>
          </w:p>
        </w:tc>
      </w:tr>
      <w:tr w14:paraId="3527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023" w:type="dxa"/>
            <w:shd w:val="clear" w:color="auto" w:fill="auto"/>
            <w:vAlign w:val="center"/>
          </w:tcPr>
          <w:p w14:paraId="4E38C05C">
            <w:pPr>
              <w:widowControl/>
              <w:tabs>
                <w:tab w:val="left" w:pos="0"/>
              </w:tabs>
              <w:spacing w:line="360" w:lineRule="exact"/>
              <w:rPr>
                <w:rFonts w:ascii="宋体" w:hAnsi="宋体" w:cs="宋体"/>
                <w:sz w:val="24"/>
                <w:highlight w:val="none"/>
              </w:rPr>
            </w:pPr>
            <w:r>
              <w:rPr>
                <w:rFonts w:hint="eastAsia" w:ascii="宋体" w:hAnsi="宋体" w:cs="宋体"/>
                <w:sz w:val="24"/>
                <w:highlight w:val="none"/>
              </w:rPr>
              <w:t>广发银行股份有限公司焦作分行</w:t>
            </w:r>
          </w:p>
        </w:tc>
        <w:tc>
          <w:tcPr>
            <w:tcW w:w="1353" w:type="dxa"/>
            <w:shd w:val="solid" w:color="FFFFFF" w:fill="auto"/>
            <w:vAlign w:val="center"/>
          </w:tcPr>
          <w:p w14:paraId="75F053B3">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张嘉强</w:t>
            </w:r>
          </w:p>
        </w:tc>
        <w:tc>
          <w:tcPr>
            <w:tcW w:w="2064" w:type="dxa"/>
            <w:shd w:val="solid" w:color="FFFFFF" w:fill="auto"/>
            <w:vAlign w:val="center"/>
          </w:tcPr>
          <w:p w14:paraId="3D4C2A5E">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0391-653785 13203910032</w:t>
            </w:r>
          </w:p>
        </w:tc>
        <w:tc>
          <w:tcPr>
            <w:tcW w:w="2558" w:type="dxa"/>
            <w:shd w:val="solid" w:color="FFFFFF" w:fill="auto"/>
            <w:vAlign w:val="center"/>
          </w:tcPr>
          <w:p w14:paraId="4E1677BD">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焦作市塔南路1736号嘉隆金融中心</w:t>
            </w:r>
          </w:p>
        </w:tc>
      </w:tr>
    </w:tbl>
    <w:p w14:paraId="7B26B0C0">
      <w:pPr>
        <w:rPr>
          <w:highlight w:val="none"/>
        </w:rPr>
      </w:pPr>
      <w:r>
        <w:rPr>
          <w:rFonts w:hint="eastAsia" w:ascii="宋体" w:hAnsi="宋体" w:cs="宋体"/>
          <w:sz w:val="24"/>
          <w:highlight w:val="none"/>
        </w:rPr>
        <w:t>备注：融资服务机构名单和人员联系方式会随时变化。具体情况可登录“焦作市政府采购网”政府采购合同融资平台查询。</w:t>
      </w:r>
    </w:p>
    <w:sectPr>
      <w:pgSz w:w="11907" w:h="16840"/>
      <w:pgMar w:top="1440" w:right="1519" w:bottom="1440" w:left="1576"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2B3B6">
    <w:pPr>
      <w:pStyle w:val="18"/>
    </w:pP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14:paraId="49701F1C">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14:paraId="49701F1C">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0232">
    <w:pPr>
      <w:pStyle w:val="18"/>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06CCC74C">
                          <w:pPr>
                            <w:pStyle w:val="18"/>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14:paraId="06CCC74C">
                    <w:pPr>
                      <w:pStyle w:val="18"/>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881E7">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FB039FA"/>
    <w:multiLevelType w:val="singleLevel"/>
    <w:tmpl w:val="9FB039FA"/>
    <w:lvl w:ilvl="0" w:tentative="0">
      <w:start w:val="2"/>
      <w:numFmt w:val="chineseCounting"/>
      <w:suff w:val="nothing"/>
      <w:lvlText w:val="%1、"/>
      <w:lvlJc w:val="left"/>
      <w:rPr>
        <w:rFonts w:hint="eastAsia"/>
      </w:rPr>
    </w:lvl>
  </w:abstractNum>
  <w:abstractNum w:abstractNumId="2">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3">
    <w:nsid w:val="A58974FB"/>
    <w:multiLevelType w:val="singleLevel"/>
    <w:tmpl w:val="A58974FB"/>
    <w:lvl w:ilvl="0" w:tentative="0">
      <w:start w:val="1"/>
      <w:numFmt w:val="decimal"/>
      <w:suff w:val="space"/>
      <w:lvlText w:val="%1."/>
      <w:lvlJc w:val="left"/>
    </w:lvl>
  </w:abstractNum>
  <w:abstractNum w:abstractNumId="4">
    <w:nsid w:val="B7CCEAB9"/>
    <w:multiLevelType w:val="singleLevel"/>
    <w:tmpl w:val="B7CCEAB9"/>
    <w:lvl w:ilvl="0" w:tentative="0">
      <w:start w:val="1"/>
      <w:numFmt w:val="decimal"/>
      <w:suff w:val="space"/>
      <w:lvlText w:val="%1."/>
      <w:lvlJc w:val="left"/>
      <w:pPr>
        <w:ind w:left="600" w:firstLine="0"/>
      </w:pPr>
    </w:lvl>
  </w:abstractNum>
  <w:abstractNum w:abstractNumId="5">
    <w:nsid w:val="E25B3C03"/>
    <w:multiLevelType w:val="singleLevel"/>
    <w:tmpl w:val="E25B3C03"/>
    <w:lvl w:ilvl="0" w:tentative="0">
      <w:start w:val="1"/>
      <w:numFmt w:val="decimal"/>
      <w:suff w:val="nothing"/>
      <w:lvlText w:val="（%1）"/>
      <w:lvlJc w:val="left"/>
    </w:lvl>
  </w:abstractNum>
  <w:abstractNum w:abstractNumId="6">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6D6B178"/>
    <w:multiLevelType w:val="singleLevel"/>
    <w:tmpl w:val="06D6B178"/>
    <w:lvl w:ilvl="0" w:tentative="0">
      <w:start w:val="1"/>
      <w:numFmt w:val="decimal"/>
      <w:lvlText w:val="%1."/>
      <w:lvlJc w:val="left"/>
      <w:pPr>
        <w:tabs>
          <w:tab w:val="left" w:pos="312"/>
        </w:tabs>
      </w:pPr>
    </w:lvl>
  </w:abstractNum>
  <w:abstractNum w:abstractNumId="8">
    <w:nsid w:val="074054F6"/>
    <w:multiLevelType w:val="multilevel"/>
    <w:tmpl w:val="074054F6"/>
    <w:lvl w:ilvl="0" w:tentative="0">
      <w:start w:val="1"/>
      <w:numFmt w:val="decimal"/>
      <w:pStyle w:val="4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1C58BAF0"/>
    <w:multiLevelType w:val="singleLevel"/>
    <w:tmpl w:val="1C58BAF0"/>
    <w:lvl w:ilvl="0" w:tentative="0">
      <w:start w:val="1"/>
      <w:numFmt w:val="decimal"/>
      <w:suff w:val="nothing"/>
      <w:lvlText w:val="（%1）"/>
      <w:lvlJc w:val="left"/>
    </w:lvl>
  </w:abstractNum>
  <w:abstractNum w:abstractNumId="10">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2E675402"/>
    <w:multiLevelType w:val="singleLevel"/>
    <w:tmpl w:val="2E675402"/>
    <w:lvl w:ilvl="0" w:tentative="0">
      <w:start w:val="1"/>
      <w:numFmt w:val="chineseCounting"/>
      <w:suff w:val="nothing"/>
      <w:lvlText w:val="（%1）"/>
      <w:lvlJc w:val="left"/>
      <w:rPr>
        <w:rFonts w:hint="eastAsia"/>
      </w:rPr>
    </w:lvl>
  </w:abstractNum>
  <w:abstractNum w:abstractNumId="12">
    <w:nsid w:val="59CCA2E1"/>
    <w:multiLevelType w:val="singleLevel"/>
    <w:tmpl w:val="59CCA2E1"/>
    <w:lvl w:ilvl="0" w:tentative="0">
      <w:start w:val="1"/>
      <w:numFmt w:val="decimal"/>
      <w:suff w:val="nothing"/>
      <w:lvlText w:val="（%1）"/>
      <w:lvlJc w:val="left"/>
    </w:lvl>
  </w:abstractNum>
  <w:abstractNum w:abstractNumId="13">
    <w:nsid w:val="5A693C2F"/>
    <w:multiLevelType w:val="singleLevel"/>
    <w:tmpl w:val="5A693C2F"/>
    <w:lvl w:ilvl="0" w:tentative="0">
      <w:start w:val="3"/>
      <w:numFmt w:val="chineseCounting"/>
      <w:suff w:val="space"/>
      <w:lvlText w:val="第%1章"/>
      <w:lvlJc w:val="left"/>
    </w:lvl>
  </w:abstractNum>
  <w:abstractNum w:abstractNumId="14">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8"/>
  </w:num>
  <w:num w:numId="2">
    <w:abstractNumId w:val="2"/>
  </w:num>
  <w:num w:numId="3">
    <w:abstractNumId w:val="7"/>
  </w:num>
  <w:num w:numId="4">
    <w:abstractNumId w:val="6"/>
  </w:num>
  <w:num w:numId="5">
    <w:abstractNumId w:val="13"/>
  </w:num>
  <w:num w:numId="6">
    <w:abstractNumId w:val="0"/>
  </w:num>
  <w:num w:numId="7">
    <w:abstractNumId w:val="9"/>
  </w:num>
  <w:num w:numId="8">
    <w:abstractNumId w:val="5"/>
  </w:num>
  <w:num w:numId="9">
    <w:abstractNumId w:val="14"/>
  </w:num>
  <w:num w:numId="10">
    <w:abstractNumId w:val="10"/>
  </w:num>
  <w:num w:numId="11">
    <w:abstractNumId w:val="3"/>
  </w:num>
  <w:num w:numId="12">
    <w:abstractNumId w:val="11"/>
  </w:num>
  <w:num w:numId="13">
    <w:abstractNumId w:val="1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2UwM2Y2YTAxZTMzZDg2YTFkODc0ZWIyMzQwN2QifQ=="/>
    <w:docVar w:name="KSO_WPS_MARK_KEY" w:val="7b2f0240-85bb-4b13-bebb-70d144b1ca43"/>
  </w:docVars>
  <w:rsids>
    <w:rsidRoot w:val="00CF3BAF"/>
    <w:rsid w:val="00013DD1"/>
    <w:rsid w:val="00081779"/>
    <w:rsid w:val="00113652"/>
    <w:rsid w:val="001E47D0"/>
    <w:rsid w:val="00205DE3"/>
    <w:rsid w:val="002075F5"/>
    <w:rsid w:val="00227539"/>
    <w:rsid w:val="00236004"/>
    <w:rsid w:val="00261DC9"/>
    <w:rsid w:val="00272A9F"/>
    <w:rsid w:val="00281BCC"/>
    <w:rsid w:val="00293D01"/>
    <w:rsid w:val="00295A55"/>
    <w:rsid w:val="002D45A3"/>
    <w:rsid w:val="0034193D"/>
    <w:rsid w:val="003464E3"/>
    <w:rsid w:val="00382698"/>
    <w:rsid w:val="00387019"/>
    <w:rsid w:val="0042593E"/>
    <w:rsid w:val="0044589E"/>
    <w:rsid w:val="00451A98"/>
    <w:rsid w:val="00471CF0"/>
    <w:rsid w:val="00481283"/>
    <w:rsid w:val="004856FA"/>
    <w:rsid w:val="004B78BE"/>
    <w:rsid w:val="004C776B"/>
    <w:rsid w:val="004E3BC3"/>
    <w:rsid w:val="004E4875"/>
    <w:rsid w:val="005106E0"/>
    <w:rsid w:val="00536F66"/>
    <w:rsid w:val="005542F2"/>
    <w:rsid w:val="005A2870"/>
    <w:rsid w:val="005E14C7"/>
    <w:rsid w:val="005F220F"/>
    <w:rsid w:val="00631E63"/>
    <w:rsid w:val="00651B64"/>
    <w:rsid w:val="00651BA7"/>
    <w:rsid w:val="00656FFA"/>
    <w:rsid w:val="00666E50"/>
    <w:rsid w:val="00675512"/>
    <w:rsid w:val="006836D3"/>
    <w:rsid w:val="006B2CA3"/>
    <w:rsid w:val="006C7E0E"/>
    <w:rsid w:val="006D3E74"/>
    <w:rsid w:val="00712D43"/>
    <w:rsid w:val="007145D8"/>
    <w:rsid w:val="007270F5"/>
    <w:rsid w:val="00732078"/>
    <w:rsid w:val="00767590"/>
    <w:rsid w:val="00783CF9"/>
    <w:rsid w:val="007952CC"/>
    <w:rsid w:val="007C65BE"/>
    <w:rsid w:val="007E2B28"/>
    <w:rsid w:val="0081081C"/>
    <w:rsid w:val="00826247"/>
    <w:rsid w:val="00850F37"/>
    <w:rsid w:val="008672C4"/>
    <w:rsid w:val="008767AC"/>
    <w:rsid w:val="00884C5F"/>
    <w:rsid w:val="008B741E"/>
    <w:rsid w:val="008D2851"/>
    <w:rsid w:val="008D314A"/>
    <w:rsid w:val="008D4EE8"/>
    <w:rsid w:val="009368F4"/>
    <w:rsid w:val="009431A8"/>
    <w:rsid w:val="00951DF1"/>
    <w:rsid w:val="00983A1D"/>
    <w:rsid w:val="009A0E66"/>
    <w:rsid w:val="009B3631"/>
    <w:rsid w:val="009E6501"/>
    <w:rsid w:val="009F60C5"/>
    <w:rsid w:val="00A52CAF"/>
    <w:rsid w:val="00AA57A6"/>
    <w:rsid w:val="00AD577B"/>
    <w:rsid w:val="00B32984"/>
    <w:rsid w:val="00B34D9F"/>
    <w:rsid w:val="00BC19AF"/>
    <w:rsid w:val="00BE7797"/>
    <w:rsid w:val="00BF3DA8"/>
    <w:rsid w:val="00C63E59"/>
    <w:rsid w:val="00C86DE2"/>
    <w:rsid w:val="00C93CF9"/>
    <w:rsid w:val="00C94A06"/>
    <w:rsid w:val="00C94AF7"/>
    <w:rsid w:val="00C95C63"/>
    <w:rsid w:val="00CA7EEA"/>
    <w:rsid w:val="00CD310A"/>
    <w:rsid w:val="00CF3BAF"/>
    <w:rsid w:val="00DA0BC1"/>
    <w:rsid w:val="00DB5C27"/>
    <w:rsid w:val="00DB6ECC"/>
    <w:rsid w:val="00DE7C62"/>
    <w:rsid w:val="00E5544B"/>
    <w:rsid w:val="00E61A34"/>
    <w:rsid w:val="00EB1C0E"/>
    <w:rsid w:val="00ED32EC"/>
    <w:rsid w:val="00EF61C9"/>
    <w:rsid w:val="00F16816"/>
    <w:rsid w:val="00F5227C"/>
    <w:rsid w:val="00FB3E02"/>
    <w:rsid w:val="00FC0F08"/>
    <w:rsid w:val="00FE4037"/>
    <w:rsid w:val="014063FE"/>
    <w:rsid w:val="014A7ACC"/>
    <w:rsid w:val="01551AF7"/>
    <w:rsid w:val="015A0ED7"/>
    <w:rsid w:val="015C2617"/>
    <w:rsid w:val="01677052"/>
    <w:rsid w:val="0187402D"/>
    <w:rsid w:val="018B79D4"/>
    <w:rsid w:val="018F4C90"/>
    <w:rsid w:val="01930027"/>
    <w:rsid w:val="01933022"/>
    <w:rsid w:val="01981D96"/>
    <w:rsid w:val="019C74BD"/>
    <w:rsid w:val="01A249C3"/>
    <w:rsid w:val="01A90C02"/>
    <w:rsid w:val="01BB5A85"/>
    <w:rsid w:val="01CD0413"/>
    <w:rsid w:val="01D803E5"/>
    <w:rsid w:val="01E44FDB"/>
    <w:rsid w:val="01E84EAA"/>
    <w:rsid w:val="01EC5C3E"/>
    <w:rsid w:val="01F21F64"/>
    <w:rsid w:val="01F77570"/>
    <w:rsid w:val="01F80A87"/>
    <w:rsid w:val="01F97E2C"/>
    <w:rsid w:val="0224187C"/>
    <w:rsid w:val="022C6982"/>
    <w:rsid w:val="024617F2"/>
    <w:rsid w:val="02474136"/>
    <w:rsid w:val="0247556A"/>
    <w:rsid w:val="024768DF"/>
    <w:rsid w:val="024912E2"/>
    <w:rsid w:val="02534437"/>
    <w:rsid w:val="0261487E"/>
    <w:rsid w:val="02781E5F"/>
    <w:rsid w:val="027A76EE"/>
    <w:rsid w:val="027C2CDB"/>
    <w:rsid w:val="028D7421"/>
    <w:rsid w:val="029562D6"/>
    <w:rsid w:val="02975B59"/>
    <w:rsid w:val="02A079AD"/>
    <w:rsid w:val="02AD7AC3"/>
    <w:rsid w:val="02B2279A"/>
    <w:rsid w:val="02C572FD"/>
    <w:rsid w:val="02D0730E"/>
    <w:rsid w:val="02D346FD"/>
    <w:rsid w:val="02DF753E"/>
    <w:rsid w:val="02FA082F"/>
    <w:rsid w:val="0301396B"/>
    <w:rsid w:val="032A1114"/>
    <w:rsid w:val="038D2AD2"/>
    <w:rsid w:val="03936CB9"/>
    <w:rsid w:val="03B26124"/>
    <w:rsid w:val="03E56DE9"/>
    <w:rsid w:val="03E72B61"/>
    <w:rsid w:val="03EF01A2"/>
    <w:rsid w:val="0403320F"/>
    <w:rsid w:val="04035DC5"/>
    <w:rsid w:val="040F5B2D"/>
    <w:rsid w:val="041E22FB"/>
    <w:rsid w:val="041F1D93"/>
    <w:rsid w:val="04351B1E"/>
    <w:rsid w:val="045126D0"/>
    <w:rsid w:val="045F303F"/>
    <w:rsid w:val="046F0DBE"/>
    <w:rsid w:val="047012BB"/>
    <w:rsid w:val="04730C9A"/>
    <w:rsid w:val="04760D95"/>
    <w:rsid w:val="04955EBF"/>
    <w:rsid w:val="049A5F70"/>
    <w:rsid w:val="049C7DEF"/>
    <w:rsid w:val="04A24CDA"/>
    <w:rsid w:val="04B015F5"/>
    <w:rsid w:val="04B30C95"/>
    <w:rsid w:val="04B80A56"/>
    <w:rsid w:val="04F44273"/>
    <w:rsid w:val="050E411D"/>
    <w:rsid w:val="052129AD"/>
    <w:rsid w:val="052971A9"/>
    <w:rsid w:val="053E0EA6"/>
    <w:rsid w:val="053E2C54"/>
    <w:rsid w:val="05476DA0"/>
    <w:rsid w:val="057523EE"/>
    <w:rsid w:val="0578335C"/>
    <w:rsid w:val="057B7A05"/>
    <w:rsid w:val="0587053C"/>
    <w:rsid w:val="05B178CA"/>
    <w:rsid w:val="05CF063D"/>
    <w:rsid w:val="05CF1AFF"/>
    <w:rsid w:val="05E337FC"/>
    <w:rsid w:val="05E355AA"/>
    <w:rsid w:val="05E90531"/>
    <w:rsid w:val="05F12A8E"/>
    <w:rsid w:val="06112117"/>
    <w:rsid w:val="061F1094"/>
    <w:rsid w:val="06286160"/>
    <w:rsid w:val="06456265"/>
    <w:rsid w:val="064662A5"/>
    <w:rsid w:val="064918B1"/>
    <w:rsid w:val="06494301"/>
    <w:rsid w:val="064B3EA8"/>
    <w:rsid w:val="065B70C2"/>
    <w:rsid w:val="06604A73"/>
    <w:rsid w:val="0664493D"/>
    <w:rsid w:val="066E57BB"/>
    <w:rsid w:val="067526A6"/>
    <w:rsid w:val="067B2348"/>
    <w:rsid w:val="068C5C42"/>
    <w:rsid w:val="06A12A90"/>
    <w:rsid w:val="06B269FF"/>
    <w:rsid w:val="06C3755C"/>
    <w:rsid w:val="06F1337E"/>
    <w:rsid w:val="06FB5866"/>
    <w:rsid w:val="06FC6923"/>
    <w:rsid w:val="07190068"/>
    <w:rsid w:val="07310D7F"/>
    <w:rsid w:val="074D4119"/>
    <w:rsid w:val="07784088"/>
    <w:rsid w:val="07832BA1"/>
    <w:rsid w:val="07997BA5"/>
    <w:rsid w:val="07E04497"/>
    <w:rsid w:val="07E07FF3"/>
    <w:rsid w:val="08103ADB"/>
    <w:rsid w:val="08161B2A"/>
    <w:rsid w:val="0834033F"/>
    <w:rsid w:val="08355432"/>
    <w:rsid w:val="083A174E"/>
    <w:rsid w:val="083B347B"/>
    <w:rsid w:val="083D3697"/>
    <w:rsid w:val="08685028"/>
    <w:rsid w:val="087B7D1C"/>
    <w:rsid w:val="0885658D"/>
    <w:rsid w:val="08874912"/>
    <w:rsid w:val="08907C6B"/>
    <w:rsid w:val="08910593"/>
    <w:rsid w:val="089517BF"/>
    <w:rsid w:val="08966904"/>
    <w:rsid w:val="089D5EE4"/>
    <w:rsid w:val="08B6562F"/>
    <w:rsid w:val="08BB1E7B"/>
    <w:rsid w:val="08DC3F4A"/>
    <w:rsid w:val="08E12275"/>
    <w:rsid w:val="08E65ADD"/>
    <w:rsid w:val="08EA62B8"/>
    <w:rsid w:val="08F10DED"/>
    <w:rsid w:val="09102B5A"/>
    <w:rsid w:val="092A14FC"/>
    <w:rsid w:val="094B1E02"/>
    <w:rsid w:val="09776735"/>
    <w:rsid w:val="098B21E0"/>
    <w:rsid w:val="099077F7"/>
    <w:rsid w:val="099D3B73"/>
    <w:rsid w:val="09E55D95"/>
    <w:rsid w:val="0A073F5D"/>
    <w:rsid w:val="0A127867"/>
    <w:rsid w:val="0A1A5EE2"/>
    <w:rsid w:val="0A3D6877"/>
    <w:rsid w:val="0A406050"/>
    <w:rsid w:val="0A645EB1"/>
    <w:rsid w:val="0A6C0264"/>
    <w:rsid w:val="0A6D7B38"/>
    <w:rsid w:val="0A84735B"/>
    <w:rsid w:val="0A886720"/>
    <w:rsid w:val="0A8B4CEF"/>
    <w:rsid w:val="0A8E01DA"/>
    <w:rsid w:val="0A9A1E42"/>
    <w:rsid w:val="0AB17A25"/>
    <w:rsid w:val="0AC57974"/>
    <w:rsid w:val="0AD35BED"/>
    <w:rsid w:val="0AFE4F5A"/>
    <w:rsid w:val="0AFF2E86"/>
    <w:rsid w:val="0B0009AC"/>
    <w:rsid w:val="0B057D70"/>
    <w:rsid w:val="0B071D3B"/>
    <w:rsid w:val="0B261896"/>
    <w:rsid w:val="0B2662C4"/>
    <w:rsid w:val="0B2D5070"/>
    <w:rsid w:val="0B405D3F"/>
    <w:rsid w:val="0B440CBC"/>
    <w:rsid w:val="0B512FB6"/>
    <w:rsid w:val="0B627FDD"/>
    <w:rsid w:val="0B664CB3"/>
    <w:rsid w:val="0B776053"/>
    <w:rsid w:val="0B7902B3"/>
    <w:rsid w:val="0B8C1399"/>
    <w:rsid w:val="0B8D4AE6"/>
    <w:rsid w:val="0B901D30"/>
    <w:rsid w:val="0B9A4D3D"/>
    <w:rsid w:val="0BAD643E"/>
    <w:rsid w:val="0BD52526"/>
    <w:rsid w:val="0BED0F30"/>
    <w:rsid w:val="0C0369A6"/>
    <w:rsid w:val="0C051155"/>
    <w:rsid w:val="0C076843"/>
    <w:rsid w:val="0C0A7D34"/>
    <w:rsid w:val="0C160487"/>
    <w:rsid w:val="0C2706CC"/>
    <w:rsid w:val="0C2D57D1"/>
    <w:rsid w:val="0C3C2F86"/>
    <w:rsid w:val="0C6C454B"/>
    <w:rsid w:val="0CA02447"/>
    <w:rsid w:val="0CA912FB"/>
    <w:rsid w:val="0CB21806"/>
    <w:rsid w:val="0CB90E13"/>
    <w:rsid w:val="0CC74EC1"/>
    <w:rsid w:val="0CD05128"/>
    <w:rsid w:val="0D0F4ED6"/>
    <w:rsid w:val="0D222E5C"/>
    <w:rsid w:val="0D22719E"/>
    <w:rsid w:val="0D270828"/>
    <w:rsid w:val="0D292535"/>
    <w:rsid w:val="0D305579"/>
    <w:rsid w:val="0D441024"/>
    <w:rsid w:val="0D467078"/>
    <w:rsid w:val="0D613984"/>
    <w:rsid w:val="0D696CDD"/>
    <w:rsid w:val="0D792EC2"/>
    <w:rsid w:val="0D81592D"/>
    <w:rsid w:val="0D8716C8"/>
    <w:rsid w:val="0D974D65"/>
    <w:rsid w:val="0DA73361"/>
    <w:rsid w:val="0DB02216"/>
    <w:rsid w:val="0DB937C0"/>
    <w:rsid w:val="0DCE6B40"/>
    <w:rsid w:val="0DD12720"/>
    <w:rsid w:val="0DE85E53"/>
    <w:rsid w:val="0DE95727"/>
    <w:rsid w:val="0E00366D"/>
    <w:rsid w:val="0E032C8D"/>
    <w:rsid w:val="0E07353A"/>
    <w:rsid w:val="0E0B2B80"/>
    <w:rsid w:val="0E2200DA"/>
    <w:rsid w:val="0E29734C"/>
    <w:rsid w:val="0E407A3D"/>
    <w:rsid w:val="0E5057A7"/>
    <w:rsid w:val="0E651252"/>
    <w:rsid w:val="0E8C0D4D"/>
    <w:rsid w:val="0E8D07A9"/>
    <w:rsid w:val="0E9B242A"/>
    <w:rsid w:val="0EA33B28"/>
    <w:rsid w:val="0EA67121"/>
    <w:rsid w:val="0EAB2689"/>
    <w:rsid w:val="0EC817E1"/>
    <w:rsid w:val="0EC97A84"/>
    <w:rsid w:val="0EDC105C"/>
    <w:rsid w:val="0EDE6CBA"/>
    <w:rsid w:val="0EE45391"/>
    <w:rsid w:val="0EF32EFA"/>
    <w:rsid w:val="0EF83E74"/>
    <w:rsid w:val="0EFD148A"/>
    <w:rsid w:val="0F0410E0"/>
    <w:rsid w:val="0F0740B7"/>
    <w:rsid w:val="0F340C24"/>
    <w:rsid w:val="0F40581B"/>
    <w:rsid w:val="0F4A3109"/>
    <w:rsid w:val="0F621C35"/>
    <w:rsid w:val="0F7554C5"/>
    <w:rsid w:val="0F846B80"/>
    <w:rsid w:val="0F9A13CF"/>
    <w:rsid w:val="0FA364D6"/>
    <w:rsid w:val="0FB35FED"/>
    <w:rsid w:val="0FBD6E6C"/>
    <w:rsid w:val="0FDE2EA6"/>
    <w:rsid w:val="0FE12B5A"/>
    <w:rsid w:val="0FE73EE9"/>
    <w:rsid w:val="100420C3"/>
    <w:rsid w:val="10086339"/>
    <w:rsid w:val="10091983"/>
    <w:rsid w:val="10101691"/>
    <w:rsid w:val="1012372A"/>
    <w:rsid w:val="10160FF4"/>
    <w:rsid w:val="10202516"/>
    <w:rsid w:val="1021389E"/>
    <w:rsid w:val="10257C82"/>
    <w:rsid w:val="103D0AB9"/>
    <w:rsid w:val="104650B3"/>
    <w:rsid w:val="10544429"/>
    <w:rsid w:val="10586A77"/>
    <w:rsid w:val="10703EDE"/>
    <w:rsid w:val="107A6B0B"/>
    <w:rsid w:val="107D20E4"/>
    <w:rsid w:val="10822369"/>
    <w:rsid w:val="108D683D"/>
    <w:rsid w:val="10A2678D"/>
    <w:rsid w:val="10AF0EAA"/>
    <w:rsid w:val="10BB784F"/>
    <w:rsid w:val="10C002C7"/>
    <w:rsid w:val="10C85AC8"/>
    <w:rsid w:val="10E24DDC"/>
    <w:rsid w:val="10F62635"/>
    <w:rsid w:val="11072A94"/>
    <w:rsid w:val="11164A85"/>
    <w:rsid w:val="11194576"/>
    <w:rsid w:val="11481AF6"/>
    <w:rsid w:val="11513D10"/>
    <w:rsid w:val="116A6B7F"/>
    <w:rsid w:val="117266CB"/>
    <w:rsid w:val="1174304F"/>
    <w:rsid w:val="11761DEC"/>
    <w:rsid w:val="117D2D56"/>
    <w:rsid w:val="11911FF2"/>
    <w:rsid w:val="11920A50"/>
    <w:rsid w:val="119A56B6"/>
    <w:rsid w:val="119B16ED"/>
    <w:rsid w:val="11A25357"/>
    <w:rsid w:val="11B34CF4"/>
    <w:rsid w:val="11E132E5"/>
    <w:rsid w:val="11F2782C"/>
    <w:rsid w:val="120C0D33"/>
    <w:rsid w:val="12253216"/>
    <w:rsid w:val="12296A3A"/>
    <w:rsid w:val="123B5CE5"/>
    <w:rsid w:val="124D2729"/>
    <w:rsid w:val="125032C0"/>
    <w:rsid w:val="12695089"/>
    <w:rsid w:val="12887C05"/>
    <w:rsid w:val="12922832"/>
    <w:rsid w:val="129511A5"/>
    <w:rsid w:val="129E4D32"/>
    <w:rsid w:val="12B87983"/>
    <w:rsid w:val="12DC3AAD"/>
    <w:rsid w:val="12F25439"/>
    <w:rsid w:val="12F928B1"/>
    <w:rsid w:val="12FB4B4E"/>
    <w:rsid w:val="134734DE"/>
    <w:rsid w:val="135B0E75"/>
    <w:rsid w:val="13732E71"/>
    <w:rsid w:val="13765CAF"/>
    <w:rsid w:val="13924778"/>
    <w:rsid w:val="13A23695"/>
    <w:rsid w:val="13B32A60"/>
    <w:rsid w:val="13C94031"/>
    <w:rsid w:val="13CC3B21"/>
    <w:rsid w:val="13D84274"/>
    <w:rsid w:val="13E9022F"/>
    <w:rsid w:val="14270D58"/>
    <w:rsid w:val="142B4CEC"/>
    <w:rsid w:val="143C687A"/>
    <w:rsid w:val="144162BD"/>
    <w:rsid w:val="144353ED"/>
    <w:rsid w:val="147C72F5"/>
    <w:rsid w:val="14860849"/>
    <w:rsid w:val="14975EDD"/>
    <w:rsid w:val="14A979BF"/>
    <w:rsid w:val="14AB3737"/>
    <w:rsid w:val="14B00D4D"/>
    <w:rsid w:val="14B42FE5"/>
    <w:rsid w:val="14B770B6"/>
    <w:rsid w:val="14CC19C6"/>
    <w:rsid w:val="14CD5863"/>
    <w:rsid w:val="14DA2E06"/>
    <w:rsid w:val="14E60C13"/>
    <w:rsid w:val="14E629C1"/>
    <w:rsid w:val="14E82BDD"/>
    <w:rsid w:val="14ED3D4F"/>
    <w:rsid w:val="15051099"/>
    <w:rsid w:val="150A4901"/>
    <w:rsid w:val="15267F04"/>
    <w:rsid w:val="152E231F"/>
    <w:rsid w:val="15461A98"/>
    <w:rsid w:val="15545B7C"/>
    <w:rsid w:val="15593193"/>
    <w:rsid w:val="157B135B"/>
    <w:rsid w:val="15826B8D"/>
    <w:rsid w:val="158521DA"/>
    <w:rsid w:val="159D7523"/>
    <w:rsid w:val="15A24B3A"/>
    <w:rsid w:val="15AC3C0A"/>
    <w:rsid w:val="15B34F99"/>
    <w:rsid w:val="15F70220"/>
    <w:rsid w:val="15F76D72"/>
    <w:rsid w:val="15F80BFE"/>
    <w:rsid w:val="15FA2BC8"/>
    <w:rsid w:val="163C2C7E"/>
    <w:rsid w:val="16493207"/>
    <w:rsid w:val="16504596"/>
    <w:rsid w:val="165F3BC6"/>
    <w:rsid w:val="166D59E0"/>
    <w:rsid w:val="16832BBD"/>
    <w:rsid w:val="16997753"/>
    <w:rsid w:val="169A4941"/>
    <w:rsid w:val="169C77DB"/>
    <w:rsid w:val="169D288C"/>
    <w:rsid w:val="16A20B69"/>
    <w:rsid w:val="16AB2114"/>
    <w:rsid w:val="16AE750E"/>
    <w:rsid w:val="16B03286"/>
    <w:rsid w:val="16C1371A"/>
    <w:rsid w:val="16C46D32"/>
    <w:rsid w:val="16DE1BA1"/>
    <w:rsid w:val="16F21AF1"/>
    <w:rsid w:val="16FC471D"/>
    <w:rsid w:val="17134F36"/>
    <w:rsid w:val="17173305"/>
    <w:rsid w:val="171952CF"/>
    <w:rsid w:val="172C5003"/>
    <w:rsid w:val="17920BDE"/>
    <w:rsid w:val="179B5CE4"/>
    <w:rsid w:val="179C380B"/>
    <w:rsid w:val="17AC6DF4"/>
    <w:rsid w:val="17C34D32"/>
    <w:rsid w:val="17C65408"/>
    <w:rsid w:val="17D15BAA"/>
    <w:rsid w:val="17D3631C"/>
    <w:rsid w:val="18057602"/>
    <w:rsid w:val="181867A0"/>
    <w:rsid w:val="18251A52"/>
    <w:rsid w:val="18264209"/>
    <w:rsid w:val="183D74A2"/>
    <w:rsid w:val="18574301"/>
    <w:rsid w:val="18581E27"/>
    <w:rsid w:val="185E3D8F"/>
    <w:rsid w:val="18673E19"/>
    <w:rsid w:val="186B476B"/>
    <w:rsid w:val="188E5ACF"/>
    <w:rsid w:val="189017D6"/>
    <w:rsid w:val="18954E2A"/>
    <w:rsid w:val="189B3AC2"/>
    <w:rsid w:val="189F35B2"/>
    <w:rsid w:val="18A528CA"/>
    <w:rsid w:val="18AB63FB"/>
    <w:rsid w:val="18AD3F21"/>
    <w:rsid w:val="18C66D91"/>
    <w:rsid w:val="18ED431E"/>
    <w:rsid w:val="18FC0A05"/>
    <w:rsid w:val="1942306E"/>
    <w:rsid w:val="19570331"/>
    <w:rsid w:val="19670574"/>
    <w:rsid w:val="196A7BE4"/>
    <w:rsid w:val="19704F4F"/>
    <w:rsid w:val="198C1D89"/>
    <w:rsid w:val="199649B5"/>
    <w:rsid w:val="19B47CE3"/>
    <w:rsid w:val="19BE5CBA"/>
    <w:rsid w:val="19C504AC"/>
    <w:rsid w:val="19CC3D4F"/>
    <w:rsid w:val="19D674A8"/>
    <w:rsid w:val="19EE17C2"/>
    <w:rsid w:val="19EF2318"/>
    <w:rsid w:val="19F33BB6"/>
    <w:rsid w:val="1A1025AF"/>
    <w:rsid w:val="1A2B26E2"/>
    <w:rsid w:val="1A2C70C8"/>
    <w:rsid w:val="1A3B0CC2"/>
    <w:rsid w:val="1A5F2FF9"/>
    <w:rsid w:val="1A756CC1"/>
    <w:rsid w:val="1A774F23"/>
    <w:rsid w:val="1A8B2040"/>
    <w:rsid w:val="1A913822"/>
    <w:rsid w:val="1A9F5AEC"/>
    <w:rsid w:val="1AB05F4B"/>
    <w:rsid w:val="1AD02BB1"/>
    <w:rsid w:val="1AD742D6"/>
    <w:rsid w:val="1B0F127C"/>
    <w:rsid w:val="1B33310F"/>
    <w:rsid w:val="1B544B28"/>
    <w:rsid w:val="1B577881"/>
    <w:rsid w:val="1B5E7755"/>
    <w:rsid w:val="1B6B5D76"/>
    <w:rsid w:val="1B770817"/>
    <w:rsid w:val="1B913F1E"/>
    <w:rsid w:val="1B972C67"/>
    <w:rsid w:val="1BD529D4"/>
    <w:rsid w:val="1BE340FE"/>
    <w:rsid w:val="1BE9127A"/>
    <w:rsid w:val="1C211654"/>
    <w:rsid w:val="1C2B1493"/>
    <w:rsid w:val="1C2D32A0"/>
    <w:rsid w:val="1C444B9D"/>
    <w:rsid w:val="1C56042C"/>
    <w:rsid w:val="1C5674F1"/>
    <w:rsid w:val="1C5A616E"/>
    <w:rsid w:val="1C60574F"/>
    <w:rsid w:val="1C644670"/>
    <w:rsid w:val="1C753023"/>
    <w:rsid w:val="1C902538"/>
    <w:rsid w:val="1C9363D1"/>
    <w:rsid w:val="1CC37618"/>
    <w:rsid w:val="1CD57C9C"/>
    <w:rsid w:val="1CD87093"/>
    <w:rsid w:val="1CE819CC"/>
    <w:rsid w:val="1CEB0AE6"/>
    <w:rsid w:val="1CF57C45"/>
    <w:rsid w:val="1D1E6C5C"/>
    <w:rsid w:val="1D223418"/>
    <w:rsid w:val="1D297145"/>
    <w:rsid w:val="1D2A77A9"/>
    <w:rsid w:val="1D300C7D"/>
    <w:rsid w:val="1D3C3AC6"/>
    <w:rsid w:val="1D4110DC"/>
    <w:rsid w:val="1D4961E3"/>
    <w:rsid w:val="1D4A5CC7"/>
    <w:rsid w:val="1D525097"/>
    <w:rsid w:val="1D5A65E9"/>
    <w:rsid w:val="1D70376F"/>
    <w:rsid w:val="1D743812"/>
    <w:rsid w:val="1D9E208B"/>
    <w:rsid w:val="1DA06BBC"/>
    <w:rsid w:val="1DC13FCB"/>
    <w:rsid w:val="1DC55869"/>
    <w:rsid w:val="1DC85359"/>
    <w:rsid w:val="1DCA10D2"/>
    <w:rsid w:val="1DCD471E"/>
    <w:rsid w:val="1DCF493A"/>
    <w:rsid w:val="1DD51824"/>
    <w:rsid w:val="1DDA0B91"/>
    <w:rsid w:val="1DFE0D7B"/>
    <w:rsid w:val="1DFF4ACD"/>
    <w:rsid w:val="1E0A5972"/>
    <w:rsid w:val="1E180D39"/>
    <w:rsid w:val="1E212A6F"/>
    <w:rsid w:val="1E264B94"/>
    <w:rsid w:val="1E285DF8"/>
    <w:rsid w:val="1E360353"/>
    <w:rsid w:val="1E4779B9"/>
    <w:rsid w:val="1E5D0198"/>
    <w:rsid w:val="1E645700"/>
    <w:rsid w:val="1E7C3987"/>
    <w:rsid w:val="1E8C282B"/>
    <w:rsid w:val="1E8D1334"/>
    <w:rsid w:val="1E8E0351"/>
    <w:rsid w:val="1E921418"/>
    <w:rsid w:val="1E9F6509"/>
    <w:rsid w:val="1EA21001"/>
    <w:rsid w:val="1EA25BAA"/>
    <w:rsid w:val="1EB33136"/>
    <w:rsid w:val="1ED67D6B"/>
    <w:rsid w:val="1EE937D9"/>
    <w:rsid w:val="1EF17A1C"/>
    <w:rsid w:val="1EF220FA"/>
    <w:rsid w:val="1EF55393"/>
    <w:rsid w:val="1F013AAC"/>
    <w:rsid w:val="1F073C5F"/>
    <w:rsid w:val="1F086E69"/>
    <w:rsid w:val="1F111512"/>
    <w:rsid w:val="1F136AA8"/>
    <w:rsid w:val="1F1C3BAF"/>
    <w:rsid w:val="1F223636"/>
    <w:rsid w:val="1F3F59B3"/>
    <w:rsid w:val="1F422EEA"/>
    <w:rsid w:val="1F4D41A7"/>
    <w:rsid w:val="1F9574BD"/>
    <w:rsid w:val="1FA91310"/>
    <w:rsid w:val="1FBB33A3"/>
    <w:rsid w:val="1FBC6192"/>
    <w:rsid w:val="1FCF0C21"/>
    <w:rsid w:val="1FD46237"/>
    <w:rsid w:val="1FD53D5E"/>
    <w:rsid w:val="1FE90E30"/>
    <w:rsid w:val="1FF65227"/>
    <w:rsid w:val="20144886"/>
    <w:rsid w:val="20234AC9"/>
    <w:rsid w:val="2043516B"/>
    <w:rsid w:val="20437EFC"/>
    <w:rsid w:val="207277FE"/>
    <w:rsid w:val="207D4DD2"/>
    <w:rsid w:val="20855784"/>
    <w:rsid w:val="208B5B97"/>
    <w:rsid w:val="20AB64FD"/>
    <w:rsid w:val="20CA13E8"/>
    <w:rsid w:val="20E24984"/>
    <w:rsid w:val="20E259AF"/>
    <w:rsid w:val="20E67A15"/>
    <w:rsid w:val="20E97AC1"/>
    <w:rsid w:val="20EF0E4F"/>
    <w:rsid w:val="20FB4C39"/>
    <w:rsid w:val="211014F1"/>
    <w:rsid w:val="211F07F9"/>
    <w:rsid w:val="21224D81"/>
    <w:rsid w:val="214C13B9"/>
    <w:rsid w:val="215313DE"/>
    <w:rsid w:val="21854D72"/>
    <w:rsid w:val="218872DA"/>
    <w:rsid w:val="21905695"/>
    <w:rsid w:val="2190618E"/>
    <w:rsid w:val="219C4D8C"/>
    <w:rsid w:val="21A96F53"/>
    <w:rsid w:val="21BC6F83"/>
    <w:rsid w:val="21C36564"/>
    <w:rsid w:val="21CB366A"/>
    <w:rsid w:val="21F229A5"/>
    <w:rsid w:val="21F42BC1"/>
    <w:rsid w:val="21F7445F"/>
    <w:rsid w:val="21FC7CC7"/>
    <w:rsid w:val="22001566"/>
    <w:rsid w:val="220A5F40"/>
    <w:rsid w:val="220B3A67"/>
    <w:rsid w:val="22280ABD"/>
    <w:rsid w:val="223E208E"/>
    <w:rsid w:val="22465AEB"/>
    <w:rsid w:val="2263097F"/>
    <w:rsid w:val="22635651"/>
    <w:rsid w:val="22813D29"/>
    <w:rsid w:val="22821933"/>
    <w:rsid w:val="22851F14"/>
    <w:rsid w:val="228D6B72"/>
    <w:rsid w:val="22937A29"/>
    <w:rsid w:val="22A44C61"/>
    <w:rsid w:val="22AD236E"/>
    <w:rsid w:val="22D24584"/>
    <w:rsid w:val="22D95913"/>
    <w:rsid w:val="22DD5403"/>
    <w:rsid w:val="22E0486C"/>
    <w:rsid w:val="22E06291"/>
    <w:rsid w:val="22E7389D"/>
    <w:rsid w:val="22F13BC6"/>
    <w:rsid w:val="23046E34"/>
    <w:rsid w:val="23273C20"/>
    <w:rsid w:val="234731C4"/>
    <w:rsid w:val="236C0699"/>
    <w:rsid w:val="23733FB9"/>
    <w:rsid w:val="23841D23"/>
    <w:rsid w:val="23971A56"/>
    <w:rsid w:val="239B4019"/>
    <w:rsid w:val="23A75A11"/>
    <w:rsid w:val="23AD0555"/>
    <w:rsid w:val="23C14D25"/>
    <w:rsid w:val="23C21A0E"/>
    <w:rsid w:val="23C245F9"/>
    <w:rsid w:val="23C465C3"/>
    <w:rsid w:val="23CB3F4D"/>
    <w:rsid w:val="23CB7951"/>
    <w:rsid w:val="23F8626D"/>
    <w:rsid w:val="241F37F9"/>
    <w:rsid w:val="2432177F"/>
    <w:rsid w:val="24364D63"/>
    <w:rsid w:val="243B4AD7"/>
    <w:rsid w:val="24565832"/>
    <w:rsid w:val="24581EC9"/>
    <w:rsid w:val="2459703E"/>
    <w:rsid w:val="245D7AC3"/>
    <w:rsid w:val="246511FA"/>
    <w:rsid w:val="24845123"/>
    <w:rsid w:val="248A3369"/>
    <w:rsid w:val="24E54A43"/>
    <w:rsid w:val="24F42ED8"/>
    <w:rsid w:val="252B148B"/>
    <w:rsid w:val="2547248D"/>
    <w:rsid w:val="254F10C5"/>
    <w:rsid w:val="255249D2"/>
    <w:rsid w:val="255A71DF"/>
    <w:rsid w:val="25627E42"/>
    <w:rsid w:val="25630229"/>
    <w:rsid w:val="25743C58"/>
    <w:rsid w:val="257D2ECD"/>
    <w:rsid w:val="259A75DB"/>
    <w:rsid w:val="25A22934"/>
    <w:rsid w:val="25B34B41"/>
    <w:rsid w:val="25B6127B"/>
    <w:rsid w:val="26211AAB"/>
    <w:rsid w:val="26306192"/>
    <w:rsid w:val="264840A1"/>
    <w:rsid w:val="26597496"/>
    <w:rsid w:val="266B0F78"/>
    <w:rsid w:val="2671382C"/>
    <w:rsid w:val="2685028B"/>
    <w:rsid w:val="268A40C1"/>
    <w:rsid w:val="26997893"/>
    <w:rsid w:val="26AB160B"/>
    <w:rsid w:val="26AF355A"/>
    <w:rsid w:val="26B24DF9"/>
    <w:rsid w:val="26BA05DD"/>
    <w:rsid w:val="26D40659"/>
    <w:rsid w:val="27070CA1"/>
    <w:rsid w:val="270D202F"/>
    <w:rsid w:val="27144052"/>
    <w:rsid w:val="27167136"/>
    <w:rsid w:val="272555CB"/>
    <w:rsid w:val="27481489"/>
    <w:rsid w:val="275D2FB6"/>
    <w:rsid w:val="27656D6C"/>
    <w:rsid w:val="27765E26"/>
    <w:rsid w:val="27800A53"/>
    <w:rsid w:val="27933CD9"/>
    <w:rsid w:val="27A75FE0"/>
    <w:rsid w:val="27B228CA"/>
    <w:rsid w:val="27C941A8"/>
    <w:rsid w:val="27CF39BA"/>
    <w:rsid w:val="27D86AE1"/>
    <w:rsid w:val="27FD20A3"/>
    <w:rsid w:val="28013942"/>
    <w:rsid w:val="2815563F"/>
    <w:rsid w:val="28177609"/>
    <w:rsid w:val="282B6C11"/>
    <w:rsid w:val="282F4953"/>
    <w:rsid w:val="283917B1"/>
    <w:rsid w:val="28406DD2"/>
    <w:rsid w:val="28547F1D"/>
    <w:rsid w:val="28665E9B"/>
    <w:rsid w:val="287019A1"/>
    <w:rsid w:val="28862099"/>
    <w:rsid w:val="28B210E0"/>
    <w:rsid w:val="28BD1C36"/>
    <w:rsid w:val="28CA01D8"/>
    <w:rsid w:val="28D906A4"/>
    <w:rsid w:val="28FD67FF"/>
    <w:rsid w:val="29034F6A"/>
    <w:rsid w:val="291F753F"/>
    <w:rsid w:val="29676CB5"/>
    <w:rsid w:val="298F31CF"/>
    <w:rsid w:val="299407E6"/>
    <w:rsid w:val="29A529F3"/>
    <w:rsid w:val="29A95CE2"/>
    <w:rsid w:val="29AD1F3E"/>
    <w:rsid w:val="29E31536"/>
    <w:rsid w:val="29FC7FCE"/>
    <w:rsid w:val="2A1118F0"/>
    <w:rsid w:val="2A1D4C7F"/>
    <w:rsid w:val="2A2953D2"/>
    <w:rsid w:val="2A297180"/>
    <w:rsid w:val="2A334727"/>
    <w:rsid w:val="2A632FF8"/>
    <w:rsid w:val="2A64640A"/>
    <w:rsid w:val="2A8D3BB3"/>
    <w:rsid w:val="2A9C7900"/>
    <w:rsid w:val="2AA84457"/>
    <w:rsid w:val="2AA84549"/>
    <w:rsid w:val="2ABE19E5"/>
    <w:rsid w:val="2ACF41CB"/>
    <w:rsid w:val="2AE82B97"/>
    <w:rsid w:val="2AEB1349"/>
    <w:rsid w:val="2B1105F0"/>
    <w:rsid w:val="2B17347C"/>
    <w:rsid w:val="2B2362C5"/>
    <w:rsid w:val="2B3F6790"/>
    <w:rsid w:val="2B41674B"/>
    <w:rsid w:val="2B485D2C"/>
    <w:rsid w:val="2B612B37"/>
    <w:rsid w:val="2B65068C"/>
    <w:rsid w:val="2B9176D3"/>
    <w:rsid w:val="2B9A5BB7"/>
    <w:rsid w:val="2B9B6B8C"/>
    <w:rsid w:val="2BC83FDD"/>
    <w:rsid w:val="2BEE68D3"/>
    <w:rsid w:val="2BF348C7"/>
    <w:rsid w:val="2BF57C61"/>
    <w:rsid w:val="2BFD32D8"/>
    <w:rsid w:val="2C0F5312"/>
    <w:rsid w:val="2C2B5431"/>
    <w:rsid w:val="2C471B3F"/>
    <w:rsid w:val="2C5243EF"/>
    <w:rsid w:val="2C532BDA"/>
    <w:rsid w:val="2C571ADC"/>
    <w:rsid w:val="2C576226"/>
    <w:rsid w:val="2C78619D"/>
    <w:rsid w:val="2C9A25B7"/>
    <w:rsid w:val="2CC20013"/>
    <w:rsid w:val="2CC55886"/>
    <w:rsid w:val="2CD72942"/>
    <w:rsid w:val="2CDE24A4"/>
    <w:rsid w:val="2CDF621C"/>
    <w:rsid w:val="2CF34593"/>
    <w:rsid w:val="2D1F271F"/>
    <w:rsid w:val="2D2F0F51"/>
    <w:rsid w:val="2D317E71"/>
    <w:rsid w:val="2D340FB7"/>
    <w:rsid w:val="2D3867DB"/>
    <w:rsid w:val="2D3E73E6"/>
    <w:rsid w:val="2D4759F0"/>
    <w:rsid w:val="2D4B17C9"/>
    <w:rsid w:val="2D64515A"/>
    <w:rsid w:val="2D727090"/>
    <w:rsid w:val="2D990AC0"/>
    <w:rsid w:val="2DA07759"/>
    <w:rsid w:val="2DA17287"/>
    <w:rsid w:val="2DC16F64"/>
    <w:rsid w:val="2DE55AB4"/>
    <w:rsid w:val="2DEF0B6D"/>
    <w:rsid w:val="2DF82F15"/>
    <w:rsid w:val="2E00644A"/>
    <w:rsid w:val="2E04418C"/>
    <w:rsid w:val="2E090307"/>
    <w:rsid w:val="2E19126A"/>
    <w:rsid w:val="2E204D3E"/>
    <w:rsid w:val="2E2F7C70"/>
    <w:rsid w:val="2E302792"/>
    <w:rsid w:val="2E312AA7"/>
    <w:rsid w:val="2E35623B"/>
    <w:rsid w:val="2E390101"/>
    <w:rsid w:val="2E3C7AF8"/>
    <w:rsid w:val="2E56075F"/>
    <w:rsid w:val="2E666BF4"/>
    <w:rsid w:val="2E6B5FB9"/>
    <w:rsid w:val="2E7164C1"/>
    <w:rsid w:val="2E7D7A9A"/>
    <w:rsid w:val="2E81758A"/>
    <w:rsid w:val="2E870919"/>
    <w:rsid w:val="2EA9088F"/>
    <w:rsid w:val="2EBD433B"/>
    <w:rsid w:val="2EC469FF"/>
    <w:rsid w:val="2ECE479A"/>
    <w:rsid w:val="2ED658FB"/>
    <w:rsid w:val="2ED80964"/>
    <w:rsid w:val="2EED10C4"/>
    <w:rsid w:val="2EF41B1E"/>
    <w:rsid w:val="2EFF4953"/>
    <w:rsid w:val="2F012479"/>
    <w:rsid w:val="2F171C9D"/>
    <w:rsid w:val="2F177EEF"/>
    <w:rsid w:val="2F270FE1"/>
    <w:rsid w:val="2F2F5238"/>
    <w:rsid w:val="2F350375"/>
    <w:rsid w:val="2F3D38F1"/>
    <w:rsid w:val="2F542EF1"/>
    <w:rsid w:val="2F662BA9"/>
    <w:rsid w:val="2F6B6F8C"/>
    <w:rsid w:val="2F7075FF"/>
    <w:rsid w:val="2FA713A3"/>
    <w:rsid w:val="2FA84FEB"/>
    <w:rsid w:val="2FB120F1"/>
    <w:rsid w:val="2FC82475"/>
    <w:rsid w:val="2FE14059"/>
    <w:rsid w:val="2FE222AB"/>
    <w:rsid w:val="3000350A"/>
    <w:rsid w:val="30137CF7"/>
    <w:rsid w:val="30204B81"/>
    <w:rsid w:val="304765B2"/>
    <w:rsid w:val="304C1E1A"/>
    <w:rsid w:val="3054090C"/>
    <w:rsid w:val="306E131C"/>
    <w:rsid w:val="30766F52"/>
    <w:rsid w:val="307A0735"/>
    <w:rsid w:val="30A7457C"/>
    <w:rsid w:val="30AD0D88"/>
    <w:rsid w:val="30AF513E"/>
    <w:rsid w:val="30BF439A"/>
    <w:rsid w:val="30F276FC"/>
    <w:rsid w:val="30F51C2B"/>
    <w:rsid w:val="31170488"/>
    <w:rsid w:val="31183696"/>
    <w:rsid w:val="311B58CA"/>
    <w:rsid w:val="311F308B"/>
    <w:rsid w:val="312875A3"/>
    <w:rsid w:val="31432453"/>
    <w:rsid w:val="315076E8"/>
    <w:rsid w:val="315C20A8"/>
    <w:rsid w:val="315E08FB"/>
    <w:rsid w:val="317F3B29"/>
    <w:rsid w:val="31857392"/>
    <w:rsid w:val="31AB2B70"/>
    <w:rsid w:val="31AD68E8"/>
    <w:rsid w:val="31B17B7B"/>
    <w:rsid w:val="31C37EBA"/>
    <w:rsid w:val="31DE4CF4"/>
    <w:rsid w:val="31E06FAB"/>
    <w:rsid w:val="31E340B8"/>
    <w:rsid w:val="32140715"/>
    <w:rsid w:val="326571C3"/>
    <w:rsid w:val="327012C3"/>
    <w:rsid w:val="3285283C"/>
    <w:rsid w:val="32900317"/>
    <w:rsid w:val="329B4993"/>
    <w:rsid w:val="32A73338"/>
    <w:rsid w:val="32A970B0"/>
    <w:rsid w:val="32AC094E"/>
    <w:rsid w:val="32DD09B1"/>
    <w:rsid w:val="330C5891"/>
    <w:rsid w:val="33170D45"/>
    <w:rsid w:val="331D184C"/>
    <w:rsid w:val="334616B1"/>
    <w:rsid w:val="334B460B"/>
    <w:rsid w:val="336B5FF6"/>
    <w:rsid w:val="3381627F"/>
    <w:rsid w:val="3398566D"/>
    <w:rsid w:val="339B530E"/>
    <w:rsid w:val="33B201E6"/>
    <w:rsid w:val="33B71CA0"/>
    <w:rsid w:val="340824FC"/>
    <w:rsid w:val="34375174"/>
    <w:rsid w:val="344828F8"/>
    <w:rsid w:val="34490FA6"/>
    <w:rsid w:val="34555EB0"/>
    <w:rsid w:val="346E6774"/>
    <w:rsid w:val="34806E53"/>
    <w:rsid w:val="34852358"/>
    <w:rsid w:val="348A2F11"/>
    <w:rsid w:val="3491429F"/>
    <w:rsid w:val="34BF0E0C"/>
    <w:rsid w:val="34FA62E8"/>
    <w:rsid w:val="351D5B33"/>
    <w:rsid w:val="352E5F92"/>
    <w:rsid w:val="35327830"/>
    <w:rsid w:val="35400F5E"/>
    <w:rsid w:val="3556172A"/>
    <w:rsid w:val="356103C1"/>
    <w:rsid w:val="35624307"/>
    <w:rsid w:val="356E75B4"/>
    <w:rsid w:val="35956011"/>
    <w:rsid w:val="35A16764"/>
    <w:rsid w:val="35D2691D"/>
    <w:rsid w:val="35DC779C"/>
    <w:rsid w:val="35EF40B4"/>
    <w:rsid w:val="35F6214D"/>
    <w:rsid w:val="3623361D"/>
    <w:rsid w:val="367654D7"/>
    <w:rsid w:val="36963DEF"/>
    <w:rsid w:val="369F5AC8"/>
    <w:rsid w:val="36D641EB"/>
    <w:rsid w:val="36D77DC4"/>
    <w:rsid w:val="36E56B24"/>
    <w:rsid w:val="36EC7EB3"/>
    <w:rsid w:val="36F2243E"/>
    <w:rsid w:val="36F6488E"/>
    <w:rsid w:val="370A0339"/>
    <w:rsid w:val="372413FB"/>
    <w:rsid w:val="37316346"/>
    <w:rsid w:val="37357164"/>
    <w:rsid w:val="37620175"/>
    <w:rsid w:val="376D0FF4"/>
    <w:rsid w:val="378400EB"/>
    <w:rsid w:val="379522F8"/>
    <w:rsid w:val="379678D2"/>
    <w:rsid w:val="37AD6D91"/>
    <w:rsid w:val="37BB5BE3"/>
    <w:rsid w:val="37C3064D"/>
    <w:rsid w:val="37C52BDE"/>
    <w:rsid w:val="37C94B02"/>
    <w:rsid w:val="37FA104F"/>
    <w:rsid w:val="37FC5BE8"/>
    <w:rsid w:val="384C1121"/>
    <w:rsid w:val="38563836"/>
    <w:rsid w:val="385E298D"/>
    <w:rsid w:val="386115E2"/>
    <w:rsid w:val="386341A5"/>
    <w:rsid w:val="38645EB0"/>
    <w:rsid w:val="387A3D89"/>
    <w:rsid w:val="387E4B3B"/>
    <w:rsid w:val="38812459"/>
    <w:rsid w:val="38812ED9"/>
    <w:rsid w:val="38855EC7"/>
    <w:rsid w:val="38887767"/>
    <w:rsid w:val="38975BFC"/>
    <w:rsid w:val="38C06F01"/>
    <w:rsid w:val="38C51FA1"/>
    <w:rsid w:val="38C56745"/>
    <w:rsid w:val="38DB1F8D"/>
    <w:rsid w:val="38ED5B17"/>
    <w:rsid w:val="38EF5A38"/>
    <w:rsid w:val="38F17A02"/>
    <w:rsid w:val="38F31AFC"/>
    <w:rsid w:val="3905700A"/>
    <w:rsid w:val="390A63CE"/>
    <w:rsid w:val="391F5908"/>
    <w:rsid w:val="393901E4"/>
    <w:rsid w:val="393A5E0A"/>
    <w:rsid w:val="394E275F"/>
    <w:rsid w:val="395064D7"/>
    <w:rsid w:val="395104A1"/>
    <w:rsid w:val="3986059E"/>
    <w:rsid w:val="39A14F85"/>
    <w:rsid w:val="39B20F40"/>
    <w:rsid w:val="39E14A38"/>
    <w:rsid w:val="39E92488"/>
    <w:rsid w:val="39F056A9"/>
    <w:rsid w:val="3A103EB8"/>
    <w:rsid w:val="3A5635C3"/>
    <w:rsid w:val="3A63223A"/>
    <w:rsid w:val="3A704957"/>
    <w:rsid w:val="3A8C79E3"/>
    <w:rsid w:val="3AA840F1"/>
    <w:rsid w:val="3AAA205E"/>
    <w:rsid w:val="3AAB47A9"/>
    <w:rsid w:val="3AB76C35"/>
    <w:rsid w:val="3ABC7B9C"/>
    <w:rsid w:val="3AC058DE"/>
    <w:rsid w:val="3AC405E4"/>
    <w:rsid w:val="3ACB34B8"/>
    <w:rsid w:val="3AE25855"/>
    <w:rsid w:val="3AE679C9"/>
    <w:rsid w:val="3B092718"/>
    <w:rsid w:val="3B1B2B15"/>
    <w:rsid w:val="3B1F0857"/>
    <w:rsid w:val="3B27182E"/>
    <w:rsid w:val="3B5755D8"/>
    <w:rsid w:val="3B680882"/>
    <w:rsid w:val="3B7566C9"/>
    <w:rsid w:val="3BB11661"/>
    <w:rsid w:val="3BBA232E"/>
    <w:rsid w:val="3BDA477E"/>
    <w:rsid w:val="3BE23632"/>
    <w:rsid w:val="3BEE3DAF"/>
    <w:rsid w:val="3C0B4937"/>
    <w:rsid w:val="3C2C01D6"/>
    <w:rsid w:val="3C3245BA"/>
    <w:rsid w:val="3C335C3C"/>
    <w:rsid w:val="3C3E4D0D"/>
    <w:rsid w:val="3C4C13B1"/>
    <w:rsid w:val="3C5740DD"/>
    <w:rsid w:val="3C806CA2"/>
    <w:rsid w:val="3C875BD5"/>
    <w:rsid w:val="3CA1529C"/>
    <w:rsid w:val="3CB77D1E"/>
    <w:rsid w:val="3CC33464"/>
    <w:rsid w:val="3CCF1E09"/>
    <w:rsid w:val="3CE533DA"/>
    <w:rsid w:val="3CF4186F"/>
    <w:rsid w:val="3CF96E86"/>
    <w:rsid w:val="3D3F6549"/>
    <w:rsid w:val="3D510A70"/>
    <w:rsid w:val="3D6D4D62"/>
    <w:rsid w:val="3D6E3B32"/>
    <w:rsid w:val="3D7B789B"/>
    <w:rsid w:val="3D7D1865"/>
    <w:rsid w:val="3D840E45"/>
    <w:rsid w:val="3DA212CB"/>
    <w:rsid w:val="3DA476DF"/>
    <w:rsid w:val="3DA9026A"/>
    <w:rsid w:val="3DCE1227"/>
    <w:rsid w:val="3DD2565E"/>
    <w:rsid w:val="3DE6740A"/>
    <w:rsid w:val="3DE713D4"/>
    <w:rsid w:val="3DF5589F"/>
    <w:rsid w:val="3E007463"/>
    <w:rsid w:val="3E027FBC"/>
    <w:rsid w:val="3E0E4BB3"/>
    <w:rsid w:val="3E151A9D"/>
    <w:rsid w:val="3E1F291C"/>
    <w:rsid w:val="3E2241BA"/>
    <w:rsid w:val="3E2F6F09"/>
    <w:rsid w:val="3E330175"/>
    <w:rsid w:val="3E3D06A7"/>
    <w:rsid w:val="3E3D322B"/>
    <w:rsid w:val="3E410AE4"/>
    <w:rsid w:val="3E55633E"/>
    <w:rsid w:val="3E75253C"/>
    <w:rsid w:val="3E7D690C"/>
    <w:rsid w:val="3E7E5894"/>
    <w:rsid w:val="3E8D79E9"/>
    <w:rsid w:val="3E8E1D06"/>
    <w:rsid w:val="3E955212"/>
    <w:rsid w:val="3EAC2F26"/>
    <w:rsid w:val="3EB06E76"/>
    <w:rsid w:val="3EC60FE9"/>
    <w:rsid w:val="3EE80F60"/>
    <w:rsid w:val="3EF618CF"/>
    <w:rsid w:val="3F0A35CC"/>
    <w:rsid w:val="3F185CE9"/>
    <w:rsid w:val="3F1C6570"/>
    <w:rsid w:val="3F2D2E17"/>
    <w:rsid w:val="3F473ED8"/>
    <w:rsid w:val="3F51170A"/>
    <w:rsid w:val="3F566811"/>
    <w:rsid w:val="3F634A8A"/>
    <w:rsid w:val="3F854A01"/>
    <w:rsid w:val="3FB377C0"/>
    <w:rsid w:val="3FB8126D"/>
    <w:rsid w:val="3FC419CD"/>
    <w:rsid w:val="3FC65745"/>
    <w:rsid w:val="3FD66319"/>
    <w:rsid w:val="3FE91433"/>
    <w:rsid w:val="40251D40"/>
    <w:rsid w:val="40307062"/>
    <w:rsid w:val="403E170D"/>
    <w:rsid w:val="404F5E7F"/>
    <w:rsid w:val="40507902"/>
    <w:rsid w:val="405204BF"/>
    <w:rsid w:val="406311E6"/>
    <w:rsid w:val="40640ABA"/>
    <w:rsid w:val="407A6954"/>
    <w:rsid w:val="407C1AED"/>
    <w:rsid w:val="4093314D"/>
    <w:rsid w:val="40AB66E9"/>
    <w:rsid w:val="40AE6405"/>
    <w:rsid w:val="40AF442B"/>
    <w:rsid w:val="40B3559D"/>
    <w:rsid w:val="40BE7560"/>
    <w:rsid w:val="40E2372C"/>
    <w:rsid w:val="40F005A0"/>
    <w:rsid w:val="40F41E3E"/>
    <w:rsid w:val="410302D3"/>
    <w:rsid w:val="41237074"/>
    <w:rsid w:val="412546ED"/>
    <w:rsid w:val="41374D7D"/>
    <w:rsid w:val="416F7716"/>
    <w:rsid w:val="4176039B"/>
    <w:rsid w:val="41790595"/>
    <w:rsid w:val="417B430D"/>
    <w:rsid w:val="41A82C28"/>
    <w:rsid w:val="41C95079"/>
    <w:rsid w:val="420C4EF5"/>
    <w:rsid w:val="4214206C"/>
    <w:rsid w:val="42181E5B"/>
    <w:rsid w:val="421A58D4"/>
    <w:rsid w:val="421F4DB9"/>
    <w:rsid w:val="422B007C"/>
    <w:rsid w:val="422B7AE1"/>
    <w:rsid w:val="424E37D0"/>
    <w:rsid w:val="424E557E"/>
    <w:rsid w:val="42554B5E"/>
    <w:rsid w:val="427D0C5D"/>
    <w:rsid w:val="42876CE2"/>
    <w:rsid w:val="42881AA6"/>
    <w:rsid w:val="42984A4B"/>
    <w:rsid w:val="42A81132"/>
    <w:rsid w:val="42A9393F"/>
    <w:rsid w:val="42C27D1A"/>
    <w:rsid w:val="42C43A92"/>
    <w:rsid w:val="42D42289"/>
    <w:rsid w:val="42DF2628"/>
    <w:rsid w:val="42E02E33"/>
    <w:rsid w:val="42F223AD"/>
    <w:rsid w:val="42F65BA4"/>
    <w:rsid w:val="42FC76D0"/>
    <w:rsid w:val="43210EE4"/>
    <w:rsid w:val="432B58BF"/>
    <w:rsid w:val="43317379"/>
    <w:rsid w:val="434C47FE"/>
    <w:rsid w:val="4364501E"/>
    <w:rsid w:val="437159C8"/>
    <w:rsid w:val="43880F63"/>
    <w:rsid w:val="43A90328"/>
    <w:rsid w:val="43D61CCF"/>
    <w:rsid w:val="43E50164"/>
    <w:rsid w:val="442944F4"/>
    <w:rsid w:val="44337121"/>
    <w:rsid w:val="44443036"/>
    <w:rsid w:val="4453447A"/>
    <w:rsid w:val="4456696C"/>
    <w:rsid w:val="44A45929"/>
    <w:rsid w:val="44AD6ED3"/>
    <w:rsid w:val="44B32010"/>
    <w:rsid w:val="44BD4C3D"/>
    <w:rsid w:val="44CD30D2"/>
    <w:rsid w:val="44D22496"/>
    <w:rsid w:val="44D426B2"/>
    <w:rsid w:val="44DA57EF"/>
    <w:rsid w:val="44DF1057"/>
    <w:rsid w:val="44E26451"/>
    <w:rsid w:val="44E855CD"/>
    <w:rsid w:val="44EE4354"/>
    <w:rsid w:val="44F64D49"/>
    <w:rsid w:val="45097E82"/>
    <w:rsid w:val="45230F44"/>
    <w:rsid w:val="45310218"/>
    <w:rsid w:val="455E1F7C"/>
    <w:rsid w:val="456F6D56"/>
    <w:rsid w:val="458105CE"/>
    <w:rsid w:val="459B770E"/>
    <w:rsid w:val="459D408E"/>
    <w:rsid w:val="45B63B66"/>
    <w:rsid w:val="45D313A6"/>
    <w:rsid w:val="45D94A67"/>
    <w:rsid w:val="45E375FE"/>
    <w:rsid w:val="45EE1552"/>
    <w:rsid w:val="45F959CA"/>
    <w:rsid w:val="460C039A"/>
    <w:rsid w:val="46192D48"/>
    <w:rsid w:val="461E42D2"/>
    <w:rsid w:val="462A6302"/>
    <w:rsid w:val="46316751"/>
    <w:rsid w:val="463827CD"/>
    <w:rsid w:val="464C44CA"/>
    <w:rsid w:val="46642C04"/>
    <w:rsid w:val="466C55C9"/>
    <w:rsid w:val="46712183"/>
    <w:rsid w:val="46780E1B"/>
    <w:rsid w:val="46B03E18"/>
    <w:rsid w:val="46B502C1"/>
    <w:rsid w:val="46B70FD0"/>
    <w:rsid w:val="46B94545"/>
    <w:rsid w:val="46C10A14"/>
    <w:rsid w:val="46C978C9"/>
    <w:rsid w:val="46D00C57"/>
    <w:rsid w:val="46EE732F"/>
    <w:rsid w:val="46FF153C"/>
    <w:rsid w:val="47103BFA"/>
    <w:rsid w:val="47195F8F"/>
    <w:rsid w:val="471C20EE"/>
    <w:rsid w:val="472114B3"/>
    <w:rsid w:val="472509CB"/>
    <w:rsid w:val="472B3D7F"/>
    <w:rsid w:val="473C24B5"/>
    <w:rsid w:val="47507FEA"/>
    <w:rsid w:val="47723ABC"/>
    <w:rsid w:val="477B5067"/>
    <w:rsid w:val="478A2A55"/>
    <w:rsid w:val="479E38D8"/>
    <w:rsid w:val="47A04731"/>
    <w:rsid w:val="47A179A5"/>
    <w:rsid w:val="47A57FB1"/>
    <w:rsid w:val="47A65E5C"/>
    <w:rsid w:val="47CF7161"/>
    <w:rsid w:val="47D55BE2"/>
    <w:rsid w:val="47E349BA"/>
    <w:rsid w:val="47EB734B"/>
    <w:rsid w:val="47F9443E"/>
    <w:rsid w:val="4812529F"/>
    <w:rsid w:val="48167CD1"/>
    <w:rsid w:val="48547666"/>
    <w:rsid w:val="486E372E"/>
    <w:rsid w:val="48934AEB"/>
    <w:rsid w:val="489F6B33"/>
    <w:rsid w:val="48A405ED"/>
    <w:rsid w:val="48FF40E2"/>
    <w:rsid w:val="490D6193"/>
    <w:rsid w:val="49155047"/>
    <w:rsid w:val="492434DC"/>
    <w:rsid w:val="492C413F"/>
    <w:rsid w:val="492E33C0"/>
    <w:rsid w:val="49514E3C"/>
    <w:rsid w:val="495261A3"/>
    <w:rsid w:val="495D6F47"/>
    <w:rsid w:val="496B110B"/>
    <w:rsid w:val="49867CF3"/>
    <w:rsid w:val="498A0C86"/>
    <w:rsid w:val="49917400"/>
    <w:rsid w:val="49917CF5"/>
    <w:rsid w:val="499A379E"/>
    <w:rsid w:val="49D767A1"/>
    <w:rsid w:val="49DC3DB7"/>
    <w:rsid w:val="49EA0282"/>
    <w:rsid w:val="49F44C5D"/>
    <w:rsid w:val="49F64E79"/>
    <w:rsid w:val="4A05330E"/>
    <w:rsid w:val="4A0550BC"/>
    <w:rsid w:val="4A056E6A"/>
    <w:rsid w:val="4A08695A"/>
    <w:rsid w:val="4A0B4816"/>
    <w:rsid w:val="4A107CDA"/>
    <w:rsid w:val="4A2A4173"/>
    <w:rsid w:val="4A600544"/>
    <w:rsid w:val="4A79782A"/>
    <w:rsid w:val="4A7B537E"/>
    <w:rsid w:val="4A9F1AFB"/>
    <w:rsid w:val="4AA85A47"/>
    <w:rsid w:val="4AD05C1C"/>
    <w:rsid w:val="4AD4683C"/>
    <w:rsid w:val="4AE901CC"/>
    <w:rsid w:val="4AE90539"/>
    <w:rsid w:val="4AF33166"/>
    <w:rsid w:val="4AFB026D"/>
    <w:rsid w:val="4B021A0C"/>
    <w:rsid w:val="4B04106F"/>
    <w:rsid w:val="4B1650A7"/>
    <w:rsid w:val="4B3519D1"/>
    <w:rsid w:val="4B5F0D68"/>
    <w:rsid w:val="4B6127C6"/>
    <w:rsid w:val="4B7C13AE"/>
    <w:rsid w:val="4B8D3FB4"/>
    <w:rsid w:val="4B9E7576"/>
    <w:rsid w:val="4BA821A3"/>
    <w:rsid w:val="4BAB3A41"/>
    <w:rsid w:val="4BE11211"/>
    <w:rsid w:val="4BE17463"/>
    <w:rsid w:val="4C025ED1"/>
    <w:rsid w:val="4C1E4213"/>
    <w:rsid w:val="4C2B6930"/>
    <w:rsid w:val="4C4814B5"/>
    <w:rsid w:val="4C4B42B4"/>
    <w:rsid w:val="4C6F2CC0"/>
    <w:rsid w:val="4C8449BE"/>
    <w:rsid w:val="4C883D82"/>
    <w:rsid w:val="4C885B30"/>
    <w:rsid w:val="4CBD1C7E"/>
    <w:rsid w:val="4CD16F98"/>
    <w:rsid w:val="4CD722EC"/>
    <w:rsid w:val="4D4C3002"/>
    <w:rsid w:val="4D553C64"/>
    <w:rsid w:val="4D5F031C"/>
    <w:rsid w:val="4D69341E"/>
    <w:rsid w:val="4D8C494F"/>
    <w:rsid w:val="4D907392"/>
    <w:rsid w:val="4DA16EA9"/>
    <w:rsid w:val="4DB020C4"/>
    <w:rsid w:val="4DC332C4"/>
    <w:rsid w:val="4DC94652"/>
    <w:rsid w:val="4DF3347D"/>
    <w:rsid w:val="4DF83AA1"/>
    <w:rsid w:val="4E0D453F"/>
    <w:rsid w:val="4E373E71"/>
    <w:rsid w:val="4E467A51"/>
    <w:rsid w:val="4E4C44BA"/>
    <w:rsid w:val="4E4E209C"/>
    <w:rsid w:val="4E5959D6"/>
    <w:rsid w:val="4E6C5709"/>
    <w:rsid w:val="4E6D76D3"/>
    <w:rsid w:val="4E7C3AE4"/>
    <w:rsid w:val="4E7D486E"/>
    <w:rsid w:val="4E9D1D67"/>
    <w:rsid w:val="4EA36C51"/>
    <w:rsid w:val="4EB6646D"/>
    <w:rsid w:val="4EBD5F65"/>
    <w:rsid w:val="4EBE5C67"/>
    <w:rsid w:val="4ECF7A46"/>
    <w:rsid w:val="4ED11A10"/>
    <w:rsid w:val="4ED36571"/>
    <w:rsid w:val="4EDD08B3"/>
    <w:rsid w:val="4EE51018"/>
    <w:rsid w:val="4F01461F"/>
    <w:rsid w:val="4F2765E4"/>
    <w:rsid w:val="4F2A2BCF"/>
    <w:rsid w:val="4F47687B"/>
    <w:rsid w:val="4F5E692A"/>
    <w:rsid w:val="4F9667B6"/>
    <w:rsid w:val="4FA2515B"/>
    <w:rsid w:val="4FA766A8"/>
    <w:rsid w:val="4FD528D9"/>
    <w:rsid w:val="4FDA48F5"/>
    <w:rsid w:val="4FE237A9"/>
    <w:rsid w:val="4FFF38AE"/>
    <w:rsid w:val="5015592D"/>
    <w:rsid w:val="5019541D"/>
    <w:rsid w:val="501C4F0D"/>
    <w:rsid w:val="504413AB"/>
    <w:rsid w:val="504B75A0"/>
    <w:rsid w:val="506F328F"/>
    <w:rsid w:val="507C48D7"/>
    <w:rsid w:val="508B1C0B"/>
    <w:rsid w:val="50950AEC"/>
    <w:rsid w:val="50964CC0"/>
    <w:rsid w:val="50A05B3E"/>
    <w:rsid w:val="50A458F5"/>
    <w:rsid w:val="50C50B26"/>
    <w:rsid w:val="50EB3F82"/>
    <w:rsid w:val="50F41DA8"/>
    <w:rsid w:val="510065DD"/>
    <w:rsid w:val="5101721C"/>
    <w:rsid w:val="51055FB9"/>
    <w:rsid w:val="51171D45"/>
    <w:rsid w:val="511931FB"/>
    <w:rsid w:val="5139564B"/>
    <w:rsid w:val="51404F43"/>
    <w:rsid w:val="51624BA2"/>
    <w:rsid w:val="516B614C"/>
    <w:rsid w:val="517174DB"/>
    <w:rsid w:val="519805C3"/>
    <w:rsid w:val="519C7BCD"/>
    <w:rsid w:val="51B11685"/>
    <w:rsid w:val="51CB6BEB"/>
    <w:rsid w:val="51F82BBB"/>
    <w:rsid w:val="521A722A"/>
    <w:rsid w:val="522B7DE8"/>
    <w:rsid w:val="522D3402"/>
    <w:rsid w:val="523C53F3"/>
    <w:rsid w:val="523D116B"/>
    <w:rsid w:val="5246001F"/>
    <w:rsid w:val="524F34B9"/>
    <w:rsid w:val="527728CF"/>
    <w:rsid w:val="52861638"/>
    <w:rsid w:val="529178B6"/>
    <w:rsid w:val="52C13B4A"/>
    <w:rsid w:val="52CD0741"/>
    <w:rsid w:val="52D01FDF"/>
    <w:rsid w:val="52DC6BD6"/>
    <w:rsid w:val="52DE09E0"/>
    <w:rsid w:val="52EB6588"/>
    <w:rsid w:val="53157C48"/>
    <w:rsid w:val="5324413E"/>
    <w:rsid w:val="532540D9"/>
    <w:rsid w:val="53476745"/>
    <w:rsid w:val="53476CE6"/>
    <w:rsid w:val="537D5CC3"/>
    <w:rsid w:val="537E56B2"/>
    <w:rsid w:val="538057B3"/>
    <w:rsid w:val="538C0EA9"/>
    <w:rsid w:val="539F20DD"/>
    <w:rsid w:val="53AC0B8F"/>
    <w:rsid w:val="53AC11E6"/>
    <w:rsid w:val="53BD2F33"/>
    <w:rsid w:val="53C71634"/>
    <w:rsid w:val="53F54AF8"/>
    <w:rsid w:val="53F817ED"/>
    <w:rsid w:val="53FD0BB2"/>
    <w:rsid w:val="540A502D"/>
    <w:rsid w:val="542D2B1D"/>
    <w:rsid w:val="54413DC6"/>
    <w:rsid w:val="54462559"/>
    <w:rsid w:val="54501629"/>
    <w:rsid w:val="545F208E"/>
    <w:rsid w:val="5472334E"/>
    <w:rsid w:val="54813591"/>
    <w:rsid w:val="5483555B"/>
    <w:rsid w:val="549D01C5"/>
    <w:rsid w:val="54A61249"/>
    <w:rsid w:val="54BD45BA"/>
    <w:rsid w:val="54C90C64"/>
    <w:rsid w:val="54D77655"/>
    <w:rsid w:val="54F634F2"/>
    <w:rsid w:val="54FC70BB"/>
    <w:rsid w:val="551C7980"/>
    <w:rsid w:val="552D54C7"/>
    <w:rsid w:val="55417957"/>
    <w:rsid w:val="5549056E"/>
    <w:rsid w:val="555B0286"/>
    <w:rsid w:val="555E5F8A"/>
    <w:rsid w:val="55956932"/>
    <w:rsid w:val="55AF2380"/>
    <w:rsid w:val="55C53951"/>
    <w:rsid w:val="55C81AB9"/>
    <w:rsid w:val="55CE0A58"/>
    <w:rsid w:val="55CE2806"/>
    <w:rsid w:val="55DA0AEE"/>
    <w:rsid w:val="55DA1557"/>
    <w:rsid w:val="55E95892"/>
    <w:rsid w:val="55FF6EF7"/>
    <w:rsid w:val="562B5EAA"/>
    <w:rsid w:val="56325CFA"/>
    <w:rsid w:val="5664557C"/>
    <w:rsid w:val="567710EF"/>
    <w:rsid w:val="56913258"/>
    <w:rsid w:val="56AB0D99"/>
    <w:rsid w:val="56AD68BF"/>
    <w:rsid w:val="56AF0889"/>
    <w:rsid w:val="56B2746F"/>
    <w:rsid w:val="56BB3C75"/>
    <w:rsid w:val="56C07F03"/>
    <w:rsid w:val="56C3089C"/>
    <w:rsid w:val="56D24578"/>
    <w:rsid w:val="56DE7067"/>
    <w:rsid w:val="570955B4"/>
    <w:rsid w:val="570A6149"/>
    <w:rsid w:val="571957A0"/>
    <w:rsid w:val="5725657E"/>
    <w:rsid w:val="572648C3"/>
    <w:rsid w:val="572A43B4"/>
    <w:rsid w:val="573E1C0D"/>
    <w:rsid w:val="574C257C"/>
    <w:rsid w:val="575136EE"/>
    <w:rsid w:val="57527C3E"/>
    <w:rsid w:val="57714A87"/>
    <w:rsid w:val="5783793E"/>
    <w:rsid w:val="578C0BCA"/>
    <w:rsid w:val="5794182D"/>
    <w:rsid w:val="579D4B86"/>
    <w:rsid w:val="57A04676"/>
    <w:rsid w:val="57A15954"/>
    <w:rsid w:val="57C11330"/>
    <w:rsid w:val="57CC2BA0"/>
    <w:rsid w:val="57F42B0E"/>
    <w:rsid w:val="57F56770"/>
    <w:rsid w:val="580956C4"/>
    <w:rsid w:val="58240E03"/>
    <w:rsid w:val="58256929"/>
    <w:rsid w:val="583E5061"/>
    <w:rsid w:val="583F79EB"/>
    <w:rsid w:val="584F29F7"/>
    <w:rsid w:val="58694A68"/>
    <w:rsid w:val="58737694"/>
    <w:rsid w:val="587B1836"/>
    <w:rsid w:val="588B432B"/>
    <w:rsid w:val="58B54151"/>
    <w:rsid w:val="58D32510"/>
    <w:rsid w:val="58DC7930"/>
    <w:rsid w:val="58DF3A45"/>
    <w:rsid w:val="58F44C79"/>
    <w:rsid w:val="59001FF5"/>
    <w:rsid w:val="59091DA7"/>
    <w:rsid w:val="59215342"/>
    <w:rsid w:val="59257C80"/>
    <w:rsid w:val="592B4413"/>
    <w:rsid w:val="592D7DD9"/>
    <w:rsid w:val="594F1EAF"/>
    <w:rsid w:val="597C73A7"/>
    <w:rsid w:val="598A4C0E"/>
    <w:rsid w:val="598D26AC"/>
    <w:rsid w:val="59975605"/>
    <w:rsid w:val="599975CF"/>
    <w:rsid w:val="599C0E6D"/>
    <w:rsid w:val="599E2E37"/>
    <w:rsid w:val="599F77C9"/>
    <w:rsid w:val="59A26483"/>
    <w:rsid w:val="59B44408"/>
    <w:rsid w:val="59C146DB"/>
    <w:rsid w:val="59C70988"/>
    <w:rsid w:val="59C84922"/>
    <w:rsid w:val="59C95F43"/>
    <w:rsid w:val="59DE214B"/>
    <w:rsid w:val="59F53571"/>
    <w:rsid w:val="59F56B19"/>
    <w:rsid w:val="59FB5B93"/>
    <w:rsid w:val="59FD7B5D"/>
    <w:rsid w:val="5A0045B8"/>
    <w:rsid w:val="5A050C8C"/>
    <w:rsid w:val="5A1E1882"/>
    <w:rsid w:val="5A21245B"/>
    <w:rsid w:val="5A241579"/>
    <w:rsid w:val="5A366BCB"/>
    <w:rsid w:val="5A3B26B8"/>
    <w:rsid w:val="5A7476F4"/>
    <w:rsid w:val="5A772767"/>
    <w:rsid w:val="5A93268F"/>
    <w:rsid w:val="5AA61FA3"/>
    <w:rsid w:val="5AB2046A"/>
    <w:rsid w:val="5AC13C51"/>
    <w:rsid w:val="5AC82B93"/>
    <w:rsid w:val="5ACC7530"/>
    <w:rsid w:val="5ADA15DF"/>
    <w:rsid w:val="5ADC3C17"/>
    <w:rsid w:val="5AE14D89"/>
    <w:rsid w:val="5AE6318E"/>
    <w:rsid w:val="5AE709EC"/>
    <w:rsid w:val="5AE96334"/>
    <w:rsid w:val="5AFB13A2"/>
    <w:rsid w:val="5B1C2265"/>
    <w:rsid w:val="5B1F1D55"/>
    <w:rsid w:val="5B21162A"/>
    <w:rsid w:val="5B2B4256"/>
    <w:rsid w:val="5B307ABF"/>
    <w:rsid w:val="5B4D0671"/>
    <w:rsid w:val="5B4E0490"/>
    <w:rsid w:val="5B557525"/>
    <w:rsid w:val="5B6B0AF7"/>
    <w:rsid w:val="5B6F05E7"/>
    <w:rsid w:val="5B7200D7"/>
    <w:rsid w:val="5B7F45A2"/>
    <w:rsid w:val="5B9444F1"/>
    <w:rsid w:val="5B9462A0"/>
    <w:rsid w:val="5BB50481"/>
    <w:rsid w:val="5BEA4111"/>
    <w:rsid w:val="5BEF34D6"/>
    <w:rsid w:val="5BFF13ED"/>
    <w:rsid w:val="5C0A69D0"/>
    <w:rsid w:val="5C142F3C"/>
    <w:rsid w:val="5C237623"/>
    <w:rsid w:val="5C421E33"/>
    <w:rsid w:val="5C583771"/>
    <w:rsid w:val="5C677510"/>
    <w:rsid w:val="5C8E651C"/>
    <w:rsid w:val="5CA377CF"/>
    <w:rsid w:val="5CCB3F43"/>
    <w:rsid w:val="5CCE57E1"/>
    <w:rsid w:val="5CDA5F34"/>
    <w:rsid w:val="5CE3404F"/>
    <w:rsid w:val="5CE538EF"/>
    <w:rsid w:val="5CEE378D"/>
    <w:rsid w:val="5CF50FC0"/>
    <w:rsid w:val="5D120EE1"/>
    <w:rsid w:val="5D3A5D7E"/>
    <w:rsid w:val="5D4D6706"/>
    <w:rsid w:val="5D563A15"/>
    <w:rsid w:val="5D5C103F"/>
    <w:rsid w:val="5D7C6FEB"/>
    <w:rsid w:val="5D830187"/>
    <w:rsid w:val="5D885990"/>
    <w:rsid w:val="5D9F0F2C"/>
    <w:rsid w:val="5DA14CA4"/>
    <w:rsid w:val="5DA550B9"/>
    <w:rsid w:val="5DAB5B22"/>
    <w:rsid w:val="5DB443B5"/>
    <w:rsid w:val="5DC012A8"/>
    <w:rsid w:val="5DC7295C"/>
    <w:rsid w:val="5DCA7D57"/>
    <w:rsid w:val="5DE3706A"/>
    <w:rsid w:val="5DFC1EDA"/>
    <w:rsid w:val="5E1D07CE"/>
    <w:rsid w:val="5E20206C"/>
    <w:rsid w:val="5E2D4789"/>
    <w:rsid w:val="5E313880"/>
    <w:rsid w:val="5E653F23"/>
    <w:rsid w:val="5E693A13"/>
    <w:rsid w:val="5E803BCC"/>
    <w:rsid w:val="5E873E9A"/>
    <w:rsid w:val="5E8A187A"/>
    <w:rsid w:val="5EA031AD"/>
    <w:rsid w:val="5EAE4FD3"/>
    <w:rsid w:val="5EB27108"/>
    <w:rsid w:val="5EB427B5"/>
    <w:rsid w:val="5EC21376"/>
    <w:rsid w:val="5ED510A9"/>
    <w:rsid w:val="5EF05EE3"/>
    <w:rsid w:val="5EF6586C"/>
    <w:rsid w:val="5EFC2E93"/>
    <w:rsid w:val="5F09244A"/>
    <w:rsid w:val="5F1A63D6"/>
    <w:rsid w:val="5F2913F5"/>
    <w:rsid w:val="5F3D09FC"/>
    <w:rsid w:val="5F57386C"/>
    <w:rsid w:val="5F8B6160"/>
    <w:rsid w:val="5F9177D9"/>
    <w:rsid w:val="5F9C1BC7"/>
    <w:rsid w:val="5FBC4DCF"/>
    <w:rsid w:val="5FBD159D"/>
    <w:rsid w:val="5FD41D53"/>
    <w:rsid w:val="5FD72BFF"/>
    <w:rsid w:val="5FFA33FD"/>
    <w:rsid w:val="600474BD"/>
    <w:rsid w:val="60065292"/>
    <w:rsid w:val="600C2AB9"/>
    <w:rsid w:val="601C6864"/>
    <w:rsid w:val="602A334A"/>
    <w:rsid w:val="602D0A71"/>
    <w:rsid w:val="60340051"/>
    <w:rsid w:val="6037369D"/>
    <w:rsid w:val="60395667"/>
    <w:rsid w:val="60410FB0"/>
    <w:rsid w:val="604858AA"/>
    <w:rsid w:val="605129B1"/>
    <w:rsid w:val="60602BF4"/>
    <w:rsid w:val="60795A64"/>
    <w:rsid w:val="60B25AEA"/>
    <w:rsid w:val="60B371C8"/>
    <w:rsid w:val="60B92304"/>
    <w:rsid w:val="60BB7E2A"/>
    <w:rsid w:val="60DB0267"/>
    <w:rsid w:val="60E11843"/>
    <w:rsid w:val="60F37E92"/>
    <w:rsid w:val="61047A23"/>
    <w:rsid w:val="61112140"/>
    <w:rsid w:val="614442C4"/>
    <w:rsid w:val="615747AE"/>
    <w:rsid w:val="615C6151"/>
    <w:rsid w:val="616017BB"/>
    <w:rsid w:val="61686204"/>
    <w:rsid w:val="618648DC"/>
    <w:rsid w:val="61BD2A1D"/>
    <w:rsid w:val="61C176C2"/>
    <w:rsid w:val="61C64CD9"/>
    <w:rsid w:val="61CB22EF"/>
    <w:rsid w:val="61DC274E"/>
    <w:rsid w:val="61EB2991"/>
    <w:rsid w:val="61F41846"/>
    <w:rsid w:val="62047871"/>
    <w:rsid w:val="620A72BB"/>
    <w:rsid w:val="62165C60"/>
    <w:rsid w:val="622B3906"/>
    <w:rsid w:val="623954AB"/>
    <w:rsid w:val="623C4F9B"/>
    <w:rsid w:val="62400F7E"/>
    <w:rsid w:val="6243457B"/>
    <w:rsid w:val="62494283"/>
    <w:rsid w:val="624F2F20"/>
    <w:rsid w:val="625247BE"/>
    <w:rsid w:val="626544F2"/>
    <w:rsid w:val="627D5CDF"/>
    <w:rsid w:val="62C4397D"/>
    <w:rsid w:val="62E418BB"/>
    <w:rsid w:val="62EF46F3"/>
    <w:rsid w:val="62F467DF"/>
    <w:rsid w:val="63041F5D"/>
    <w:rsid w:val="633345F0"/>
    <w:rsid w:val="63381C06"/>
    <w:rsid w:val="635307EE"/>
    <w:rsid w:val="635A1B7D"/>
    <w:rsid w:val="63612F0B"/>
    <w:rsid w:val="636D5EAB"/>
    <w:rsid w:val="6372460A"/>
    <w:rsid w:val="637D3ABD"/>
    <w:rsid w:val="637F7835"/>
    <w:rsid w:val="63B23767"/>
    <w:rsid w:val="63B81632"/>
    <w:rsid w:val="63C4349A"/>
    <w:rsid w:val="63D170AC"/>
    <w:rsid w:val="642B7DAF"/>
    <w:rsid w:val="643248A8"/>
    <w:rsid w:val="644545DB"/>
    <w:rsid w:val="64654C7D"/>
    <w:rsid w:val="646C600B"/>
    <w:rsid w:val="646D3E65"/>
    <w:rsid w:val="64713622"/>
    <w:rsid w:val="647153D0"/>
    <w:rsid w:val="647D2112"/>
    <w:rsid w:val="6487341E"/>
    <w:rsid w:val="64914748"/>
    <w:rsid w:val="6497295D"/>
    <w:rsid w:val="64BB2AEF"/>
    <w:rsid w:val="64C93ECA"/>
    <w:rsid w:val="64CA3CB4"/>
    <w:rsid w:val="64CB0731"/>
    <w:rsid w:val="64CC2780"/>
    <w:rsid w:val="64E2585A"/>
    <w:rsid w:val="64EA5182"/>
    <w:rsid w:val="64EC0669"/>
    <w:rsid w:val="64F63B27"/>
    <w:rsid w:val="65044496"/>
    <w:rsid w:val="65091AAC"/>
    <w:rsid w:val="652103CF"/>
    <w:rsid w:val="652341F0"/>
    <w:rsid w:val="652E506F"/>
    <w:rsid w:val="654523B9"/>
    <w:rsid w:val="65693C54"/>
    <w:rsid w:val="65714A10"/>
    <w:rsid w:val="65776156"/>
    <w:rsid w:val="657A4758"/>
    <w:rsid w:val="65855E4D"/>
    <w:rsid w:val="65896749"/>
    <w:rsid w:val="658E1FB1"/>
    <w:rsid w:val="659770B8"/>
    <w:rsid w:val="65B57BD7"/>
    <w:rsid w:val="65B705EA"/>
    <w:rsid w:val="65D976D1"/>
    <w:rsid w:val="65E9543A"/>
    <w:rsid w:val="65EF7DA6"/>
    <w:rsid w:val="65FA13F5"/>
    <w:rsid w:val="65FA7647"/>
    <w:rsid w:val="65FC09A8"/>
    <w:rsid w:val="660C265C"/>
    <w:rsid w:val="66353DF9"/>
    <w:rsid w:val="665A00E6"/>
    <w:rsid w:val="66805D9E"/>
    <w:rsid w:val="669F4100"/>
    <w:rsid w:val="66AC4786"/>
    <w:rsid w:val="66B141AA"/>
    <w:rsid w:val="66BA6E26"/>
    <w:rsid w:val="66BB1376"/>
    <w:rsid w:val="66CF63DE"/>
    <w:rsid w:val="66DE0D17"/>
    <w:rsid w:val="66E26E7C"/>
    <w:rsid w:val="66F10A4A"/>
    <w:rsid w:val="670267B3"/>
    <w:rsid w:val="67032AE8"/>
    <w:rsid w:val="670D5158"/>
    <w:rsid w:val="67185FD7"/>
    <w:rsid w:val="673E5311"/>
    <w:rsid w:val="67477DD7"/>
    <w:rsid w:val="6749301F"/>
    <w:rsid w:val="674F751F"/>
    <w:rsid w:val="67621987"/>
    <w:rsid w:val="67670D0C"/>
    <w:rsid w:val="676A25AA"/>
    <w:rsid w:val="67760812"/>
    <w:rsid w:val="67881D7C"/>
    <w:rsid w:val="6788637E"/>
    <w:rsid w:val="67923FAF"/>
    <w:rsid w:val="67997816"/>
    <w:rsid w:val="67A71CBD"/>
    <w:rsid w:val="67A856DC"/>
    <w:rsid w:val="67AB689B"/>
    <w:rsid w:val="67D565E6"/>
    <w:rsid w:val="67ED4077"/>
    <w:rsid w:val="67F7187C"/>
    <w:rsid w:val="68012F0F"/>
    <w:rsid w:val="6826603C"/>
    <w:rsid w:val="682E6AFE"/>
    <w:rsid w:val="683A1F7D"/>
    <w:rsid w:val="683D381B"/>
    <w:rsid w:val="683F7593"/>
    <w:rsid w:val="6843464A"/>
    <w:rsid w:val="6885769C"/>
    <w:rsid w:val="68A501F9"/>
    <w:rsid w:val="68AF4719"/>
    <w:rsid w:val="68B476C6"/>
    <w:rsid w:val="68D250A1"/>
    <w:rsid w:val="68E00D76"/>
    <w:rsid w:val="690B0589"/>
    <w:rsid w:val="69194288"/>
    <w:rsid w:val="69381B9E"/>
    <w:rsid w:val="693B5FAC"/>
    <w:rsid w:val="695F41A3"/>
    <w:rsid w:val="69676C0C"/>
    <w:rsid w:val="698066A4"/>
    <w:rsid w:val="69877444"/>
    <w:rsid w:val="698D10CC"/>
    <w:rsid w:val="6994390F"/>
    <w:rsid w:val="699D55BE"/>
    <w:rsid w:val="69A00505"/>
    <w:rsid w:val="69AE1092"/>
    <w:rsid w:val="69C410AA"/>
    <w:rsid w:val="69C959DF"/>
    <w:rsid w:val="69DD52B6"/>
    <w:rsid w:val="69DF102E"/>
    <w:rsid w:val="69F61ED3"/>
    <w:rsid w:val="69F66377"/>
    <w:rsid w:val="6A0E36C1"/>
    <w:rsid w:val="6A0F3E3A"/>
    <w:rsid w:val="6A290408"/>
    <w:rsid w:val="6A2B7DCF"/>
    <w:rsid w:val="6A2D62D3"/>
    <w:rsid w:val="6A346D48"/>
    <w:rsid w:val="6A4A30C9"/>
    <w:rsid w:val="6A4B43FD"/>
    <w:rsid w:val="6A576495"/>
    <w:rsid w:val="6A75300F"/>
    <w:rsid w:val="6A753B41"/>
    <w:rsid w:val="6A800E78"/>
    <w:rsid w:val="6A940813"/>
    <w:rsid w:val="6A9E67F3"/>
    <w:rsid w:val="6AB75B07"/>
    <w:rsid w:val="6AC00E8A"/>
    <w:rsid w:val="6AC33D7B"/>
    <w:rsid w:val="6AC515DC"/>
    <w:rsid w:val="6ADB7A47"/>
    <w:rsid w:val="6AE14931"/>
    <w:rsid w:val="6B013226"/>
    <w:rsid w:val="6B0335F9"/>
    <w:rsid w:val="6B144D07"/>
    <w:rsid w:val="6B1C5002"/>
    <w:rsid w:val="6B1E16E2"/>
    <w:rsid w:val="6B252A70"/>
    <w:rsid w:val="6B454EF2"/>
    <w:rsid w:val="6B4A0729"/>
    <w:rsid w:val="6BA30B8B"/>
    <w:rsid w:val="6BAC5115"/>
    <w:rsid w:val="6BB905E4"/>
    <w:rsid w:val="6BC664F4"/>
    <w:rsid w:val="6BD36CF4"/>
    <w:rsid w:val="6BD85D34"/>
    <w:rsid w:val="6BD90CB6"/>
    <w:rsid w:val="6BD9385B"/>
    <w:rsid w:val="6BEC5C84"/>
    <w:rsid w:val="6C027255"/>
    <w:rsid w:val="6C2C42D2"/>
    <w:rsid w:val="6C402332"/>
    <w:rsid w:val="6C6A1488"/>
    <w:rsid w:val="6C891725"/>
    <w:rsid w:val="6CAB51F7"/>
    <w:rsid w:val="6CB87C59"/>
    <w:rsid w:val="6CC91B21"/>
    <w:rsid w:val="6CDE2D6D"/>
    <w:rsid w:val="6CDF630A"/>
    <w:rsid w:val="6CFE17CB"/>
    <w:rsid w:val="6D025E70"/>
    <w:rsid w:val="6D0A63C2"/>
    <w:rsid w:val="6D0E40DB"/>
    <w:rsid w:val="6D140FEE"/>
    <w:rsid w:val="6D2120C6"/>
    <w:rsid w:val="6D282CEC"/>
    <w:rsid w:val="6D2917A9"/>
    <w:rsid w:val="6D2C01D4"/>
    <w:rsid w:val="6D34343E"/>
    <w:rsid w:val="6D4E6E2B"/>
    <w:rsid w:val="6D514B1A"/>
    <w:rsid w:val="6D543AE1"/>
    <w:rsid w:val="6D6830E8"/>
    <w:rsid w:val="6D6A3304"/>
    <w:rsid w:val="6D6F26C8"/>
    <w:rsid w:val="6D74722A"/>
    <w:rsid w:val="6D785A21"/>
    <w:rsid w:val="6D853821"/>
    <w:rsid w:val="6D9C0FE4"/>
    <w:rsid w:val="6DC522E8"/>
    <w:rsid w:val="6DCD6F00"/>
    <w:rsid w:val="6DD70987"/>
    <w:rsid w:val="6DD85753"/>
    <w:rsid w:val="6DDA2BFD"/>
    <w:rsid w:val="6DDE05B9"/>
    <w:rsid w:val="6DE049BF"/>
    <w:rsid w:val="6DFF3A4C"/>
    <w:rsid w:val="6E4771A1"/>
    <w:rsid w:val="6E6C0E13"/>
    <w:rsid w:val="6E6C18AA"/>
    <w:rsid w:val="6E7004A6"/>
    <w:rsid w:val="6E8615C7"/>
    <w:rsid w:val="6E886FBB"/>
    <w:rsid w:val="6E9525DF"/>
    <w:rsid w:val="6E970129"/>
    <w:rsid w:val="6E9817AB"/>
    <w:rsid w:val="6EA23ED2"/>
    <w:rsid w:val="6EA4707E"/>
    <w:rsid w:val="6EDD1581"/>
    <w:rsid w:val="6EE37D9F"/>
    <w:rsid w:val="6EE964AB"/>
    <w:rsid w:val="6EF57BEA"/>
    <w:rsid w:val="6EF94EDE"/>
    <w:rsid w:val="6F0F4163"/>
    <w:rsid w:val="6F1B4E23"/>
    <w:rsid w:val="6F1F1ECC"/>
    <w:rsid w:val="6F33431F"/>
    <w:rsid w:val="6F5E0C47"/>
    <w:rsid w:val="6F627C19"/>
    <w:rsid w:val="6F773AB6"/>
    <w:rsid w:val="6F7C10CD"/>
    <w:rsid w:val="6F853E06"/>
    <w:rsid w:val="6F8C7562"/>
    <w:rsid w:val="6F8F2BAE"/>
    <w:rsid w:val="6F984159"/>
    <w:rsid w:val="6FA83C70"/>
    <w:rsid w:val="6FB72105"/>
    <w:rsid w:val="6FBD596D"/>
    <w:rsid w:val="6FC24E25"/>
    <w:rsid w:val="6FC96912"/>
    <w:rsid w:val="6FD71E92"/>
    <w:rsid w:val="6FD9530A"/>
    <w:rsid w:val="6FDC1B6B"/>
    <w:rsid w:val="6FE0340A"/>
    <w:rsid w:val="6FEA4497"/>
    <w:rsid w:val="6FED3CDB"/>
    <w:rsid w:val="6FFE3C00"/>
    <w:rsid w:val="7003534A"/>
    <w:rsid w:val="70196622"/>
    <w:rsid w:val="701F1A47"/>
    <w:rsid w:val="70227EC6"/>
    <w:rsid w:val="70231548"/>
    <w:rsid w:val="703F2826"/>
    <w:rsid w:val="703F60A8"/>
    <w:rsid w:val="70441BEA"/>
    <w:rsid w:val="70530681"/>
    <w:rsid w:val="70822713"/>
    <w:rsid w:val="708E730A"/>
    <w:rsid w:val="709F1C6D"/>
    <w:rsid w:val="70B46F74"/>
    <w:rsid w:val="70CD3A11"/>
    <w:rsid w:val="70E02081"/>
    <w:rsid w:val="70EF1F9B"/>
    <w:rsid w:val="70FE3EF4"/>
    <w:rsid w:val="710B44B6"/>
    <w:rsid w:val="71235CA4"/>
    <w:rsid w:val="714E772A"/>
    <w:rsid w:val="71616E00"/>
    <w:rsid w:val="716342F2"/>
    <w:rsid w:val="71991D6D"/>
    <w:rsid w:val="71A32941"/>
    <w:rsid w:val="71AB61AA"/>
    <w:rsid w:val="71C130F1"/>
    <w:rsid w:val="71E73175"/>
    <w:rsid w:val="71FB028A"/>
    <w:rsid w:val="71FB452B"/>
    <w:rsid w:val="720A713E"/>
    <w:rsid w:val="724B5262"/>
    <w:rsid w:val="7254536D"/>
    <w:rsid w:val="726447C6"/>
    <w:rsid w:val="7269585F"/>
    <w:rsid w:val="727662A7"/>
    <w:rsid w:val="727B1B10"/>
    <w:rsid w:val="72824C4C"/>
    <w:rsid w:val="72867401"/>
    <w:rsid w:val="72875C50"/>
    <w:rsid w:val="729130E1"/>
    <w:rsid w:val="72927DB1"/>
    <w:rsid w:val="72D134DE"/>
    <w:rsid w:val="72E65743"/>
    <w:rsid w:val="72E871A5"/>
    <w:rsid w:val="72FD1EE3"/>
    <w:rsid w:val="733E6DC5"/>
    <w:rsid w:val="7358775B"/>
    <w:rsid w:val="7370719A"/>
    <w:rsid w:val="73900C02"/>
    <w:rsid w:val="73940F35"/>
    <w:rsid w:val="739E5AB6"/>
    <w:rsid w:val="73AC6AB6"/>
    <w:rsid w:val="73BE334D"/>
    <w:rsid w:val="73C71ABE"/>
    <w:rsid w:val="73D253BE"/>
    <w:rsid w:val="73DC038C"/>
    <w:rsid w:val="73DC3D05"/>
    <w:rsid w:val="73E62FB9"/>
    <w:rsid w:val="740D08DA"/>
    <w:rsid w:val="740E0F6C"/>
    <w:rsid w:val="742D0BE7"/>
    <w:rsid w:val="742E34DF"/>
    <w:rsid w:val="7431010C"/>
    <w:rsid w:val="74424693"/>
    <w:rsid w:val="744D794E"/>
    <w:rsid w:val="745D741C"/>
    <w:rsid w:val="746740F9"/>
    <w:rsid w:val="746C5BB4"/>
    <w:rsid w:val="74A32FEF"/>
    <w:rsid w:val="74A76BEC"/>
    <w:rsid w:val="74A909A2"/>
    <w:rsid w:val="74B22F3A"/>
    <w:rsid w:val="74DF12B3"/>
    <w:rsid w:val="74E4574A"/>
    <w:rsid w:val="74E538AA"/>
    <w:rsid w:val="74EB0EC0"/>
    <w:rsid w:val="74F040EF"/>
    <w:rsid w:val="74FA2CFF"/>
    <w:rsid w:val="7529519B"/>
    <w:rsid w:val="75297601"/>
    <w:rsid w:val="752A613E"/>
    <w:rsid w:val="7530098F"/>
    <w:rsid w:val="75355FA6"/>
    <w:rsid w:val="75360D61"/>
    <w:rsid w:val="75377D37"/>
    <w:rsid w:val="7541494A"/>
    <w:rsid w:val="758D7B90"/>
    <w:rsid w:val="75954C96"/>
    <w:rsid w:val="759C6025"/>
    <w:rsid w:val="75A35605"/>
    <w:rsid w:val="75A44ED9"/>
    <w:rsid w:val="75AB44BA"/>
    <w:rsid w:val="75B848AE"/>
    <w:rsid w:val="75BF3AC1"/>
    <w:rsid w:val="75C335B1"/>
    <w:rsid w:val="75C537CD"/>
    <w:rsid w:val="75CC203F"/>
    <w:rsid w:val="75D67789"/>
    <w:rsid w:val="75DB3786"/>
    <w:rsid w:val="75F6021B"/>
    <w:rsid w:val="760836BA"/>
    <w:rsid w:val="761107C1"/>
    <w:rsid w:val="763D7808"/>
    <w:rsid w:val="764E3AE2"/>
    <w:rsid w:val="76521917"/>
    <w:rsid w:val="76557CFE"/>
    <w:rsid w:val="76626914"/>
    <w:rsid w:val="767D2702"/>
    <w:rsid w:val="76937428"/>
    <w:rsid w:val="769907B6"/>
    <w:rsid w:val="76A47A33"/>
    <w:rsid w:val="76A52F33"/>
    <w:rsid w:val="76AD3EE0"/>
    <w:rsid w:val="76B15B00"/>
    <w:rsid w:val="76B37ACA"/>
    <w:rsid w:val="76B40FB3"/>
    <w:rsid w:val="76D417EE"/>
    <w:rsid w:val="76E056C1"/>
    <w:rsid w:val="76FD2AF3"/>
    <w:rsid w:val="77030129"/>
    <w:rsid w:val="77087E3E"/>
    <w:rsid w:val="77162D24"/>
    <w:rsid w:val="771A18F7"/>
    <w:rsid w:val="772938E8"/>
    <w:rsid w:val="772A0B42"/>
    <w:rsid w:val="77352BFE"/>
    <w:rsid w:val="77381D7D"/>
    <w:rsid w:val="77463913"/>
    <w:rsid w:val="77664B3C"/>
    <w:rsid w:val="778154D2"/>
    <w:rsid w:val="77A411C1"/>
    <w:rsid w:val="77AD276B"/>
    <w:rsid w:val="77B3710F"/>
    <w:rsid w:val="77E4782D"/>
    <w:rsid w:val="77F02658"/>
    <w:rsid w:val="77F14B39"/>
    <w:rsid w:val="7806082A"/>
    <w:rsid w:val="7840713B"/>
    <w:rsid w:val="784E6FD5"/>
    <w:rsid w:val="785E75C1"/>
    <w:rsid w:val="786666E0"/>
    <w:rsid w:val="786C7F30"/>
    <w:rsid w:val="786F45C9"/>
    <w:rsid w:val="78866B18"/>
    <w:rsid w:val="788A2AAC"/>
    <w:rsid w:val="78BB2C66"/>
    <w:rsid w:val="78CD4D0D"/>
    <w:rsid w:val="78D87374"/>
    <w:rsid w:val="78DE47AA"/>
    <w:rsid w:val="78E90306"/>
    <w:rsid w:val="78FA19E0"/>
    <w:rsid w:val="79181E66"/>
    <w:rsid w:val="79314CD6"/>
    <w:rsid w:val="793A002E"/>
    <w:rsid w:val="795626D8"/>
    <w:rsid w:val="79652BD2"/>
    <w:rsid w:val="7982320E"/>
    <w:rsid w:val="798B2638"/>
    <w:rsid w:val="79992F3A"/>
    <w:rsid w:val="799B65F3"/>
    <w:rsid w:val="799F7E92"/>
    <w:rsid w:val="79A04F7A"/>
    <w:rsid w:val="79A14870"/>
    <w:rsid w:val="79AE33E5"/>
    <w:rsid w:val="79BD47BC"/>
    <w:rsid w:val="79CB79DA"/>
    <w:rsid w:val="79DF3E60"/>
    <w:rsid w:val="79EC68CF"/>
    <w:rsid w:val="7A044199"/>
    <w:rsid w:val="7A083C89"/>
    <w:rsid w:val="7A15284A"/>
    <w:rsid w:val="7A37456E"/>
    <w:rsid w:val="7A7E5845"/>
    <w:rsid w:val="7A921700"/>
    <w:rsid w:val="7A9D7487"/>
    <w:rsid w:val="7AB06A36"/>
    <w:rsid w:val="7AB22019"/>
    <w:rsid w:val="7AC34054"/>
    <w:rsid w:val="7ACC57E3"/>
    <w:rsid w:val="7AD324E9"/>
    <w:rsid w:val="7ADF7850"/>
    <w:rsid w:val="7AE2272C"/>
    <w:rsid w:val="7AE95376"/>
    <w:rsid w:val="7B447C52"/>
    <w:rsid w:val="7B4E05AB"/>
    <w:rsid w:val="7B560A24"/>
    <w:rsid w:val="7B590514"/>
    <w:rsid w:val="7B5D1DB2"/>
    <w:rsid w:val="7B6E3FBF"/>
    <w:rsid w:val="7B7357FB"/>
    <w:rsid w:val="7B810197"/>
    <w:rsid w:val="7B8A1A01"/>
    <w:rsid w:val="7B9A6B62"/>
    <w:rsid w:val="7BAE260E"/>
    <w:rsid w:val="7BB73BB8"/>
    <w:rsid w:val="7BBF4CC5"/>
    <w:rsid w:val="7BE44282"/>
    <w:rsid w:val="7BEB23A7"/>
    <w:rsid w:val="7C077F70"/>
    <w:rsid w:val="7C1A207B"/>
    <w:rsid w:val="7C30076C"/>
    <w:rsid w:val="7C537629"/>
    <w:rsid w:val="7C594C70"/>
    <w:rsid w:val="7C9712F4"/>
    <w:rsid w:val="7CC04CEF"/>
    <w:rsid w:val="7CC83F86"/>
    <w:rsid w:val="7CCA3711"/>
    <w:rsid w:val="7CCE6A29"/>
    <w:rsid w:val="7CD662C0"/>
    <w:rsid w:val="7CDB5685"/>
    <w:rsid w:val="7CE64029"/>
    <w:rsid w:val="7CEC0790"/>
    <w:rsid w:val="7D0D0CD7"/>
    <w:rsid w:val="7D146DE8"/>
    <w:rsid w:val="7D1A5598"/>
    <w:rsid w:val="7D1F193A"/>
    <w:rsid w:val="7D225061"/>
    <w:rsid w:val="7D284642"/>
    <w:rsid w:val="7D2E5A63"/>
    <w:rsid w:val="7D3702E5"/>
    <w:rsid w:val="7D3905FD"/>
    <w:rsid w:val="7D4E5E48"/>
    <w:rsid w:val="7D7B29C4"/>
    <w:rsid w:val="7D824F5F"/>
    <w:rsid w:val="7D86745E"/>
    <w:rsid w:val="7D8E26F7"/>
    <w:rsid w:val="7D985324"/>
    <w:rsid w:val="7D9A12A0"/>
    <w:rsid w:val="7DAE0FEB"/>
    <w:rsid w:val="7DAF66FE"/>
    <w:rsid w:val="7DC223A1"/>
    <w:rsid w:val="7DCC7E3B"/>
    <w:rsid w:val="7DE00C30"/>
    <w:rsid w:val="7DEB7B49"/>
    <w:rsid w:val="7DEE4676"/>
    <w:rsid w:val="7DF34C50"/>
    <w:rsid w:val="7DFE187A"/>
    <w:rsid w:val="7E0706D0"/>
    <w:rsid w:val="7E0E1A8A"/>
    <w:rsid w:val="7E257E26"/>
    <w:rsid w:val="7E331077"/>
    <w:rsid w:val="7E3F7E95"/>
    <w:rsid w:val="7E6D055E"/>
    <w:rsid w:val="7E8A7362"/>
    <w:rsid w:val="7EA57866"/>
    <w:rsid w:val="7EBF38DE"/>
    <w:rsid w:val="7ED14940"/>
    <w:rsid w:val="7ED25A6D"/>
    <w:rsid w:val="7EF95A5A"/>
    <w:rsid w:val="7F272E03"/>
    <w:rsid w:val="7F2E09F5"/>
    <w:rsid w:val="7F345520"/>
    <w:rsid w:val="7F3B68AE"/>
    <w:rsid w:val="7F4C0ABC"/>
    <w:rsid w:val="7F531E4A"/>
    <w:rsid w:val="7F604567"/>
    <w:rsid w:val="7F6E0A32"/>
    <w:rsid w:val="7F6F10F3"/>
    <w:rsid w:val="7F791185"/>
    <w:rsid w:val="7F8813C8"/>
    <w:rsid w:val="7F914720"/>
    <w:rsid w:val="7FA34660"/>
    <w:rsid w:val="7FC70142"/>
    <w:rsid w:val="7FD14B1D"/>
    <w:rsid w:val="7FDA7E75"/>
    <w:rsid w:val="7FDD34C2"/>
    <w:rsid w:val="7FF84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autoRedefine/>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kern w:val="0"/>
      <w:sz w:val="32"/>
      <w:szCs w:val="32"/>
    </w:rPr>
  </w:style>
  <w:style w:type="paragraph" w:styleId="6">
    <w:name w:val="heading 4"/>
    <w:basedOn w:val="1"/>
    <w:next w:val="1"/>
    <w:autoRedefine/>
    <w:qFormat/>
    <w:uiPriority w:val="0"/>
    <w:pPr>
      <w:keepNext/>
      <w:keepLines/>
      <w:spacing w:before="280" w:after="290" w:line="376" w:lineRule="auto"/>
      <w:outlineLvl w:val="3"/>
    </w:pPr>
    <w:rPr>
      <w:rFonts w:ascii="Times New Roman" w:hAnsi="Times New Roman"/>
      <w:sz w:val="32"/>
      <w:szCs w:val="20"/>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Times New Roman" w:hAnsi="Times New Roman"/>
    </w:rPr>
  </w:style>
  <w:style w:type="paragraph" w:styleId="7">
    <w:name w:val="table of authorities"/>
    <w:basedOn w:val="1"/>
    <w:next w:val="1"/>
    <w:autoRedefine/>
    <w:unhideWhenUsed/>
    <w:qFormat/>
    <w:uiPriority w:val="99"/>
    <w:pPr>
      <w:ind w:left="420" w:leftChars="200"/>
    </w:pPr>
  </w:style>
  <w:style w:type="paragraph" w:styleId="8">
    <w:name w:val="Normal Indent"/>
    <w:basedOn w:val="1"/>
    <w:autoRedefine/>
    <w:unhideWhenUsed/>
    <w:qFormat/>
    <w:uiPriority w:val="99"/>
    <w:pPr>
      <w:ind w:firstLine="420"/>
    </w:pPr>
    <w:rPr>
      <w:rFonts w:ascii="Calibri" w:hAnsi="Calibri"/>
      <w:szCs w:val="20"/>
    </w:rPr>
  </w:style>
  <w:style w:type="paragraph" w:styleId="9">
    <w:name w:val="caption"/>
    <w:basedOn w:val="1"/>
    <w:next w:val="1"/>
    <w:autoRedefine/>
    <w:qFormat/>
    <w:uiPriority w:val="0"/>
    <w:rPr>
      <w:rFonts w:ascii="Arial" w:hAnsi="Arial" w:eastAsia="黑体" w:cstheme="minorBidi"/>
      <w:sz w:val="20"/>
    </w:rPr>
  </w:style>
  <w:style w:type="paragraph" w:styleId="10">
    <w:name w:val="toa heading"/>
    <w:basedOn w:val="1"/>
    <w:next w:val="1"/>
    <w:autoRedefine/>
    <w:unhideWhenUsed/>
    <w:qFormat/>
    <w:uiPriority w:val="99"/>
    <w:pPr>
      <w:spacing w:before="120"/>
    </w:pPr>
    <w:rPr>
      <w:rFonts w:ascii="Arial" w:hAnsi="Arial" w:cs="Arial"/>
      <w:sz w:val="24"/>
    </w:rPr>
  </w:style>
  <w:style w:type="paragraph" w:styleId="11">
    <w:name w:val="annotation text"/>
    <w:basedOn w:val="1"/>
    <w:link w:val="60"/>
    <w:autoRedefine/>
    <w:qFormat/>
    <w:uiPriority w:val="0"/>
    <w:pPr>
      <w:jc w:val="left"/>
    </w:pPr>
  </w:style>
  <w:style w:type="paragraph" w:styleId="12">
    <w:name w:val="Body Text 3"/>
    <w:basedOn w:val="1"/>
    <w:autoRedefine/>
    <w:unhideWhenUsed/>
    <w:qFormat/>
    <w:uiPriority w:val="0"/>
    <w:pPr>
      <w:spacing w:after="120"/>
    </w:pPr>
    <w:rPr>
      <w:rFonts w:ascii="Times New Roman" w:hAnsi="Times New Roman"/>
      <w:sz w:val="16"/>
      <w:szCs w:val="16"/>
    </w:rPr>
  </w:style>
  <w:style w:type="paragraph" w:styleId="13">
    <w:name w:val="Body Text Indent"/>
    <w:basedOn w:val="1"/>
    <w:next w:val="14"/>
    <w:autoRedefine/>
    <w:qFormat/>
    <w:uiPriority w:val="0"/>
    <w:pPr>
      <w:ind w:firstLine="560" w:firstLineChars="200"/>
    </w:pPr>
    <w:rPr>
      <w:rFonts w:ascii="Times New Roman" w:hAnsi="Times New Roman"/>
    </w:rPr>
  </w:style>
  <w:style w:type="paragraph" w:styleId="14">
    <w:name w:val="envelope return"/>
    <w:basedOn w:val="1"/>
    <w:autoRedefine/>
    <w:qFormat/>
    <w:uiPriority w:val="99"/>
    <w:pPr>
      <w:snapToGrid w:val="0"/>
    </w:pPr>
    <w:rPr>
      <w:rFonts w:ascii="Arial" w:hAnsi="Arial" w:cs="Arial"/>
    </w:rPr>
  </w:style>
  <w:style w:type="paragraph" w:styleId="15">
    <w:name w:val="toc 3"/>
    <w:basedOn w:val="1"/>
    <w:next w:val="1"/>
    <w:autoRedefine/>
    <w:qFormat/>
    <w:uiPriority w:val="0"/>
    <w:pPr>
      <w:ind w:left="840" w:leftChars="400"/>
    </w:pPr>
  </w:style>
  <w:style w:type="paragraph" w:styleId="16">
    <w:name w:val="Plain Text"/>
    <w:basedOn w:val="1"/>
    <w:autoRedefine/>
    <w:qFormat/>
    <w:uiPriority w:val="0"/>
    <w:rPr>
      <w:rFonts w:hint="eastAsia" w:ascii="宋体" w:hAnsi="Courier New"/>
      <w:szCs w:val="21"/>
    </w:rPr>
  </w:style>
  <w:style w:type="paragraph" w:styleId="17">
    <w:name w:val="Balloon Text"/>
    <w:basedOn w:val="1"/>
    <w:link w:val="62"/>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0">
    <w:name w:val="toc 1"/>
    <w:basedOn w:val="1"/>
    <w:next w:val="1"/>
    <w:autoRedefine/>
    <w:qFormat/>
    <w:uiPriority w:val="0"/>
    <w:rPr>
      <w:rFonts w:ascii="Times New Roman" w:hAnsi="Times New Roman"/>
    </w:rPr>
  </w:style>
  <w:style w:type="paragraph" w:styleId="21">
    <w:name w:val="toc 2"/>
    <w:basedOn w:val="1"/>
    <w:next w:val="1"/>
    <w:autoRedefine/>
    <w:qFormat/>
    <w:uiPriority w:val="0"/>
    <w:pPr>
      <w:ind w:left="420" w:leftChars="200"/>
    </w:pPr>
  </w:style>
  <w:style w:type="paragraph" w:styleId="22">
    <w:name w:val="Body Text 2"/>
    <w:basedOn w:val="1"/>
    <w:next w:val="2"/>
    <w:autoRedefine/>
    <w:unhideWhenUsed/>
    <w:qFormat/>
    <w:uiPriority w:val="0"/>
    <w:pPr>
      <w:spacing w:after="120" w:line="480" w:lineRule="auto"/>
    </w:pPr>
    <w:rPr>
      <w:rFonts w:ascii="Times New Roman" w:hAnsi="Times New Roman"/>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autoRedefine/>
    <w:qFormat/>
    <w:uiPriority w:val="0"/>
    <w:pPr>
      <w:spacing w:before="240" w:after="60"/>
      <w:jc w:val="center"/>
      <w:outlineLvl w:val="0"/>
    </w:pPr>
    <w:rPr>
      <w:rFonts w:ascii="Calibri Light" w:hAnsi="Calibri Light" w:eastAsia="Calibri Light"/>
      <w:b/>
      <w:sz w:val="32"/>
      <w:szCs w:val="32"/>
    </w:rPr>
  </w:style>
  <w:style w:type="paragraph" w:styleId="25">
    <w:name w:val="annotation subject"/>
    <w:basedOn w:val="11"/>
    <w:next w:val="11"/>
    <w:link w:val="61"/>
    <w:autoRedefine/>
    <w:qFormat/>
    <w:uiPriority w:val="0"/>
    <w:rPr>
      <w:b/>
      <w:bCs/>
    </w:rPr>
  </w:style>
  <w:style w:type="paragraph" w:styleId="26">
    <w:name w:val="Body Text First Indent"/>
    <w:basedOn w:val="2"/>
    <w:next w:val="27"/>
    <w:autoRedefine/>
    <w:unhideWhenUsed/>
    <w:qFormat/>
    <w:uiPriority w:val="0"/>
    <w:pPr>
      <w:ind w:firstLine="420" w:firstLineChars="100"/>
    </w:pPr>
    <w:rPr>
      <w:rFonts w:hint="eastAsia" w:ascii="楷体_GB2312" w:eastAsia="楷体_GB2312"/>
      <w:sz w:val="32"/>
    </w:rPr>
  </w:style>
  <w:style w:type="paragraph" w:styleId="27">
    <w:name w:val="Body Text First Indent 2"/>
    <w:basedOn w:val="13"/>
    <w:next w:val="1"/>
    <w:autoRedefine/>
    <w:qFormat/>
    <w:uiPriority w:val="0"/>
    <w:pPr>
      <w:ind w:firstLine="420"/>
    </w:pPr>
  </w:style>
  <w:style w:type="table" w:styleId="29">
    <w:name w:val="Table Grid"/>
    <w:basedOn w:val="2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Hyperlink"/>
    <w:basedOn w:val="30"/>
    <w:autoRedefine/>
    <w:qFormat/>
    <w:uiPriority w:val="99"/>
    <w:rPr>
      <w:rFonts w:cs="Times New Roman"/>
      <w:color w:val="0000FF"/>
      <w:u w:val="single"/>
    </w:rPr>
  </w:style>
  <w:style w:type="character" w:styleId="32">
    <w:name w:val="annotation reference"/>
    <w:basedOn w:val="30"/>
    <w:autoRedefine/>
    <w:qFormat/>
    <w:uiPriority w:val="0"/>
    <w:rPr>
      <w:sz w:val="21"/>
      <w:szCs w:val="21"/>
    </w:rPr>
  </w:style>
  <w:style w:type="paragraph" w:customStyle="1" w:styleId="33">
    <w:name w:val="无间隔1"/>
    <w:basedOn w:val="1"/>
    <w:next w:val="34"/>
    <w:autoRedefine/>
    <w:qFormat/>
    <w:uiPriority w:val="0"/>
    <w:pPr>
      <w:spacing w:line="400" w:lineRule="exact"/>
    </w:pPr>
    <w:rPr>
      <w:sz w:val="24"/>
    </w:rPr>
  </w:style>
  <w:style w:type="paragraph" w:customStyle="1" w:styleId="34">
    <w:name w:val="正文（首行缩进） Char"/>
    <w:basedOn w:val="1"/>
    <w:next w:val="35"/>
    <w:autoRedefine/>
    <w:qFormat/>
    <w:uiPriority w:val="0"/>
    <w:pPr>
      <w:spacing w:line="360" w:lineRule="auto"/>
      <w:ind w:firstLine="480"/>
    </w:pPr>
    <w:rPr>
      <w:rFonts w:ascii="Arial"/>
      <w:color w:val="000000"/>
      <w:sz w:val="24"/>
    </w:rPr>
  </w:style>
  <w:style w:type="paragraph" w:customStyle="1" w:styleId="35">
    <w:name w:val="2号黑体加粗"/>
    <w:basedOn w:val="1"/>
    <w:next w:val="36"/>
    <w:autoRedefine/>
    <w:qFormat/>
    <w:uiPriority w:val="0"/>
    <w:pPr>
      <w:jc w:val="center"/>
    </w:pPr>
    <w:rPr>
      <w:rFonts w:ascii="Calibri" w:eastAsia="黑体"/>
      <w:b/>
      <w:sz w:val="44"/>
    </w:rPr>
  </w:style>
  <w:style w:type="paragraph" w:customStyle="1" w:styleId="36">
    <w:name w:val="表格文字"/>
    <w:basedOn w:val="1"/>
    <w:next w:val="1"/>
    <w:autoRedefine/>
    <w:qFormat/>
    <w:uiPriority w:val="0"/>
    <w:pPr>
      <w:adjustRightInd w:val="0"/>
      <w:spacing w:line="420" w:lineRule="atLeast"/>
      <w:jc w:val="left"/>
      <w:textAlignment w:val="baseline"/>
    </w:pPr>
    <w:rPr>
      <w:kern w:val="0"/>
    </w:rPr>
  </w:style>
  <w:style w:type="paragraph" w:customStyle="1" w:styleId="37">
    <w:name w:val="style4"/>
    <w:basedOn w:val="38"/>
    <w:next w:val="39"/>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正文_0"/>
    <w:next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Style1"/>
    <w:next w:val="41"/>
    <w:autoRedefine/>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1">
    <w:name w:val="*正文"/>
    <w:basedOn w:val="1"/>
    <w:autoRedefine/>
    <w:qFormat/>
    <w:uiPriority w:val="0"/>
    <w:pPr>
      <w:ind w:firstLine="200" w:firstLineChars="200"/>
    </w:pPr>
    <w:rPr>
      <w:rFonts w:ascii="宋体" w:hAnsi="宋体"/>
      <w:szCs w:val="22"/>
    </w:rPr>
  </w:style>
  <w:style w:type="paragraph" w:customStyle="1" w:styleId="42">
    <w:name w:val="Body Text First Indent1"/>
    <w:basedOn w:val="2"/>
    <w:autoRedefine/>
    <w:qFormat/>
    <w:uiPriority w:val="0"/>
    <w:pPr>
      <w:ind w:firstLine="420" w:firstLineChars="100"/>
    </w:pPr>
  </w:style>
  <w:style w:type="paragraph" w:customStyle="1" w:styleId="43">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4">
    <w:name w:val="Default"/>
    <w:basedOn w:val="1"/>
    <w:next w:val="1"/>
    <w:autoRedefine/>
    <w:qFormat/>
    <w:uiPriority w:val="0"/>
    <w:pPr>
      <w:autoSpaceDE w:val="0"/>
      <w:autoSpaceDN w:val="0"/>
      <w:adjustRightInd w:val="0"/>
      <w:jc w:val="left"/>
    </w:pPr>
    <w:rPr>
      <w:rFonts w:hint="eastAsia" w:ascii="宋体" w:hAnsi="Calibri"/>
      <w:color w:val="000000"/>
      <w:kern w:val="0"/>
      <w:sz w:val="24"/>
    </w:rPr>
  </w:style>
  <w:style w:type="paragraph" w:customStyle="1" w:styleId="45">
    <w:name w:val="p0"/>
    <w:basedOn w:val="46"/>
    <w:autoRedefine/>
    <w:qFormat/>
    <w:uiPriority w:val="0"/>
    <w:pPr>
      <w:widowControl/>
    </w:pPr>
    <w:rPr>
      <w:kern w:val="0"/>
      <w:szCs w:val="21"/>
    </w:rPr>
  </w:style>
  <w:style w:type="paragraph" w:customStyle="1" w:styleId="46">
    <w:name w:val="正文1"/>
    <w:next w:val="4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1"/>
    <w:basedOn w:val="46"/>
    <w:autoRedefine/>
    <w:qFormat/>
    <w:uiPriority w:val="99"/>
    <w:rPr>
      <w:rFonts w:eastAsia="楷体_GB2312"/>
      <w:sz w:val="28"/>
    </w:rPr>
  </w:style>
  <w:style w:type="character" w:customStyle="1" w:styleId="48">
    <w:name w:val="NormalCharacter"/>
    <w:autoRedefine/>
    <w:qFormat/>
    <w:uiPriority w:val="0"/>
    <w:rPr>
      <w:rFonts w:ascii="Book Antiqua" w:hAnsi="Book Antiqua" w:eastAsia="宋体" w:cs="Times New Roman"/>
      <w:kern w:val="2"/>
      <w:sz w:val="21"/>
      <w:szCs w:val="24"/>
      <w:lang w:val="en-US" w:eastAsia="zh-CN" w:bidi="ar-SA"/>
    </w:rPr>
  </w:style>
  <w:style w:type="paragraph" w:customStyle="1" w:styleId="49">
    <w:name w:val="BodyText1I"/>
    <w:basedOn w:val="50"/>
    <w:next w:val="52"/>
    <w:autoRedefine/>
    <w:qFormat/>
    <w:uiPriority w:val="0"/>
    <w:pPr>
      <w:ind w:firstLine="420" w:firstLineChars="100"/>
    </w:pPr>
    <w:rPr>
      <w:rFonts w:ascii="楷体_GB2312"/>
      <w:sz w:val="32"/>
    </w:rPr>
  </w:style>
  <w:style w:type="paragraph" w:customStyle="1" w:styleId="50">
    <w:name w:val="BodyText"/>
    <w:basedOn w:val="1"/>
    <w:next w:val="51"/>
    <w:autoRedefine/>
    <w:qFormat/>
    <w:uiPriority w:val="0"/>
    <w:pPr>
      <w:textAlignment w:val="baseline"/>
    </w:pPr>
    <w:rPr>
      <w:rFonts w:ascii="Calibri" w:hAnsi="Calibri" w:eastAsia="楷体_GB2312"/>
      <w:kern w:val="0"/>
      <w:sz w:val="28"/>
    </w:rPr>
  </w:style>
  <w:style w:type="paragraph" w:customStyle="1" w:styleId="51">
    <w:name w:val="BodyText2"/>
    <w:basedOn w:val="1"/>
    <w:next w:val="50"/>
    <w:autoRedefine/>
    <w:qFormat/>
    <w:uiPriority w:val="0"/>
    <w:pPr>
      <w:spacing w:after="120" w:line="480" w:lineRule="auto"/>
      <w:textAlignment w:val="baseline"/>
    </w:pPr>
  </w:style>
  <w:style w:type="paragraph" w:customStyle="1" w:styleId="52">
    <w:name w:val="BodyText1I2"/>
    <w:basedOn w:val="53"/>
    <w:autoRedefine/>
    <w:qFormat/>
    <w:uiPriority w:val="0"/>
    <w:pPr>
      <w:ind w:firstLine="420" w:firstLineChars="200"/>
    </w:pPr>
  </w:style>
  <w:style w:type="paragraph" w:customStyle="1" w:styleId="53">
    <w:name w:val="BodyTextIndent"/>
    <w:basedOn w:val="1"/>
    <w:autoRedefine/>
    <w:qFormat/>
    <w:uiPriority w:val="0"/>
    <w:pPr>
      <w:spacing w:after="120"/>
      <w:ind w:left="420" w:leftChars="200"/>
      <w:textAlignment w:val="baseline"/>
    </w:pPr>
  </w:style>
  <w:style w:type="paragraph" w:customStyle="1" w:styleId="54">
    <w:name w:val="TOAHeading"/>
    <w:basedOn w:val="1"/>
    <w:next w:val="1"/>
    <w:autoRedefine/>
    <w:qFormat/>
    <w:uiPriority w:val="0"/>
    <w:pPr>
      <w:spacing w:before="120"/>
      <w:textAlignment w:val="baseline"/>
    </w:pPr>
    <w:rPr>
      <w:rFonts w:ascii="Arial" w:hAnsi="Arial"/>
      <w:sz w:val="24"/>
      <w:szCs w:val="22"/>
    </w:rPr>
  </w:style>
  <w:style w:type="paragraph" w:customStyle="1" w:styleId="55">
    <w:name w:val="Table Paragraph"/>
    <w:basedOn w:val="1"/>
    <w:autoRedefine/>
    <w:qFormat/>
    <w:uiPriority w:val="1"/>
    <w:rPr>
      <w:rFonts w:ascii="宋体" w:hAnsi="宋体" w:cs="宋体"/>
      <w:lang w:val="zh-CN" w:bidi="zh-CN"/>
    </w:rPr>
  </w:style>
  <w:style w:type="paragraph" w:styleId="56">
    <w:name w:val="List Paragraph"/>
    <w:basedOn w:val="1"/>
    <w:autoRedefine/>
    <w:qFormat/>
    <w:uiPriority w:val="0"/>
    <w:pPr>
      <w:widowControl/>
      <w:ind w:left="720"/>
      <w:jc w:val="left"/>
    </w:pPr>
    <w:rPr>
      <w:rFonts w:hint="eastAsia" w:ascii="Calibri" w:hAnsi="Calibri"/>
      <w:kern w:val="0"/>
      <w:sz w:val="24"/>
      <w:lang w:eastAsia="en-US" w:bidi="en-US"/>
    </w:rPr>
  </w:style>
  <w:style w:type="paragraph" w:customStyle="1" w:styleId="57">
    <w:name w:val="_Style 41"/>
    <w:basedOn w:val="1"/>
    <w:next w:val="56"/>
    <w:autoRedefine/>
    <w:qFormat/>
    <w:uiPriority w:val="34"/>
    <w:pPr>
      <w:ind w:firstLine="420" w:firstLineChars="200"/>
    </w:pPr>
    <w:rPr>
      <w:rFonts w:ascii="等线" w:hAnsi="等线" w:eastAsia="等线"/>
      <w:szCs w:val="22"/>
    </w:rPr>
  </w:style>
  <w:style w:type="paragraph" w:customStyle="1" w:styleId="58">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5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批注文字 Char"/>
    <w:basedOn w:val="30"/>
    <w:link w:val="11"/>
    <w:autoRedefine/>
    <w:qFormat/>
    <w:uiPriority w:val="0"/>
    <w:rPr>
      <w:rFonts w:ascii="Book Antiqua" w:hAnsi="Book Antiqua"/>
      <w:kern w:val="2"/>
      <w:sz w:val="21"/>
      <w:szCs w:val="24"/>
    </w:rPr>
  </w:style>
  <w:style w:type="character" w:customStyle="1" w:styleId="61">
    <w:name w:val="批注主题 Char"/>
    <w:basedOn w:val="60"/>
    <w:link w:val="25"/>
    <w:autoRedefine/>
    <w:qFormat/>
    <w:uiPriority w:val="0"/>
    <w:rPr>
      <w:rFonts w:ascii="Book Antiqua" w:hAnsi="Book Antiqua"/>
      <w:b/>
      <w:bCs/>
      <w:kern w:val="2"/>
      <w:sz w:val="21"/>
      <w:szCs w:val="24"/>
    </w:rPr>
  </w:style>
  <w:style w:type="character" w:customStyle="1" w:styleId="62">
    <w:name w:val="批注框文本 Char"/>
    <w:basedOn w:val="30"/>
    <w:link w:val="17"/>
    <w:autoRedefine/>
    <w:qFormat/>
    <w:uiPriority w:val="0"/>
    <w:rPr>
      <w:rFonts w:ascii="Book Antiqua" w:hAnsi="Book Antiqua"/>
      <w:kern w:val="2"/>
      <w:sz w:val="18"/>
      <w:szCs w:val="18"/>
    </w:rPr>
  </w:style>
  <w:style w:type="paragraph" w:customStyle="1" w:styleId="63">
    <w:name w:val="修订1"/>
    <w:autoRedefine/>
    <w:hidden/>
    <w:semiHidden/>
    <w:qFormat/>
    <w:uiPriority w:val="99"/>
    <w:rPr>
      <w:rFonts w:ascii="Book Antiqua" w:hAnsi="Book Antiqua" w:eastAsia="宋体" w:cs="Times New Roman"/>
      <w:kern w:val="2"/>
      <w:sz w:val="21"/>
      <w:szCs w:val="24"/>
      <w:lang w:val="en-US" w:eastAsia="zh-CN" w:bidi="ar-SA"/>
    </w:rPr>
  </w:style>
  <w:style w:type="paragraph" w:customStyle="1" w:styleId="64">
    <w:name w:val="正文首行缩进 21"/>
    <w:basedOn w:val="1"/>
    <w:autoRedefine/>
    <w:qFormat/>
    <w:uiPriority w:val="0"/>
    <w:pPr>
      <w:tabs>
        <w:tab w:val="left" w:pos="945"/>
        <w:tab w:val="left" w:pos="1155"/>
      </w:tabs>
      <w:ind w:firstLine="420" w:firstLineChars="200"/>
    </w:pPr>
    <w:rPr>
      <w:rFonts w:ascii="宋体"/>
      <w:sz w:val="24"/>
      <w:szCs w:val="20"/>
    </w:rPr>
  </w:style>
  <w:style w:type="paragraph" w:customStyle="1" w:styleId="65">
    <w:name w:val="Table Text"/>
    <w:basedOn w:val="1"/>
    <w:semiHidden/>
    <w:qFormat/>
    <w:uiPriority w:val="0"/>
    <w:rPr>
      <w:rFonts w:ascii="宋体" w:hAnsi="宋体" w:eastAsia="宋体" w:cs="宋体"/>
      <w:sz w:val="24"/>
      <w:szCs w:val="24"/>
      <w:lang w:val="en-US" w:eastAsia="en-US" w:bidi="ar-SA"/>
    </w:rPr>
  </w:style>
  <w:style w:type="table" w:customStyle="1" w:styleId="66">
    <w:name w:val="Table Normal"/>
    <w:semiHidden/>
    <w:unhideWhenUsed/>
    <w:qFormat/>
    <w:uiPriority w:val="0"/>
    <w:tblPr>
      <w:tblCellMar>
        <w:top w:w="0" w:type="dxa"/>
        <w:left w:w="0" w:type="dxa"/>
        <w:bottom w:w="0" w:type="dxa"/>
        <w:right w:w="0" w:type="dxa"/>
      </w:tblCellMar>
    </w:tblPr>
  </w:style>
  <w:style w:type="character" w:customStyle="1" w:styleId="67">
    <w:name w:val="font31"/>
    <w:basedOn w:val="30"/>
    <w:qFormat/>
    <w:uiPriority w:val="0"/>
    <w:rPr>
      <w:rFonts w:hint="default" w:ascii="Times New Roman" w:hAnsi="Times New Roman" w:cs="Times New Roman"/>
      <w:color w:val="000000"/>
      <w:sz w:val="20"/>
      <w:szCs w:val="20"/>
      <w:u w:val="none"/>
    </w:rPr>
  </w:style>
  <w:style w:type="character" w:customStyle="1" w:styleId="68">
    <w:name w:val="font21"/>
    <w:basedOn w:val="30"/>
    <w:qFormat/>
    <w:uiPriority w:val="0"/>
    <w:rPr>
      <w:rFonts w:hint="eastAsia" w:ascii="仿宋" w:hAnsi="仿宋" w:eastAsia="仿宋" w:cs="仿宋"/>
      <w:color w:val="000000"/>
      <w:sz w:val="20"/>
      <w:szCs w:val="20"/>
      <w:u w:val="none"/>
    </w:rPr>
  </w:style>
  <w:style w:type="character" w:customStyle="1" w:styleId="69">
    <w:name w:val="font41"/>
    <w:basedOn w:val="30"/>
    <w:qFormat/>
    <w:uiPriority w:val="0"/>
    <w:rPr>
      <w:rFonts w:hint="eastAsia" w:ascii="仿宋" w:hAnsi="仿宋" w:eastAsia="仿宋" w:cs="仿宋"/>
      <w:color w:val="000000"/>
      <w:sz w:val="20"/>
      <w:szCs w:val="20"/>
      <w:u w:val="none"/>
    </w:rPr>
  </w:style>
  <w:style w:type="character" w:customStyle="1" w:styleId="70">
    <w:name w:val="font61"/>
    <w:basedOn w:val="30"/>
    <w:qFormat/>
    <w:uiPriority w:val="0"/>
    <w:rPr>
      <w:rFonts w:hint="default" w:ascii="Times New Roman" w:hAnsi="Times New Roman" w:cs="Times New Roman"/>
      <w:b/>
      <w:bCs/>
      <w:color w:val="000000"/>
      <w:sz w:val="20"/>
      <w:szCs w:val="20"/>
      <w:u w:val="none"/>
    </w:rPr>
  </w:style>
  <w:style w:type="character" w:customStyle="1" w:styleId="71">
    <w:name w:val="font51"/>
    <w:basedOn w:val="30"/>
    <w:qFormat/>
    <w:uiPriority w:val="0"/>
    <w:rPr>
      <w:rFonts w:hint="default" w:ascii="Times New Roman" w:hAnsi="Times New Roman" w:cs="Times New Roman"/>
      <w:color w:val="000000"/>
      <w:sz w:val="20"/>
      <w:szCs w:val="20"/>
      <w:u w:val="none"/>
    </w:rPr>
  </w:style>
  <w:style w:type="character" w:customStyle="1" w:styleId="72">
    <w:name w:val="font71"/>
    <w:basedOn w:val="30"/>
    <w:qFormat/>
    <w:uiPriority w:val="0"/>
    <w:rPr>
      <w:rFonts w:hint="eastAsia" w:ascii="宋体" w:hAnsi="宋体" w:eastAsia="宋体" w:cs="宋体"/>
      <w:color w:val="000000"/>
      <w:sz w:val="20"/>
      <w:szCs w:val="20"/>
      <w:u w:val="none"/>
    </w:rPr>
  </w:style>
  <w:style w:type="character" w:customStyle="1" w:styleId="73">
    <w:name w:val="font91"/>
    <w:basedOn w:val="30"/>
    <w:qFormat/>
    <w:uiPriority w:val="0"/>
    <w:rPr>
      <w:rFonts w:hint="default" w:ascii="Times New Roman" w:hAnsi="Times New Roman" w:cs="Times New Roman"/>
      <w:b/>
      <w:bCs/>
      <w:color w:val="000000"/>
      <w:sz w:val="20"/>
      <w:szCs w:val="20"/>
      <w:u w:val="none"/>
    </w:rPr>
  </w:style>
  <w:style w:type="character" w:customStyle="1" w:styleId="74">
    <w:name w:val="font101"/>
    <w:basedOn w:val="3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26373</Words>
  <Characters>29496</Characters>
  <Lines>268</Lines>
  <Paragraphs>75</Paragraphs>
  <TotalTime>5</TotalTime>
  <ScaleCrop>false</ScaleCrop>
  <LinksUpToDate>false</LinksUpToDate>
  <CharactersWithSpaces>31156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2023-08-10T15:29:00Z</dcterms:created>
  <dc:creator>DELL</dc:creator>
  <cp:lastModifiedBy>Administrator</cp:lastModifiedBy>
  <cp:lastPrinted>2024-06-25T08:02:00Z</cp:lastPrinted>
  <dcterms:modified xsi:type="dcterms:W3CDTF">2025-09-22T09:57:55Z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E0D8C6CD2E794858B6A4FBC7205C6EC9_13</vt:lpwstr>
  </property>
  <property fmtid="{D5CDD505-2E9C-101B-9397-08002B2CF9AE}" pid="4" name="_2015_ms_pID_725343">
    <vt:lpwstr>(3)FMrICvVpBBggM8t6Rn3Hw6T1tB90BlZSSgjBRATiVGgTR3z0p5bFXXJ4wOuIyA+7dlaCFRk7
jRnLtWuCXvDXxiy//dVQpP7/TS50Tb9S3BiOKMJ1Lbx4lgSFm+pwvJoCjMOmxTqbwFeEDIKz
DjBcJnHyAcnMX0U8D5e1uXpbYVj3GE22DazTdMO4ZdAYl1rxnYEQTcAbIki233HN97IF8Bya
H9xvF5VtgyCrp9X7DY</vt:lpwstr>
  </property>
  <property fmtid="{D5CDD505-2E9C-101B-9397-08002B2CF9AE}" pid="5" name="_2015_ms_pID_7253431">
    <vt:lpwstr>JjOFvZsR5LFbSzUlShXUjwk2WWJ9upwoOBmSfeaiFFNq+C8KI3OI/G
IW4qoRcUbhye+Tbz5zu5VZWpM1NM5vW6j+JI4xFoLMn3QsvfE8BPpGRARwDjWedl2IXaEQ90
1/N+ScAx8QDzruzH1ECXHpI2rZas+SitsTEePv47ISyLigEr7h0qKV4Efs2e4L1RH3Xoeh0u
VhONmb6Z3IbTXJ4WpeHtqjvGEQGGz1xLDPuq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1670230851</vt:lpwstr>
  </property>
  <property fmtid="{D5CDD505-2E9C-101B-9397-08002B2CF9AE}" pid="10" name="_2015_ms_pID_7253432">
    <vt:lpwstr>qxS+sYcYD6ebVqx5ntqygGo=</vt:lpwstr>
  </property>
  <property fmtid="{D5CDD505-2E9C-101B-9397-08002B2CF9AE}" pid="11" name="KSOTemplateDocerSaveRecord">
    <vt:lpwstr>eyJoZGlkIjoiZjFmZWIzNDg2MmIzZjExOTIzMmViNTBmYTMwYTk0ZWYiLCJ1c2VySWQiOiIxMjY5NzM4MjAzIn0=</vt:lpwstr>
  </property>
</Properties>
</file>