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74C90">
      <w:pPr>
        <w:snapToGrid w:val="0"/>
        <w:spacing w:line="360" w:lineRule="auto"/>
        <w:jc w:val="center"/>
        <w:rPr>
          <w:rFonts w:hint="eastAsia" w:ascii="宋体" w:hAnsi="宋体" w:cs="宋体"/>
          <w:b/>
          <w:color w:val="auto"/>
          <w:sz w:val="21"/>
          <w:szCs w:val="21"/>
          <w:highlight w:val="none"/>
          <w:lang w:eastAsia="zh-CN"/>
        </w:rPr>
      </w:pPr>
      <w:bookmarkStart w:id="0" w:name="_Toc281574833"/>
    </w:p>
    <w:p w14:paraId="13151CD7">
      <w:pPr>
        <w:snapToGrid w:val="0"/>
        <w:spacing w:line="360" w:lineRule="auto"/>
        <w:jc w:val="center"/>
        <w:rPr>
          <w:rFonts w:hint="eastAsia" w:ascii="宋体" w:hAnsi="宋体" w:eastAsia="宋体" w:cs="宋体"/>
          <w:b/>
          <w:color w:val="auto"/>
          <w:sz w:val="84"/>
          <w:szCs w:val="84"/>
          <w:highlight w:val="none"/>
        </w:rPr>
      </w:pPr>
      <w:r>
        <w:rPr>
          <w:rFonts w:hint="eastAsia" w:ascii="宋体" w:hAnsi="宋体" w:cs="宋体"/>
          <w:b/>
          <w:color w:val="auto"/>
          <w:sz w:val="48"/>
          <w:szCs w:val="48"/>
          <w:highlight w:val="none"/>
          <w:lang w:eastAsia="zh-CN"/>
        </w:rPr>
        <w:t>博爱县城市管理局博爱县全域环卫市场化项目</w:t>
      </w:r>
    </w:p>
    <w:p w14:paraId="1E426902">
      <w:pPr>
        <w:bidi w:val="0"/>
        <w:rPr>
          <w:rFonts w:hint="eastAsia" w:ascii="宋体" w:hAnsi="宋体" w:eastAsia="宋体" w:cs="宋体"/>
          <w:color w:val="auto"/>
          <w:highlight w:val="none"/>
        </w:rPr>
      </w:pPr>
    </w:p>
    <w:p w14:paraId="7CDCB2E0">
      <w:pPr>
        <w:bidi w:val="0"/>
        <w:rPr>
          <w:rFonts w:hint="eastAsia" w:ascii="宋体" w:hAnsi="宋体" w:eastAsia="宋体" w:cs="宋体"/>
          <w:color w:val="auto"/>
          <w:highlight w:val="none"/>
        </w:rPr>
      </w:pPr>
    </w:p>
    <w:p w14:paraId="1B170EEB">
      <w:pPr>
        <w:bidi w:val="0"/>
        <w:spacing w:line="360" w:lineRule="auto"/>
        <w:jc w:val="center"/>
        <w:rPr>
          <w:rFonts w:hint="eastAsia" w:ascii="宋体" w:hAnsi="宋体" w:eastAsia="宋体" w:cs="宋体"/>
          <w:color w:val="auto"/>
          <w:sz w:val="16"/>
          <w:szCs w:val="16"/>
          <w:highlight w:val="none"/>
        </w:rPr>
      </w:pPr>
      <w:r>
        <w:rPr>
          <w:rFonts w:hint="eastAsia" w:ascii="宋体" w:hAnsi="宋体" w:eastAsia="宋体" w:cs="宋体"/>
          <w:b/>
          <w:color w:val="auto"/>
          <w:sz w:val="96"/>
          <w:szCs w:val="96"/>
          <w:highlight w:val="none"/>
          <w:lang w:val="en-US" w:eastAsia="zh-CN"/>
        </w:rPr>
        <w:t xml:space="preserve">招 标 </w:t>
      </w:r>
      <w:r>
        <w:rPr>
          <w:rFonts w:hint="eastAsia" w:ascii="宋体" w:hAnsi="宋体" w:eastAsia="宋体" w:cs="宋体"/>
          <w:b/>
          <w:color w:val="auto"/>
          <w:sz w:val="96"/>
          <w:szCs w:val="96"/>
          <w:highlight w:val="none"/>
        </w:rPr>
        <w:t>文</w:t>
      </w:r>
      <w:r>
        <w:rPr>
          <w:rFonts w:hint="eastAsia" w:ascii="宋体" w:hAnsi="宋体" w:eastAsia="宋体" w:cs="宋体"/>
          <w:b/>
          <w:color w:val="auto"/>
          <w:sz w:val="96"/>
          <w:szCs w:val="96"/>
          <w:highlight w:val="none"/>
          <w:lang w:val="en-US" w:eastAsia="zh-CN"/>
        </w:rPr>
        <w:t xml:space="preserve"> </w:t>
      </w:r>
      <w:r>
        <w:rPr>
          <w:rFonts w:hint="eastAsia" w:ascii="宋体" w:hAnsi="宋体" w:eastAsia="宋体" w:cs="宋体"/>
          <w:b/>
          <w:color w:val="auto"/>
          <w:sz w:val="96"/>
          <w:szCs w:val="96"/>
          <w:highlight w:val="none"/>
        </w:rPr>
        <w:t>件</w:t>
      </w:r>
    </w:p>
    <w:p w14:paraId="6F61B28E">
      <w:pPr>
        <w:bidi w:val="0"/>
        <w:rPr>
          <w:rFonts w:hint="eastAsia" w:ascii="宋体" w:hAnsi="宋体" w:eastAsia="宋体" w:cs="宋体"/>
          <w:color w:val="auto"/>
          <w:highlight w:val="none"/>
        </w:rPr>
      </w:pPr>
    </w:p>
    <w:p w14:paraId="31FE4A98">
      <w:pPr>
        <w:bidi w:val="0"/>
        <w:rPr>
          <w:rFonts w:hint="eastAsia" w:ascii="宋体" w:hAnsi="宋体" w:eastAsia="宋体" w:cs="宋体"/>
          <w:color w:val="auto"/>
          <w:highlight w:val="none"/>
        </w:rPr>
      </w:pPr>
    </w:p>
    <w:p w14:paraId="221DC24D">
      <w:pPr>
        <w:bidi w:val="0"/>
        <w:spacing w:line="360" w:lineRule="auto"/>
        <w:rPr>
          <w:rFonts w:hint="eastAsia" w:ascii="宋体" w:hAnsi="宋体" w:eastAsia="宋体" w:cs="宋体"/>
          <w:color w:val="auto"/>
          <w:sz w:val="16"/>
          <w:szCs w:val="16"/>
          <w:highlight w:val="none"/>
        </w:rPr>
      </w:pPr>
    </w:p>
    <w:p w14:paraId="519FE869">
      <w:pPr>
        <w:bidi w:val="0"/>
        <w:spacing w:line="360" w:lineRule="auto"/>
        <w:jc w:val="center"/>
        <w:rPr>
          <w:rFonts w:hint="eastAsia" w:ascii="宋体" w:hAnsi="宋体" w:eastAsia="宋体" w:cs="宋体"/>
          <w:color w:val="auto"/>
          <w:sz w:val="44"/>
          <w:szCs w:val="44"/>
          <w:highlight w:val="none"/>
          <w:lang w:eastAsia="zh-CN"/>
        </w:rPr>
      </w:pPr>
      <w:r>
        <w:rPr>
          <w:rFonts w:hint="eastAsia" w:ascii="宋体" w:hAnsi="宋体" w:eastAsia="宋体" w:cs="宋体"/>
          <w:color w:val="auto"/>
          <w:sz w:val="44"/>
          <w:szCs w:val="44"/>
          <w:highlight w:val="none"/>
          <w:lang w:eastAsia="zh-CN"/>
        </w:rPr>
        <w:drawing>
          <wp:inline distT="0" distB="0" distL="114300" distR="114300">
            <wp:extent cx="2184400" cy="2016760"/>
            <wp:effectExtent l="0" t="0" r="10160" b="1016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a:stretch>
                      <a:fillRect/>
                    </a:stretch>
                  </pic:blipFill>
                  <pic:spPr>
                    <a:xfrm>
                      <a:off x="0" y="0"/>
                      <a:ext cx="2184400" cy="2016760"/>
                    </a:xfrm>
                    <a:prstGeom prst="rect">
                      <a:avLst/>
                    </a:prstGeom>
                    <a:noFill/>
                    <a:ln>
                      <a:noFill/>
                    </a:ln>
                  </pic:spPr>
                </pic:pic>
              </a:graphicData>
            </a:graphic>
          </wp:inline>
        </w:drawing>
      </w:r>
    </w:p>
    <w:p w14:paraId="7DD5CE84">
      <w:pPr>
        <w:bidi w:val="0"/>
        <w:rPr>
          <w:rFonts w:hint="eastAsia" w:ascii="宋体" w:hAnsi="宋体" w:eastAsia="宋体" w:cs="宋体"/>
          <w:color w:val="auto"/>
          <w:highlight w:val="none"/>
        </w:rPr>
      </w:pPr>
    </w:p>
    <w:p w14:paraId="12599EC4">
      <w:pPr>
        <w:bidi w:val="0"/>
        <w:rPr>
          <w:rFonts w:hint="eastAsia" w:ascii="宋体" w:hAnsi="宋体" w:eastAsia="宋体" w:cs="宋体"/>
          <w:color w:val="auto"/>
          <w:highlight w:val="none"/>
        </w:rPr>
      </w:pPr>
    </w:p>
    <w:p w14:paraId="5BE307C5">
      <w:pPr>
        <w:bidi w:val="0"/>
        <w:rPr>
          <w:rFonts w:hint="eastAsia" w:ascii="宋体" w:hAnsi="宋体" w:eastAsia="宋体" w:cs="宋体"/>
          <w:color w:val="auto"/>
          <w:highlight w:val="none"/>
        </w:rPr>
      </w:pPr>
    </w:p>
    <w:p w14:paraId="396EF368">
      <w:pPr>
        <w:bidi w:val="0"/>
        <w:rPr>
          <w:rFonts w:hint="eastAsia" w:ascii="宋体" w:hAnsi="宋体" w:eastAsia="宋体" w:cs="宋体"/>
          <w:color w:val="auto"/>
          <w:highlight w:val="none"/>
        </w:rPr>
      </w:pPr>
    </w:p>
    <w:tbl>
      <w:tblPr>
        <w:tblStyle w:val="21"/>
        <w:tblW w:w="0" w:type="auto"/>
        <w:jc w:val="center"/>
        <w:tblLayout w:type="fixed"/>
        <w:tblCellMar>
          <w:top w:w="0" w:type="dxa"/>
          <w:left w:w="108" w:type="dxa"/>
          <w:bottom w:w="0" w:type="dxa"/>
          <w:right w:w="108" w:type="dxa"/>
        </w:tblCellMar>
      </w:tblPr>
      <w:tblGrid>
        <w:gridCol w:w="1670"/>
        <w:gridCol w:w="4875"/>
      </w:tblGrid>
      <w:tr w14:paraId="5C9FF6B4">
        <w:tblPrEx>
          <w:tblCellMar>
            <w:top w:w="0" w:type="dxa"/>
            <w:left w:w="108" w:type="dxa"/>
            <w:bottom w:w="0" w:type="dxa"/>
            <w:right w:w="108" w:type="dxa"/>
          </w:tblCellMar>
        </w:tblPrEx>
        <w:trPr>
          <w:trHeight w:val="621" w:hRule="atLeast"/>
          <w:jc w:val="center"/>
        </w:trPr>
        <w:tc>
          <w:tcPr>
            <w:tcW w:w="1670" w:type="dxa"/>
            <w:vAlign w:val="center"/>
          </w:tcPr>
          <w:p w14:paraId="1F53D88C">
            <w:pPr>
              <w:pStyle w:val="26"/>
              <w:snapToGrid w:val="0"/>
              <w:jc w:val="center"/>
              <w:rPr>
                <w:rFonts w:hint="default" w:hAnsi="宋体" w:cs="宋体"/>
                <w:color w:val="auto"/>
                <w:sz w:val="30"/>
                <w:szCs w:val="30"/>
                <w:highlight w:val="none"/>
              </w:rPr>
            </w:pPr>
            <w:r>
              <w:rPr>
                <w:rFonts w:hAnsi="宋体" w:cs="宋体"/>
                <w:b/>
                <w:color w:val="auto"/>
                <w:sz w:val="30"/>
                <w:szCs w:val="30"/>
                <w:highlight w:val="none"/>
              </w:rPr>
              <w:t>采购编号：</w:t>
            </w:r>
          </w:p>
        </w:tc>
        <w:tc>
          <w:tcPr>
            <w:tcW w:w="4875" w:type="dxa"/>
            <w:vAlign w:val="center"/>
          </w:tcPr>
          <w:p w14:paraId="5F0C88D3">
            <w:pPr>
              <w:pStyle w:val="26"/>
              <w:snapToGrid w:val="0"/>
              <w:rPr>
                <w:rFonts w:hint="default" w:hAnsi="宋体" w:eastAsia="宋体" w:cs="宋体"/>
                <w:b/>
                <w:color w:val="auto"/>
                <w:sz w:val="30"/>
                <w:szCs w:val="30"/>
                <w:highlight w:val="none"/>
                <w:lang w:val="en-US" w:eastAsia="zh-CN"/>
              </w:rPr>
            </w:pPr>
            <w:r>
              <w:rPr>
                <w:rFonts w:hAnsi="宋体" w:cs="宋体"/>
                <w:b/>
                <w:color w:val="auto"/>
                <w:sz w:val="30"/>
                <w:szCs w:val="30"/>
                <w:highlight w:val="none"/>
              </w:rPr>
              <w:t>博政采购【2025】141号</w:t>
            </w:r>
          </w:p>
        </w:tc>
      </w:tr>
      <w:tr w14:paraId="6ADADD8B">
        <w:tblPrEx>
          <w:tblCellMar>
            <w:top w:w="0" w:type="dxa"/>
            <w:left w:w="108" w:type="dxa"/>
            <w:bottom w:w="0" w:type="dxa"/>
            <w:right w:w="108" w:type="dxa"/>
          </w:tblCellMar>
        </w:tblPrEx>
        <w:trPr>
          <w:trHeight w:val="621" w:hRule="atLeast"/>
          <w:jc w:val="center"/>
        </w:trPr>
        <w:tc>
          <w:tcPr>
            <w:tcW w:w="1670" w:type="dxa"/>
            <w:vAlign w:val="center"/>
          </w:tcPr>
          <w:p w14:paraId="325E7833">
            <w:pPr>
              <w:pStyle w:val="26"/>
              <w:snapToGrid w:val="0"/>
              <w:jc w:val="center"/>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lang w:val="en-US" w:eastAsia="zh-CN"/>
              </w:rPr>
              <w:t>项目编号：</w:t>
            </w:r>
          </w:p>
        </w:tc>
        <w:tc>
          <w:tcPr>
            <w:tcW w:w="4875" w:type="dxa"/>
            <w:vAlign w:val="center"/>
          </w:tcPr>
          <w:p w14:paraId="26AB8CE9">
            <w:pPr>
              <w:pStyle w:val="26"/>
              <w:snapToGrid w:val="0"/>
              <w:rPr>
                <w:rFonts w:hAnsi="宋体" w:cs="宋体"/>
                <w:b/>
                <w:color w:val="auto"/>
                <w:sz w:val="30"/>
                <w:szCs w:val="30"/>
                <w:highlight w:val="none"/>
              </w:rPr>
            </w:pPr>
            <w:r>
              <w:rPr>
                <w:rFonts w:hint="eastAsia" w:hAnsi="宋体" w:cs="宋体"/>
                <w:b/>
                <w:color w:val="auto"/>
                <w:sz w:val="30"/>
                <w:szCs w:val="30"/>
                <w:highlight w:val="none"/>
                <w:lang w:eastAsia="zh-CN"/>
              </w:rPr>
              <w:t>博财招标采购-2025-2</w:t>
            </w:r>
            <w:r>
              <w:rPr>
                <w:rFonts w:hint="eastAsia" w:hAnsi="宋体" w:cs="宋体"/>
                <w:b/>
                <w:color w:val="auto"/>
                <w:sz w:val="30"/>
                <w:szCs w:val="30"/>
                <w:highlight w:val="none"/>
                <w:lang w:val="en-US" w:eastAsia="zh-CN"/>
              </w:rPr>
              <w:t>4</w:t>
            </w:r>
          </w:p>
        </w:tc>
      </w:tr>
      <w:tr w14:paraId="0D722314">
        <w:tblPrEx>
          <w:tblCellMar>
            <w:top w:w="0" w:type="dxa"/>
            <w:left w:w="108" w:type="dxa"/>
            <w:bottom w:w="0" w:type="dxa"/>
            <w:right w:w="108" w:type="dxa"/>
          </w:tblCellMar>
        </w:tblPrEx>
        <w:trPr>
          <w:trHeight w:val="621" w:hRule="atLeast"/>
          <w:jc w:val="center"/>
        </w:trPr>
        <w:tc>
          <w:tcPr>
            <w:tcW w:w="1670" w:type="dxa"/>
            <w:vAlign w:val="center"/>
          </w:tcPr>
          <w:p w14:paraId="4B219056">
            <w:pPr>
              <w:pStyle w:val="26"/>
              <w:snapToGrid w:val="0"/>
              <w:jc w:val="center"/>
              <w:rPr>
                <w:rFonts w:hint="default" w:hAnsi="宋体" w:cs="宋体"/>
                <w:b/>
                <w:color w:val="auto"/>
                <w:sz w:val="30"/>
                <w:szCs w:val="30"/>
                <w:highlight w:val="none"/>
              </w:rPr>
            </w:pPr>
            <w:r>
              <w:rPr>
                <w:rFonts w:hint="eastAsia" w:hAnsi="宋体" w:cs="宋体"/>
                <w:b/>
                <w:color w:val="auto"/>
                <w:sz w:val="30"/>
                <w:szCs w:val="30"/>
                <w:highlight w:val="none"/>
                <w:lang w:val="en-US" w:eastAsia="zh-CN"/>
              </w:rPr>
              <w:t>采 购</w:t>
            </w:r>
            <w:r>
              <w:rPr>
                <w:rFonts w:hAnsi="宋体" w:cs="宋体"/>
                <w:b/>
                <w:color w:val="auto"/>
                <w:sz w:val="30"/>
                <w:szCs w:val="30"/>
                <w:highlight w:val="none"/>
              </w:rPr>
              <w:t xml:space="preserve"> 人：</w:t>
            </w:r>
          </w:p>
        </w:tc>
        <w:tc>
          <w:tcPr>
            <w:tcW w:w="4875" w:type="dxa"/>
            <w:vAlign w:val="center"/>
          </w:tcPr>
          <w:p w14:paraId="44B253F6">
            <w:pPr>
              <w:pStyle w:val="26"/>
              <w:snapToGrid w:val="0"/>
              <w:rPr>
                <w:rFonts w:hint="default" w:hAnsi="宋体" w:cs="宋体"/>
                <w:b/>
                <w:color w:val="auto"/>
                <w:sz w:val="30"/>
                <w:szCs w:val="30"/>
                <w:highlight w:val="none"/>
              </w:rPr>
            </w:pPr>
            <w:r>
              <w:rPr>
                <w:rFonts w:hAnsi="宋体" w:cs="宋体"/>
                <w:b/>
                <w:color w:val="auto"/>
                <w:sz w:val="30"/>
                <w:szCs w:val="30"/>
                <w:highlight w:val="none"/>
              </w:rPr>
              <w:t>博爱县城市管理局</w:t>
            </w:r>
          </w:p>
        </w:tc>
      </w:tr>
      <w:tr w14:paraId="74D0A2A0">
        <w:tblPrEx>
          <w:tblCellMar>
            <w:top w:w="0" w:type="dxa"/>
            <w:left w:w="108" w:type="dxa"/>
            <w:bottom w:w="0" w:type="dxa"/>
            <w:right w:w="108" w:type="dxa"/>
          </w:tblCellMar>
        </w:tblPrEx>
        <w:trPr>
          <w:trHeight w:val="621" w:hRule="atLeast"/>
          <w:jc w:val="center"/>
        </w:trPr>
        <w:tc>
          <w:tcPr>
            <w:tcW w:w="1670" w:type="dxa"/>
            <w:vAlign w:val="center"/>
          </w:tcPr>
          <w:p w14:paraId="1841BB5B">
            <w:pPr>
              <w:pStyle w:val="26"/>
              <w:snapToGrid w:val="0"/>
              <w:jc w:val="center"/>
              <w:rPr>
                <w:rFonts w:hint="default" w:hAnsi="宋体" w:cs="宋体"/>
                <w:color w:val="auto"/>
                <w:sz w:val="30"/>
                <w:szCs w:val="30"/>
              </w:rPr>
            </w:pPr>
            <w:r>
              <w:rPr>
                <w:rFonts w:hAnsi="宋体" w:cs="宋体"/>
                <w:b/>
                <w:color w:val="auto"/>
                <w:sz w:val="30"/>
                <w:szCs w:val="30"/>
              </w:rPr>
              <w:t>代理机构：</w:t>
            </w:r>
          </w:p>
        </w:tc>
        <w:tc>
          <w:tcPr>
            <w:tcW w:w="4875" w:type="dxa"/>
            <w:vAlign w:val="center"/>
          </w:tcPr>
          <w:p w14:paraId="55AD8817">
            <w:pPr>
              <w:pStyle w:val="26"/>
              <w:snapToGrid w:val="0"/>
              <w:rPr>
                <w:rFonts w:hint="default" w:hAnsi="宋体" w:cs="宋体"/>
                <w:b/>
                <w:color w:val="auto"/>
                <w:sz w:val="30"/>
                <w:szCs w:val="30"/>
              </w:rPr>
            </w:pPr>
            <w:r>
              <w:rPr>
                <w:rFonts w:hAnsi="宋体" w:cs="宋体"/>
                <w:b/>
                <w:color w:val="auto"/>
                <w:sz w:val="30"/>
                <w:szCs w:val="30"/>
              </w:rPr>
              <w:t>河南领秀工程造价咨询有限公司</w:t>
            </w:r>
          </w:p>
        </w:tc>
      </w:tr>
      <w:tr w14:paraId="4CF86658">
        <w:tblPrEx>
          <w:tblCellMar>
            <w:top w:w="0" w:type="dxa"/>
            <w:left w:w="108" w:type="dxa"/>
            <w:bottom w:w="0" w:type="dxa"/>
            <w:right w:w="108" w:type="dxa"/>
          </w:tblCellMar>
        </w:tblPrEx>
        <w:trPr>
          <w:trHeight w:val="634" w:hRule="atLeast"/>
          <w:jc w:val="center"/>
        </w:trPr>
        <w:tc>
          <w:tcPr>
            <w:tcW w:w="1670" w:type="dxa"/>
            <w:vAlign w:val="center"/>
          </w:tcPr>
          <w:p w14:paraId="278595CA">
            <w:pPr>
              <w:tabs>
                <w:tab w:val="left" w:pos="420"/>
              </w:tabs>
              <w:snapToGrid w:val="0"/>
              <w:jc w:val="center"/>
              <w:rPr>
                <w:rFonts w:ascii="宋体" w:hAnsi="宋体" w:cs="宋体"/>
                <w:sz w:val="30"/>
                <w:szCs w:val="30"/>
              </w:rPr>
            </w:pPr>
            <w:r>
              <w:rPr>
                <w:rFonts w:hint="eastAsia" w:ascii="宋体" w:hAnsi="宋体" w:cs="宋体"/>
                <w:b/>
                <w:sz w:val="30"/>
                <w:szCs w:val="30"/>
              </w:rPr>
              <w:t>日    期：</w:t>
            </w:r>
          </w:p>
        </w:tc>
        <w:tc>
          <w:tcPr>
            <w:tcW w:w="4875" w:type="dxa"/>
            <w:vAlign w:val="center"/>
          </w:tcPr>
          <w:p w14:paraId="7E3939D5">
            <w:pPr>
              <w:pStyle w:val="26"/>
              <w:snapToGrid w:val="0"/>
              <w:rPr>
                <w:rFonts w:hint="default" w:hAnsi="宋体" w:cs="宋体"/>
                <w:b/>
                <w:color w:val="auto"/>
                <w:sz w:val="30"/>
                <w:szCs w:val="30"/>
              </w:rPr>
            </w:pPr>
            <w:r>
              <w:rPr>
                <w:rFonts w:hAnsi="宋体" w:cs="宋体"/>
                <w:b/>
                <w:color w:val="auto"/>
                <w:sz w:val="30"/>
                <w:szCs w:val="30"/>
              </w:rPr>
              <w:t>二〇二五年十二月</w:t>
            </w:r>
          </w:p>
        </w:tc>
      </w:tr>
    </w:tbl>
    <w:p w14:paraId="7074B1E2">
      <w:pPr>
        <w:snapToGrid w:val="0"/>
        <w:spacing w:line="360" w:lineRule="auto"/>
        <w:ind w:firstLine="2249" w:firstLineChars="700"/>
        <w:rPr>
          <w:rFonts w:ascii="宋体" w:hAnsi="宋体" w:eastAsia="宋体" w:cs="宋体"/>
          <w:b/>
          <w:bCs/>
          <w:color w:val="000000" w:themeColor="text1"/>
          <w:sz w:val="32"/>
          <w:szCs w:val="32"/>
          <w:highlight w:val="none"/>
          <w14:textFill>
            <w14:solidFill>
              <w14:schemeClr w14:val="tx1"/>
            </w14:solidFill>
          </w14:textFill>
        </w:rPr>
        <w:sectPr>
          <w:footerReference r:id="rId4" w:type="first"/>
          <w:footerReference r:id="rId3" w:type="default"/>
          <w:pgSz w:w="11907" w:h="16840"/>
          <w:pgMar w:top="1417" w:right="1474" w:bottom="1417" w:left="1474" w:header="567" w:footer="998" w:gutter="0"/>
          <w:pgNumType w:fmt="numberInDash" w:start="1"/>
          <w:cols w:space="720" w:num="1"/>
          <w:docGrid w:type="lines" w:linePitch="380" w:charSpace="0"/>
        </w:sectPr>
      </w:pPr>
    </w:p>
    <w:p w14:paraId="5077C3FF">
      <w:pPr>
        <w:jc w:val="center"/>
        <w:rPr>
          <w:rFonts w:ascii="宋体" w:hAnsi="宋体" w:eastAsia="宋体" w:cs="宋体"/>
          <w:b/>
          <w:bCs/>
          <w:color w:val="000000" w:themeColor="text1"/>
          <w:sz w:val="32"/>
          <w:szCs w:val="32"/>
          <w:highlight w:val="none"/>
          <w14:textFill>
            <w14:solidFill>
              <w14:schemeClr w14:val="tx1"/>
            </w14:solidFill>
          </w14:textFill>
        </w:rPr>
      </w:pPr>
    </w:p>
    <w:p w14:paraId="28DD4E22">
      <w:pPr>
        <w:jc w:val="center"/>
        <w:outlineLvl w:val="0"/>
        <w:rPr>
          <w:rFonts w:ascii="宋体" w:hAnsi="宋体" w:eastAsia="宋体" w:cs="宋体"/>
          <w:b/>
          <w:bCs/>
          <w:color w:val="000000" w:themeColor="text1"/>
          <w:sz w:val="44"/>
          <w:szCs w:val="44"/>
          <w:highlight w:val="none"/>
          <w14:textFill>
            <w14:solidFill>
              <w14:schemeClr w14:val="tx1"/>
            </w14:solidFill>
          </w14:textFill>
        </w:rPr>
      </w:pPr>
      <w:bookmarkStart w:id="1" w:name="_Toc20918"/>
      <w:r>
        <w:rPr>
          <w:rFonts w:hint="eastAsia" w:ascii="宋体" w:hAnsi="宋体" w:eastAsia="宋体" w:cs="宋体"/>
          <w:b/>
          <w:bCs/>
          <w:color w:val="000000" w:themeColor="text1"/>
          <w:sz w:val="44"/>
          <w:szCs w:val="44"/>
          <w:highlight w:val="none"/>
          <w14:textFill>
            <w14:solidFill>
              <w14:schemeClr w14:val="tx1"/>
            </w14:solidFill>
          </w14:textFill>
        </w:rPr>
        <w:t>目     录</w:t>
      </w:r>
      <w:bookmarkEnd w:id="1"/>
    </w:p>
    <w:p w14:paraId="18FF042D">
      <w:pPr>
        <w:jc w:val="both"/>
        <w:rPr>
          <w:color w:val="000000" w:themeColor="text1"/>
          <w:highlight w:val="none"/>
          <w14:textFill>
            <w14:solidFill>
              <w14:schemeClr w14:val="tx1"/>
            </w14:solidFill>
          </w14:textFill>
        </w:rPr>
      </w:pPr>
    </w:p>
    <w:p w14:paraId="06CBF4C1">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bCs/>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_Toc23358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重要事项提示</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_Toc23358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213E803E">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_Toc21165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rPr>
        <w:t xml:space="preserve">第一章 </w:t>
      </w:r>
      <w:r>
        <w:rPr>
          <w:rFonts w:hint="eastAsia" w:ascii="宋体" w:hAnsi="宋体" w:eastAsia="宋体" w:cs="宋体"/>
          <w:bCs/>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_Toc21165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3F14388">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_Toc16509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_Toc16509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441E6D09">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_Toc2596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rPr>
        <w:t xml:space="preserve">第三章 </w:t>
      </w:r>
      <w:r>
        <w:rPr>
          <w:rFonts w:hint="eastAsia" w:ascii="宋体" w:hAnsi="宋体" w:eastAsia="宋体" w:cs="宋体"/>
          <w:sz w:val="28"/>
          <w:szCs w:val="28"/>
          <w:highlight w:val="none"/>
        </w:rPr>
        <w:t>评标办法（综合评分法）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_Toc2596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635FA04">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_Toc1430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rPr>
        <w:t xml:space="preserve">第四章 </w:t>
      </w:r>
      <w:r>
        <w:rPr>
          <w:rFonts w:hint="eastAsia" w:ascii="宋体" w:hAnsi="宋体" w:eastAsia="宋体" w:cs="宋体"/>
          <w:sz w:val="28"/>
          <w:szCs w:val="28"/>
          <w:highlight w:val="none"/>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_Toc1430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3A4F00B1">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_Toc5373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rPr>
        <w:t xml:space="preserve">第五章 </w:t>
      </w:r>
      <w:r>
        <w:rPr>
          <w:rFonts w:hint="eastAsia" w:ascii="宋体" w:hAnsi="宋体" w:eastAsia="宋体" w:cs="宋体"/>
          <w:bCs/>
          <w:sz w:val="28"/>
          <w:szCs w:val="28"/>
          <w:highlight w:val="none"/>
        </w:rPr>
        <w:t>采购内容及技术要求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_Toc5373 \h </w:instrText>
      </w:r>
      <w:r>
        <w:rPr>
          <w:rFonts w:hint="eastAsia" w:ascii="宋体" w:hAnsi="宋体" w:eastAsia="宋体" w:cs="宋体"/>
          <w:sz w:val="28"/>
          <w:szCs w:val="28"/>
        </w:rPr>
        <w:fldChar w:fldCharType="separate"/>
      </w:r>
      <w:r>
        <w:rPr>
          <w:rFonts w:hint="eastAsia" w:ascii="宋体" w:hAnsi="宋体" w:eastAsia="宋体" w:cs="宋体"/>
          <w:sz w:val="28"/>
          <w:szCs w:val="28"/>
        </w:rPr>
        <w:t>36</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3E86CEB">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_Toc190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highlight w:val="none"/>
        </w:rPr>
        <w:t>第六章 质疑与投诉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_Toc190 \h </w:instrText>
      </w:r>
      <w:r>
        <w:rPr>
          <w:rFonts w:hint="eastAsia" w:ascii="宋体" w:hAnsi="宋体" w:eastAsia="宋体" w:cs="宋体"/>
          <w:sz w:val="28"/>
          <w:szCs w:val="28"/>
        </w:rPr>
        <w:fldChar w:fldCharType="separate"/>
      </w:r>
      <w:r>
        <w:rPr>
          <w:rFonts w:hint="eastAsia" w:ascii="宋体" w:hAnsi="宋体" w:eastAsia="宋体" w:cs="宋体"/>
          <w:sz w:val="28"/>
          <w:szCs w:val="28"/>
        </w:rPr>
        <w:t>77</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65F3400B">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_Toc21002 </w:instrText>
      </w:r>
      <w:r>
        <w:rPr>
          <w:rFonts w:hint="eastAsia" w:ascii="宋体" w:hAnsi="宋体" w:eastAsia="宋体" w:cs="宋体"/>
          <w:bCs/>
          <w:sz w:val="28"/>
          <w:szCs w:val="28"/>
          <w:highlight w:val="none"/>
        </w:rPr>
        <w:fldChar w:fldCharType="separate"/>
      </w:r>
      <w:r>
        <w:rPr>
          <w:rFonts w:hint="eastAsia" w:ascii="宋体" w:hAnsi="宋体" w:eastAsia="宋体" w:cs="宋体"/>
          <w:bCs/>
          <w:sz w:val="28"/>
          <w:szCs w:val="28"/>
          <w:highlight w:val="none"/>
        </w:rPr>
        <w:t>第七章 履约验收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_Toc21002 \h </w:instrText>
      </w:r>
      <w:r>
        <w:rPr>
          <w:rFonts w:hint="eastAsia" w:ascii="宋体" w:hAnsi="宋体" w:eastAsia="宋体" w:cs="宋体"/>
          <w:sz w:val="28"/>
          <w:szCs w:val="28"/>
        </w:rPr>
        <w:fldChar w:fldCharType="separate"/>
      </w:r>
      <w:r>
        <w:rPr>
          <w:rFonts w:hint="eastAsia" w:ascii="宋体" w:hAnsi="宋体" w:eastAsia="宋体" w:cs="宋体"/>
          <w:sz w:val="28"/>
          <w:szCs w:val="28"/>
        </w:rPr>
        <w:t>79</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6DD1033B">
      <w:pPr>
        <w:pStyle w:val="14"/>
        <w:keepNext w:val="0"/>
        <w:keepLines w:val="0"/>
        <w:pageBreakBefore w:val="0"/>
        <w:widowControl w:val="0"/>
        <w:tabs>
          <w:tab w:val="right" w:leader="dot" w:pos="8845"/>
        </w:tabs>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Cs/>
          <w:color w:val="000000" w:themeColor="text1"/>
          <w:sz w:val="28"/>
          <w:szCs w:val="28"/>
          <w:highlight w:val="none"/>
          <w14:textFill>
            <w14:solidFill>
              <w14:schemeClr w14:val="tx1"/>
            </w14:solidFill>
          </w14:textFill>
        </w:rPr>
        <w:fldChar w:fldCharType="begin"/>
      </w:r>
      <w:r>
        <w:rPr>
          <w:rFonts w:hint="eastAsia" w:ascii="宋体" w:hAnsi="宋体" w:eastAsia="宋体" w:cs="宋体"/>
          <w:bCs/>
          <w:sz w:val="28"/>
          <w:szCs w:val="28"/>
          <w:highlight w:val="none"/>
        </w:rPr>
        <w:instrText xml:space="preserve"> HYPERLINK \l _Toc14637 </w:instrText>
      </w:r>
      <w:r>
        <w:rPr>
          <w:rFonts w:hint="eastAsia" w:ascii="宋体" w:hAnsi="宋体" w:eastAsia="宋体" w:cs="宋体"/>
          <w:bCs/>
          <w:sz w:val="28"/>
          <w:szCs w:val="28"/>
          <w:highlight w:val="none"/>
        </w:rPr>
        <w:fldChar w:fldCharType="separate"/>
      </w:r>
      <w:r>
        <w:rPr>
          <w:rFonts w:hint="eastAsia" w:ascii="宋体" w:hAnsi="宋体" w:eastAsia="宋体" w:cs="宋体"/>
          <w:sz w:val="28"/>
          <w:szCs w:val="28"/>
        </w:rPr>
        <w:t xml:space="preserve">第八章 </w:t>
      </w:r>
      <w:r>
        <w:rPr>
          <w:rFonts w:hint="eastAsia" w:ascii="宋体" w:hAnsi="宋体" w:eastAsia="宋体" w:cs="宋体"/>
          <w:sz w:val="28"/>
          <w:szCs w:val="28"/>
          <w:highlight w:val="none"/>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_Toc14637 \h </w:instrText>
      </w:r>
      <w:r>
        <w:rPr>
          <w:rFonts w:hint="eastAsia" w:ascii="宋体" w:hAnsi="宋体" w:eastAsia="宋体" w:cs="宋体"/>
          <w:sz w:val="28"/>
          <w:szCs w:val="28"/>
        </w:rPr>
        <w:fldChar w:fldCharType="separate"/>
      </w:r>
      <w:r>
        <w:rPr>
          <w:rFonts w:hint="eastAsia" w:ascii="宋体" w:hAnsi="宋体" w:eastAsia="宋体" w:cs="宋体"/>
          <w:sz w:val="28"/>
          <w:szCs w:val="28"/>
        </w:rPr>
        <w:t>80</w:t>
      </w:r>
      <w:r>
        <w:rPr>
          <w:rFonts w:hint="eastAsia" w:ascii="宋体" w:hAnsi="宋体" w:eastAsia="宋体" w:cs="宋体"/>
          <w:sz w:val="28"/>
          <w:szCs w:val="28"/>
        </w:rPr>
        <w:fldChar w:fldCharType="end"/>
      </w: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5F35D2E3">
      <w:pPr>
        <w:pStyle w:val="18"/>
        <w:keepNext w:val="0"/>
        <w:keepLines w:val="0"/>
        <w:pageBreakBefore w:val="0"/>
        <w:widowControl w:val="0"/>
        <w:kinsoku/>
        <w:wordWrap/>
        <w:overflowPunct/>
        <w:topLinePunct w:val="0"/>
        <w:autoSpaceDE/>
        <w:autoSpaceDN/>
        <w:bidi w:val="0"/>
        <w:adjustRightInd/>
        <w:snapToGrid/>
        <w:spacing w:line="360" w:lineRule="auto"/>
        <w:ind w:right="-63" w:rightChars="-30"/>
        <w:jc w:val="both"/>
        <w:textAlignment w:val="auto"/>
        <w:outlineLvl w:val="9"/>
        <w:rPr>
          <w:rFonts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 w:val="28"/>
          <w:szCs w:val="28"/>
          <w:highlight w:val="none"/>
          <w14:textFill>
            <w14:solidFill>
              <w14:schemeClr w14:val="tx1"/>
            </w14:solidFill>
          </w14:textFill>
        </w:rPr>
        <w:fldChar w:fldCharType="end"/>
      </w:r>
    </w:p>
    <w:p w14:paraId="662FBAAF">
      <w:pPr>
        <w:pStyle w:val="18"/>
        <w:spacing w:line="360" w:lineRule="auto"/>
        <w:ind w:right="-63" w:rightChars="-30"/>
        <w:outlineLvl w:val="9"/>
        <w:rPr>
          <w:rFonts w:ascii="宋体" w:hAnsi="宋体" w:eastAsia="宋体" w:cs="宋体"/>
          <w:bCs/>
          <w:color w:val="000000" w:themeColor="text1"/>
          <w:highlight w:val="none"/>
          <w14:textFill>
            <w14:solidFill>
              <w14:schemeClr w14:val="tx1"/>
            </w14:solidFill>
          </w14:textFill>
        </w:rPr>
      </w:pPr>
    </w:p>
    <w:p w14:paraId="2772C0B2">
      <w:pPr>
        <w:pStyle w:val="18"/>
        <w:spacing w:line="360" w:lineRule="auto"/>
        <w:ind w:right="-63" w:rightChars="-30"/>
        <w:outlineLvl w:val="9"/>
        <w:rPr>
          <w:rFonts w:ascii="宋体" w:hAnsi="宋体" w:eastAsia="宋体" w:cs="宋体"/>
          <w:bCs/>
          <w:color w:val="000000" w:themeColor="text1"/>
          <w:highlight w:val="none"/>
          <w14:textFill>
            <w14:solidFill>
              <w14:schemeClr w14:val="tx1"/>
            </w14:solidFill>
          </w14:textFill>
        </w:rPr>
      </w:pPr>
    </w:p>
    <w:p w14:paraId="3FC66E32">
      <w:pPr>
        <w:pStyle w:val="2"/>
        <w:rPr>
          <w:rFonts w:ascii="宋体" w:hAnsi="宋体" w:cs="宋体"/>
          <w:color w:val="000000" w:themeColor="text1"/>
          <w:highlight w:val="none"/>
          <w14:textFill>
            <w14:solidFill>
              <w14:schemeClr w14:val="tx1"/>
            </w14:solidFill>
          </w14:textFill>
        </w:rPr>
      </w:pPr>
      <w:bookmarkStart w:id="2" w:name="_Toc27735"/>
      <w:r>
        <w:rPr>
          <w:rFonts w:hint="eastAsia"/>
          <w:color w:val="000000" w:themeColor="text1"/>
          <w:highlight w:val="none"/>
          <w14:textFill>
            <w14:solidFill>
              <w14:schemeClr w14:val="tx1"/>
            </w14:solidFill>
          </w14:textFill>
        </w:rPr>
        <w:br w:type="page"/>
      </w:r>
      <w:bookmarkStart w:id="3" w:name="_Toc23358"/>
      <w:r>
        <w:rPr>
          <w:rFonts w:hint="eastAsia"/>
          <w:color w:val="000000" w:themeColor="text1"/>
          <w:highlight w:val="none"/>
          <w14:textFill>
            <w14:solidFill>
              <w14:schemeClr w14:val="tx1"/>
            </w14:solidFill>
          </w14:textFill>
        </w:rPr>
        <w:t>重要事项提示</w:t>
      </w:r>
      <w:bookmarkEnd w:id="2"/>
      <w:bookmarkEnd w:id="3"/>
    </w:p>
    <w:p w14:paraId="71A4DD0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各潜在供应商：</w:t>
      </w:r>
    </w:p>
    <w:p w14:paraId="0615947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以下环节是此采购文件中需要重点关注的环节，对以下内容的忽视，可能是影响贵公司中标的重要因素。请在编制相应文件参与政府采购时高度重视。</w:t>
      </w:r>
    </w:p>
    <w:p w14:paraId="4EEA73B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1、采购文件应通过焦作市公共资源交易中心网站会员系统进行网上下载；未使用</w:t>
      </w:r>
      <w:r>
        <w:rPr>
          <w:rFonts w:hint="eastAsia" w:ascii="宋体" w:hAnsi="宋体"/>
          <w:bCs/>
          <w:color w:val="000000" w:themeColor="text1"/>
          <w:kern w:val="0"/>
          <w:sz w:val="24"/>
          <w:highlight w:val="none"/>
          <w14:textFill>
            <w14:solidFill>
              <w14:schemeClr w14:val="tx1"/>
            </w14:solidFill>
          </w14:textFill>
        </w:rPr>
        <w:t>企业 CA 密匙</w:t>
      </w:r>
      <w:r>
        <w:rPr>
          <w:rFonts w:hint="eastAsia" w:ascii="宋体" w:hAnsi="宋体" w:cs="宋体"/>
          <w:color w:val="000000" w:themeColor="text1"/>
          <w:sz w:val="24"/>
          <w:highlight w:val="none"/>
          <w14:textFill>
            <w14:solidFill>
              <w14:schemeClr w14:val="tx1"/>
            </w14:solidFill>
          </w14:textFill>
        </w:rPr>
        <w:t>登录焦作市公共资源交易中心网站会员系统进行网上下载文件的，投标视为无效；</w:t>
      </w:r>
    </w:p>
    <w:p w14:paraId="71275D0A">
      <w:pPr>
        <w:pStyle w:val="17"/>
        <w:spacing w:before="0" w:beforeAutospacing="0" w:after="0" w:afterAutospacing="0"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具体要求详见招标文件。 平台统一技术服务电话：400-998-0000，服务 QQ：4008503300，服务时间：周一至周日 8：00-17：30。</w:t>
      </w:r>
    </w:p>
    <w:p w14:paraId="5BE3013C">
      <w:pPr>
        <w:pStyle w:val="17"/>
        <w:spacing w:before="0" w:beforeAutospacing="0" w:after="0" w:afterAutospacing="0"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无需到现场参加开标会议，无需到达现场提交原件资料。供应商应当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02C4FAA6">
      <w:pPr>
        <w:pStyle w:val="17"/>
        <w:numPr>
          <w:ilvl w:val="0"/>
          <w:numId w:val="1"/>
        </w:numPr>
        <w:spacing w:before="0" w:beforeAutospacing="0" w:after="0" w:afterAutospacing="0" w:line="360" w:lineRule="auto"/>
        <w:ind w:firstLine="48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有下列情形之一的，将作为自动放弃、无效投标或废标处理：</w:t>
      </w:r>
    </w:p>
    <w:p w14:paraId="1643228F">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000000" w:themeColor="text1"/>
          <w:highlight w:val="none"/>
          <w14:textFill>
            <w14:solidFill>
              <w14:schemeClr w14:val="tx1"/>
            </w14:solidFill>
          </w14:textFill>
        </w:rPr>
        <w:t>在投标文件中对同一采购项目有两个或多</w:t>
      </w:r>
      <w:r>
        <w:rPr>
          <w:rFonts w:hint="eastAsia" w:cs="Times New Roman"/>
          <w:color w:val="auto"/>
          <w:highlight w:val="none"/>
        </w:rPr>
        <w:t>个报价，且未声明哪一个有效的；</w:t>
      </w:r>
    </w:p>
    <w:p w14:paraId="7E503711">
      <w:pPr>
        <w:pStyle w:val="17"/>
        <w:numPr>
          <w:ilvl w:val="0"/>
          <w:numId w:val="2"/>
        </w:numPr>
        <w:spacing w:before="0" w:beforeAutospacing="0" w:after="0" w:afterAutospacing="0" w:line="360" w:lineRule="auto"/>
        <w:ind w:left="-60" w:firstLine="480"/>
        <w:jc w:val="both"/>
        <w:rPr>
          <w:rFonts w:cs="Times New Roman"/>
          <w:color w:val="auto"/>
          <w:highlight w:val="none"/>
        </w:rPr>
      </w:pPr>
      <w:r>
        <w:rPr>
          <w:rFonts w:hint="eastAsia" w:cs="Times New Roman"/>
          <w:color w:val="auto"/>
          <w:highlight w:val="none"/>
        </w:rPr>
        <w:t>投标文件的关键内容（采购报价、</w:t>
      </w:r>
      <w:r>
        <w:rPr>
          <w:rFonts w:hint="eastAsia" w:cs="Times New Roman"/>
          <w:color w:val="auto"/>
          <w:highlight w:val="none"/>
          <w:lang w:val="en-US" w:eastAsia="zh-CN"/>
        </w:rPr>
        <w:t>服务期</w:t>
      </w:r>
      <w:r>
        <w:rPr>
          <w:rFonts w:hint="eastAsia" w:cs="Times New Roman"/>
          <w:color w:val="auto"/>
          <w:highlight w:val="none"/>
        </w:rPr>
        <w:t>、</w:t>
      </w:r>
      <w:r>
        <w:rPr>
          <w:rFonts w:hint="eastAsia" w:cs="Times New Roman"/>
          <w:color w:val="auto"/>
          <w:highlight w:val="none"/>
          <w:lang w:eastAsia="zh-CN"/>
        </w:rPr>
        <w:t>质量要求</w:t>
      </w:r>
      <w:r>
        <w:rPr>
          <w:rFonts w:hint="eastAsia" w:cs="Times New Roman"/>
          <w:color w:val="auto"/>
          <w:highlight w:val="none"/>
        </w:rPr>
        <w:t>等）未填写或填写字迹模糊无法辨认的；</w:t>
      </w:r>
    </w:p>
    <w:p w14:paraId="0862589F">
      <w:pPr>
        <w:pStyle w:val="17"/>
        <w:numPr>
          <w:ilvl w:val="0"/>
          <w:numId w:val="2"/>
        </w:numPr>
        <w:spacing w:before="0" w:beforeAutospacing="0" w:after="0" w:afterAutospacing="0" w:line="360" w:lineRule="auto"/>
        <w:ind w:left="-60" w:firstLine="480"/>
        <w:jc w:val="both"/>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采购报价超出控制价的；</w:t>
      </w:r>
    </w:p>
    <w:p w14:paraId="5C4B22CE">
      <w:pPr>
        <w:pStyle w:val="17"/>
        <w:numPr>
          <w:ilvl w:val="0"/>
          <w:numId w:val="2"/>
        </w:numPr>
        <w:spacing w:before="0" w:beforeAutospacing="0" w:after="0" w:afterAutospacing="0" w:line="360" w:lineRule="auto"/>
        <w:ind w:left="-60" w:firstLine="480"/>
        <w:jc w:val="both"/>
        <w:rPr>
          <w:rFonts w:cs="Times New Roman"/>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投标文件中附有采购人不能接受的条件的；</w:t>
      </w:r>
    </w:p>
    <w:p w14:paraId="0552ECCF">
      <w:pPr>
        <w:pStyle w:val="17"/>
        <w:numPr>
          <w:ilvl w:val="0"/>
          <w:numId w:val="2"/>
        </w:numPr>
        <w:spacing w:before="0" w:beforeAutospacing="0" w:after="0" w:afterAutospacing="0" w:line="360" w:lineRule="auto"/>
        <w:ind w:left="-60" w:firstLine="480"/>
        <w:jc w:val="both"/>
        <w:rPr>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投标文件有明显不符合采购文件其它要求和有关法律法规的；</w:t>
      </w:r>
    </w:p>
    <w:p w14:paraId="55EB8ABD">
      <w:pPr>
        <w:pStyle w:val="17"/>
        <w:numPr>
          <w:ilvl w:val="0"/>
          <w:numId w:val="2"/>
        </w:numPr>
        <w:spacing w:before="0" w:beforeAutospacing="0" w:after="0" w:afterAutospacing="0" w:line="360" w:lineRule="auto"/>
        <w:ind w:left="-60" w:firstLine="480"/>
        <w:jc w:val="both"/>
        <w:rPr>
          <w:color w:val="000000" w:themeColor="text1"/>
          <w:highlight w:val="none"/>
          <w14:textFill>
            <w14:solidFill>
              <w14:schemeClr w14:val="tx1"/>
            </w14:solidFill>
          </w14:textFill>
        </w:rPr>
      </w:pPr>
      <w:r>
        <w:rPr>
          <w:rFonts w:hint="eastAsia" w:cs="Times New Roman"/>
          <w:color w:val="000000" w:themeColor="text1"/>
          <w:highlight w:val="none"/>
          <w14:textFill>
            <w14:solidFill>
              <w14:schemeClr w14:val="tx1"/>
            </w14:solidFill>
          </w14:textFill>
        </w:rPr>
        <w:t>如因两个或两个以上供应商使用同一台计算</w:t>
      </w:r>
      <w:r>
        <w:rPr>
          <w:rFonts w:hint="eastAsia" w:cs="Times New Roman"/>
          <w:color w:val="000000" w:themeColor="text1"/>
          <w:highlight w:val="none"/>
          <w:lang w:val="en-US" w:eastAsia="zh-CN"/>
          <w14:textFill>
            <w14:solidFill>
              <w14:schemeClr w14:val="tx1"/>
            </w14:solidFill>
          </w14:textFill>
        </w:rPr>
        <w:t>机</w:t>
      </w:r>
      <w:r>
        <w:rPr>
          <w:rFonts w:hint="eastAsia" w:cs="Times New Roman"/>
          <w:color w:val="000000" w:themeColor="text1"/>
          <w:highlight w:val="none"/>
          <w14:textFill>
            <w14:solidFill>
              <w14:schemeClr w14:val="tx1"/>
            </w14:solidFill>
          </w14:textFill>
        </w:rPr>
        <w:t>或同一个IP上传投标文件，被不见面开标系统提示为“投标文件制作机器码一致”的，则视其投标无效。若经查实有《政府采购法实施条例》第七十四条情形，监管部门将依法做出处理；</w:t>
      </w:r>
    </w:p>
    <w:p w14:paraId="29754C71">
      <w:pPr>
        <w:pStyle w:val="17"/>
        <w:numPr>
          <w:ilvl w:val="0"/>
          <w:numId w:val="2"/>
        </w:numPr>
        <w:spacing w:before="0" w:beforeAutospacing="0" w:after="0" w:afterAutospacing="0" w:line="360" w:lineRule="auto"/>
        <w:ind w:left="-60" w:firstLine="48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评标过程中，评标委员会发现投标单位的报价明显低于其它采购报价，使得其采购报价可能低于其个别成本的，应当要求该供应商作出书面说明并提供相关证明材料。供应商不能合理说明或者不能提供相关证明材料的，由评标委员会认定该供应商以低于成本报价竞标的。</w:t>
      </w:r>
    </w:p>
    <w:p w14:paraId="0DD3D623">
      <w:pPr>
        <w:rPr>
          <w:rFonts w:ascii="宋体" w:hAnsi="宋体" w:cs="宋体"/>
          <w:color w:val="000000" w:themeColor="text1"/>
          <w:sz w:val="32"/>
          <w:szCs w:val="32"/>
          <w:highlight w:val="none"/>
          <w14:textFill>
            <w14:solidFill>
              <w14:schemeClr w14:val="tx1"/>
            </w14:solidFill>
          </w14:textFill>
        </w:rPr>
      </w:pPr>
    </w:p>
    <w:p w14:paraId="278FE69A">
      <w:pPr>
        <w:rPr>
          <w:rFonts w:ascii="宋体" w:hAnsi="宋体" w:cs="宋体"/>
          <w:color w:val="000000" w:themeColor="text1"/>
          <w:sz w:val="32"/>
          <w:szCs w:val="32"/>
          <w:highlight w:val="none"/>
          <w14:textFill>
            <w14:solidFill>
              <w14:schemeClr w14:val="tx1"/>
            </w14:solidFill>
          </w14:textFill>
        </w:rPr>
      </w:pPr>
    </w:p>
    <w:p w14:paraId="5D8FC75F">
      <w:pPr>
        <w:rPr>
          <w:rFonts w:ascii="宋体" w:hAnsi="宋体" w:cs="宋体"/>
          <w:b/>
          <w:bCs/>
          <w:color w:val="000000" w:themeColor="text1"/>
          <w:sz w:val="32"/>
          <w:szCs w:val="32"/>
          <w:highlight w:val="none"/>
          <w14:textFill>
            <w14:solidFill>
              <w14:schemeClr w14:val="tx1"/>
            </w14:solidFill>
          </w14:textFill>
        </w:rPr>
      </w:pPr>
    </w:p>
    <w:p w14:paraId="3716FEBD">
      <w:pPr>
        <w:jc w:val="center"/>
        <w:rPr>
          <w:rFonts w:ascii="宋体" w:hAnsi="宋体" w:eastAsia="宋体" w:cs="宋体"/>
          <w:b/>
          <w:bCs/>
          <w:color w:val="000000" w:themeColor="text1"/>
          <w:sz w:val="32"/>
          <w:szCs w:val="32"/>
          <w:highlight w:val="none"/>
          <w14:textFill>
            <w14:solidFill>
              <w14:schemeClr w14:val="tx1"/>
            </w14:solidFill>
          </w14:textFill>
        </w:rPr>
      </w:pPr>
    </w:p>
    <w:p w14:paraId="157C9F64">
      <w:pPr>
        <w:pStyle w:val="18"/>
        <w:spacing w:line="360" w:lineRule="auto"/>
        <w:ind w:right="-63" w:rightChars="-30"/>
        <w:jc w:val="both"/>
        <w:outlineLvl w:val="9"/>
        <w:rPr>
          <w:rFonts w:ascii="宋体" w:hAnsi="宋体" w:eastAsia="宋体" w:cs="宋体"/>
          <w:bCs/>
          <w:color w:val="000000" w:themeColor="text1"/>
          <w:highlight w:val="none"/>
          <w14:textFill>
            <w14:solidFill>
              <w14:schemeClr w14:val="tx1"/>
            </w14:solidFill>
          </w14:textFill>
        </w:rPr>
      </w:pPr>
    </w:p>
    <w:p w14:paraId="36CB0C5E">
      <w:pPr>
        <w:rPr>
          <w:rFonts w:ascii="宋体" w:hAnsi="宋体" w:eastAsia="宋体" w:cs="宋体"/>
          <w:bCs/>
          <w:color w:val="000000" w:themeColor="text1"/>
          <w:highlight w:val="none"/>
          <w14:textFill>
            <w14:solidFill>
              <w14:schemeClr w14:val="tx1"/>
            </w14:solidFill>
          </w14:textFill>
        </w:rPr>
      </w:pPr>
    </w:p>
    <w:p w14:paraId="0135ED1E">
      <w:pPr>
        <w:pStyle w:val="8"/>
        <w:rPr>
          <w:rFonts w:ascii="宋体" w:hAnsi="宋体" w:eastAsia="宋体" w:cs="宋体"/>
          <w:bCs/>
          <w:color w:val="000000" w:themeColor="text1"/>
          <w:highlight w:val="none"/>
          <w14:textFill>
            <w14:solidFill>
              <w14:schemeClr w14:val="tx1"/>
            </w14:solidFill>
          </w14:textFill>
        </w:rPr>
      </w:pPr>
    </w:p>
    <w:p w14:paraId="45B4127E">
      <w:pPr>
        <w:pStyle w:val="16"/>
        <w:rPr>
          <w:rFonts w:ascii="宋体" w:hAnsi="宋体" w:eastAsia="宋体" w:cs="宋体"/>
          <w:bCs/>
          <w:color w:val="000000" w:themeColor="text1"/>
          <w:highlight w:val="none"/>
          <w14:textFill>
            <w14:solidFill>
              <w14:schemeClr w14:val="tx1"/>
            </w14:solidFill>
          </w14:textFill>
        </w:rPr>
      </w:pPr>
    </w:p>
    <w:p w14:paraId="7D45C2A0">
      <w:pPr>
        <w:pStyle w:val="8"/>
        <w:rPr>
          <w:rFonts w:ascii="宋体" w:hAnsi="宋体" w:eastAsia="宋体" w:cs="宋体"/>
          <w:bCs/>
          <w:color w:val="000000" w:themeColor="text1"/>
          <w:highlight w:val="none"/>
          <w14:textFill>
            <w14:solidFill>
              <w14:schemeClr w14:val="tx1"/>
            </w14:solidFill>
          </w14:textFill>
        </w:rPr>
      </w:pPr>
    </w:p>
    <w:p w14:paraId="2288EF2E">
      <w:pPr>
        <w:pStyle w:val="8"/>
        <w:rPr>
          <w:color w:val="000000" w:themeColor="text1"/>
          <w:highlight w:val="none"/>
          <w14:textFill>
            <w14:solidFill>
              <w14:schemeClr w14:val="tx1"/>
            </w14:solidFill>
          </w14:textFill>
        </w:rPr>
      </w:pPr>
    </w:p>
    <w:p w14:paraId="2D5F0C13">
      <w:pPr>
        <w:pStyle w:val="16"/>
        <w:rPr>
          <w:color w:val="000000" w:themeColor="text1"/>
          <w:highlight w:val="none"/>
          <w14:textFill>
            <w14:solidFill>
              <w14:schemeClr w14:val="tx1"/>
            </w14:solidFill>
          </w14:textFill>
        </w:rPr>
      </w:pPr>
    </w:p>
    <w:p w14:paraId="5BA95DA0">
      <w:pPr>
        <w:pStyle w:val="16"/>
        <w:rPr>
          <w:color w:val="000000" w:themeColor="text1"/>
          <w:highlight w:val="none"/>
          <w14:textFill>
            <w14:solidFill>
              <w14:schemeClr w14:val="tx1"/>
            </w14:solidFill>
          </w14:textFill>
        </w:rPr>
      </w:pPr>
    </w:p>
    <w:p w14:paraId="483AC7C6">
      <w:pPr>
        <w:pStyle w:val="8"/>
        <w:rPr>
          <w:color w:val="000000" w:themeColor="text1"/>
          <w:highlight w:val="none"/>
          <w14:textFill>
            <w14:solidFill>
              <w14:schemeClr w14:val="tx1"/>
            </w14:solidFill>
          </w14:textFill>
        </w:rPr>
      </w:pPr>
    </w:p>
    <w:p w14:paraId="1C5F7E86">
      <w:pPr>
        <w:pStyle w:val="26"/>
        <w:rPr>
          <w:rFonts w:hint="default"/>
          <w:color w:val="000000" w:themeColor="text1"/>
          <w:highlight w:val="none"/>
          <w14:textFill>
            <w14:solidFill>
              <w14:schemeClr w14:val="tx1"/>
            </w14:solidFill>
          </w14:textFill>
        </w:rPr>
      </w:pPr>
    </w:p>
    <w:p w14:paraId="657F3B61">
      <w:pPr>
        <w:pStyle w:val="18"/>
        <w:numPr>
          <w:ilvl w:val="0"/>
          <w:numId w:val="3"/>
        </w:numPr>
        <w:spacing w:line="360" w:lineRule="auto"/>
        <w:ind w:right="-63" w:rightChars="-30"/>
        <w:rPr>
          <w:color w:val="000000" w:themeColor="text1"/>
          <w:highlight w:val="none"/>
          <w14:textFill>
            <w14:solidFill>
              <w14:schemeClr w14:val="tx1"/>
            </w14:solidFill>
          </w14:textFill>
        </w:rPr>
      </w:pPr>
      <w:bookmarkStart w:id="4" w:name="_Toc21165"/>
      <w:r>
        <w:rPr>
          <w:rFonts w:hint="eastAsia" w:ascii="宋体" w:hAnsi="宋体" w:eastAsia="宋体" w:cs="宋体"/>
          <w:bCs/>
          <w:color w:val="000000" w:themeColor="text1"/>
          <w:highlight w:val="none"/>
          <w14:textFill>
            <w14:solidFill>
              <w14:schemeClr w14:val="tx1"/>
            </w14:solidFill>
          </w14:textFill>
        </w:rPr>
        <w:br w:type="column"/>
      </w:r>
      <w:r>
        <w:rPr>
          <w:rFonts w:hint="eastAsia" w:ascii="宋体" w:hAnsi="宋体" w:eastAsia="宋体" w:cs="宋体"/>
          <w:bCs/>
          <w:color w:val="000000" w:themeColor="text1"/>
          <w:highlight w:val="none"/>
          <w14:textFill>
            <w14:solidFill>
              <w14:schemeClr w14:val="tx1"/>
            </w14:solidFill>
          </w14:textFill>
        </w:rPr>
        <w:t xml:space="preserve">  </w:t>
      </w:r>
      <w:bookmarkStart w:id="5" w:name="_Toc23622"/>
      <w:r>
        <w:rPr>
          <w:rFonts w:hint="eastAsia" w:ascii="宋体" w:hAnsi="宋体" w:eastAsia="宋体" w:cs="宋体"/>
          <w:bCs/>
          <w:color w:val="000000" w:themeColor="text1"/>
          <w:highlight w:val="none"/>
          <w14:textFill>
            <w14:solidFill>
              <w14:schemeClr w14:val="tx1"/>
            </w14:solidFill>
          </w14:textFill>
        </w:rPr>
        <w:t>招标公告</w:t>
      </w:r>
      <w:bookmarkEnd w:id="4"/>
      <w:bookmarkEnd w:id="5"/>
    </w:p>
    <w:p w14:paraId="77393917">
      <w:pPr>
        <w:jc w:val="cente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博爱县城市管理局博爱县全域环卫市场化项目</w:t>
      </w:r>
    </w:p>
    <w:p w14:paraId="00C7A175">
      <w:pPr>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招标公告（不见面开标）</w:t>
      </w:r>
    </w:p>
    <w:tbl>
      <w:tblPr>
        <w:tblStyle w:val="21"/>
        <w:tblW w:w="9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49"/>
      </w:tblGrid>
      <w:tr w14:paraId="24A02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9449" w:type="dxa"/>
            <w:vAlign w:val="top"/>
          </w:tcPr>
          <w:p w14:paraId="67CD974C">
            <w:pPr>
              <w:pStyle w:val="2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项目概况：</w:t>
            </w:r>
            <w:r>
              <w:rPr>
                <w:rFonts w:hint="eastAsia" w:ascii="宋体" w:hAnsi="宋体" w:cs="宋体"/>
                <w:color w:val="auto"/>
                <w:sz w:val="24"/>
                <w:highlight w:val="none"/>
                <w:lang w:eastAsia="zh-CN"/>
              </w:rPr>
              <w:t>博爱县城市管理局博爱县全域环卫市场化项目</w:t>
            </w:r>
            <w:r>
              <w:rPr>
                <w:rFonts w:hint="eastAsia" w:ascii="宋体" w:hAnsi="宋体" w:cs="宋体"/>
                <w:color w:val="auto"/>
                <w:sz w:val="24"/>
                <w:highlight w:val="none"/>
              </w:rPr>
              <w:t>的潜在供应商应在焦作市公共资源交易中心网站获取采购文件，并于</w:t>
            </w:r>
            <w:r>
              <w:rPr>
                <w:rFonts w:hint="eastAsia" w:ascii="宋体" w:hAnsi="宋体" w:cs="宋体"/>
                <w:b/>
                <w:bCs/>
                <w:color w:val="auto"/>
                <w:kern w:val="0"/>
                <w:sz w:val="24"/>
                <w:highlight w:val="none"/>
                <w:u w:val="single"/>
              </w:rPr>
              <w:t>202</w:t>
            </w:r>
            <w:r>
              <w:rPr>
                <w:rFonts w:hint="eastAsia" w:ascii="宋体" w:hAnsi="宋体" w:cs="宋体"/>
                <w:b/>
                <w:bCs/>
                <w:color w:val="auto"/>
                <w:kern w:val="0"/>
                <w:sz w:val="24"/>
                <w:highlight w:val="none"/>
                <w:u w:val="single"/>
                <w:lang w:val="en-US" w:eastAsia="zh-CN"/>
              </w:rPr>
              <w:t>6</w:t>
            </w:r>
            <w:r>
              <w:rPr>
                <w:rFonts w:hint="eastAsia" w:ascii="宋体" w:hAnsi="宋体" w:cs="宋体"/>
                <w:b/>
                <w:bCs/>
                <w:color w:val="auto"/>
                <w:kern w:val="0"/>
                <w:sz w:val="24"/>
                <w:highlight w:val="none"/>
                <w:u w:val="single"/>
              </w:rPr>
              <w:t>年</w:t>
            </w:r>
            <w:r>
              <w:rPr>
                <w:rFonts w:hint="eastAsia" w:ascii="宋体" w:hAnsi="宋体" w:cs="宋体"/>
                <w:b/>
                <w:bCs/>
                <w:color w:val="auto"/>
                <w:kern w:val="0"/>
                <w:sz w:val="24"/>
                <w:highlight w:val="none"/>
                <w:u w:val="single"/>
                <w:lang w:val="en-US" w:eastAsia="zh-CN"/>
              </w:rPr>
              <w:t>1</w:t>
            </w:r>
            <w:r>
              <w:rPr>
                <w:rFonts w:hint="eastAsia" w:ascii="宋体" w:hAnsi="宋体" w:cs="宋体"/>
                <w:b/>
                <w:bCs/>
                <w:color w:val="auto"/>
                <w:kern w:val="0"/>
                <w:sz w:val="24"/>
                <w:highlight w:val="none"/>
                <w:u w:val="single"/>
              </w:rPr>
              <w:t>月</w:t>
            </w:r>
            <w:r>
              <w:rPr>
                <w:rFonts w:hint="eastAsia" w:ascii="宋体" w:hAnsi="宋体" w:cs="宋体"/>
                <w:b/>
                <w:bCs/>
                <w:color w:val="auto"/>
                <w:kern w:val="0"/>
                <w:sz w:val="24"/>
                <w:highlight w:val="none"/>
                <w:u w:val="single"/>
                <w:lang w:val="en-US" w:eastAsia="zh-CN"/>
              </w:rPr>
              <w:t>20</w:t>
            </w:r>
            <w:r>
              <w:rPr>
                <w:rFonts w:hint="eastAsia" w:ascii="宋体" w:hAnsi="宋体" w:cs="宋体"/>
                <w:b/>
                <w:bCs/>
                <w:color w:val="auto"/>
                <w:kern w:val="0"/>
                <w:sz w:val="24"/>
                <w:highlight w:val="none"/>
                <w:u w:val="single"/>
              </w:rPr>
              <w:t>日上午9点00分</w:t>
            </w:r>
            <w:r>
              <w:rPr>
                <w:rFonts w:hint="eastAsia" w:ascii="宋体" w:hAnsi="宋体" w:cs="宋体"/>
                <w:b/>
                <w:bCs/>
                <w:color w:val="auto"/>
                <w:sz w:val="24"/>
                <w:highlight w:val="none"/>
                <w:u w:val="single"/>
              </w:rPr>
              <w:t>（北京时间）</w:t>
            </w:r>
            <w:r>
              <w:rPr>
                <w:rFonts w:hint="eastAsia" w:ascii="宋体" w:hAnsi="宋体" w:cs="宋体"/>
                <w:color w:val="auto"/>
                <w:sz w:val="24"/>
                <w:highlight w:val="none"/>
              </w:rPr>
              <w:t>前提交投标文件。</w:t>
            </w:r>
          </w:p>
        </w:tc>
      </w:tr>
    </w:tbl>
    <w:p w14:paraId="1AFF9D2E">
      <w:pPr>
        <w:pStyle w:val="29"/>
        <w:spacing w:line="440" w:lineRule="exact"/>
        <w:ind w:left="0" w:firstLine="0"/>
        <w:rPr>
          <w:b/>
          <w:bCs/>
          <w:color w:val="auto"/>
          <w:sz w:val="24"/>
          <w:highlight w:val="none"/>
          <w:lang w:eastAsia="zh-CN"/>
        </w:rPr>
      </w:pPr>
      <w:r>
        <w:rPr>
          <w:rFonts w:hint="eastAsia"/>
          <w:b/>
          <w:bCs/>
          <w:color w:val="auto"/>
          <w:sz w:val="24"/>
          <w:highlight w:val="none"/>
          <w:lang w:eastAsia="zh-CN"/>
        </w:rPr>
        <w:t>一、项目基本情况</w:t>
      </w:r>
    </w:p>
    <w:p w14:paraId="1D1DD86B">
      <w:pPr>
        <w:widowControl/>
        <w:spacing w:line="440" w:lineRule="exact"/>
        <w:ind w:firstLine="480" w:firstLineChars="200"/>
        <w:jc w:val="left"/>
        <w:rPr>
          <w:rFonts w:hint="eastAsia"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rPr>
        <w:t>1</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rPr>
        <w:t>项目编号：博财招标采购-2025-2</w:t>
      </w:r>
      <w:r>
        <w:rPr>
          <w:rFonts w:hint="eastAsia" w:ascii="宋体" w:hAnsi="宋体" w:cs="宋体"/>
          <w:color w:val="auto"/>
          <w:sz w:val="24"/>
          <w:highlight w:val="none"/>
          <w:shd w:val="clear" w:color="auto" w:fill="FFFFFF"/>
          <w:lang w:val="en-US" w:eastAsia="zh-CN"/>
        </w:rPr>
        <w:t>4</w:t>
      </w:r>
    </w:p>
    <w:p w14:paraId="63236EB9">
      <w:pPr>
        <w:widowControl/>
        <w:spacing w:line="440" w:lineRule="exact"/>
        <w:ind w:firstLine="480" w:firstLineChars="200"/>
        <w:jc w:val="left"/>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2.</w:t>
      </w:r>
      <w:r>
        <w:rPr>
          <w:rFonts w:hint="eastAsia" w:ascii="宋体" w:hAnsi="宋体" w:cs="宋体"/>
          <w:color w:val="auto"/>
          <w:sz w:val="24"/>
          <w:highlight w:val="none"/>
          <w:shd w:val="clear" w:color="auto" w:fill="FFFFFF"/>
        </w:rPr>
        <w:t>项目名称：</w:t>
      </w:r>
      <w:r>
        <w:rPr>
          <w:rFonts w:hint="eastAsia" w:ascii="宋体" w:hAnsi="宋体" w:cs="宋体"/>
          <w:color w:val="auto"/>
          <w:sz w:val="24"/>
          <w:highlight w:val="none"/>
          <w:shd w:val="clear" w:color="auto" w:fill="FFFFFF"/>
          <w:lang w:eastAsia="zh-CN"/>
        </w:rPr>
        <w:t>博爱县城市管理局博爱县全域环卫市场化项目</w:t>
      </w:r>
    </w:p>
    <w:p w14:paraId="36CA072D">
      <w:pPr>
        <w:widowControl/>
        <w:spacing w:line="440" w:lineRule="exact"/>
        <w:ind w:firstLine="480" w:firstLineChars="200"/>
        <w:jc w:val="left"/>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cs="宋体"/>
          <w:color w:val="auto"/>
          <w:sz w:val="24"/>
          <w:highlight w:val="none"/>
          <w:shd w:val="clear" w:color="auto" w:fill="FFFFFF"/>
        </w:rPr>
        <w:t>采购方式：公开招标</w:t>
      </w:r>
    </w:p>
    <w:p w14:paraId="7352DE01">
      <w:pPr>
        <w:widowControl/>
        <w:spacing w:line="440" w:lineRule="exact"/>
        <w:ind w:firstLine="480" w:firstLineChars="200"/>
        <w:jc w:val="left"/>
        <w:rPr>
          <w:rFonts w:hint="default" w:ascii="宋体" w:hAnsi="宋体" w:cs="宋体"/>
          <w:color w:val="auto"/>
          <w:sz w:val="24"/>
          <w:highlight w:val="none"/>
          <w:shd w:val="clear" w:color="auto" w:fill="FFFFFF"/>
          <w:lang w:val="en-US"/>
        </w:rPr>
      </w:pPr>
      <w:r>
        <w:rPr>
          <w:rFonts w:hint="eastAsia" w:ascii="宋体" w:hAnsi="宋体" w:cs="宋体"/>
          <w:color w:val="auto"/>
          <w:sz w:val="24"/>
          <w:highlight w:val="none"/>
          <w:shd w:val="clear" w:color="auto" w:fill="FFFFFF"/>
          <w:lang w:val="en-US" w:eastAsia="zh-CN"/>
        </w:rPr>
        <w:t>4.</w:t>
      </w:r>
      <w:r>
        <w:rPr>
          <w:rFonts w:hint="eastAsia" w:ascii="宋体" w:hAnsi="宋体" w:cs="宋体"/>
          <w:color w:val="auto"/>
          <w:sz w:val="24"/>
          <w:highlight w:val="none"/>
          <w:shd w:val="clear" w:color="auto" w:fill="FFFFFF"/>
        </w:rPr>
        <w:t>预算金额：</w:t>
      </w:r>
      <w:r>
        <w:rPr>
          <w:rFonts w:hint="eastAsia" w:ascii="宋体" w:hAnsi="宋体" w:cs="宋体"/>
          <w:color w:val="auto"/>
          <w:sz w:val="24"/>
          <w:highlight w:val="none"/>
          <w:shd w:val="clear" w:color="auto" w:fill="FFFFFF"/>
          <w:lang w:val="en-US" w:eastAsia="zh-CN"/>
        </w:rPr>
        <w:t>36840000元</w:t>
      </w:r>
    </w:p>
    <w:p w14:paraId="596EA909">
      <w:pPr>
        <w:widowControl/>
        <w:spacing w:line="440" w:lineRule="exact"/>
        <w:ind w:firstLine="720" w:firstLineChars="300"/>
        <w:jc w:val="left"/>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lang w:val="en-US" w:eastAsia="zh-CN"/>
          <w14:textFill>
            <w14:solidFill>
              <w14:schemeClr w14:val="tx1"/>
            </w14:solidFill>
          </w14:textFill>
        </w:rPr>
        <w:t>最高限价：36840000元</w:t>
      </w:r>
    </w:p>
    <w:tbl>
      <w:tblPr>
        <w:tblStyle w:val="21"/>
        <w:tblpPr w:leftFromText="180" w:rightFromText="180" w:vertAnchor="text" w:horzAnchor="page" w:tblpX="1624" w:tblpY="54"/>
        <w:tblOverlap w:val="never"/>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73"/>
        <w:gridCol w:w="2774"/>
        <w:gridCol w:w="1680"/>
        <w:gridCol w:w="1706"/>
      </w:tblGrid>
      <w:tr w14:paraId="177B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092" w:type="dxa"/>
            <w:vAlign w:val="center"/>
          </w:tcPr>
          <w:p w14:paraId="35AB0C32">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序号</w:t>
            </w:r>
          </w:p>
        </w:tc>
        <w:tc>
          <w:tcPr>
            <w:tcW w:w="2173" w:type="dxa"/>
            <w:vAlign w:val="center"/>
          </w:tcPr>
          <w:p w14:paraId="3EDA05F2">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包号</w:t>
            </w:r>
          </w:p>
        </w:tc>
        <w:tc>
          <w:tcPr>
            <w:tcW w:w="2774" w:type="dxa"/>
            <w:vAlign w:val="center"/>
          </w:tcPr>
          <w:p w14:paraId="755276D5">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包名称</w:t>
            </w:r>
          </w:p>
        </w:tc>
        <w:tc>
          <w:tcPr>
            <w:tcW w:w="1680" w:type="dxa"/>
            <w:vAlign w:val="center"/>
          </w:tcPr>
          <w:p w14:paraId="5D5332F7">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包预算</w:t>
            </w:r>
          </w:p>
          <w:p w14:paraId="52E801EA">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lang w:val="en-US" w:eastAsia="zh-CN"/>
                <w14:textFill>
                  <w14:solidFill>
                    <w14:schemeClr w14:val="tx1"/>
                  </w14:solidFill>
                </w14:textFill>
              </w:rPr>
              <w:t>（元）</w:t>
            </w:r>
          </w:p>
        </w:tc>
        <w:tc>
          <w:tcPr>
            <w:tcW w:w="1706" w:type="dxa"/>
            <w:vAlign w:val="center"/>
          </w:tcPr>
          <w:p w14:paraId="791D71A2">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包最高限价</w:t>
            </w:r>
            <w:r>
              <w:rPr>
                <w:rFonts w:hint="eastAsia" w:ascii="宋体" w:hAnsi="宋体" w:cs="宋体"/>
                <w:b w:val="0"/>
                <w:bCs w:val="0"/>
                <w:i w:val="0"/>
                <w:iCs w:val="0"/>
                <w:color w:val="000000" w:themeColor="text1"/>
                <w:kern w:val="0"/>
                <w:sz w:val="24"/>
                <w:szCs w:val="24"/>
                <w:highlight w:val="none"/>
                <w:lang w:val="en-US" w:eastAsia="zh-CN"/>
                <w14:textFill>
                  <w14:solidFill>
                    <w14:schemeClr w14:val="tx1"/>
                  </w14:solidFill>
                </w14:textFill>
              </w:rPr>
              <w:t>（元）</w:t>
            </w:r>
          </w:p>
        </w:tc>
      </w:tr>
      <w:tr w14:paraId="6332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092" w:type="dxa"/>
            <w:vAlign w:val="center"/>
          </w:tcPr>
          <w:p w14:paraId="145E58EE">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t>1</w:t>
            </w:r>
          </w:p>
        </w:tc>
        <w:tc>
          <w:tcPr>
            <w:tcW w:w="2173" w:type="dxa"/>
            <w:vAlign w:val="center"/>
          </w:tcPr>
          <w:p w14:paraId="45FD947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auto"/>
                <w:sz w:val="24"/>
                <w:szCs w:val="24"/>
                <w:highlight w:val="none"/>
                <w:lang w:eastAsia="zh-CN"/>
              </w:rPr>
              <w:t>博</w:t>
            </w:r>
            <w:r>
              <w:rPr>
                <w:rFonts w:hint="eastAsia" w:ascii="宋体" w:hAnsi="宋体" w:eastAsia="宋体" w:cs="宋体"/>
                <w:b w:val="0"/>
                <w:bCs w:val="0"/>
                <w:color w:val="auto"/>
                <w:sz w:val="24"/>
                <w:szCs w:val="24"/>
                <w:highlight w:val="none"/>
                <w:lang w:val="en-US" w:eastAsia="zh-CN"/>
              </w:rPr>
              <w:t>政采购【2025】141号-1</w:t>
            </w:r>
          </w:p>
        </w:tc>
        <w:tc>
          <w:tcPr>
            <w:tcW w:w="2774" w:type="dxa"/>
            <w:vAlign w:val="center"/>
          </w:tcPr>
          <w:p w14:paraId="116375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博爱县城市管理局博爱县全域环卫市场化项目</w:t>
            </w:r>
            <w:r>
              <w:rPr>
                <w:rFonts w:hint="eastAsia" w:ascii="宋体" w:hAnsi="宋体" w:eastAsia="宋体" w:cs="宋体"/>
                <w:b w:val="0"/>
                <w:bCs w:val="0"/>
                <w:color w:val="auto"/>
                <w:sz w:val="24"/>
                <w:szCs w:val="24"/>
                <w:highlight w:val="none"/>
                <w:lang w:val="en-US" w:eastAsia="zh-CN"/>
              </w:rPr>
              <w:t>一标段</w:t>
            </w:r>
          </w:p>
        </w:tc>
        <w:tc>
          <w:tcPr>
            <w:tcW w:w="1680" w:type="dxa"/>
            <w:vAlign w:val="center"/>
          </w:tcPr>
          <w:p w14:paraId="0F4B6CD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18950000</w:t>
            </w:r>
          </w:p>
        </w:tc>
        <w:tc>
          <w:tcPr>
            <w:tcW w:w="1706" w:type="dxa"/>
            <w:vAlign w:val="center"/>
          </w:tcPr>
          <w:p w14:paraId="28FCAE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18950000</w:t>
            </w:r>
          </w:p>
        </w:tc>
      </w:tr>
      <w:tr w14:paraId="44F12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1092" w:type="dxa"/>
            <w:vAlign w:val="center"/>
          </w:tcPr>
          <w:p w14:paraId="423DA701">
            <w:pPr>
              <w:keepNext w:val="0"/>
              <w:keepLines w:val="0"/>
              <w:pageBreakBefore w:val="0"/>
              <w:widowControl/>
              <w:kinsoku/>
              <w:wordWrap w:val="0"/>
              <w:overflowPunct/>
              <w:topLinePunct w:val="0"/>
              <w:autoSpaceDE/>
              <w:autoSpaceDN/>
              <w:bidi w:val="0"/>
              <w:adjustRightInd/>
              <w:snapToGrid/>
              <w:spacing w:before="0" w:beforeAutospacing="0" w:after="0" w:afterAutospacing="0" w:line="440" w:lineRule="exact"/>
              <w:ind w:left="0" w:leftChars="0" w:right="0"/>
              <w:jc w:val="center"/>
              <w:textAlignment w:val="auto"/>
              <w:rPr>
                <w:rFonts w:hint="default" w:ascii="宋体" w:hAnsi="宋体" w:eastAsia="宋体" w:cs="宋体"/>
                <w:b w:val="0"/>
                <w:bCs w:val="0"/>
                <w:i w:val="0"/>
                <w:iCs w:val="0"/>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lang w:val="en-US" w:eastAsia="zh-CN"/>
                <w14:textFill>
                  <w14:solidFill>
                    <w14:schemeClr w14:val="tx1"/>
                  </w14:solidFill>
                </w14:textFill>
              </w:rPr>
              <w:t>2</w:t>
            </w:r>
          </w:p>
        </w:tc>
        <w:tc>
          <w:tcPr>
            <w:tcW w:w="2173" w:type="dxa"/>
            <w:vAlign w:val="center"/>
          </w:tcPr>
          <w:p w14:paraId="046DA1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博</w:t>
            </w:r>
            <w:r>
              <w:rPr>
                <w:rFonts w:hint="eastAsia" w:ascii="宋体" w:hAnsi="宋体" w:eastAsia="宋体" w:cs="宋体"/>
                <w:b w:val="0"/>
                <w:bCs w:val="0"/>
                <w:color w:val="auto"/>
                <w:sz w:val="24"/>
                <w:szCs w:val="24"/>
                <w:highlight w:val="none"/>
                <w:lang w:val="en-US" w:eastAsia="zh-CN"/>
              </w:rPr>
              <w:t>政采购【2025】141号-2</w:t>
            </w:r>
          </w:p>
        </w:tc>
        <w:tc>
          <w:tcPr>
            <w:tcW w:w="2774" w:type="dxa"/>
            <w:vAlign w:val="center"/>
          </w:tcPr>
          <w:p w14:paraId="5AC1A5E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4"/>
                <w:szCs w:val="24"/>
                <w:highlight w:val="none"/>
                <w:shd w:val="clear" w:color="auto" w:fill="FFFFFF"/>
                <w:lang w:eastAsia="zh-CN"/>
                <w14:textFill>
                  <w14:solidFill>
                    <w14:schemeClr w14:val="tx1"/>
                  </w14:solidFill>
                </w14:textFill>
              </w:rPr>
            </w:pPr>
            <w:r>
              <w:rPr>
                <w:rFonts w:hint="eastAsia" w:ascii="宋体" w:hAnsi="宋体" w:eastAsia="宋体" w:cs="宋体"/>
                <w:b w:val="0"/>
                <w:bCs w:val="0"/>
                <w:color w:val="auto"/>
                <w:sz w:val="24"/>
                <w:szCs w:val="24"/>
                <w:highlight w:val="none"/>
                <w:lang w:eastAsia="zh-CN"/>
              </w:rPr>
              <w:t>博爱县城市管理局博爱县全域环卫市场化项目</w:t>
            </w:r>
            <w:r>
              <w:rPr>
                <w:rFonts w:hint="eastAsia" w:ascii="宋体" w:hAnsi="宋体" w:eastAsia="宋体" w:cs="宋体"/>
                <w:b w:val="0"/>
                <w:bCs w:val="0"/>
                <w:color w:val="auto"/>
                <w:sz w:val="24"/>
                <w:szCs w:val="24"/>
                <w:highlight w:val="none"/>
                <w:lang w:val="en-US" w:eastAsia="zh-CN"/>
              </w:rPr>
              <w:t>二标段</w:t>
            </w:r>
          </w:p>
        </w:tc>
        <w:tc>
          <w:tcPr>
            <w:tcW w:w="1680" w:type="dxa"/>
            <w:vAlign w:val="center"/>
          </w:tcPr>
          <w:p w14:paraId="7DFC8C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17890000</w:t>
            </w:r>
          </w:p>
        </w:tc>
        <w:tc>
          <w:tcPr>
            <w:tcW w:w="1706" w:type="dxa"/>
            <w:vAlign w:val="center"/>
          </w:tcPr>
          <w:p w14:paraId="558773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17890000</w:t>
            </w:r>
          </w:p>
        </w:tc>
      </w:tr>
    </w:tbl>
    <w:p w14:paraId="789177A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采购需求（包括但不限于标的的名称、数量、简要技术需求或服务要求等） </w:t>
      </w:r>
    </w:p>
    <w:p w14:paraId="2C52B4A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5.1</w:t>
      </w:r>
      <w:r>
        <w:rPr>
          <w:rFonts w:hint="eastAsia" w:ascii="宋体" w:hAnsi="宋体" w:eastAsia="宋体" w:cs="宋体"/>
          <w:color w:val="000000" w:themeColor="text1"/>
          <w:sz w:val="24"/>
          <w:szCs w:val="24"/>
          <w:highlight w:val="none"/>
          <w14:textFill>
            <w14:solidFill>
              <w14:schemeClr w14:val="tx1"/>
            </w14:solidFill>
          </w14:textFill>
        </w:rPr>
        <w:t>采购</w:t>
      </w:r>
      <w:r>
        <w:rPr>
          <w:rFonts w:hint="eastAsia" w:ascii="宋体" w:hAnsi="宋体" w:cs="宋体"/>
          <w:color w:val="000000" w:themeColor="text1"/>
          <w:sz w:val="24"/>
          <w:szCs w:val="24"/>
          <w:highlight w:val="none"/>
          <w:lang w:val="en-US" w:eastAsia="zh-CN"/>
          <w14:textFill>
            <w14:solidFill>
              <w14:schemeClr w14:val="tx1"/>
            </w14:solidFill>
          </w14:textFill>
        </w:rPr>
        <w:t>内容</w:t>
      </w:r>
      <w:r>
        <w:rPr>
          <w:rFonts w:hint="eastAsia" w:ascii="宋体" w:hAnsi="宋体" w:eastAsia="宋体" w:cs="宋体"/>
          <w:color w:val="000000" w:themeColor="text1"/>
          <w:sz w:val="24"/>
          <w:szCs w:val="24"/>
          <w:highlight w:val="none"/>
          <w14:textFill>
            <w14:solidFill>
              <w14:schemeClr w14:val="tx1"/>
            </w14:solidFill>
          </w14:textFill>
        </w:rPr>
        <w:t>：</w:t>
      </w:r>
    </w:p>
    <w:p w14:paraId="295A26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负责</w:t>
      </w:r>
      <w:r>
        <w:rPr>
          <w:rFonts w:hint="eastAsia" w:ascii="宋体" w:hAnsi="宋体" w:cs="宋体"/>
          <w:color w:val="000000" w:themeColor="text1"/>
          <w:sz w:val="24"/>
          <w:highlight w:val="none"/>
          <w:lang w:val="en-US" w:eastAsia="zh-CN"/>
          <w14:textFill>
            <w14:solidFill>
              <w14:schemeClr w14:val="tx1"/>
            </w14:solidFill>
          </w14:textFill>
        </w:rPr>
        <w:t>以下</w:t>
      </w:r>
      <w:r>
        <w:rPr>
          <w:rFonts w:hint="eastAsia" w:ascii="宋体" w:hAnsi="宋体" w:cs="宋体"/>
          <w:color w:val="000000" w:themeColor="text1"/>
          <w:sz w:val="24"/>
          <w:highlight w:val="none"/>
          <w14:textFill>
            <w14:solidFill>
              <w14:schemeClr w14:val="tx1"/>
            </w14:solidFill>
          </w14:textFill>
        </w:rPr>
        <w:t>范围的清扫保洁、垃圾清运，并根据相关要求配备相应的洒水车、机扫车、雾炮车等作业车辆，根据调度要求进行作业。</w:t>
      </w:r>
    </w:p>
    <w:p w14:paraId="141E0E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一标段：</w:t>
      </w:r>
      <w:bookmarkStart w:id="297" w:name="_GoBack"/>
      <w:bookmarkEnd w:id="297"/>
    </w:p>
    <w:p w14:paraId="3FC863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（1）城区范围：管理城区月山路北段、团结路北段等21条主次干道面积213万平方米，总长度49.6公里的清扫保洁、垃圾清运等工作，管理城区9座垃圾中转站、16座公厕。</w:t>
      </w:r>
    </w:p>
    <w:p w14:paraId="44B9B4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（2）农村范围：管理范围覆盖我县鸿昌街道、许良镇、月山镇、柏山镇、寨豁乡全部91个农村，乡镇、街道管理的公厕。</w:t>
      </w:r>
    </w:p>
    <w:p w14:paraId="7B2FFC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（3）国省、县、乡公路范围：管理S104郑沁线、S307卫济线等国省道路6条，长度38.572公里。X013西磨线、X028杨前线等县道7条，长度49公里。Y005西际线、Y006九冯线等乡道7条，长度56.8公里。</w:t>
      </w:r>
    </w:p>
    <w:p w14:paraId="26932C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二标段：</w:t>
      </w:r>
    </w:p>
    <w:p w14:paraId="3A1423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城区范围：管理城区月山路南段、团结路南段等25条主次干道面积177万平方米，总长度45.7公里的清扫保洁、垃圾清运等工作，管理城区5座垃圾中转站、12座公厕，以后新增的垃圾中转站和公厕及时纳入管理。</w:t>
      </w:r>
    </w:p>
    <w:p w14:paraId="7A52601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（2）农村范围：管理范围覆盖我县清化镇街道、磨头镇、孝敬镇（包括程村小区）、金城乡等4个乡镇、街道全部113个农村，乡镇、街道管理的公厕。</w:t>
      </w:r>
    </w:p>
    <w:p w14:paraId="571BE5D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（3）国省、县、乡公路范围：管理G327连固线、S235博许线等国省道路3条，长度28.104公里。X016焦白线、X020焦刘线等县道5条，长度44.2公里。Y003东留线、Y011张东线等乡道5条，长度45.6公里。</w:t>
      </w:r>
    </w:p>
    <w:p w14:paraId="1FF87AA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5.2</w:t>
      </w:r>
      <w:r>
        <w:rPr>
          <w:rFonts w:hint="eastAsia" w:ascii="宋体" w:hAnsi="宋体" w:eastAsia="宋体" w:cs="宋体"/>
          <w:color w:val="000000" w:themeColor="text1"/>
          <w:sz w:val="24"/>
          <w:szCs w:val="24"/>
          <w:highlight w:val="none"/>
          <w:lang w:eastAsia="zh-CN"/>
          <w14:textFill>
            <w14:solidFill>
              <w14:schemeClr w14:val="tx1"/>
            </w14:solidFill>
          </w14:textFill>
        </w:rPr>
        <w:t>质量要求：合格，符合国家及行业规范标准。</w:t>
      </w:r>
    </w:p>
    <w:p w14:paraId="77423E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5.3</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w:t>
      </w:r>
      <w:r>
        <w:rPr>
          <w:rFonts w:hint="eastAsia" w:ascii="宋体" w:hAnsi="宋体" w:eastAsia="宋体" w:cs="宋体"/>
          <w:color w:val="000000" w:themeColor="text1"/>
          <w:sz w:val="24"/>
          <w:szCs w:val="24"/>
          <w:highlight w:val="none"/>
          <w:lang w:eastAsia="zh-CN"/>
          <w14:textFill>
            <w14:solidFill>
              <w14:schemeClr w14:val="tx1"/>
            </w14:solidFill>
          </w14:textFill>
        </w:rPr>
        <w:t>：3年。第一年结束考核合格后，续签</w:t>
      </w:r>
      <w:r>
        <w:rPr>
          <w:rFonts w:hint="eastAsia" w:ascii="宋体" w:hAnsi="宋体" w:eastAsia="宋体" w:cs="宋体"/>
          <w:color w:val="000000" w:themeColor="text1"/>
          <w:sz w:val="24"/>
          <w:szCs w:val="24"/>
          <w:highlight w:val="none"/>
          <w:lang w:val="en-US" w:eastAsia="zh-CN"/>
          <w14:textFill>
            <w14:solidFill>
              <w14:schemeClr w14:val="tx1"/>
            </w14:solidFill>
          </w14:textFill>
        </w:rPr>
        <w:t>剩余</w:t>
      </w:r>
      <w:r>
        <w:rPr>
          <w:rFonts w:hint="eastAsia" w:ascii="宋体" w:hAnsi="宋体" w:eastAsia="宋体" w:cs="宋体"/>
          <w:color w:val="000000" w:themeColor="text1"/>
          <w:sz w:val="24"/>
          <w:szCs w:val="24"/>
          <w:highlight w:val="none"/>
          <w:lang w:eastAsia="zh-CN"/>
          <w14:textFill>
            <w14:solidFill>
              <w14:schemeClr w14:val="tx1"/>
            </w14:solidFill>
          </w14:textFill>
        </w:rPr>
        <w:t>两年合同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10430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5.4</w:t>
      </w:r>
      <w:r>
        <w:rPr>
          <w:rFonts w:hint="eastAsia" w:ascii="宋体" w:hAnsi="宋体" w:eastAsia="宋体" w:cs="宋体"/>
          <w:color w:val="000000" w:themeColor="text1"/>
          <w:sz w:val="24"/>
          <w:szCs w:val="24"/>
          <w:highlight w:val="none"/>
          <w:lang w:eastAsia="zh-CN"/>
          <w14:textFill>
            <w14:solidFill>
              <w14:schemeClr w14:val="tx1"/>
            </w14:solidFill>
          </w14:textFill>
        </w:rPr>
        <w:t>服务地点：采购人指定地点。</w:t>
      </w:r>
    </w:p>
    <w:p w14:paraId="222968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6.合同履行期限：</w:t>
      </w:r>
      <w:r>
        <w:rPr>
          <w:rFonts w:hint="eastAsia" w:ascii="宋体" w:hAnsi="宋体" w:cs="宋体"/>
          <w:color w:val="000000" w:themeColor="text1"/>
          <w:sz w:val="24"/>
          <w:szCs w:val="24"/>
          <w:highlight w:val="none"/>
          <w:lang w:val="en-US" w:eastAsia="zh-CN"/>
          <w14:textFill>
            <w14:solidFill>
              <w14:schemeClr w14:val="tx1"/>
            </w14:solidFill>
          </w14:textFill>
        </w:rPr>
        <w:t>同服务期。</w:t>
      </w:r>
    </w:p>
    <w:p w14:paraId="6766422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本项目是否接受联合体投标：否 </w:t>
      </w:r>
    </w:p>
    <w:p w14:paraId="1B6C76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是否接受进口产品：否 </w:t>
      </w:r>
    </w:p>
    <w:p w14:paraId="6BEF9B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是否专门面向中小企业：否 </w:t>
      </w:r>
    </w:p>
    <w:p w14:paraId="68D39B66">
      <w:pPr>
        <w:adjustRightInd w:val="0"/>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二、申请人资格要求：</w:t>
      </w:r>
    </w:p>
    <w:p w14:paraId="5D9CD364">
      <w:pPr>
        <w:widowControl/>
        <w:spacing w:line="440" w:lineRule="exact"/>
        <w:ind w:firstLine="480" w:firstLineChars="20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1</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符合《中华人民共和国政府采购法》第二十二条之规定；</w:t>
      </w:r>
    </w:p>
    <w:p w14:paraId="52A3CF7E">
      <w:pPr>
        <w:widowControl/>
        <w:spacing w:line="440" w:lineRule="exact"/>
        <w:ind w:firstLine="480" w:firstLineChars="200"/>
        <w:jc w:val="left"/>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2</w:t>
      </w:r>
      <w:r>
        <w:rPr>
          <w:rFonts w:hint="eastAsia" w:ascii="宋体" w:hAnsi="宋体" w:cs="宋体"/>
          <w:color w:val="000000" w:themeColor="text1"/>
          <w:sz w:val="24"/>
          <w:highlight w:val="none"/>
          <w:shd w:val="clear" w:color="auto" w:fill="FFFFFF"/>
          <w:lang w:eastAsia="zh-CN"/>
          <w14:textFill>
            <w14:solidFill>
              <w14:schemeClr w14:val="tx1"/>
            </w14:solidFill>
          </w14:textFill>
        </w:rPr>
        <w:t>.落实政府采购政策需满足的资格要求：促进政府强制采购节能产品及环境标志产品优先采购，促进中小企业和监狱企业发展扶持政策；</w:t>
      </w:r>
    </w:p>
    <w:p w14:paraId="4B01C824">
      <w:pPr>
        <w:widowControl/>
        <w:spacing w:line="440" w:lineRule="exact"/>
        <w:ind w:firstLine="480" w:firstLineChars="20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w:t>
      </w:r>
      <w:r>
        <w:rPr>
          <w:rFonts w:hint="eastAsia" w:ascii="宋体" w:hAnsi="宋体" w:cs="宋体"/>
          <w:color w:val="000000" w:themeColor="text1"/>
          <w:sz w:val="24"/>
          <w:highlight w:val="none"/>
          <w:shd w:val="clear" w:color="auto" w:fill="FFFFFF"/>
          <w:lang w:eastAsia="zh-CN"/>
          <w14:textFill>
            <w14:solidFill>
              <w14:schemeClr w14:val="tx1"/>
            </w14:solidFill>
          </w14:textFill>
        </w:rPr>
        <w:t>.</w:t>
      </w:r>
      <w:r>
        <w:rPr>
          <w:rFonts w:hint="eastAsia" w:ascii="宋体" w:hAnsi="宋体" w:cs="宋体"/>
          <w:color w:val="000000" w:themeColor="text1"/>
          <w:sz w:val="24"/>
          <w:highlight w:val="none"/>
          <w:shd w:val="clear" w:color="auto" w:fill="FFFFFF"/>
          <w14:textFill>
            <w14:solidFill>
              <w14:schemeClr w14:val="tx1"/>
            </w14:solidFill>
          </w14:textFill>
        </w:rPr>
        <w:t>本项目的特定资格要求：</w:t>
      </w:r>
    </w:p>
    <w:p w14:paraId="34FC4029">
      <w:pPr>
        <w:widowControl/>
        <w:spacing w:line="440" w:lineRule="exact"/>
        <w:ind w:firstLine="480" w:firstLineChars="20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3.1.投标人须具有有效的营业执照，并具有实施完成本项目的经营实力和完善的售后服务体系；</w:t>
      </w:r>
    </w:p>
    <w:p w14:paraId="72967D66">
      <w:pPr>
        <w:widowControl/>
        <w:spacing w:line="440" w:lineRule="exact"/>
        <w:ind w:firstLine="480" w:firstLineChars="20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备注：信誉要求由采购代理机构开标当日提供查询结果)；</w:t>
      </w:r>
    </w:p>
    <w:p w14:paraId="39099FC8">
      <w:pPr>
        <w:widowControl/>
        <w:spacing w:line="440" w:lineRule="exact"/>
        <w:ind w:firstLine="480" w:firstLineChars="200"/>
        <w:jc w:val="left"/>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3.3.本项目不接受联合体投标；</w:t>
      </w:r>
    </w:p>
    <w:p w14:paraId="792DADD2">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3.4.资格审查方式：资格后审。</w:t>
      </w:r>
    </w:p>
    <w:p w14:paraId="3E5848EE">
      <w:pPr>
        <w:widowControl/>
        <w:spacing w:line="440" w:lineRule="exact"/>
        <w:jc w:val="left"/>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三、获取采购文件</w:t>
      </w:r>
    </w:p>
    <w:p w14:paraId="7F64F770">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1.时间：</w:t>
      </w:r>
      <w:r>
        <w:rPr>
          <w:rFonts w:hint="eastAsia" w:cs="宋体"/>
          <w:color w:val="000000" w:themeColor="text1"/>
          <w:highlight w:val="none"/>
          <w:u w:val="single"/>
          <w:lang w:val="en-US" w:eastAsia="zh-CN"/>
          <w14:textFill>
            <w14:solidFill>
              <w14:schemeClr w14:val="tx1"/>
            </w14:solidFill>
          </w14:textFill>
        </w:rPr>
        <w:t>2025</w:t>
      </w:r>
      <w:r>
        <w:rPr>
          <w:rFonts w:hint="eastAsia" w:ascii="宋体" w:hAnsi="宋体" w:eastAsia="宋体" w:cs="宋体"/>
          <w:color w:val="000000" w:themeColor="text1"/>
          <w:highlight w:val="none"/>
          <w:u w:val="single"/>
          <w:lang w:val="en-US" w:eastAsia="zh-CN"/>
          <w14:textFill>
            <w14:solidFill>
              <w14:schemeClr w14:val="tx1"/>
            </w14:solidFill>
          </w14:textFill>
        </w:rPr>
        <w:t>年</w:t>
      </w:r>
      <w:r>
        <w:rPr>
          <w:rFonts w:hint="eastAsia" w:cs="宋体"/>
          <w:color w:val="000000" w:themeColor="text1"/>
          <w:highlight w:val="none"/>
          <w:u w:val="single"/>
          <w:lang w:val="en-US" w:eastAsia="zh-CN"/>
          <w14:textFill>
            <w14:solidFill>
              <w14:schemeClr w14:val="tx1"/>
            </w14:solidFill>
          </w14:textFill>
        </w:rPr>
        <w:t>12</w:t>
      </w:r>
      <w:r>
        <w:rPr>
          <w:rFonts w:hint="eastAsia" w:ascii="宋体" w:hAnsi="宋体" w:eastAsia="宋体" w:cs="宋体"/>
          <w:color w:val="000000" w:themeColor="text1"/>
          <w:highlight w:val="none"/>
          <w:u w:val="single"/>
          <w:lang w:val="en-US" w:eastAsia="zh-CN"/>
          <w14:textFill>
            <w14:solidFill>
              <w14:schemeClr w14:val="tx1"/>
            </w14:solidFill>
          </w14:textFill>
        </w:rPr>
        <w:t>月</w:t>
      </w:r>
      <w:r>
        <w:rPr>
          <w:rFonts w:hint="eastAsia" w:cs="宋体"/>
          <w:color w:val="000000" w:themeColor="text1"/>
          <w:highlight w:val="none"/>
          <w:u w:val="single"/>
          <w:lang w:val="en-US" w:eastAsia="zh-CN"/>
          <w14:textFill>
            <w14:solidFill>
              <w14:schemeClr w14:val="tx1"/>
            </w14:solidFill>
          </w14:textFill>
        </w:rPr>
        <w:t xml:space="preserve">31 </w:t>
      </w:r>
      <w:r>
        <w:rPr>
          <w:rFonts w:hint="eastAsia" w:ascii="宋体" w:hAnsi="宋体" w:eastAsia="宋体" w:cs="宋体"/>
          <w:color w:val="000000" w:themeColor="text1"/>
          <w:highlight w:val="none"/>
          <w:u w:val="single"/>
          <w:lang w:val="en-US" w:eastAsia="zh-CN"/>
          <w14:textFill>
            <w14:solidFill>
              <w14:schemeClr w14:val="tx1"/>
            </w14:solidFill>
          </w14:textFill>
        </w:rPr>
        <w:t>日至</w:t>
      </w:r>
      <w:r>
        <w:rPr>
          <w:rFonts w:hint="eastAsia" w:cs="宋体"/>
          <w:color w:val="000000" w:themeColor="text1"/>
          <w:highlight w:val="none"/>
          <w:u w:val="single"/>
          <w:lang w:val="en-US" w:eastAsia="zh-CN"/>
          <w14:textFill>
            <w14:solidFill>
              <w14:schemeClr w14:val="tx1"/>
            </w14:solidFill>
          </w14:textFill>
        </w:rPr>
        <w:t>2026</w:t>
      </w:r>
      <w:r>
        <w:rPr>
          <w:rFonts w:hint="eastAsia" w:ascii="宋体" w:hAnsi="宋体" w:eastAsia="宋体" w:cs="宋体"/>
          <w:color w:val="000000" w:themeColor="text1"/>
          <w:highlight w:val="none"/>
          <w:u w:val="single"/>
          <w:lang w:val="en-US" w:eastAsia="zh-CN"/>
          <w14:textFill>
            <w14:solidFill>
              <w14:schemeClr w14:val="tx1"/>
            </w14:solidFill>
          </w14:textFill>
        </w:rPr>
        <w:t>年</w:t>
      </w:r>
      <w:r>
        <w:rPr>
          <w:rFonts w:hint="eastAsia" w:cs="宋体"/>
          <w:color w:val="000000" w:themeColor="text1"/>
          <w:highlight w:val="none"/>
          <w:u w:val="single"/>
          <w:lang w:val="en-US" w:eastAsia="zh-CN"/>
          <w14:textFill>
            <w14:solidFill>
              <w14:schemeClr w14:val="tx1"/>
            </w14:solidFill>
          </w14:textFill>
        </w:rPr>
        <w:t>1月7</w:t>
      </w:r>
      <w:r>
        <w:rPr>
          <w:rFonts w:hint="eastAsia" w:ascii="宋体" w:hAnsi="宋体" w:eastAsia="宋体" w:cs="宋体"/>
          <w:color w:val="000000" w:themeColor="text1"/>
          <w:highlight w:val="none"/>
          <w:u w:val="single"/>
          <w:lang w:val="en-US" w:eastAsia="zh-CN"/>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每天上午</w:t>
      </w:r>
      <w:r>
        <w:rPr>
          <w:rFonts w:hint="eastAsia"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lang w:val="en-US" w:eastAsia="zh-CN"/>
          <w14:textFill>
            <w14:solidFill>
              <w14:schemeClr w14:val="tx1"/>
            </w14:solidFill>
          </w14:textFill>
        </w:rPr>
        <w:t>:00至</w:t>
      </w:r>
      <w:r>
        <w:rPr>
          <w:rFonts w:hint="eastAsia" w:cs="宋体"/>
          <w:color w:val="000000" w:themeColor="text1"/>
          <w:highlight w:val="none"/>
          <w:lang w:val="en-US" w:eastAsia="zh-CN"/>
          <w14:textFill>
            <w14:solidFill>
              <w14:schemeClr w14:val="tx1"/>
            </w14:solidFill>
          </w14:textFill>
        </w:rPr>
        <w:t>12</w:t>
      </w:r>
      <w:r>
        <w:rPr>
          <w:rFonts w:hint="eastAsia"/>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lang w:val="en-US" w:eastAsia="zh-CN"/>
          <w14:textFill>
            <w14:solidFill>
              <w14:schemeClr w14:val="tx1"/>
            </w14:solidFill>
          </w14:textFill>
        </w:rPr>
        <w:t>，下午12:00至23:</w:t>
      </w:r>
      <w:r>
        <w:rPr>
          <w:rFonts w:hint="eastAsia" w:cs="宋体"/>
          <w:color w:val="000000" w:themeColor="text1"/>
          <w:highlight w:val="none"/>
          <w:lang w:val="en-US" w:eastAsia="zh-CN"/>
          <w14:textFill>
            <w14:solidFill>
              <w14:schemeClr w14:val="tx1"/>
            </w14:solidFill>
          </w14:textFill>
        </w:rPr>
        <w:t>59</w:t>
      </w:r>
      <w:r>
        <w:rPr>
          <w:rFonts w:hint="eastAsia" w:ascii="宋体" w:hAnsi="宋体" w:eastAsia="宋体" w:cs="宋体"/>
          <w:color w:val="000000" w:themeColor="text1"/>
          <w:highlight w:val="none"/>
          <w:lang w:val="en-US" w:eastAsia="zh-CN"/>
          <w14:textFill>
            <w14:solidFill>
              <w14:schemeClr w14:val="tx1"/>
            </w14:solidFill>
          </w14:textFill>
        </w:rPr>
        <w:t>（北京时间，法定节假日除外。）</w:t>
      </w:r>
    </w:p>
    <w:p w14:paraId="71522660">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2.地点：焦作市公共资源交易中心网站交易平台。</w:t>
      </w:r>
    </w:p>
    <w:p w14:paraId="161B5385">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3.方式：本项目采用电子开评标（不见面开标），凡有意参加投标者，请登陆焦作市公共资源交易中心网站交易平台“交易主体登录”栏目下载招标文件。</w:t>
      </w:r>
    </w:p>
    <w:p w14:paraId="7F5DBF50">
      <w:pPr>
        <w:pStyle w:val="17"/>
        <w:shd w:val="clear" w:color="auto" w:fill="FFFFFF"/>
        <w:autoSpaceDE w:val="0"/>
        <w:spacing w:before="0" w:beforeAutospacing="0" w:after="0" w:afterAutospacing="0" w:line="440" w:lineRule="atLeast"/>
        <w:ind w:firstLine="480" w:firstLineChars="200"/>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4.售价：0元。</w:t>
      </w:r>
    </w:p>
    <w:p w14:paraId="46AB1D4F">
      <w:pPr>
        <w:adjustRightInd w:val="0"/>
        <w:snapToGrid w:val="0"/>
        <w:spacing w:line="440" w:lineRule="exact"/>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四、</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投标截止时间及地点：</w:t>
      </w:r>
    </w:p>
    <w:p w14:paraId="373AD203">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1.时间：</w:t>
      </w:r>
      <w:r>
        <w:rPr>
          <w:rFonts w:hint="eastAsia" w:ascii="宋体" w:hAnsi="宋体" w:cs="宋体"/>
          <w:b/>
          <w:bCs/>
          <w:color w:val="000000" w:themeColor="text1"/>
          <w:kern w:val="0"/>
          <w:sz w:val="24"/>
          <w:highlight w:val="none"/>
          <w:u w:val="single"/>
          <w14:textFill>
            <w14:solidFill>
              <w14:schemeClr w14:val="tx1"/>
            </w14:solidFill>
          </w14:textFill>
        </w:rPr>
        <w:t>202</w:t>
      </w:r>
      <w:r>
        <w:rPr>
          <w:rFonts w:hint="eastAsia" w:cs="宋体"/>
          <w:b/>
          <w:bCs/>
          <w:color w:val="000000" w:themeColor="text1"/>
          <w:kern w:val="0"/>
          <w:sz w:val="24"/>
          <w:highlight w:val="none"/>
          <w:u w:val="single"/>
          <w:lang w:val="en-US" w:eastAsia="zh-CN"/>
          <w14:textFill>
            <w14:solidFill>
              <w14:schemeClr w14:val="tx1"/>
            </w14:solidFill>
          </w14:textFill>
        </w:rPr>
        <w:t>6</w:t>
      </w:r>
      <w:r>
        <w:rPr>
          <w:rFonts w:hint="eastAsia" w:ascii="宋体" w:hAnsi="宋体" w:cs="宋体"/>
          <w:b/>
          <w:bCs/>
          <w:color w:val="000000" w:themeColor="text1"/>
          <w:kern w:val="0"/>
          <w:sz w:val="24"/>
          <w:highlight w:val="none"/>
          <w:u w:val="single"/>
          <w14:textFill>
            <w14:solidFill>
              <w14:schemeClr w14:val="tx1"/>
            </w14:solidFill>
          </w14:textFill>
        </w:rPr>
        <w:t>年</w:t>
      </w:r>
      <w:r>
        <w:rPr>
          <w:rFonts w:hint="eastAsia" w:cs="宋体"/>
          <w:b/>
          <w:bCs/>
          <w:color w:val="000000" w:themeColor="text1"/>
          <w:kern w:val="0"/>
          <w:sz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highlight w:val="none"/>
          <w:u w:val="single"/>
          <w14:textFill>
            <w14:solidFill>
              <w14:schemeClr w14:val="tx1"/>
            </w14:solidFill>
          </w14:textFill>
        </w:rPr>
        <w:t>月</w:t>
      </w:r>
      <w:r>
        <w:rPr>
          <w:rFonts w:hint="eastAsia" w:cs="宋体"/>
          <w:b/>
          <w:bCs/>
          <w:color w:val="000000" w:themeColor="text1"/>
          <w:kern w:val="0"/>
          <w:sz w:val="24"/>
          <w:highlight w:val="none"/>
          <w:u w:val="single"/>
          <w:lang w:val="en-US" w:eastAsia="zh-CN"/>
          <w14:textFill>
            <w14:solidFill>
              <w14:schemeClr w14:val="tx1"/>
            </w14:solidFill>
          </w14:textFill>
        </w:rPr>
        <w:t>20</w:t>
      </w:r>
      <w:r>
        <w:rPr>
          <w:rFonts w:hint="eastAsia" w:ascii="宋体" w:hAnsi="宋体" w:cs="宋体"/>
          <w:b/>
          <w:bCs/>
          <w:color w:val="000000" w:themeColor="text1"/>
          <w:kern w:val="0"/>
          <w:sz w:val="24"/>
          <w:highlight w:val="none"/>
          <w:u w:val="single"/>
          <w14:textFill>
            <w14:solidFill>
              <w14:schemeClr w14:val="tx1"/>
            </w14:solidFill>
          </w14:textFill>
        </w:rPr>
        <w:t>日上午9点00分</w:t>
      </w:r>
      <w:r>
        <w:rPr>
          <w:rFonts w:hint="eastAsia" w:ascii="宋体" w:hAnsi="宋体" w:cs="宋体"/>
          <w:b/>
          <w:bCs/>
          <w:color w:val="000000" w:themeColor="text1"/>
          <w:sz w:val="24"/>
          <w:highlight w:val="none"/>
          <w:u w:val="single"/>
          <w14:textFill>
            <w14:solidFill>
              <w14:schemeClr w14:val="tx1"/>
            </w14:solidFill>
          </w14:textFill>
        </w:rPr>
        <w:t>（北京时间）</w:t>
      </w:r>
      <w:r>
        <w:rPr>
          <w:rFonts w:hint="eastAsia" w:cs="宋体"/>
          <w:color w:val="000000" w:themeColor="text1"/>
          <w:highlight w:val="none"/>
          <w:lang w:val="en-US" w:eastAsia="zh-CN"/>
          <w14:textFill>
            <w14:solidFill>
              <w14:schemeClr w14:val="tx1"/>
            </w14:solidFill>
          </w14:textFill>
        </w:rPr>
        <w:t>；</w:t>
      </w:r>
    </w:p>
    <w:p w14:paraId="41116457">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2.地点：加密电子响应性文件须在响应性文件提交截止时间前通过“焦作市公共资源交易中心（https://ggzy.jiaozuo.gov.cn/）”网站-交易平台加密上传；</w:t>
      </w:r>
    </w:p>
    <w:p w14:paraId="39393DE0">
      <w:pPr>
        <w:adjustRightInd w:val="0"/>
        <w:snapToGrid w:val="0"/>
        <w:spacing w:line="440" w:lineRule="exac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五、</w:t>
      </w:r>
      <w:r>
        <w:rPr>
          <w:rFonts w:hint="eastAsia" w:ascii="宋体" w:hAnsi="宋体" w:eastAsia="宋体" w:cs="宋体"/>
          <w:b/>
          <w:bCs/>
          <w:color w:val="000000" w:themeColor="text1"/>
          <w:kern w:val="0"/>
          <w:sz w:val="24"/>
          <w:highlight w:val="none"/>
          <w:lang w:val="en-US" w:eastAsia="zh-CN"/>
          <w14:textFill>
            <w14:solidFill>
              <w14:schemeClr w14:val="tx1"/>
            </w14:solidFill>
          </w14:textFill>
        </w:rPr>
        <w:t>开标时间及地点：</w:t>
      </w:r>
    </w:p>
    <w:p w14:paraId="162C6430">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1.时间：</w:t>
      </w:r>
      <w:r>
        <w:rPr>
          <w:rFonts w:hint="eastAsia" w:ascii="宋体" w:hAnsi="宋体" w:cs="宋体"/>
          <w:b/>
          <w:bCs/>
          <w:color w:val="000000" w:themeColor="text1"/>
          <w:kern w:val="0"/>
          <w:sz w:val="24"/>
          <w:highlight w:val="none"/>
          <w:u w:val="single"/>
          <w14:textFill>
            <w14:solidFill>
              <w14:schemeClr w14:val="tx1"/>
            </w14:solidFill>
          </w14:textFill>
        </w:rPr>
        <w:t>202</w:t>
      </w:r>
      <w:r>
        <w:rPr>
          <w:rFonts w:hint="eastAsia" w:cs="宋体"/>
          <w:b/>
          <w:bCs/>
          <w:color w:val="000000" w:themeColor="text1"/>
          <w:kern w:val="0"/>
          <w:sz w:val="24"/>
          <w:highlight w:val="none"/>
          <w:u w:val="single"/>
          <w:lang w:val="en-US" w:eastAsia="zh-CN"/>
          <w14:textFill>
            <w14:solidFill>
              <w14:schemeClr w14:val="tx1"/>
            </w14:solidFill>
          </w14:textFill>
        </w:rPr>
        <w:t>6</w:t>
      </w:r>
      <w:r>
        <w:rPr>
          <w:rFonts w:hint="eastAsia" w:ascii="宋体" w:hAnsi="宋体" w:cs="宋体"/>
          <w:b/>
          <w:bCs/>
          <w:color w:val="000000" w:themeColor="text1"/>
          <w:kern w:val="0"/>
          <w:sz w:val="24"/>
          <w:highlight w:val="none"/>
          <w:u w:val="single"/>
          <w14:textFill>
            <w14:solidFill>
              <w14:schemeClr w14:val="tx1"/>
            </w14:solidFill>
          </w14:textFill>
        </w:rPr>
        <w:t>年</w:t>
      </w:r>
      <w:r>
        <w:rPr>
          <w:rFonts w:hint="eastAsia" w:cs="宋体"/>
          <w:b/>
          <w:bCs/>
          <w:color w:val="000000" w:themeColor="text1"/>
          <w:kern w:val="0"/>
          <w:sz w:val="24"/>
          <w:highlight w:val="none"/>
          <w:u w:val="single"/>
          <w:lang w:val="en-US" w:eastAsia="zh-CN"/>
          <w14:textFill>
            <w14:solidFill>
              <w14:schemeClr w14:val="tx1"/>
            </w14:solidFill>
          </w14:textFill>
        </w:rPr>
        <w:t>1</w:t>
      </w:r>
      <w:r>
        <w:rPr>
          <w:rFonts w:hint="eastAsia" w:ascii="宋体" w:hAnsi="宋体" w:cs="宋体"/>
          <w:b/>
          <w:bCs/>
          <w:color w:val="000000" w:themeColor="text1"/>
          <w:kern w:val="0"/>
          <w:sz w:val="24"/>
          <w:highlight w:val="none"/>
          <w:u w:val="single"/>
          <w14:textFill>
            <w14:solidFill>
              <w14:schemeClr w14:val="tx1"/>
            </w14:solidFill>
          </w14:textFill>
        </w:rPr>
        <w:t>月</w:t>
      </w:r>
      <w:r>
        <w:rPr>
          <w:rFonts w:hint="eastAsia" w:cs="宋体"/>
          <w:b/>
          <w:bCs/>
          <w:color w:val="000000" w:themeColor="text1"/>
          <w:kern w:val="0"/>
          <w:sz w:val="24"/>
          <w:highlight w:val="none"/>
          <w:u w:val="single"/>
          <w:lang w:val="en-US" w:eastAsia="zh-CN"/>
          <w14:textFill>
            <w14:solidFill>
              <w14:schemeClr w14:val="tx1"/>
            </w14:solidFill>
          </w14:textFill>
        </w:rPr>
        <w:t>20</w:t>
      </w:r>
      <w:r>
        <w:rPr>
          <w:rFonts w:hint="eastAsia" w:ascii="宋体" w:hAnsi="宋体" w:cs="宋体"/>
          <w:b/>
          <w:bCs/>
          <w:color w:val="000000" w:themeColor="text1"/>
          <w:kern w:val="0"/>
          <w:sz w:val="24"/>
          <w:highlight w:val="none"/>
          <w:u w:val="single"/>
          <w14:textFill>
            <w14:solidFill>
              <w14:schemeClr w14:val="tx1"/>
            </w14:solidFill>
          </w14:textFill>
        </w:rPr>
        <w:t>日上午9点00分</w:t>
      </w:r>
      <w:r>
        <w:rPr>
          <w:rFonts w:hint="eastAsia" w:ascii="宋体" w:hAnsi="宋体" w:cs="宋体"/>
          <w:b/>
          <w:bCs/>
          <w:color w:val="000000" w:themeColor="text1"/>
          <w:sz w:val="24"/>
          <w:highlight w:val="none"/>
          <w:u w:val="single"/>
          <w14:textFill>
            <w14:solidFill>
              <w14:schemeClr w14:val="tx1"/>
            </w14:solidFill>
          </w14:textFill>
        </w:rPr>
        <w:t>（北京时间）</w:t>
      </w:r>
      <w:r>
        <w:rPr>
          <w:rFonts w:hint="eastAsia" w:cs="宋体"/>
          <w:color w:val="000000" w:themeColor="text1"/>
          <w:highlight w:val="none"/>
          <w:lang w:val="en-US" w:eastAsia="zh-CN"/>
          <w14:textFill>
            <w14:solidFill>
              <w14:schemeClr w14:val="tx1"/>
            </w14:solidFill>
          </w14:textFill>
        </w:rPr>
        <w:t>；</w:t>
      </w:r>
    </w:p>
    <w:p w14:paraId="36E2A108">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2.地点：博爱县公共资源交易中心二楼不见面开标</w:t>
      </w:r>
      <w:r>
        <w:rPr>
          <w:rFonts w:hint="eastAsia" w:cs="宋体"/>
          <w:color w:val="000000" w:themeColor="text1"/>
          <w:highlight w:val="none"/>
          <w:lang w:val="en-US" w:eastAsia="zh-CN"/>
          <w14:textFill>
            <w14:solidFill>
              <w14:schemeClr w14:val="tx1"/>
            </w14:solidFill>
          </w14:textFill>
        </w:rPr>
        <w:t>二</w:t>
      </w:r>
      <w:r>
        <w:rPr>
          <w:rFonts w:hint="eastAsia" w:ascii="宋体" w:hAnsi="宋体" w:eastAsia="宋体" w:cs="宋体"/>
          <w:color w:val="000000" w:themeColor="text1"/>
          <w:highlight w:val="none"/>
          <w:lang w:val="en-US" w:eastAsia="zh-CN"/>
          <w14:textFill>
            <w14:solidFill>
              <w14:schemeClr w14:val="tx1"/>
            </w14:solidFill>
          </w14:textFill>
        </w:rPr>
        <w:t>室；</w:t>
      </w:r>
    </w:p>
    <w:p w14:paraId="3E420449">
      <w:pPr>
        <w:adjustRightInd w:val="0"/>
        <w:snapToGrid w:val="0"/>
        <w:spacing w:line="440" w:lineRule="exac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六、</w:t>
      </w:r>
      <w:r>
        <w:rPr>
          <w:rFonts w:hint="eastAsia" w:ascii="宋体" w:hAnsi="宋体" w:eastAsia="宋体" w:cs="宋体"/>
          <w:b/>
          <w:bCs/>
          <w:color w:val="000000" w:themeColor="text1"/>
          <w:sz w:val="24"/>
          <w:highlight w:val="none"/>
          <w:lang w:val="en-US" w:eastAsia="zh-CN"/>
          <w14:textFill>
            <w14:solidFill>
              <w14:schemeClr w14:val="tx1"/>
            </w14:solidFill>
          </w14:textFill>
        </w:rPr>
        <w:t>发布公告的媒介及招标公告期限：</w:t>
      </w:r>
    </w:p>
    <w:p w14:paraId="78F71317">
      <w:pPr>
        <w:pStyle w:val="17"/>
        <w:shd w:val="clear" w:color="auto" w:fill="FFFFFF"/>
        <w:autoSpaceDE w:val="0"/>
        <w:spacing w:before="0" w:beforeAutospacing="0" w:after="0" w:afterAutospacing="0" w:line="440" w:lineRule="atLeast"/>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次招标公告在《中国招标投标公共服务平台》、《河南省政府采购网》、《焦作市政府采购网》、《焦作市公共资源交易中心网》、《博爱县公共资源交易中心网》http://ggzy.boai.gov.cn/上发布，招标公告期限为五个工作日。</w:t>
      </w:r>
    </w:p>
    <w:p w14:paraId="1986467A">
      <w:pPr>
        <w:adjustRightInd w:val="0"/>
        <w:snapToGrid w:val="0"/>
        <w:spacing w:line="440" w:lineRule="exac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七、其他补充事宜</w:t>
      </w:r>
    </w:p>
    <w:p w14:paraId="792B18E4">
      <w:pPr>
        <w:pStyle w:val="17"/>
        <w:keepNext w:val="0"/>
        <w:keepLines w:val="0"/>
        <w:pageBreakBefore w:val="0"/>
        <w:widowControl/>
        <w:kinsoku/>
        <w:wordWrap w:val="0"/>
        <w:overflowPunct/>
        <w:topLinePunct w:val="0"/>
        <w:autoSpaceDE/>
        <w:autoSpaceDN/>
        <w:bidi w:val="0"/>
        <w:adjustRightInd/>
        <w:snapToGrid/>
        <w:spacing w:beforeAutospacing="0" w:afterAutospacing="0" w:line="440" w:lineRule="exact"/>
        <w:ind w:firstLine="468" w:firstLineChars="195"/>
        <w:jc w:val="both"/>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本项目采用“远程不见面”的开标方式，潜在供应商可提前在焦作市公共资源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http://ggzy.jiaozuo.gov.cn/BidOpeningHall/bidhall/default/login）进行签到，按要求解密响应文件。因文件未及时上传导致投标失败的责任由供应商自行承担，具体要求详见竞争性谈判文件。 平台统一技术服务电话：400-998-0000，服务 QQ：4008503300，服务时间：周一至周日 8：00-17：30。</w:t>
      </w:r>
    </w:p>
    <w:p w14:paraId="0874AADF">
      <w:pPr>
        <w:pStyle w:val="17"/>
        <w:spacing w:beforeAutospacing="0" w:afterAutospacing="0" w:line="440" w:lineRule="exact"/>
        <w:ind w:firstLine="468" w:firstLineChars="195"/>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02561C9B">
      <w:pPr>
        <w:adjustRightInd w:val="0"/>
        <w:snapToGrid w:val="0"/>
        <w:spacing w:line="440" w:lineRule="exact"/>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八、</w:t>
      </w:r>
      <w:r>
        <w:rPr>
          <w:rFonts w:hint="eastAsia" w:ascii="宋体" w:hAnsi="宋体" w:cs="宋体"/>
          <w:b/>
          <w:color w:val="000000" w:themeColor="text1"/>
          <w:sz w:val="24"/>
          <w:highlight w:val="none"/>
          <w:shd w:val="clear" w:color="auto" w:fill="FFFFFF"/>
          <w14:textFill>
            <w14:solidFill>
              <w14:schemeClr w14:val="tx1"/>
            </w14:solidFill>
          </w14:textFill>
        </w:rPr>
        <w:t>凡对本次采购提出询问，请按以下方式联系</w:t>
      </w:r>
    </w:p>
    <w:p w14:paraId="0C6DF9AF">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1.采购人信息：</w:t>
      </w:r>
    </w:p>
    <w:p w14:paraId="0CA85F3C">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名称：博爱县城市管理局</w:t>
      </w:r>
    </w:p>
    <w:p w14:paraId="5BCA57E6">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地址：河南省博爱县鸿昌街道办事处劳动街</w:t>
      </w:r>
    </w:p>
    <w:p w14:paraId="1255C074">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default"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联系人：刘继军</w:t>
      </w:r>
    </w:p>
    <w:p w14:paraId="20BCCF64">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联系方式：0391-8660339</w:t>
      </w:r>
    </w:p>
    <w:p w14:paraId="16821CB3">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2.采购代理机构信息：</w:t>
      </w:r>
    </w:p>
    <w:p w14:paraId="63F1BF73">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代理机构：河南领秀工程造价咨询有限公司</w:t>
      </w:r>
    </w:p>
    <w:p w14:paraId="531959F4">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地址：郑州市电厂路北段河南省国家大学科技园（东区）16号楼C座20层2002室</w:t>
      </w:r>
    </w:p>
    <w:p w14:paraId="3911E294">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联系人：张秀荣、沈子鹏、白茹</w:t>
      </w:r>
    </w:p>
    <w:p w14:paraId="4B22E6C1">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联系方式：13283807903、0371-61282798</w:t>
      </w:r>
    </w:p>
    <w:p w14:paraId="0463A780">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邮箱：lingxiudailibu@163.com</w:t>
      </w:r>
    </w:p>
    <w:p w14:paraId="60922663">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3.项目联系方式</w:t>
      </w:r>
    </w:p>
    <w:p w14:paraId="168E8BF2">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项目联系人：张秀荣</w:t>
      </w:r>
    </w:p>
    <w:p w14:paraId="17151394">
      <w:pPr>
        <w:keepNext w:val="0"/>
        <w:keepLines w:val="0"/>
        <w:pageBreakBefore w:val="0"/>
        <w:kinsoku/>
        <w:wordWrap/>
        <w:overflowPunct/>
        <w:topLinePunct w:val="0"/>
        <w:autoSpaceDE/>
        <w:autoSpaceDN/>
        <w:bidi w:val="0"/>
        <w:adjustRightInd w:val="0"/>
        <w:snapToGrid w:val="0"/>
        <w:spacing w:line="440" w:lineRule="exact"/>
        <w:ind w:firstLine="504" w:firstLineChars="200"/>
        <w:textAlignment w:val="auto"/>
        <w:rPr>
          <w:rFonts w:hint="eastAsia" w:ascii="宋体" w:hAnsi="宋体" w:cs="宋体"/>
          <w:color w:val="000000" w:themeColor="text1"/>
          <w:spacing w:val="6"/>
          <w:sz w:val="24"/>
          <w:highlight w:val="none"/>
          <w:lang w:val="en-US" w:eastAsia="zh-CN"/>
          <w14:textFill>
            <w14:solidFill>
              <w14:schemeClr w14:val="tx1"/>
            </w14:solidFill>
          </w14:textFill>
        </w:rPr>
      </w:pPr>
      <w:r>
        <w:rPr>
          <w:rFonts w:hint="eastAsia" w:ascii="宋体" w:hAnsi="宋体" w:cs="宋体"/>
          <w:color w:val="000000" w:themeColor="text1"/>
          <w:spacing w:val="6"/>
          <w:sz w:val="24"/>
          <w:highlight w:val="none"/>
          <w:lang w:val="en-US" w:eastAsia="zh-CN"/>
          <w14:textFill>
            <w14:solidFill>
              <w14:schemeClr w14:val="tx1"/>
            </w14:solidFill>
          </w14:textFill>
        </w:rPr>
        <w:t>联系方式：0371-61282798</w:t>
      </w:r>
    </w:p>
    <w:p w14:paraId="149FA0CB">
      <w:pPr>
        <w:adjustRightInd w:val="0"/>
        <w:snapToGrid w:val="0"/>
        <w:spacing w:line="440" w:lineRule="exact"/>
        <w:ind w:firstLine="480" w:firstLineChars="200"/>
        <w:rPr>
          <w:rFonts w:ascii="宋体" w:hAnsi="宋体" w:cs="宋体"/>
          <w:color w:val="000000" w:themeColor="text1"/>
          <w:kern w:val="0"/>
          <w:sz w:val="24"/>
          <w:highlight w:val="none"/>
          <w14:textFill>
            <w14:solidFill>
              <w14:schemeClr w14:val="tx1"/>
            </w14:solidFill>
          </w14:textFill>
        </w:rPr>
      </w:pPr>
    </w:p>
    <w:p w14:paraId="00987950">
      <w:pPr>
        <w:widowControl/>
        <w:spacing w:line="440" w:lineRule="exact"/>
        <w:rPr>
          <w:rFonts w:ascii="宋体" w:hAnsi="宋体" w:cs="宋体"/>
          <w:color w:val="000000" w:themeColor="text1"/>
          <w:sz w:val="24"/>
          <w:highlight w:val="none"/>
          <w14:textFill>
            <w14:solidFill>
              <w14:schemeClr w14:val="tx1"/>
            </w14:solidFill>
          </w14:textFill>
        </w:rPr>
      </w:pPr>
    </w:p>
    <w:p w14:paraId="6BD10787">
      <w:pPr>
        <w:widowControl/>
        <w:spacing w:line="440" w:lineRule="exact"/>
        <w:ind w:left="2940" w:firstLine="420"/>
        <w:jc w:val="right"/>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r>
        <w:rPr>
          <w:rFonts w:hint="eastAsia" w:ascii="宋体" w:hAnsi="宋体" w:cs="宋体"/>
          <w:color w:val="000000" w:themeColor="text1"/>
          <w:sz w:val="24"/>
          <w:highlight w:val="none"/>
          <w:lang w:eastAsia="zh-CN"/>
          <w14:textFill>
            <w14:solidFill>
              <w14:schemeClr w14:val="tx1"/>
            </w14:solidFill>
          </w14:textFill>
        </w:rPr>
        <w:t>博爱县城市管理局</w:t>
      </w:r>
    </w:p>
    <w:p w14:paraId="054FB65D">
      <w:pPr>
        <w:widowControl/>
        <w:spacing w:line="440" w:lineRule="exact"/>
        <w:ind w:left="2940" w:firstLine="42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采购代理机构：</w:t>
      </w:r>
      <w:r>
        <w:rPr>
          <w:rFonts w:hint="eastAsia" w:ascii="宋体" w:hAnsi="宋体" w:cs="宋体"/>
          <w:color w:val="000000" w:themeColor="text1"/>
          <w:sz w:val="24"/>
          <w:highlight w:val="none"/>
          <w:lang w:eastAsia="zh-CN"/>
          <w14:textFill>
            <w14:solidFill>
              <w14:schemeClr w14:val="tx1"/>
            </w14:solidFill>
          </w14:textFill>
        </w:rPr>
        <w:t>河南领秀工程造价咨询有限公司</w:t>
      </w:r>
    </w:p>
    <w:p w14:paraId="0E09E9BC">
      <w:pPr>
        <w:widowControl/>
        <w:spacing w:line="440" w:lineRule="exact"/>
        <w:ind w:left="2940" w:firstLine="420"/>
        <w:jc w:val="righ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发布时间：2025年</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30</w:t>
      </w:r>
      <w:r>
        <w:rPr>
          <w:rFonts w:hint="eastAsia" w:ascii="宋体" w:hAnsi="宋体" w:cs="宋体"/>
          <w:color w:val="000000" w:themeColor="text1"/>
          <w:sz w:val="24"/>
          <w:highlight w:val="none"/>
          <w14:textFill>
            <w14:solidFill>
              <w14:schemeClr w14:val="tx1"/>
            </w14:solidFill>
          </w14:textFill>
        </w:rPr>
        <w:t>日</w:t>
      </w:r>
    </w:p>
    <w:p w14:paraId="5A87CB12"/>
    <w:p w14:paraId="68C8881B">
      <w:pPr>
        <w:widowControl/>
        <w:spacing w:line="440" w:lineRule="exact"/>
        <w:ind w:left="2940" w:firstLine="420"/>
        <w:jc w:val="right"/>
        <w:rPr>
          <w:rFonts w:hint="eastAsia" w:ascii="宋体" w:hAnsi="宋体" w:cs="宋体"/>
          <w:color w:val="000000" w:themeColor="text1"/>
          <w:sz w:val="24"/>
          <w:highlight w:val="none"/>
          <w14:textFill>
            <w14:solidFill>
              <w14:schemeClr w14:val="tx1"/>
            </w14:solidFill>
          </w14:textFill>
        </w:rPr>
      </w:pPr>
    </w:p>
    <w:p w14:paraId="5AE4877B">
      <w:pPr>
        <w:widowControl/>
        <w:spacing w:line="440" w:lineRule="exact"/>
        <w:ind w:left="2940" w:firstLine="420"/>
        <w:jc w:val="right"/>
        <w:rPr>
          <w:color w:val="000000" w:themeColor="text1"/>
          <w:highlight w:val="none"/>
          <w14:textFill>
            <w14:solidFill>
              <w14:schemeClr w14:val="tx1"/>
            </w14:solidFill>
          </w14:textFill>
        </w:rPr>
      </w:pPr>
    </w:p>
    <w:p w14:paraId="7107BE23">
      <w:pPr>
        <w:rPr>
          <w:color w:val="000000" w:themeColor="text1"/>
          <w:highlight w:val="none"/>
          <w14:textFill>
            <w14:solidFill>
              <w14:schemeClr w14:val="tx1"/>
            </w14:solidFill>
          </w14:textFill>
        </w:rPr>
      </w:pPr>
    </w:p>
    <w:p w14:paraId="0376ACBC">
      <w:pPr>
        <w:widowControl/>
        <w:spacing w:line="440" w:lineRule="exact"/>
        <w:ind w:left="2940" w:firstLine="420"/>
        <w:rPr>
          <w:color w:val="000000" w:themeColor="text1"/>
          <w:highlight w:val="none"/>
          <w14:textFill>
            <w14:solidFill>
              <w14:schemeClr w14:val="tx1"/>
            </w14:solidFill>
          </w14:textFill>
        </w:rPr>
      </w:pPr>
    </w:p>
    <w:p w14:paraId="50306584">
      <w:pPr>
        <w:pStyle w:val="8"/>
        <w:rPr>
          <w:color w:val="000000" w:themeColor="text1"/>
          <w:highlight w:val="none"/>
          <w14:textFill>
            <w14:solidFill>
              <w14:schemeClr w14:val="tx1"/>
            </w14:solidFill>
          </w14:textFill>
        </w:rPr>
      </w:pPr>
    </w:p>
    <w:p w14:paraId="31FB6702">
      <w:pPr>
        <w:pStyle w:val="26"/>
        <w:rPr>
          <w:color w:val="000000" w:themeColor="text1"/>
          <w:highlight w:val="none"/>
          <w14:textFill>
            <w14:solidFill>
              <w14:schemeClr w14:val="tx1"/>
            </w14:solidFill>
          </w14:textFill>
        </w:rPr>
      </w:pPr>
    </w:p>
    <w:p w14:paraId="10C8FE52">
      <w:pPr>
        <w:rPr>
          <w:color w:val="000000" w:themeColor="text1"/>
          <w:highlight w:val="none"/>
          <w14:textFill>
            <w14:solidFill>
              <w14:schemeClr w14:val="tx1"/>
            </w14:solidFill>
          </w14:textFill>
        </w:rPr>
      </w:pPr>
    </w:p>
    <w:p w14:paraId="2EC448D7">
      <w:pPr>
        <w:pStyle w:val="8"/>
        <w:rPr>
          <w:color w:val="000000" w:themeColor="text1"/>
          <w:highlight w:val="none"/>
          <w14:textFill>
            <w14:solidFill>
              <w14:schemeClr w14:val="tx1"/>
            </w14:solidFill>
          </w14:textFill>
        </w:rPr>
      </w:pPr>
    </w:p>
    <w:p w14:paraId="0A43F3D4">
      <w:pPr>
        <w:rPr>
          <w:color w:val="000000" w:themeColor="text1"/>
          <w:highlight w:val="none"/>
          <w14:textFill>
            <w14:solidFill>
              <w14:schemeClr w14:val="tx1"/>
            </w14:solidFill>
          </w14:textFill>
        </w:rPr>
      </w:pPr>
    </w:p>
    <w:p w14:paraId="5237A0A7">
      <w:pPr>
        <w:autoSpaceDE w:val="0"/>
        <w:autoSpaceDN w:val="0"/>
        <w:adjustRightInd w:val="0"/>
        <w:spacing w:line="360" w:lineRule="auto"/>
        <w:jc w:val="center"/>
        <w:outlineLvl w:val="0"/>
        <w:rPr>
          <w:rFonts w:ascii="宋体" w:hAnsi="宋体" w:eastAsia="宋体" w:cs="宋体"/>
          <w:b/>
          <w:color w:val="000000" w:themeColor="text1"/>
          <w:sz w:val="32"/>
          <w:szCs w:val="32"/>
          <w:highlight w:val="none"/>
          <w14:textFill>
            <w14:solidFill>
              <w14:schemeClr w14:val="tx1"/>
            </w14:solidFill>
          </w14:textFill>
        </w:rPr>
      </w:pPr>
      <w:bookmarkStart w:id="6" w:name="_Toc21974"/>
      <w:r>
        <w:rPr>
          <w:rFonts w:hint="eastAsia" w:ascii="宋体" w:hAnsi="宋体" w:eastAsia="宋体" w:cs="宋体"/>
          <w:b/>
          <w:color w:val="000000" w:themeColor="text1"/>
          <w:sz w:val="32"/>
          <w:szCs w:val="32"/>
          <w:highlight w:val="none"/>
          <w14:textFill>
            <w14:solidFill>
              <w14:schemeClr w14:val="tx1"/>
            </w14:solidFill>
          </w14:textFill>
        </w:rPr>
        <w:br w:type="page"/>
      </w:r>
      <w:bookmarkStart w:id="7" w:name="_Toc16509"/>
      <w:r>
        <w:rPr>
          <w:rFonts w:hint="eastAsia" w:ascii="宋体" w:hAnsi="宋体" w:eastAsia="宋体" w:cs="宋体"/>
          <w:b/>
          <w:color w:val="000000" w:themeColor="text1"/>
          <w:sz w:val="32"/>
          <w:szCs w:val="32"/>
          <w:highlight w:val="none"/>
          <w14:textFill>
            <w14:solidFill>
              <w14:schemeClr w14:val="tx1"/>
            </w14:solidFill>
          </w14:textFill>
        </w:rPr>
        <w:t>第二章  供应商须知</w:t>
      </w:r>
      <w:bookmarkEnd w:id="6"/>
      <w:bookmarkEnd w:id="7"/>
    </w:p>
    <w:bookmarkEnd w:id="0"/>
    <w:p w14:paraId="0F36C129">
      <w:pPr>
        <w:pStyle w:val="18"/>
        <w:spacing w:before="0" w:after="0" w:line="360" w:lineRule="auto"/>
        <w:ind w:right="-23" w:rightChars="-11"/>
        <w:outlineLvl w:val="1"/>
        <w:rPr>
          <w:rFonts w:ascii="宋体" w:hAnsi="宋体" w:eastAsia="宋体" w:cs="宋体"/>
          <w:color w:val="000000" w:themeColor="text1"/>
          <w:sz w:val="30"/>
          <w:szCs w:val="30"/>
          <w:highlight w:val="none"/>
          <w14:textFill>
            <w14:solidFill>
              <w14:schemeClr w14:val="tx1"/>
            </w14:solidFill>
          </w14:textFill>
        </w:rPr>
      </w:pPr>
      <w:bookmarkStart w:id="8" w:name="_Toc9161"/>
      <w:bookmarkStart w:id="9" w:name="_Toc403122490"/>
      <w:bookmarkStart w:id="10" w:name="_Toc32497"/>
      <w:bookmarkStart w:id="11" w:name="_Toc14655"/>
      <w:bookmarkStart w:id="12" w:name="_Toc426369478"/>
      <w:r>
        <w:rPr>
          <w:rFonts w:hint="eastAsia" w:ascii="宋体" w:hAnsi="宋体" w:eastAsia="宋体" w:cs="宋体"/>
          <w:color w:val="000000" w:themeColor="text1"/>
          <w:sz w:val="30"/>
          <w:szCs w:val="30"/>
          <w:highlight w:val="none"/>
          <w14:textFill>
            <w14:solidFill>
              <w14:schemeClr w14:val="tx1"/>
            </w14:solidFill>
          </w14:textFill>
        </w:rPr>
        <w:t>供应商须知前附表</w:t>
      </w:r>
      <w:bookmarkEnd w:id="8"/>
      <w:bookmarkEnd w:id="9"/>
      <w:bookmarkEnd w:id="10"/>
      <w:bookmarkEnd w:id="11"/>
      <w:bookmarkEnd w:id="12"/>
    </w:p>
    <w:tbl>
      <w:tblPr>
        <w:tblStyle w:val="21"/>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18"/>
        <w:gridCol w:w="6112"/>
      </w:tblGrid>
      <w:tr w14:paraId="16A2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8FA9C4E">
            <w:pPr>
              <w:pStyle w:val="10"/>
              <w:spacing w:line="360" w:lineRule="exact"/>
              <w:jc w:val="center"/>
              <w:rPr>
                <w:rFonts w:hint="default"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条款号</w:t>
            </w:r>
          </w:p>
        </w:tc>
        <w:tc>
          <w:tcPr>
            <w:tcW w:w="2318" w:type="dxa"/>
            <w:vAlign w:val="center"/>
          </w:tcPr>
          <w:p w14:paraId="0D0892EF">
            <w:pPr>
              <w:pStyle w:val="10"/>
              <w:spacing w:line="360" w:lineRule="exact"/>
              <w:jc w:val="center"/>
              <w:rPr>
                <w:rFonts w:hint="default"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条款名称</w:t>
            </w:r>
          </w:p>
        </w:tc>
        <w:tc>
          <w:tcPr>
            <w:tcW w:w="6112" w:type="dxa"/>
            <w:vAlign w:val="center"/>
          </w:tcPr>
          <w:p w14:paraId="6A70CFFE">
            <w:pPr>
              <w:pStyle w:val="10"/>
              <w:spacing w:line="360" w:lineRule="exact"/>
              <w:jc w:val="center"/>
              <w:rPr>
                <w:rFonts w:hint="default" w:ascii="宋体" w:hAnsi="宋体" w:eastAsia="宋体" w:cs="宋体"/>
                <w:b/>
                <w:color w:val="000000" w:themeColor="text1"/>
                <w:highlight w:val="none"/>
                <w14:textFill>
                  <w14:solidFill>
                    <w14:schemeClr w14:val="tx1"/>
                  </w14:solidFill>
                </w14:textFill>
              </w:rPr>
            </w:pPr>
            <w:r>
              <w:rPr>
                <w:rFonts w:ascii="宋体" w:hAnsi="宋体" w:eastAsia="宋体" w:cs="宋体"/>
                <w:b/>
                <w:color w:val="000000" w:themeColor="text1"/>
                <w:highlight w:val="none"/>
                <w14:textFill>
                  <w14:solidFill>
                    <w14:schemeClr w14:val="tx1"/>
                  </w14:solidFill>
                </w14:textFill>
              </w:rPr>
              <w:t>编列内容</w:t>
            </w:r>
          </w:p>
        </w:tc>
      </w:tr>
      <w:tr w14:paraId="0290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0C52809">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1.1.2</w:t>
            </w:r>
          </w:p>
        </w:tc>
        <w:tc>
          <w:tcPr>
            <w:tcW w:w="2318" w:type="dxa"/>
            <w:vAlign w:val="center"/>
          </w:tcPr>
          <w:p w14:paraId="7FD89381">
            <w:pPr>
              <w:pStyle w:val="10"/>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采购人</w:t>
            </w:r>
          </w:p>
        </w:tc>
        <w:tc>
          <w:tcPr>
            <w:tcW w:w="6112" w:type="dxa"/>
            <w:vAlign w:val="center"/>
          </w:tcPr>
          <w:p w14:paraId="03A62ADA">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名称：博爱县城市管理局</w:t>
            </w:r>
          </w:p>
          <w:p w14:paraId="4A0559B2">
            <w:pPr>
              <w:pStyle w:val="10"/>
              <w:spacing w:line="360" w:lineRule="exact"/>
              <w:rPr>
                <w:rFonts w:hint="eastAsia" w:ascii="宋体" w:hAnsi="宋体" w:eastAsia="宋体" w:cs="宋体"/>
                <w:color w:val="auto"/>
                <w:highlight w:val="none"/>
                <w:lang w:eastAsia="zh-CN"/>
              </w:rPr>
            </w:pPr>
            <w:r>
              <w:rPr>
                <w:rFonts w:hint="default" w:ascii="宋体" w:hAnsi="宋体" w:eastAsia="宋体" w:cs="宋体"/>
                <w:color w:val="auto"/>
                <w:highlight w:val="none"/>
              </w:rPr>
              <w:t>地址：</w:t>
            </w:r>
            <w:r>
              <w:rPr>
                <w:rFonts w:hint="eastAsia" w:hAnsi="宋体" w:cs="宋体"/>
                <w:color w:val="auto"/>
                <w:highlight w:val="none"/>
                <w:lang w:eastAsia="zh-CN"/>
              </w:rPr>
              <w:t>河南省博爱县鸿昌街道办事处劳动街</w:t>
            </w:r>
          </w:p>
          <w:p w14:paraId="192D6984">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联系人：刘继军</w:t>
            </w:r>
          </w:p>
          <w:p w14:paraId="7D1BDFC6">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联系方式：0391-8660339</w:t>
            </w:r>
          </w:p>
        </w:tc>
      </w:tr>
      <w:tr w14:paraId="1F77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5ADBC8B">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1.1.3</w:t>
            </w:r>
          </w:p>
        </w:tc>
        <w:tc>
          <w:tcPr>
            <w:tcW w:w="2318" w:type="dxa"/>
            <w:vAlign w:val="center"/>
          </w:tcPr>
          <w:p w14:paraId="19314007">
            <w:pPr>
              <w:pStyle w:val="10"/>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采购代理机构</w:t>
            </w:r>
          </w:p>
        </w:tc>
        <w:tc>
          <w:tcPr>
            <w:tcW w:w="6112" w:type="dxa"/>
            <w:vAlign w:val="center"/>
          </w:tcPr>
          <w:p w14:paraId="1AD70A81">
            <w:pPr>
              <w:pStyle w:val="8"/>
              <w:rPr>
                <w:rFonts w:hint="default"/>
                <w:color w:val="auto"/>
                <w:highlight w:val="none"/>
              </w:rPr>
            </w:pPr>
            <w:r>
              <w:rPr>
                <w:rFonts w:hint="default"/>
                <w:color w:val="auto"/>
                <w:highlight w:val="none"/>
              </w:rPr>
              <w:t>代理机构：河南领秀工程造价咨询有限公司</w:t>
            </w:r>
          </w:p>
          <w:p w14:paraId="67B64A1D">
            <w:pPr>
              <w:pStyle w:val="8"/>
              <w:rPr>
                <w:rFonts w:hint="default"/>
                <w:color w:val="auto"/>
                <w:highlight w:val="none"/>
              </w:rPr>
            </w:pPr>
            <w:r>
              <w:rPr>
                <w:rFonts w:hint="default"/>
                <w:color w:val="auto"/>
                <w:highlight w:val="none"/>
              </w:rPr>
              <w:t>地址：郑州市电厂路北段河南省国家大学科技园（东区）16号楼C座20层2002室</w:t>
            </w:r>
          </w:p>
          <w:p w14:paraId="1517BF84">
            <w:pPr>
              <w:pStyle w:val="8"/>
              <w:rPr>
                <w:rFonts w:hint="default"/>
                <w:color w:val="auto"/>
                <w:highlight w:val="none"/>
              </w:rPr>
            </w:pPr>
            <w:r>
              <w:rPr>
                <w:rFonts w:hint="default"/>
                <w:color w:val="auto"/>
                <w:highlight w:val="none"/>
              </w:rPr>
              <w:t>联系人：张秀荣、沈子鹏、白茹</w:t>
            </w:r>
          </w:p>
          <w:p w14:paraId="295F6FE6">
            <w:pPr>
              <w:pStyle w:val="8"/>
              <w:rPr>
                <w:rFonts w:hint="default"/>
                <w:color w:val="auto"/>
                <w:highlight w:val="none"/>
              </w:rPr>
            </w:pPr>
            <w:r>
              <w:rPr>
                <w:rFonts w:hint="default"/>
                <w:color w:val="auto"/>
                <w:highlight w:val="none"/>
              </w:rPr>
              <w:t>联系方式：13283807903、0371-61282798</w:t>
            </w:r>
          </w:p>
          <w:p w14:paraId="75F90F08">
            <w:pPr>
              <w:pStyle w:val="8"/>
              <w:rPr>
                <w:rFonts w:hint="default"/>
                <w:color w:val="auto"/>
                <w:highlight w:val="none"/>
              </w:rPr>
            </w:pPr>
            <w:r>
              <w:rPr>
                <w:rFonts w:hint="default"/>
                <w:color w:val="auto"/>
                <w:highlight w:val="none"/>
              </w:rPr>
              <w:t>邮箱：lingxiudailibu@163.com</w:t>
            </w:r>
          </w:p>
        </w:tc>
      </w:tr>
      <w:tr w14:paraId="1D8F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62C975E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1.1.4</w:t>
            </w:r>
          </w:p>
        </w:tc>
        <w:tc>
          <w:tcPr>
            <w:tcW w:w="2318" w:type="dxa"/>
            <w:vAlign w:val="center"/>
          </w:tcPr>
          <w:p w14:paraId="6C98E039">
            <w:pPr>
              <w:spacing w:line="360" w:lineRule="exact"/>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项目名称</w:t>
            </w:r>
          </w:p>
        </w:tc>
        <w:tc>
          <w:tcPr>
            <w:tcW w:w="6112" w:type="dxa"/>
            <w:vAlign w:val="center"/>
          </w:tcPr>
          <w:p w14:paraId="764A555E">
            <w:pPr>
              <w:adjustRightInd w:val="0"/>
              <w:snapToGrid w:val="0"/>
              <w:spacing w:line="460" w:lineRule="exact"/>
              <w:rPr>
                <w:rFonts w:hint="eastAsia" w:ascii="宋体" w:hAnsi="宋体" w:eastAsia="宋体" w:cs="宋体"/>
                <w:color w:val="auto"/>
                <w:highlight w:val="none"/>
                <w:lang w:eastAsia="zh-CN"/>
              </w:rPr>
            </w:pPr>
            <w:r>
              <w:rPr>
                <w:rFonts w:hint="eastAsia" w:ascii="宋体" w:hAnsi="宋体" w:cs="宋体"/>
                <w:bCs/>
                <w:iCs/>
                <w:color w:val="auto"/>
                <w:szCs w:val="21"/>
                <w:highlight w:val="none"/>
                <w:lang w:eastAsia="zh-CN"/>
              </w:rPr>
              <w:t>博爱县城市管理局博爱县全域环卫市场化项目</w:t>
            </w:r>
          </w:p>
        </w:tc>
      </w:tr>
      <w:tr w14:paraId="5F15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1E9F8ADE">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1.1.5</w:t>
            </w:r>
          </w:p>
        </w:tc>
        <w:tc>
          <w:tcPr>
            <w:tcW w:w="2318" w:type="dxa"/>
            <w:vAlign w:val="center"/>
          </w:tcPr>
          <w:p w14:paraId="2D8931C7">
            <w:pPr>
              <w:spacing w:line="360" w:lineRule="exact"/>
              <w:jc w:val="center"/>
              <w:rPr>
                <w:rFonts w:ascii="宋体" w:hAnsi="宋体" w:eastAsia="宋体" w:cs="宋体"/>
                <w:color w:val="auto"/>
                <w:szCs w:val="21"/>
                <w:highlight w:val="none"/>
              </w:rPr>
            </w:pPr>
            <w:r>
              <w:rPr>
                <w:rFonts w:hint="eastAsia" w:ascii="宋体" w:hAnsi="宋体" w:eastAsia="宋体" w:cs="宋体"/>
                <w:bCs/>
                <w:iCs/>
                <w:color w:val="auto"/>
                <w:szCs w:val="21"/>
                <w:highlight w:val="none"/>
                <w:lang w:val="en-US" w:eastAsia="zh-CN"/>
              </w:rPr>
              <w:t>服务</w:t>
            </w:r>
            <w:r>
              <w:rPr>
                <w:rFonts w:hint="eastAsia" w:ascii="宋体" w:hAnsi="宋体" w:eastAsia="宋体" w:cs="宋体"/>
                <w:bCs/>
                <w:iCs/>
                <w:color w:val="auto"/>
                <w:szCs w:val="21"/>
                <w:highlight w:val="none"/>
              </w:rPr>
              <w:t>地点</w:t>
            </w:r>
          </w:p>
        </w:tc>
        <w:tc>
          <w:tcPr>
            <w:tcW w:w="6112" w:type="dxa"/>
            <w:vAlign w:val="center"/>
          </w:tcPr>
          <w:p w14:paraId="5A91513E">
            <w:pPr>
              <w:pStyle w:val="10"/>
              <w:spacing w:line="36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博爱县</w:t>
            </w:r>
          </w:p>
        </w:tc>
      </w:tr>
      <w:tr w14:paraId="1FDC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0B613E13">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1.2.1</w:t>
            </w:r>
          </w:p>
        </w:tc>
        <w:tc>
          <w:tcPr>
            <w:tcW w:w="2318" w:type="dxa"/>
            <w:vAlign w:val="center"/>
          </w:tcPr>
          <w:p w14:paraId="41A36949">
            <w:pPr>
              <w:pStyle w:val="10"/>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资金来源</w:t>
            </w:r>
          </w:p>
        </w:tc>
        <w:tc>
          <w:tcPr>
            <w:tcW w:w="6112" w:type="dxa"/>
            <w:vAlign w:val="center"/>
          </w:tcPr>
          <w:p w14:paraId="1FD1D57D">
            <w:pPr>
              <w:pStyle w:val="10"/>
              <w:spacing w:line="360" w:lineRule="exact"/>
              <w:rPr>
                <w:rFonts w:hint="default" w:ascii="宋体" w:hAnsi="宋体" w:eastAsia="宋体" w:cs="宋体"/>
                <w:i/>
                <w:iCs/>
                <w:color w:val="auto"/>
                <w:highlight w:val="none"/>
                <w:lang w:val="en-US" w:eastAsia="zh-CN"/>
              </w:rPr>
            </w:pPr>
            <w:r>
              <w:rPr>
                <w:rFonts w:hint="eastAsia" w:ascii="宋体" w:hAnsi="宋体" w:eastAsia="宋体" w:cs="宋体"/>
                <w:color w:val="auto"/>
                <w:highlight w:val="none"/>
                <w:lang w:val="en-US" w:eastAsia="zh-CN"/>
              </w:rPr>
              <w:t>财政</w:t>
            </w:r>
            <w:r>
              <w:rPr>
                <w:rFonts w:hint="eastAsia" w:hAnsi="宋体" w:cs="宋体"/>
                <w:color w:val="auto"/>
                <w:highlight w:val="none"/>
                <w:lang w:val="en-US" w:eastAsia="zh-CN"/>
              </w:rPr>
              <w:t>资金</w:t>
            </w:r>
          </w:p>
        </w:tc>
      </w:tr>
      <w:tr w14:paraId="53BB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5D2F2BE">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1.2.2</w:t>
            </w:r>
          </w:p>
        </w:tc>
        <w:tc>
          <w:tcPr>
            <w:tcW w:w="2318" w:type="dxa"/>
            <w:vAlign w:val="center"/>
          </w:tcPr>
          <w:p w14:paraId="0780AD60">
            <w:pPr>
              <w:pStyle w:val="10"/>
              <w:spacing w:line="360" w:lineRule="exact"/>
              <w:jc w:val="center"/>
              <w:rPr>
                <w:rFonts w:hint="default" w:ascii="宋体" w:hAnsi="宋体" w:eastAsia="宋体" w:cs="宋体"/>
                <w:color w:val="auto"/>
                <w:highlight w:val="none"/>
              </w:rPr>
            </w:pPr>
            <w:r>
              <w:rPr>
                <w:rFonts w:ascii="宋体" w:hAnsi="宋体" w:eastAsia="宋体" w:cs="宋体"/>
                <w:bCs/>
                <w:iCs/>
                <w:color w:val="auto"/>
                <w:highlight w:val="none"/>
              </w:rPr>
              <w:t>资金落实情况</w:t>
            </w:r>
          </w:p>
        </w:tc>
        <w:tc>
          <w:tcPr>
            <w:tcW w:w="6112" w:type="dxa"/>
            <w:vAlign w:val="center"/>
          </w:tcPr>
          <w:p w14:paraId="05B0C81D">
            <w:pPr>
              <w:pStyle w:val="10"/>
              <w:spacing w:line="360" w:lineRule="exact"/>
              <w:rPr>
                <w:rFonts w:hint="default" w:ascii="宋体" w:hAnsi="宋体" w:eastAsia="宋体" w:cs="宋体"/>
                <w:color w:val="auto"/>
                <w:highlight w:val="none"/>
              </w:rPr>
            </w:pPr>
            <w:r>
              <w:rPr>
                <w:rFonts w:ascii="宋体" w:hAnsi="宋体" w:eastAsia="宋体" w:cs="宋体"/>
                <w:color w:val="auto"/>
                <w:highlight w:val="none"/>
              </w:rPr>
              <w:t>已落实</w:t>
            </w:r>
          </w:p>
        </w:tc>
      </w:tr>
      <w:tr w14:paraId="3AE4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65" w:type="dxa"/>
            <w:vAlign w:val="center"/>
          </w:tcPr>
          <w:p w14:paraId="0FAC0A5E">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1.3.1</w:t>
            </w:r>
          </w:p>
        </w:tc>
        <w:tc>
          <w:tcPr>
            <w:tcW w:w="2318" w:type="dxa"/>
            <w:vAlign w:val="center"/>
          </w:tcPr>
          <w:p w14:paraId="2E509DBB">
            <w:pPr>
              <w:pStyle w:val="10"/>
              <w:spacing w:line="360" w:lineRule="exact"/>
              <w:ind w:firstLine="420" w:firstLineChars="200"/>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bCs/>
                <w:iCs/>
                <w:color w:val="000000" w:themeColor="text1"/>
                <w:highlight w:val="none"/>
                <w14:textFill>
                  <w14:solidFill>
                    <w14:schemeClr w14:val="tx1"/>
                  </w14:solidFill>
                </w14:textFill>
              </w:rPr>
              <w:t>采购内容</w:t>
            </w:r>
          </w:p>
        </w:tc>
        <w:tc>
          <w:tcPr>
            <w:tcW w:w="6112" w:type="dxa"/>
            <w:vAlign w:val="top"/>
          </w:tcPr>
          <w:p w14:paraId="58DC2692">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负责</w:t>
            </w:r>
            <w:r>
              <w:rPr>
                <w:rFonts w:hint="default" w:ascii="宋体" w:hAnsi="宋体" w:eastAsia="宋体" w:cs="宋体"/>
                <w:color w:val="auto"/>
                <w:highlight w:val="none"/>
                <w:lang w:val="en-US" w:eastAsia="zh-CN"/>
              </w:rPr>
              <w:t>以下</w:t>
            </w:r>
            <w:r>
              <w:rPr>
                <w:rFonts w:hint="default" w:ascii="宋体" w:hAnsi="宋体" w:eastAsia="宋体" w:cs="宋体"/>
                <w:color w:val="auto"/>
                <w:highlight w:val="none"/>
              </w:rPr>
              <w:t>范围的清扫保洁、垃圾清运，并根据相关要求配备相应的洒水车、机扫车、雾炮车等作业车辆，根据调度要求进行作业。</w:t>
            </w:r>
          </w:p>
          <w:p w14:paraId="335EDC11">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一标段：</w:t>
            </w:r>
          </w:p>
          <w:p w14:paraId="72228781">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（1）城区范围：管理城区月山路北段、团结路北段等21条主次干道面积213万平方米，总长度49.6公里的清扫保洁、垃圾清运等工作，管理城区9座垃圾中转站、16座公厕。</w:t>
            </w:r>
          </w:p>
          <w:p w14:paraId="192A5BD9">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（2）农村范围：管理范围覆盖我县鸿昌街道、许良镇、月山镇、柏山镇、寨豁乡全部91个农村，乡镇、街道管理的公厕。</w:t>
            </w:r>
          </w:p>
          <w:p w14:paraId="1DB67338">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（3）国省、县、乡公路范围：管理S104郑沁线、S307卫济线等国省道路6条，长度38.572公里。X013西磨线、X028杨前线等县道7条，长度49公里。Y005西际线、Y006九冯线等乡道7条，长度56.8公里。</w:t>
            </w:r>
          </w:p>
          <w:p w14:paraId="0EEE4805">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二标段：</w:t>
            </w:r>
          </w:p>
          <w:p w14:paraId="50F8B668">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1）城区范围：管理城区月山路南段、团结路南段等25条主次干道面积177万平方米，总长度45.7公里的清扫保洁、垃圾清运等工作，管理城区5座垃圾中转站、12座公厕，以后新增的垃圾中转站和公厕及时纳入管理。</w:t>
            </w:r>
          </w:p>
          <w:p w14:paraId="6267FC36">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（2）农村范围：管理范围覆盖我县清化镇街道、磨头镇、孝敬镇（包括程村小区）、金城乡等4个乡镇、街道全部113个农村，乡镇、街道管理的公厕。</w:t>
            </w:r>
          </w:p>
          <w:p w14:paraId="0FED78F7">
            <w:pPr>
              <w:pStyle w:val="10"/>
              <w:spacing w:line="360" w:lineRule="exact"/>
              <w:rPr>
                <w:rFonts w:hint="default" w:ascii="宋体" w:hAnsi="宋体" w:eastAsia="宋体" w:cs="宋体"/>
                <w:color w:val="auto"/>
                <w:highlight w:val="none"/>
              </w:rPr>
            </w:pPr>
            <w:r>
              <w:rPr>
                <w:rFonts w:hint="default" w:ascii="宋体" w:hAnsi="宋体" w:eastAsia="宋体" w:cs="宋体"/>
                <w:color w:val="auto"/>
                <w:highlight w:val="none"/>
              </w:rPr>
              <w:t>（3）国省、县、乡公路范围：管理G327连固线、S235博许线等国省道路3条，长度28.104公里。X016焦白线、X020焦刘线等县道5条，长度44.2公里。Y003东留线、Y011张东线等乡道5条，长度45.6公里。</w:t>
            </w:r>
          </w:p>
        </w:tc>
      </w:tr>
      <w:tr w14:paraId="4747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1060A59A">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1.3.2</w:t>
            </w:r>
          </w:p>
        </w:tc>
        <w:tc>
          <w:tcPr>
            <w:tcW w:w="2318" w:type="dxa"/>
            <w:vAlign w:val="center"/>
          </w:tcPr>
          <w:p w14:paraId="7C0561DE">
            <w:pPr>
              <w:pStyle w:val="10"/>
              <w:spacing w:line="360" w:lineRule="exact"/>
              <w:jc w:val="center"/>
              <w:rPr>
                <w:rFonts w:hint="default" w:ascii="宋体" w:hAnsi="宋体" w:eastAsia="宋体" w:cs="宋体"/>
                <w:bCs/>
                <w:iCs/>
                <w:color w:val="000000" w:themeColor="text1"/>
                <w:highlight w:val="none"/>
                <w:lang w:val="en-US" w:eastAsia="zh-CN"/>
                <w14:textFill>
                  <w14:solidFill>
                    <w14:schemeClr w14:val="tx1"/>
                  </w14:solidFill>
                </w14:textFill>
              </w:rPr>
            </w:pPr>
            <w:r>
              <w:rPr>
                <w:rFonts w:hint="default" w:ascii="宋体" w:hAnsi="宋体" w:eastAsia="宋体" w:cs="宋体"/>
                <w:bCs/>
                <w:iCs/>
                <w:color w:val="000000" w:themeColor="text1"/>
                <w:highlight w:val="none"/>
                <w:lang w:val="en-US" w:eastAsia="zh-CN"/>
                <w14:textFill>
                  <w14:solidFill>
                    <w14:schemeClr w14:val="tx1"/>
                  </w14:solidFill>
                </w14:textFill>
              </w:rPr>
              <w:t>服务期</w:t>
            </w:r>
          </w:p>
        </w:tc>
        <w:tc>
          <w:tcPr>
            <w:tcW w:w="6112" w:type="dxa"/>
            <w:vAlign w:val="center"/>
          </w:tcPr>
          <w:p w14:paraId="541BDADD">
            <w:pPr>
              <w:pStyle w:val="10"/>
              <w:spacing w:line="360" w:lineRule="exact"/>
              <w:jc w:val="left"/>
              <w:rPr>
                <w:rFonts w:hint="eastAsia" w:ascii="宋体" w:hAnsi="宋体" w:eastAsia="宋体" w:cs="宋体"/>
                <w:bCs/>
                <w:iCs/>
                <w:color w:val="auto"/>
                <w:highlight w:val="none"/>
                <w:lang w:eastAsia="zh-CN"/>
              </w:rPr>
            </w:pPr>
            <w:r>
              <w:rPr>
                <w:rFonts w:hint="eastAsia" w:ascii="宋体" w:hAnsi="宋体" w:eastAsia="宋体" w:cs="宋体"/>
                <w:b w:val="0"/>
                <w:bCs w:val="0"/>
                <w:color w:val="auto"/>
                <w:sz w:val="21"/>
                <w:szCs w:val="21"/>
                <w:highlight w:val="none"/>
                <w:lang w:val="en-US" w:eastAsia="zh-CN"/>
              </w:rPr>
              <w:t>3年。第一年结束考核合格后，续签剩余两年合同。</w:t>
            </w:r>
          </w:p>
        </w:tc>
      </w:tr>
      <w:tr w14:paraId="4ADB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5F6AE7BD">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1.3.3</w:t>
            </w:r>
          </w:p>
        </w:tc>
        <w:tc>
          <w:tcPr>
            <w:tcW w:w="2318" w:type="dxa"/>
            <w:vAlign w:val="center"/>
          </w:tcPr>
          <w:p w14:paraId="411838CF">
            <w:pPr>
              <w:pStyle w:val="10"/>
              <w:spacing w:line="360" w:lineRule="exact"/>
              <w:jc w:val="center"/>
              <w:rPr>
                <w:rFonts w:hint="eastAsia" w:hAnsi="宋体" w:eastAsia="宋体" w:cs="宋体"/>
                <w:color w:val="auto"/>
                <w:kern w:val="0"/>
                <w:highlight w:val="none"/>
                <w:lang w:eastAsia="zh-CN"/>
              </w:rPr>
            </w:pPr>
            <w:r>
              <w:rPr>
                <w:rFonts w:hint="eastAsia" w:hAnsi="宋体" w:cs="宋体"/>
                <w:color w:val="auto"/>
                <w:kern w:val="0"/>
                <w:highlight w:val="none"/>
                <w:lang w:eastAsia="zh-CN"/>
              </w:rPr>
              <w:t>质量要求</w:t>
            </w:r>
          </w:p>
        </w:tc>
        <w:tc>
          <w:tcPr>
            <w:tcW w:w="6112" w:type="dxa"/>
            <w:vAlign w:val="center"/>
          </w:tcPr>
          <w:p w14:paraId="2CADC104">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lang w:eastAsia="zh-CN"/>
              </w:rPr>
              <w:t>合格，符合国家及行业规范标准。</w:t>
            </w:r>
          </w:p>
        </w:tc>
      </w:tr>
      <w:tr w14:paraId="435F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02AD5412">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1.4.1</w:t>
            </w:r>
          </w:p>
        </w:tc>
        <w:tc>
          <w:tcPr>
            <w:tcW w:w="2318" w:type="dxa"/>
            <w:vAlign w:val="center"/>
          </w:tcPr>
          <w:p w14:paraId="73C19B27">
            <w:pPr>
              <w:pStyle w:val="10"/>
              <w:spacing w:line="360" w:lineRule="exact"/>
              <w:jc w:val="center"/>
              <w:rPr>
                <w:rFonts w:hint="default" w:ascii="宋体" w:hAnsi="宋体" w:eastAsia="宋体" w:cs="宋体"/>
                <w:color w:val="auto"/>
                <w:highlight w:val="none"/>
              </w:rPr>
            </w:pPr>
            <w:r>
              <w:rPr>
                <w:rFonts w:ascii="宋体" w:hAnsi="宋体" w:eastAsia="宋体" w:cs="宋体"/>
                <w:color w:val="auto"/>
                <w:highlight w:val="none"/>
              </w:rPr>
              <w:t>供应商资质条件</w:t>
            </w:r>
          </w:p>
        </w:tc>
        <w:tc>
          <w:tcPr>
            <w:tcW w:w="6112" w:type="dxa"/>
            <w:vAlign w:val="center"/>
          </w:tcPr>
          <w:p w14:paraId="2ACB2CC5">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rPr>
            </w:pPr>
            <w:r>
              <w:rPr>
                <w:rFonts w:ascii="宋体" w:hAnsi="宋体" w:eastAsia="宋体" w:cs="宋体"/>
                <w:color w:val="auto"/>
                <w:highlight w:val="none"/>
              </w:rPr>
              <w:t>1、符合《中华人民共和国政府采购法》第二十二条之规定；</w:t>
            </w:r>
          </w:p>
          <w:p w14:paraId="6FEBF2C9">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ascii="宋体" w:hAnsi="宋体" w:eastAsia="宋体" w:cs="宋体"/>
                <w:color w:val="auto"/>
                <w:highlight w:val="none"/>
              </w:rPr>
              <w:t>2、</w:t>
            </w:r>
            <w:r>
              <w:rPr>
                <w:rFonts w:hint="eastAsia" w:ascii="宋体" w:hAnsi="宋体" w:eastAsia="宋体" w:cs="宋体"/>
                <w:color w:val="auto"/>
                <w:highlight w:val="none"/>
              </w:rPr>
              <w:t>落实政府采购政策需满足的资格要求：促进政府强制采购节能产品及环境标志产品优先采购，促进中小企业和监狱企业发展扶持政策</w:t>
            </w:r>
            <w:r>
              <w:rPr>
                <w:rFonts w:hint="eastAsia" w:hAnsi="宋体" w:cs="宋体"/>
                <w:color w:val="auto"/>
                <w:highlight w:val="none"/>
                <w:lang w:eastAsia="zh-CN"/>
              </w:rPr>
              <w:t>；</w:t>
            </w:r>
          </w:p>
          <w:p w14:paraId="13E162DF">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rPr>
            </w:pPr>
            <w:r>
              <w:rPr>
                <w:rFonts w:ascii="宋体" w:hAnsi="宋体" w:eastAsia="宋体" w:cs="宋体"/>
                <w:color w:val="auto"/>
                <w:highlight w:val="none"/>
              </w:rPr>
              <w:t>3、本项目的特定资格要求：</w:t>
            </w:r>
          </w:p>
          <w:p w14:paraId="78AF68D7">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rPr>
            </w:pPr>
            <w:r>
              <w:rPr>
                <w:rFonts w:ascii="宋体" w:hAnsi="宋体" w:eastAsia="宋体" w:cs="宋体"/>
                <w:color w:val="auto"/>
                <w:highlight w:val="none"/>
              </w:rPr>
              <w:t>3.1投标人须具有有效的营业执照，并具有实施完成本项目的经营实力和完善的售后服务体系；</w:t>
            </w:r>
          </w:p>
          <w:p w14:paraId="6878AE21">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rPr>
            </w:pPr>
            <w:r>
              <w:rPr>
                <w:rFonts w:ascii="宋体" w:hAnsi="宋体" w:eastAsia="宋体" w:cs="宋体"/>
                <w:color w:val="auto"/>
                <w:highlight w:val="none"/>
              </w:rPr>
              <w:t>3.2信誉要求：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r>
              <w:rPr>
                <w:rFonts w:hint="eastAsia" w:ascii="宋体" w:hAnsi="宋体" w:eastAsia="宋体" w:cs="宋体"/>
                <w:color w:val="auto"/>
                <w:highlight w:val="none"/>
              </w:rPr>
              <w:t>(备注：信誉要求由采购代理机构开标当日提供查询结果)；</w:t>
            </w:r>
          </w:p>
          <w:p w14:paraId="24601CB4">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highlight w:val="none"/>
              </w:rPr>
            </w:pPr>
            <w:r>
              <w:rPr>
                <w:rFonts w:ascii="宋体" w:hAnsi="宋体" w:eastAsia="宋体" w:cs="宋体"/>
                <w:color w:val="auto"/>
                <w:highlight w:val="none"/>
              </w:rPr>
              <w:t>3.3本项目不接受联合体投标；</w:t>
            </w:r>
          </w:p>
          <w:p w14:paraId="47E8E607">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eastAsia="宋体"/>
                <w:color w:val="auto"/>
                <w:highlight w:val="none"/>
                <w:lang w:eastAsia="zh-CN"/>
              </w:rPr>
            </w:pPr>
            <w:r>
              <w:rPr>
                <w:rFonts w:ascii="宋体" w:hAnsi="宋体" w:eastAsia="宋体" w:cs="宋体"/>
                <w:color w:val="auto"/>
                <w:highlight w:val="none"/>
              </w:rPr>
              <w:t>3.4资格审查方式：资格后审。</w:t>
            </w:r>
          </w:p>
        </w:tc>
      </w:tr>
      <w:tr w14:paraId="7CA0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969732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1.4.2</w:t>
            </w:r>
          </w:p>
        </w:tc>
        <w:tc>
          <w:tcPr>
            <w:tcW w:w="2318" w:type="dxa"/>
            <w:vAlign w:val="center"/>
          </w:tcPr>
          <w:p w14:paraId="14E8457A">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是否接受联合体</w:t>
            </w:r>
          </w:p>
        </w:tc>
        <w:tc>
          <w:tcPr>
            <w:tcW w:w="6112" w:type="dxa"/>
            <w:vAlign w:val="center"/>
          </w:tcPr>
          <w:p w14:paraId="30EFBF18">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不接受</w:t>
            </w:r>
          </w:p>
        </w:tc>
      </w:tr>
      <w:tr w14:paraId="2A80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65" w:type="dxa"/>
            <w:vAlign w:val="center"/>
          </w:tcPr>
          <w:p w14:paraId="769EDF39">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1.10.1</w:t>
            </w:r>
          </w:p>
        </w:tc>
        <w:tc>
          <w:tcPr>
            <w:tcW w:w="2318" w:type="dxa"/>
            <w:vAlign w:val="center"/>
          </w:tcPr>
          <w:p w14:paraId="53C42804">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投标预备会</w:t>
            </w:r>
          </w:p>
        </w:tc>
        <w:tc>
          <w:tcPr>
            <w:tcW w:w="6112" w:type="dxa"/>
            <w:vAlign w:val="center"/>
          </w:tcPr>
          <w:p w14:paraId="12D858AF">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不召开</w:t>
            </w:r>
          </w:p>
        </w:tc>
      </w:tr>
      <w:tr w14:paraId="2B2C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3FAA1E6">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1.10.2</w:t>
            </w:r>
          </w:p>
        </w:tc>
        <w:tc>
          <w:tcPr>
            <w:tcW w:w="2318" w:type="dxa"/>
            <w:vAlign w:val="center"/>
          </w:tcPr>
          <w:p w14:paraId="08EEEDD6">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供应商提出问题的</w:t>
            </w:r>
          </w:p>
          <w:p w14:paraId="480C0B45">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截止时间</w:t>
            </w:r>
          </w:p>
        </w:tc>
        <w:tc>
          <w:tcPr>
            <w:tcW w:w="6112" w:type="dxa"/>
            <w:vAlign w:val="center"/>
          </w:tcPr>
          <w:p w14:paraId="2FE9852D">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若有疑问，应当在获取招标文件或者招标文件公告期限届满之日起七个工作日内，以书面形式向采购人、代理机构提出质疑。</w:t>
            </w:r>
          </w:p>
        </w:tc>
      </w:tr>
      <w:tr w14:paraId="5386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4FEEC1D2">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1.10.3</w:t>
            </w:r>
          </w:p>
        </w:tc>
        <w:tc>
          <w:tcPr>
            <w:tcW w:w="2318" w:type="dxa"/>
            <w:vAlign w:val="center"/>
          </w:tcPr>
          <w:p w14:paraId="09BFC365">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采购人说明澄清的时间</w:t>
            </w:r>
          </w:p>
        </w:tc>
        <w:tc>
          <w:tcPr>
            <w:tcW w:w="6112" w:type="dxa"/>
            <w:vAlign w:val="center"/>
          </w:tcPr>
          <w:p w14:paraId="3214F829">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招标文件规定的投标截止时间15天前</w:t>
            </w:r>
          </w:p>
        </w:tc>
      </w:tr>
      <w:tr w14:paraId="0D9C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65" w:type="dxa"/>
            <w:vAlign w:val="center"/>
          </w:tcPr>
          <w:p w14:paraId="3A2C7B66">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1.11</w:t>
            </w:r>
          </w:p>
        </w:tc>
        <w:tc>
          <w:tcPr>
            <w:tcW w:w="2318" w:type="dxa"/>
            <w:vAlign w:val="center"/>
          </w:tcPr>
          <w:p w14:paraId="377ED93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分包</w:t>
            </w:r>
          </w:p>
        </w:tc>
        <w:tc>
          <w:tcPr>
            <w:tcW w:w="6112" w:type="dxa"/>
            <w:vAlign w:val="center"/>
          </w:tcPr>
          <w:p w14:paraId="0425C4DA">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不允许</w:t>
            </w:r>
          </w:p>
        </w:tc>
      </w:tr>
      <w:tr w14:paraId="48CA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AB9491C">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2.2.1</w:t>
            </w:r>
          </w:p>
        </w:tc>
        <w:tc>
          <w:tcPr>
            <w:tcW w:w="2318" w:type="dxa"/>
            <w:vAlign w:val="center"/>
          </w:tcPr>
          <w:p w14:paraId="01B00A6C">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供应商要求澄清招标文件的截止时间</w:t>
            </w:r>
          </w:p>
        </w:tc>
        <w:tc>
          <w:tcPr>
            <w:tcW w:w="6112" w:type="dxa"/>
            <w:vAlign w:val="center"/>
          </w:tcPr>
          <w:p w14:paraId="21F1876E">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若有疑问，应当在获取招标文件或者招标文件公告期限届满之日起七个工作日内，以书面形式向采购人、代理机构提出质疑。</w:t>
            </w:r>
          </w:p>
        </w:tc>
      </w:tr>
      <w:tr w14:paraId="303E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65" w:type="dxa"/>
            <w:vAlign w:val="center"/>
          </w:tcPr>
          <w:p w14:paraId="09CB7D8C">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2.2.2</w:t>
            </w:r>
          </w:p>
        </w:tc>
        <w:tc>
          <w:tcPr>
            <w:tcW w:w="2318" w:type="dxa"/>
            <w:vAlign w:val="center"/>
          </w:tcPr>
          <w:p w14:paraId="43B302FF">
            <w:pPr>
              <w:pStyle w:val="10"/>
              <w:spacing w:line="360" w:lineRule="exact"/>
              <w:jc w:val="center"/>
              <w:rPr>
                <w:rFonts w:hint="default" w:ascii="宋体" w:hAnsi="宋体" w:eastAsia="宋体" w:cs="宋体"/>
                <w:b/>
                <w:bCs/>
                <w:color w:val="000000" w:themeColor="text1"/>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投标截止时间</w:t>
            </w:r>
          </w:p>
        </w:tc>
        <w:tc>
          <w:tcPr>
            <w:tcW w:w="6112" w:type="dxa"/>
            <w:vAlign w:val="center"/>
          </w:tcPr>
          <w:p w14:paraId="34284B4D">
            <w:pPr>
              <w:spacing w:line="360" w:lineRule="exact"/>
              <w:jc w:val="left"/>
              <w:rPr>
                <w:rFonts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202</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年</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月</w:t>
            </w:r>
            <w:r>
              <w:rPr>
                <w:rFonts w:hint="eastAsia" w:ascii="宋体" w:hAnsi="宋体" w:cs="宋体"/>
                <w:b/>
                <w:bCs/>
                <w:color w:val="000000" w:themeColor="text1"/>
                <w:kern w:val="2"/>
                <w:sz w:val="21"/>
                <w:szCs w:val="21"/>
                <w:highlight w:val="none"/>
                <w:lang w:val="en-US" w:eastAsia="zh-CN" w:bidi="ar-SA"/>
                <w14:textFill>
                  <w14:solidFill>
                    <w14:schemeClr w14:val="tx1"/>
                  </w14:solidFill>
                </w14:textFill>
              </w:rPr>
              <w:t>20</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日上午9点00分（北京时间）</w:t>
            </w:r>
          </w:p>
        </w:tc>
      </w:tr>
      <w:tr w14:paraId="5F05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B5DC740">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3.1.1</w:t>
            </w:r>
          </w:p>
        </w:tc>
        <w:tc>
          <w:tcPr>
            <w:tcW w:w="2318" w:type="dxa"/>
            <w:vAlign w:val="center"/>
          </w:tcPr>
          <w:p w14:paraId="1F0C5AB4">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构成投标文件的</w:t>
            </w:r>
          </w:p>
          <w:p w14:paraId="1CE1D352">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其他材料</w:t>
            </w:r>
          </w:p>
        </w:tc>
        <w:tc>
          <w:tcPr>
            <w:tcW w:w="6112" w:type="dxa"/>
            <w:vAlign w:val="center"/>
          </w:tcPr>
          <w:p w14:paraId="66A34092">
            <w:pPr>
              <w:spacing w:line="36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招标文件中要求的其他资料。</w:t>
            </w:r>
          </w:p>
        </w:tc>
      </w:tr>
      <w:tr w14:paraId="406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65" w:type="dxa"/>
            <w:vAlign w:val="center"/>
          </w:tcPr>
          <w:p w14:paraId="20D78305">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3.3.1</w:t>
            </w:r>
          </w:p>
        </w:tc>
        <w:tc>
          <w:tcPr>
            <w:tcW w:w="2318" w:type="dxa"/>
            <w:vAlign w:val="center"/>
          </w:tcPr>
          <w:p w14:paraId="51DDC0E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投标有效期</w:t>
            </w:r>
          </w:p>
        </w:tc>
        <w:tc>
          <w:tcPr>
            <w:tcW w:w="6112" w:type="dxa"/>
            <w:vAlign w:val="center"/>
          </w:tcPr>
          <w:p w14:paraId="263FB49C">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60日历天（从投标截止之日算起）</w:t>
            </w:r>
          </w:p>
        </w:tc>
      </w:tr>
      <w:tr w14:paraId="0A7F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10772AA">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3.6</w:t>
            </w:r>
          </w:p>
        </w:tc>
        <w:tc>
          <w:tcPr>
            <w:tcW w:w="2318" w:type="dxa"/>
            <w:vAlign w:val="center"/>
          </w:tcPr>
          <w:p w14:paraId="3D63C2AF">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是否允许递交备选</w:t>
            </w:r>
          </w:p>
          <w:p w14:paraId="28AC41A7">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投标方案</w:t>
            </w:r>
          </w:p>
        </w:tc>
        <w:tc>
          <w:tcPr>
            <w:tcW w:w="6112" w:type="dxa"/>
            <w:vAlign w:val="center"/>
          </w:tcPr>
          <w:p w14:paraId="39CC38ED">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不允许</w:t>
            </w:r>
          </w:p>
        </w:tc>
      </w:tr>
      <w:tr w14:paraId="75B6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13EB348E">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3.7.3</w:t>
            </w:r>
          </w:p>
        </w:tc>
        <w:tc>
          <w:tcPr>
            <w:tcW w:w="2318" w:type="dxa"/>
            <w:vAlign w:val="center"/>
          </w:tcPr>
          <w:p w14:paraId="6D8BF338">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签字盖章要求</w:t>
            </w:r>
          </w:p>
        </w:tc>
        <w:tc>
          <w:tcPr>
            <w:tcW w:w="6112" w:type="dxa"/>
            <w:vAlign w:val="center"/>
          </w:tcPr>
          <w:p w14:paraId="5DA68F75">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 所有要求供应商加盖公章的地方都须加盖供应商单位的 CA 印章。</w:t>
            </w:r>
          </w:p>
          <w:p w14:paraId="2C3B2A6A">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2要求法定代表人签字或盖章的，法定代表人在签字或盖章的地方上传手写签名的扫描件或加盖法定代表人CA印章。</w:t>
            </w:r>
          </w:p>
          <w:p w14:paraId="05DE4CD8">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3要求委托代理人签字或盖章的，委托代理人在签字或盖章的地方上传手写签名的扫描件或加盖委托代理人CA印章。</w:t>
            </w:r>
          </w:p>
        </w:tc>
      </w:tr>
      <w:tr w14:paraId="6849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65" w:type="dxa"/>
            <w:vAlign w:val="center"/>
          </w:tcPr>
          <w:p w14:paraId="2954A2CB">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3.7.4</w:t>
            </w:r>
          </w:p>
        </w:tc>
        <w:tc>
          <w:tcPr>
            <w:tcW w:w="2318" w:type="dxa"/>
            <w:vAlign w:val="center"/>
          </w:tcPr>
          <w:p w14:paraId="3DFB0B7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投标文件份数</w:t>
            </w:r>
          </w:p>
        </w:tc>
        <w:tc>
          <w:tcPr>
            <w:tcW w:w="6112" w:type="dxa"/>
            <w:vAlign w:val="center"/>
          </w:tcPr>
          <w:p w14:paraId="0F131EE3">
            <w:pPr>
              <w:pStyle w:val="10"/>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加密的电子投标文件壹份（.jztf 格式在会员系统指定位置上传）；自备非加密的电子投标文件一份，如有紧急情况，在不见面开标按要求上传。</w:t>
            </w:r>
          </w:p>
        </w:tc>
      </w:tr>
      <w:tr w14:paraId="003B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5" w:type="dxa"/>
            <w:vAlign w:val="center"/>
          </w:tcPr>
          <w:p w14:paraId="7C6E4AE1">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4.2.2</w:t>
            </w:r>
          </w:p>
        </w:tc>
        <w:tc>
          <w:tcPr>
            <w:tcW w:w="2318" w:type="dxa"/>
            <w:vAlign w:val="center"/>
          </w:tcPr>
          <w:p w14:paraId="391DAB06">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递交投标文件方式和</w:t>
            </w:r>
          </w:p>
          <w:p w14:paraId="1842F128">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地点</w:t>
            </w:r>
          </w:p>
        </w:tc>
        <w:tc>
          <w:tcPr>
            <w:tcW w:w="6112" w:type="dxa"/>
            <w:vAlign w:val="center"/>
          </w:tcPr>
          <w:p w14:paraId="7D01B866">
            <w:pPr>
              <w:pStyle w:val="10"/>
              <w:spacing w:line="400" w:lineRule="exac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本项目采用“远程不见面”开标方式，远程开标大厅网址为</w:t>
            </w:r>
            <w:r>
              <w:rPr>
                <w:rFonts w:hint="eastAsia" w:hAnsi="宋体"/>
                <w:color w:val="000000" w:themeColor="text1"/>
                <w:highlight w:val="none"/>
                <w14:textFill>
                  <w14:solidFill>
                    <w14:schemeClr w14:val="tx1"/>
                  </w14:solidFill>
                </w14:textFill>
              </w:rPr>
              <w:t>https://ggzy.jiaozuo.gov.cn/BidOpeningHall/bidhall/dqhnjz/login.html</w:t>
            </w:r>
            <w:r>
              <w:rPr>
                <w:rFonts w:hint="eastAsia" w:hAnsi="宋体"/>
                <w:color w:val="000000" w:themeColor="text1"/>
                <w:highlight w:val="none"/>
                <w:lang w:eastAsia="zh-CN"/>
                <w14:textFill>
                  <w14:solidFill>
                    <w14:schemeClr w14:val="tx1"/>
                  </w14:solidFill>
                </w14:textFill>
              </w:rPr>
              <w:t>。</w:t>
            </w:r>
            <w:r>
              <w:rPr>
                <w:rFonts w:hAnsi="宋体"/>
                <w:color w:val="000000" w:themeColor="text1"/>
                <w:highlight w:val="none"/>
                <w14:textFill>
                  <w14:solidFill>
                    <w14:schemeClr w14:val="tx1"/>
                  </w14:solidFill>
                </w14:textFill>
              </w:rPr>
              <w:t>供应商不需到开标现场参加开标会议，不需提交原件资料等。</w:t>
            </w:r>
          </w:p>
          <w:p w14:paraId="2DF2FBA5">
            <w:pPr>
              <w:pStyle w:val="10"/>
              <w:spacing w:line="400" w:lineRule="exac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（1）电子投标文件的递交</w:t>
            </w:r>
          </w:p>
          <w:p w14:paraId="37B3D147">
            <w:pPr>
              <w:pStyle w:val="10"/>
              <w:spacing w:line="400" w:lineRule="exac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a、各供应商应在投标截止时间前上传加密的电子投标文件</w:t>
            </w:r>
          </w:p>
          <w:p w14:paraId="3488438D">
            <w:pPr>
              <w:pStyle w:val="10"/>
              <w:spacing w:line="400" w:lineRule="exact"/>
              <w:rPr>
                <w:rFonts w:hint="default"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（.jztf 格式）到会员系统的指定位置。上传时必须得到电脑“上传成功”的确认回复。请供应商在上传时认真检查上传投标文件是否完整、正确。</w:t>
            </w:r>
          </w:p>
          <w:p w14:paraId="6AA91906">
            <w:pPr>
              <w:pStyle w:val="10"/>
              <w:spacing w:line="400" w:lineRule="exact"/>
              <w:rPr>
                <w:rFonts w:hint="default"/>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b、如系统故障需上传非加密文件时，供应商应按照采购人指示将非加密文件递交给采购人。</w:t>
            </w:r>
          </w:p>
        </w:tc>
      </w:tr>
      <w:tr w14:paraId="2AF5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41D5D5A9">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4.2.3</w:t>
            </w:r>
          </w:p>
        </w:tc>
        <w:tc>
          <w:tcPr>
            <w:tcW w:w="2318" w:type="dxa"/>
            <w:vAlign w:val="center"/>
          </w:tcPr>
          <w:p w14:paraId="7A57AA99">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是否退还投标文件</w:t>
            </w:r>
          </w:p>
        </w:tc>
        <w:tc>
          <w:tcPr>
            <w:tcW w:w="6112" w:type="dxa"/>
            <w:vAlign w:val="center"/>
          </w:tcPr>
          <w:p w14:paraId="0BAB4472">
            <w:pPr>
              <w:pStyle w:val="10"/>
              <w:spacing w:line="360" w:lineRule="exact"/>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否</w:t>
            </w:r>
          </w:p>
        </w:tc>
      </w:tr>
      <w:tr w14:paraId="2EC5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3D2F0177">
            <w:pPr>
              <w:pStyle w:val="10"/>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5.</w:t>
            </w:r>
            <w:r>
              <w:rPr>
                <w:rFonts w:hint="eastAsia" w:hAnsi="宋体" w:cs="宋体"/>
                <w:color w:val="000000" w:themeColor="text1"/>
                <w:highlight w:val="none"/>
                <w:lang w:val="en-US" w:eastAsia="zh-CN"/>
                <w14:textFill>
                  <w14:solidFill>
                    <w14:schemeClr w14:val="tx1"/>
                  </w14:solidFill>
                </w14:textFill>
              </w:rPr>
              <w:t>2</w:t>
            </w:r>
          </w:p>
        </w:tc>
        <w:tc>
          <w:tcPr>
            <w:tcW w:w="2318" w:type="dxa"/>
            <w:vAlign w:val="center"/>
          </w:tcPr>
          <w:p w14:paraId="0E181456">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开标时间和地点</w:t>
            </w:r>
          </w:p>
        </w:tc>
        <w:tc>
          <w:tcPr>
            <w:tcW w:w="6112" w:type="dxa"/>
            <w:vAlign w:val="center"/>
          </w:tcPr>
          <w:p w14:paraId="665843C1">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开标时间：同投标截止时间。登录远程开标大厅，凭制作投标文件所用的企业 CA 密匙在线签到、解密文件等，解密时间为投标截止时后30分钟内。</w:t>
            </w:r>
          </w:p>
          <w:p w14:paraId="167D764A">
            <w:pPr>
              <w:spacing w:line="360" w:lineRule="exact"/>
              <w:ind w:left="700" w:hanging="700"/>
              <w:jc w:val="left"/>
              <w:rPr>
                <w:rFonts w:ascii="宋体" w:hAnsi="宋体" w:eastAsia="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现场开标地点：博爱县公共资源交易中心二楼第二开标室</w:t>
            </w:r>
          </w:p>
        </w:tc>
      </w:tr>
      <w:tr w14:paraId="78D1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65" w:type="dxa"/>
            <w:vAlign w:val="center"/>
          </w:tcPr>
          <w:p w14:paraId="7CAF7B6B">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w:t>
            </w:r>
          </w:p>
        </w:tc>
        <w:tc>
          <w:tcPr>
            <w:tcW w:w="2318" w:type="dxa"/>
            <w:vAlign w:val="center"/>
          </w:tcPr>
          <w:p w14:paraId="0233717E">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评标委员会的组建</w:t>
            </w:r>
          </w:p>
        </w:tc>
        <w:tc>
          <w:tcPr>
            <w:tcW w:w="6112" w:type="dxa"/>
            <w:vAlign w:val="center"/>
          </w:tcPr>
          <w:p w14:paraId="27BDA7DE">
            <w:pPr>
              <w:adjustRightInd w:val="0"/>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评标委员会构成：由采购人代表</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人和政府采购专家库中随机抽</w:t>
            </w:r>
          </w:p>
          <w:p w14:paraId="0657DCD9">
            <w:pPr>
              <w:adjustRightInd w:val="0"/>
              <w:snapToGrid w:val="0"/>
              <w:spacing w:line="40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取的评审专家</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人，共</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人组成。</w:t>
            </w:r>
            <w:r>
              <w:rPr>
                <w:rFonts w:hint="eastAsia" w:ascii="宋体" w:hAnsi="宋体"/>
                <w:b/>
                <w:bCs/>
                <w:color w:val="000000" w:themeColor="text1"/>
                <w:szCs w:val="21"/>
                <w:highlight w:val="none"/>
                <w14:textFill>
                  <w14:solidFill>
                    <w14:schemeClr w14:val="tx1"/>
                  </w14:solidFill>
                </w14:textFill>
              </w:rPr>
              <w:t>注</w:t>
            </w:r>
            <w:r>
              <w:rPr>
                <w:rFonts w:hint="eastAsia" w:ascii="宋体" w:hAnsi="宋体"/>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u w:val="single"/>
                <w14:textFill>
                  <w14:solidFill>
                    <w14:schemeClr w14:val="tx1"/>
                  </w14:solidFill>
                </w14:textFill>
              </w:rPr>
              <w:t>根据《财政部令第87号》第四十五条规定，采购人代表不得担任评标委员会组长。</w:t>
            </w:r>
          </w:p>
          <w:p w14:paraId="10F6105A">
            <w:pPr>
              <w:spacing w:line="360" w:lineRule="exact"/>
              <w:jc w:val="left"/>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评审专家确定方式：在开标前从有关政府部门设立的评标专家中随机抽取确定。</w:t>
            </w:r>
          </w:p>
        </w:tc>
      </w:tr>
      <w:tr w14:paraId="1CDE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6EFF7F8C">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w:t>
            </w:r>
          </w:p>
        </w:tc>
        <w:tc>
          <w:tcPr>
            <w:tcW w:w="2318" w:type="dxa"/>
            <w:vAlign w:val="center"/>
          </w:tcPr>
          <w:p w14:paraId="3BAF018F">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是否授权评标委员会确定中标人</w:t>
            </w:r>
          </w:p>
        </w:tc>
        <w:tc>
          <w:tcPr>
            <w:tcW w:w="6112" w:type="dxa"/>
            <w:vAlign w:val="center"/>
          </w:tcPr>
          <w:p w14:paraId="4CF3664B">
            <w:pPr>
              <w:spacing w:line="380" w:lineRule="exact"/>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否，由评标委员会从认定的合理报价中，按得分由高到低的顺序，依次推荐3名中标候选人。</w:t>
            </w:r>
          </w:p>
          <w:p w14:paraId="438F357F">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应当确定排名第一的中标候选人为中标人。排名第一的中标候选人放弃中标、因不可抗力不能履行合同，或者被查实存在影响中标结果的违法行为等情形，不符合中标条件的，采购人可以按照评标委员会提出的中标候选人名单排序依次确定其他中标候选人为中标人。</w:t>
            </w:r>
          </w:p>
          <w:p w14:paraId="6210CEF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因不可抗力因素放弃中标的，或排名第一的中标候选人未按规定期限与采购人签订合同的，应赔偿采购人由此造成的损失，损失费的计算方法为该中标候选人的投标价与重新确定的中标人中标价的差额，将按相关规定予以处理。</w:t>
            </w:r>
          </w:p>
        </w:tc>
      </w:tr>
      <w:tr w14:paraId="36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2C837D5E">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7.3.1</w:t>
            </w:r>
          </w:p>
        </w:tc>
        <w:tc>
          <w:tcPr>
            <w:tcW w:w="2318" w:type="dxa"/>
            <w:vAlign w:val="center"/>
          </w:tcPr>
          <w:p w14:paraId="79DB6363">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w:t>
            </w:r>
          </w:p>
        </w:tc>
        <w:tc>
          <w:tcPr>
            <w:tcW w:w="6112" w:type="dxa"/>
            <w:vAlign w:val="center"/>
          </w:tcPr>
          <w:p w14:paraId="28966DC3">
            <w:pPr>
              <w:spacing w:line="3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w:t>
            </w:r>
          </w:p>
        </w:tc>
      </w:tr>
      <w:tr w14:paraId="5BDF4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5" w:type="dxa"/>
            <w:vAlign w:val="center"/>
          </w:tcPr>
          <w:p w14:paraId="748C199B">
            <w:pPr>
              <w:pStyle w:val="10"/>
              <w:spacing w:line="360" w:lineRule="exact"/>
              <w:jc w:val="center"/>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7.3.2</w:t>
            </w:r>
          </w:p>
        </w:tc>
        <w:tc>
          <w:tcPr>
            <w:tcW w:w="2318" w:type="dxa"/>
            <w:vAlign w:val="center"/>
          </w:tcPr>
          <w:p w14:paraId="213E9CEB">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6112" w:type="dxa"/>
            <w:vAlign w:val="center"/>
          </w:tcPr>
          <w:p w14:paraId="035F145A">
            <w:pPr>
              <w:spacing w:line="380" w:lineRule="exac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w:t>
            </w:r>
          </w:p>
        </w:tc>
      </w:tr>
      <w:tr w14:paraId="0C063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65" w:type="dxa"/>
            <w:vAlign w:val="bottom"/>
          </w:tcPr>
          <w:p w14:paraId="2FE47BDE">
            <w:pPr>
              <w:spacing w:line="360" w:lineRule="exact"/>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10</w:t>
            </w:r>
          </w:p>
        </w:tc>
        <w:tc>
          <w:tcPr>
            <w:tcW w:w="8430" w:type="dxa"/>
            <w:gridSpan w:val="2"/>
            <w:vAlign w:val="bottom"/>
          </w:tcPr>
          <w:p w14:paraId="4146FD95">
            <w:pPr>
              <w:spacing w:line="360" w:lineRule="exact"/>
              <w:jc w:val="center"/>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需要补充的其他内容</w:t>
            </w:r>
          </w:p>
        </w:tc>
      </w:tr>
      <w:tr w14:paraId="2A6D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5" w:type="dxa"/>
            <w:vAlign w:val="center"/>
          </w:tcPr>
          <w:p w14:paraId="2792E61F">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w:t>
            </w:r>
          </w:p>
        </w:tc>
        <w:tc>
          <w:tcPr>
            <w:tcW w:w="2318" w:type="dxa"/>
            <w:vAlign w:val="center"/>
          </w:tcPr>
          <w:p w14:paraId="4C6480D2">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预算金额</w:t>
            </w:r>
          </w:p>
        </w:tc>
        <w:tc>
          <w:tcPr>
            <w:tcW w:w="6112" w:type="dxa"/>
            <w:vAlign w:val="bottom"/>
          </w:tcPr>
          <w:p w14:paraId="4254A85F">
            <w:pPr>
              <w:pStyle w:val="40"/>
              <w:keepNext w:val="0"/>
              <w:keepLines w:val="0"/>
              <w:pageBreakBefore w:val="0"/>
              <w:widowControl w:val="0"/>
              <w:kinsoku/>
              <w:wordWrap/>
              <w:overflowPunct/>
              <w:topLinePunct w:val="0"/>
              <w:autoSpaceDE/>
              <w:autoSpaceDN/>
              <w:bidi w:val="0"/>
              <w:adjustRightInd/>
              <w:snapToGrid/>
              <w:spacing w:before="183" w:line="440" w:lineRule="exact"/>
              <w:ind w:firstLine="0" w:firstLineChars="0"/>
              <w:textAlignment w:val="auto"/>
              <w:rPr>
                <w:rFonts w:hint="eastAsia"/>
                <w:b/>
                <w:bCs/>
                <w:color w:val="000000" w:themeColor="text1"/>
                <w:position w:val="17"/>
                <w:sz w:val="21"/>
                <w:szCs w:val="21"/>
                <w:highlight w:val="none"/>
                <w14:textFill>
                  <w14:solidFill>
                    <w14:schemeClr w14:val="tx1"/>
                  </w14:solidFill>
                </w14:textFill>
              </w:rPr>
            </w:pPr>
            <w:r>
              <w:rPr>
                <w:b/>
                <w:bCs/>
                <w:color w:val="000000" w:themeColor="text1"/>
                <w:position w:val="17"/>
                <w:sz w:val="21"/>
                <w:szCs w:val="21"/>
                <w:highlight w:val="none"/>
                <w14:textFill>
                  <w14:solidFill>
                    <w14:schemeClr w14:val="tx1"/>
                  </w14:solidFill>
                </w14:textFill>
              </w:rPr>
              <w:t>采</w:t>
            </w:r>
            <w:r>
              <w:rPr>
                <w:rFonts w:hint="eastAsia"/>
                <w:b/>
                <w:bCs/>
                <w:color w:val="000000" w:themeColor="text1"/>
                <w:position w:val="17"/>
                <w:sz w:val="21"/>
                <w:szCs w:val="21"/>
                <w:highlight w:val="none"/>
                <w14:textFill>
                  <w14:solidFill>
                    <w14:schemeClr w14:val="tx1"/>
                  </w14:solidFill>
                </w14:textFill>
              </w:rPr>
              <w:t>购预算（最高限价）：</w:t>
            </w:r>
          </w:p>
          <w:p w14:paraId="7F4CD209">
            <w:pPr>
              <w:pStyle w:val="40"/>
              <w:keepNext w:val="0"/>
              <w:keepLines w:val="0"/>
              <w:pageBreakBefore w:val="0"/>
              <w:widowControl w:val="0"/>
              <w:kinsoku/>
              <w:wordWrap/>
              <w:overflowPunct/>
              <w:topLinePunct w:val="0"/>
              <w:autoSpaceDE/>
              <w:autoSpaceDN/>
              <w:bidi w:val="0"/>
              <w:adjustRightInd/>
              <w:snapToGrid/>
              <w:spacing w:before="183" w:line="440" w:lineRule="exact"/>
              <w:ind w:firstLine="0" w:firstLineChars="0"/>
              <w:textAlignment w:val="auto"/>
              <w:rPr>
                <w:rFonts w:hint="eastAsia"/>
                <w:b/>
                <w:bCs/>
                <w:color w:val="000000" w:themeColor="text1"/>
                <w:position w:val="17"/>
                <w:sz w:val="21"/>
                <w:szCs w:val="21"/>
                <w:highlight w:val="none"/>
                <w:lang w:val="en-US" w:eastAsia="zh-CN"/>
                <w14:textFill>
                  <w14:solidFill>
                    <w14:schemeClr w14:val="tx1"/>
                  </w14:solidFill>
                </w14:textFill>
              </w:rPr>
            </w:pPr>
            <w:r>
              <w:rPr>
                <w:rFonts w:hint="eastAsia"/>
                <w:b/>
                <w:bCs/>
                <w:color w:val="000000" w:themeColor="text1"/>
                <w:position w:val="17"/>
                <w:sz w:val="21"/>
                <w:szCs w:val="21"/>
                <w:highlight w:val="none"/>
                <w:lang w:val="en-US" w:eastAsia="zh-CN"/>
                <w14:textFill>
                  <w14:solidFill>
                    <w14:schemeClr w14:val="tx1"/>
                  </w14:solidFill>
                </w14:textFill>
              </w:rPr>
              <w:t>一标段：18950000元/年；</w:t>
            </w:r>
          </w:p>
          <w:p w14:paraId="02A18E7E">
            <w:pPr>
              <w:pStyle w:val="40"/>
              <w:keepNext w:val="0"/>
              <w:keepLines w:val="0"/>
              <w:pageBreakBefore w:val="0"/>
              <w:widowControl w:val="0"/>
              <w:kinsoku/>
              <w:wordWrap/>
              <w:overflowPunct/>
              <w:topLinePunct w:val="0"/>
              <w:autoSpaceDE/>
              <w:autoSpaceDN/>
              <w:bidi w:val="0"/>
              <w:adjustRightInd/>
              <w:snapToGrid/>
              <w:spacing w:before="183" w:line="440" w:lineRule="exact"/>
              <w:ind w:firstLine="0" w:firstLineChars="0"/>
              <w:textAlignment w:val="auto"/>
              <w:rPr>
                <w:b/>
                <w:bCs/>
                <w:color w:val="000000" w:themeColor="text1"/>
                <w:position w:val="17"/>
                <w:sz w:val="21"/>
                <w:szCs w:val="21"/>
                <w:highlight w:val="none"/>
                <w14:textFill>
                  <w14:solidFill>
                    <w14:schemeClr w14:val="tx1"/>
                  </w14:solidFill>
                </w14:textFill>
              </w:rPr>
            </w:pPr>
            <w:r>
              <w:rPr>
                <w:rFonts w:hint="eastAsia"/>
                <w:b/>
                <w:bCs/>
                <w:color w:val="000000" w:themeColor="text1"/>
                <w:position w:val="17"/>
                <w:sz w:val="21"/>
                <w:szCs w:val="21"/>
                <w:highlight w:val="none"/>
                <w:lang w:val="en-US" w:eastAsia="zh-CN"/>
                <w14:textFill>
                  <w14:solidFill>
                    <w14:schemeClr w14:val="tx1"/>
                  </w14:solidFill>
                </w14:textFill>
              </w:rPr>
              <w:t>二标段：17890000元/年。</w:t>
            </w:r>
          </w:p>
          <w:p w14:paraId="3FE0F557">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1、供应商的投标</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lang w:eastAsia="zh-CN"/>
                <w14:textFill>
                  <w14:solidFill>
                    <w14:schemeClr w14:val="tx1"/>
                  </w14:solidFill>
                </w14:textFill>
              </w:rPr>
              <w:t>高于</w:t>
            </w:r>
            <w:r>
              <w:rPr>
                <w:rFonts w:hint="eastAsia" w:ascii="宋体" w:hAnsi="宋体" w:eastAsia="宋体" w:cs="宋体"/>
                <w:color w:val="000000" w:themeColor="text1"/>
                <w:szCs w:val="21"/>
                <w:highlight w:val="none"/>
                <w:lang w:val="en-US" w:eastAsia="zh-CN"/>
                <w14:textFill>
                  <w14:solidFill>
                    <w14:schemeClr w14:val="tx1"/>
                  </w14:solidFill>
                </w14:textFill>
              </w:rPr>
              <w:t>采购</w:t>
            </w:r>
            <w:r>
              <w:rPr>
                <w:rFonts w:hint="eastAsia" w:ascii="宋体" w:hAnsi="宋体" w:eastAsia="宋体" w:cs="宋体"/>
                <w:color w:val="000000" w:themeColor="text1"/>
                <w:szCs w:val="21"/>
                <w:highlight w:val="none"/>
                <w:lang w:eastAsia="zh-CN"/>
                <w14:textFill>
                  <w14:solidFill>
                    <w14:schemeClr w14:val="tx1"/>
                  </w14:solidFill>
                </w14:textFill>
              </w:rPr>
              <w:t>预算控制</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lang w:eastAsia="zh-CN"/>
                <w14:textFill>
                  <w14:solidFill>
                    <w14:schemeClr w14:val="tx1"/>
                  </w14:solidFill>
                </w14:textFill>
              </w:rPr>
              <w:t>的视为无效报价，其投标予以拒绝；</w:t>
            </w:r>
          </w:p>
          <w:p w14:paraId="36834F15">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lang w:val="en-US"/>
              </w:rPr>
            </w:pPr>
            <w:r>
              <w:rPr>
                <w:rFonts w:hint="eastAsia" w:ascii="宋体" w:hAnsi="宋体" w:eastAsia="宋体" w:cs="宋体"/>
                <w:color w:val="000000" w:themeColor="text1"/>
                <w:szCs w:val="21"/>
                <w:highlight w:val="none"/>
                <w:lang w:eastAsia="zh-CN"/>
                <w14:textFill>
                  <w14:solidFill>
                    <w14:schemeClr w14:val="tx1"/>
                  </w14:solidFill>
                </w14:textFill>
              </w:rPr>
              <w:t>2、当成交人投标报价</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lang w:eastAsia="zh-CN"/>
                <w14:textFill>
                  <w14:solidFill>
                    <w14:schemeClr w14:val="tx1"/>
                  </w14:solidFill>
                </w14:textFill>
              </w:rPr>
              <w:t>高于预算控制</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lang w:eastAsia="zh-CN"/>
                <w14:textFill>
                  <w14:solidFill>
                    <w14:schemeClr w14:val="tx1"/>
                  </w14:solidFill>
                </w14:textFill>
              </w:rPr>
              <w:t xml:space="preserve"> 95%时，该成交人的成交</w:t>
            </w:r>
            <w:r>
              <w:rPr>
                <w:rFonts w:hint="eastAsia" w:ascii="宋体" w:hAnsi="宋体" w:eastAsia="宋体" w:cs="宋体"/>
                <w:color w:val="000000" w:themeColor="text1"/>
                <w:szCs w:val="21"/>
                <w:highlight w:val="none"/>
                <w:lang w:val="en-US" w:eastAsia="zh-CN"/>
                <w14:textFill>
                  <w14:solidFill>
                    <w14:schemeClr w14:val="tx1"/>
                  </w14:solidFill>
                </w14:textFill>
              </w:rPr>
              <w:t>单</w:t>
            </w:r>
            <w:r>
              <w:rPr>
                <w:rFonts w:hint="eastAsia" w:ascii="宋体" w:hAnsi="宋体" w:eastAsia="宋体" w:cs="宋体"/>
                <w:color w:val="000000" w:themeColor="text1"/>
                <w:szCs w:val="21"/>
                <w:highlight w:val="none"/>
                <w:lang w:eastAsia="zh-CN"/>
                <w14:textFill>
                  <w14:solidFill>
                    <w14:schemeClr w14:val="tx1"/>
                  </w14:solidFill>
                </w14:textFill>
              </w:rPr>
              <w:t>价按预算控制</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lang w:eastAsia="zh-CN"/>
                <w14:textFill>
                  <w14:solidFill>
                    <w14:schemeClr w14:val="tx1"/>
                  </w14:solidFill>
                </w14:textFill>
              </w:rPr>
              <w:t>的95%执行。</w:t>
            </w:r>
          </w:p>
        </w:tc>
      </w:tr>
      <w:tr w14:paraId="10D4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65" w:type="dxa"/>
            <w:vAlign w:val="center"/>
          </w:tcPr>
          <w:p w14:paraId="6BCD89F9">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10.2</w:t>
            </w:r>
          </w:p>
        </w:tc>
        <w:tc>
          <w:tcPr>
            <w:tcW w:w="2318" w:type="dxa"/>
            <w:vAlign w:val="center"/>
          </w:tcPr>
          <w:p w14:paraId="534B50E9">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小型或微型企业（含监狱企业）</w:t>
            </w:r>
          </w:p>
        </w:tc>
        <w:tc>
          <w:tcPr>
            <w:tcW w:w="6112" w:type="dxa"/>
            <w:vAlign w:val="center"/>
          </w:tcPr>
          <w:p w14:paraId="240B8307">
            <w:pPr>
              <w:spacing w:line="440" w:lineRule="exac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本项目执行促进中小企业发展政策（监狱企业、残疾人福利性企业视同小微企业）、</w:t>
            </w:r>
            <w:r>
              <w:rPr>
                <w:rFonts w:hint="eastAsia" w:ascii="宋体" w:hAnsi="宋体" w:eastAsia="宋体" w:cs="宋体"/>
                <w:b/>
                <w:bCs/>
                <w:color w:val="auto"/>
                <w:highlight w:val="none"/>
                <w:lang w:val="en-US" w:eastAsia="zh-CN"/>
              </w:rPr>
              <w:t>支持自主创新、</w:t>
            </w:r>
            <w:r>
              <w:rPr>
                <w:rFonts w:hint="eastAsia" w:ascii="宋体" w:hAnsi="宋体" w:eastAsia="宋体" w:cs="宋体"/>
                <w:b/>
                <w:bCs/>
                <w:color w:val="auto"/>
                <w:highlight w:val="none"/>
                <w:lang w:eastAsia="zh-CN"/>
              </w:rPr>
              <w:t>强制采购节能产品、优先采购节能及环境标志产品、保护环境、扶持不发达地区和少数民族地区等相关现行政府采购政策。</w:t>
            </w:r>
          </w:p>
          <w:p w14:paraId="58C6BDFA">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为贯彻落实《政府采购促进中小企业发展管理办法》(财库〔2020〕46号)、《财政部关于进一步加大政府采购支持中小企业力度的通知》（财库〔2022〕19号）、《财政部、司法部关于政府采购支持监狱企业发展有关问题的通知》（财库[2014]68号）、《关于促进残疾人就业政府采购政策的通知》（财库〔2017〕141号）、《河南省财政厅关于进一步做好政府采购支持中小企业发展有关事项的通知》（豫财购〔2022〕5号）等文件，本项目中小企业划型标准以工信部联企业〔2011〕300号《工业和信息化部、国家统计局、国家发展和改革委员会、财政部关于印发中小企业划型标准规定的通知》、国家统计局关于印发《统计上大中小微型企业划分办法（2017）》的通知为依据，</w:t>
            </w:r>
            <w:r>
              <w:rPr>
                <w:rFonts w:hint="eastAsia" w:ascii="宋体" w:hAnsi="宋体" w:eastAsia="宋体" w:cs="宋体"/>
                <w:color w:val="auto"/>
                <w:highlight w:val="none"/>
                <w:lang w:val="en-US" w:eastAsia="zh-CN"/>
              </w:rPr>
              <w:t>本项目</w:t>
            </w:r>
            <w:r>
              <w:rPr>
                <w:rFonts w:hint="eastAsia" w:ascii="宋体" w:hAnsi="宋体" w:eastAsia="宋体" w:cs="宋体"/>
                <w:color w:val="auto"/>
                <w:highlight w:val="none"/>
                <w:lang w:eastAsia="zh-CN"/>
              </w:rPr>
              <w:t>采购标的对应的中小企业划分标准所属行业为</w:t>
            </w:r>
            <w:r>
              <w:rPr>
                <w:rFonts w:hint="eastAsia" w:ascii="宋体" w:hAnsi="宋体" w:eastAsia="宋体" w:cs="宋体"/>
                <w:b/>
                <w:bCs/>
                <w:color w:val="auto"/>
                <w:highlight w:val="none"/>
                <w:u w:val="single"/>
                <w:lang w:val="en-US" w:eastAsia="zh-CN"/>
              </w:rPr>
              <w:t xml:space="preserve"> 其他未列明行业 </w:t>
            </w:r>
            <w:r>
              <w:rPr>
                <w:rFonts w:hint="eastAsia" w:ascii="宋体" w:hAnsi="宋体" w:eastAsia="宋体" w:cs="宋体"/>
                <w:b/>
                <w:bCs/>
                <w:color w:val="auto"/>
                <w:highlight w:val="none"/>
                <w:u w:val="single"/>
                <w:lang w:eastAsia="zh-CN"/>
              </w:rPr>
              <w:t>。</w:t>
            </w:r>
          </w:p>
          <w:p w14:paraId="684561A5">
            <w:pPr>
              <w:spacing w:line="440" w:lineRule="exact"/>
              <w:rPr>
                <w:rFonts w:hint="eastAsia" w:ascii="宋体" w:hAnsi="宋体" w:eastAsia="宋体" w:cs="宋体"/>
                <w:color w:val="auto"/>
                <w:highlight w:val="none"/>
                <w:lang w:eastAsia="zh-CN"/>
              </w:rPr>
            </w:pPr>
            <w:bookmarkStart w:id="13" w:name="OLE_LINK130"/>
            <w:r>
              <w:rPr>
                <w:rFonts w:hint="eastAsia"/>
                <w:b/>
                <w:bCs/>
                <w:lang w:eastAsia="zh-CN"/>
              </w:rPr>
              <w:t>对未预留份额专门面向中小企业采购的项目。</w:t>
            </w:r>
            <w:r>
              <w:rPr>
                <w:rFonts w:hint="eastAsia" w:ascii="宋体" w:hAnsi="宋体" w:eastAsia="宋体" w:cs="宋体"/>
                <w:b/>
                <w:bCs/>
                <w:color w:val="auto"/>
                <w:highlight w:val="none"/>
                <w:lang w:eastAsia="zh-CN"/>
              </w:rPr>
              <w:t>对符合规定的小型和微型企业（监狱企业/残疾人福利性企业视同小型、微型企业）的</w:t>
            </w:r>
            <w:r>
              <w:rPr>
                <w:rFonts w:hint="eastAsia" w:ascii="宋体" w:hAnsi="宋体" w:eastAsia="宋体" w:cs="宋体"/>
                <w:b/>
                <w:bCs/>
                <w:color w:val="auto"/>
                <w:highlight w:val="none"/>
                <w:lang w:val="en-US" w:eastAsia="zh-CN"/>
              </w:rPr>
              <w:t>投标</w:t>
            </w:r>
            <w:r>
              <w:rPr>
                <w:rFonts w:hint="eastAsia" w:ascii="宋体" w:hAnsi="宋体" w:eastAsia="宋体" w:cs="宋体"/>
                <w:b/>
                <w:bCs/>
                <w:color w:val="auto"/>
                <w:highlight w:val="none"/>
                <w:lang w:eastAsia="zh-CN"/>
              </w:rPr>
              <w:t>报价给予</w:t>
            </w:r>
            <w:r>
              <w:rPr>
                <w:rFonts w:hint="eastAsia" w:ascii="宋体" w:hAnsi="宋体" w:eastAsia="宋体" w:cs="宋体"/>
                <w:b/>
                <w:bCs/>
                <w:color w:val="auto"/>
                <w:highlight w:val="none"/>
                <w:lang w:val="en-US" w:eastAsia="zh-CN"/>
              </w:rPr>
              <w:t>20</w:t>
            </w:r>
            <w:r>
              <w:rPr>
                <w:rFonts w:hint="eastAsia" w:ascii="宋体" w:hAnsi="宋体" w:eastAsia="宋体" w:cs="宋体"/>
                <w:b/>
                <w:bCs/>
                <w:color w:val="auto"/>
                <w:highlight w:val="none"/>
                <w:lang w:eastAsia="zh-CN"/>
              </w:rPr>
              <w:t>%的扣除，用扣除后的价格参与评审；</w:t>
            </w:r>
            <w:r>
              <w:rPr>
                <w:rFonts w:hint="eastAsia" w:ascii="宋体" w:hAnsi="宋体" w:eastAsia="宋体" w:cs="宋体"/>
                <w:color w:val="auto"/>
                <w:highlight w:val="none"/>
                <w:lang w:eastAsia="zh-CN"/>
              </w:rPr>
              <w:t>参加政府采购活动的小型</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lang w:eastAsia="zh-CN"/>
              </w:rPr>
              <w:t>微型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应提供由省级以上监狱管理局、戒毒管理局(含新疆生产建设兵团)出具的属于监狱企业的证明文件，否则不予认可。中标人如为监狱企业/残疾人福利性企业/小型/微型企业的，并在投标文件中提交相关材料，如存在弄虚作假情况，采购人有权取消该中标人的中标资格，并对因其造成的损失进行追责。</w:t>
            </w:r>
          </w:p>
          <w:p w14:paraId="1C10C390">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依据《政府采购促进中小企业发展管理办法》(财库[2020]46 号)规定享受扶持政策获得政府采购合同的，小微企业不得将合同分包给大中型企业，中型企业不得将合同分包给大型企业。</w:t>
            </w:r>
            <w:bookmarkEnd w:id="13"/>
          </w:p>
        </w:tc>
      </w:tr>
      <w:tr w14:paraId="0959B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dxa"/>
            <w:vAlign w:val="center"/>
          </w:tcPr>
          <w:p w14:paraId="2912316B">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10.3</w:t>
            </w:r>
          </w:p>
        </w:tc>
        <w:tc>
          <w:tcPr>
            <w:tcW w:w="2318" w:type="dxa"/>
            <w:vAlign w:val="center"/>
          </w:tcPr>
          <w:p w14:paraId="00EE1AD3">
            <w:pPr>
              <w:spacing w:line="440" w:lineRule="exact"/>
              <w:jc w:val="center"/>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付款方式</w:t>
            </w:r>
          </w:p>
        </w:tc>
        <w:tc>
          <w:tcPr>
            <w:tcW w:w="6112" w:type="dxa"/>
            <w:vAlign w:val="center"/>
          </w:tcPr>
          <w:p w14:paraId="16B71F21">
            <w:pPr>
              <w:spacing w:line="440" w:lineRule="exact"/>
              <w:rPr>
                <w:rFonts w:hint="eastAsia" w:ascii="宋体" w:hAnsi="宋体" w:eastAsia="宋体" w:cs="宋体"/>
                <w:bCs/>
                <w:color w:val="auto"/>
                <w:highlight w:val="none"/>
              </w:rPr>
            </w:pPr>
            <w:r>
              <w:rPr>
                <w:rFonts w:hint="eastAsia" w:ascii="宋体" w:hAnsi="宋体" w:eastAsia="宋体" w:cs="宋体"/>
                <w:bCs/>
                <w:color w:val="auto"/>
                <w:highlight w:val="none"/>
              </w:rPr>
              <w:t>（1）本项目采用“先作业，后付款”，依据实际作业量按月进行考核，按季度进行付款；</w:t>
            </w:r>
          </w:p>
          <w:p w14:paraId="7E362F52">
            <w:pPr>
              <w:spacing w:line="440" w:lineRule="exact"/>
              <w:rPr>
                <w:rFonts w:ascii="宋体" w:hAnsi="宋体" w:eastAsia="宋体" w:cs="宋体"/>
                <w:bCs/>
                <w:color w:val="auto"/>
                <w:highlight w:val="none"/>
              </w:rPr>
            </w:pPr>
            <w:r>
              <w:rPr>
                <w:rFonts w:hint="eastAsia" w:ascii="宋体" w:hAnsi="宋体" w:eastAsia="宋体" w:cs="宋体"/>
                <w:bCs/>
                <w:color w:val="auto"/>
                <w:highlight w:val="none"/>
              </w:rPr>
              <w:t>（2）在乙方当月作业期间，由甲方根据考核办法对乙方的服务情况进行考核，依据考核结果在季度末后的次月15日前由甲方报财政部门按相关程序进行申请服务费用，待财政拨付完成后，5个工作日内向乙方进行付款。</w:t>
            </w:r>
          </w:p>
        </w:tc>
      </w:tr>
      <w:tr w14:paraId="26AD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5" w:type="dxa"/>
            <w:vAlign w:val="center"/>
          </w:tcPr>
          <w:p w14:paraId="626F4C9F">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2318" w:type="dxa"/>
            <w:vAlign w:val="center"/>
          </w:tcPr>
          <w:p w14:paraId="2DB82510">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招标代理服务费</w:t>
            </w:r>
          </w:p>
        </w:tc>
        <w:tc>
          <w:tcPr>
            <w:tcW w:w="6112" w:type="dxa"/>
            <w:vAlign w:val="center"/>
          </w:tcPr>
          <w:p w14:paraId="7B33991E">
            <w:pPr>
              <w:spacing w:line="440" w:lineRule="exac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本项目代理服务费参照豫招协[2023]002号--河南省招标投标协会关于印发《河南省招标代理服务收费指导意见》收取，由中标人在领取中标通知书前向招标代理公司支付。</w:t>
            </w:r>
          </w:p>
          <w:p w14:paraId="403D1B81">
            <w:pPr>
              <w:spacing w:line="440" w:lineRule="exac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代理服务费收取信息：</w:t>
            </w:r>
          </w:p>
          <w:p w14:paraId="062EEC09">
            <w:pPr>
              <w:spacing w:line="440" w:lineRule="exac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公司名称：河南领秀工程造价咨询有限公司</w:t>
            </w:r>
          </w:p>
          <w:p w14:paraId="58C0637E">
            <w:pPr>
              <w:spacing w:line="440" w:lineRule="exac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账号：371909622610601</w:t>
            </w:r>
          </w:p>
          <w:p w14:paraId="14AEB608">
            <w:pPr>
              <w:spacing w:line="440" w:lineRule="exact"/>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开户行：招商银行郑州高新区支行</w:t>
            </w:r>
          </w:p>
          <w:p w14:paraId="001EBE8E">
            <w:pPr>
              <w:spacing w:line="440" w:lineRule="exact"/>
              <w:rPr>
                <w:color w:val="auto"/>
                <w:highlight w:val="none"/>
              </w:rPr>
            </w:pPr>
            <w:r>
              <w:rPr>
                <w:rFonts w:hint="eastAsia" w:ascii="宋体" w:hAnsi="宋体" w:eastAsia="宋体" w:cs="宋体"/>
                <w:bCs/>
                <w:color w:val="auto"/>
                <w:highlight w:val="none"/>
                <w:lang w:val="en-US" w:eastAsia="zh-CN"/>
              </w:rPr>
              <w:t>行号：308491031345。</w:t>
            </w:r>
          </w:p>
        </w:tc>
      </w:tr>
      <w:tr w14:paraId="2A6E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965" w:type="dxa"/>
            <w:vAlign w:val="center"/>
          </w:tcPr>
          <w:p w14:paraId="4FAE5578">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2318" w:type="dxa"/>
            <w:vAlign w:val="center"/>
          </w:tcPr>
          <w:p w14:paraId="7588564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认定为不响应招标文件的其它条件</w:t>
            </w:r>
          </w:p>
        </w:tc>
        <w:tc>
          <w:tcPr>
            <w:tcW w:w="6112" w:type="dxa"/>
            <w:vAlign w:val="center"/>
          </w:tcPr>
          <w:p w14:paraId="1DCDED40">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1、未按招标文件明示的规定签字盖章的；</w:t>
            </w:r>
          </w:p>
          <w:p w14:paraId="67E5CEAC">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2、投标文件的关键内容（</w:t>
            </w:r>
            <w:r>
              <w:rPr>
                <w:rFonts w:hint="eastAsia" w:ascii="宋体" w:hAnsi="宋体" w:cs="宋体"/>
                <w:bCs/>
                <w:color w:val="000000" w:themeColor="text1"/>
                <w:highlight w:val="none"/>
                <w:lang w:val="en-US" w:eastAsia="zh-CN"/>
                <w14:textFill>
                  <w14:solidFill>
                    <w14:schemeClr w14:val="tx1"/>
                  </w14:solidFill>
                </w14:textFill>
              </w:rPr>
              <w:t>合同履行期限</w:t>
            </w:r>
            <w:r>
              <w:rPr>
                <w:rFonts w:hint="eastAsia" w:ascii="宋体" w:hAnsi="宋体" w:cs="宋体"/>
                <w:bCs/>
                <w:color w:val="000000" w:themeColor="text1"/>
                <w:highlight w:val="none"/>
                <w14:textFill>
                  <w14:solidFill>
                    <w14:schemeClr w14:val="tx1"/>
                  </w14:solidFill>
                </w14:textFill>
              </w:rPr>
              <w:t>、质量</w:t>
            </w:r>
            <w:r>
              <w:rPr>
                <w:rFonts w:hint="eastAsia" w:ascii="宋体" w:hAnsi="宋体" w:cs="宋体"/>
                <w:bCs/>
                <w:color w:val="000000" w:themeColor="text1"/>
                <w:highlight w:val="none"/>
                <w:lang w:val="en-US" w:eastAsia="zh-CN"/>
                <w14:textFill>
                  <w14:solidFill>
                    <w14:schemeClr w14:val="tx1"/>
                  </w14:solidFill>
                </w14:textFill>
              </w:rPr>
              <w:t>要求</w:t>
            </w:r>
            <w:r>
              <w:rPr>
                <w:rFonts w:hint="eastAsia" w:ascii="宋体" w:hAnsi="宋体" w:cs="宋体"/>
                <w:bCs/>
                <w:color w:val="000000" w:themeColor="text1"/>
                <w:highlight w:val="none"/>
                <w14:textFill>
                  <w14:solidFill>
                    <w14:schemeClr w14:val="tx1"/>
                  </w14:solidFill>
                </w14:textFill>
              </w:rPr>
              <w:t>等）未填写或填写字迹模糊、达不到采购要求的；</w:t>
            </w:r>
          </w:p>
          <w:p w14:paraId="3FB6AA1E">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3、投标报价超出招标控制价的；</w:t>
            </w:r>
          </w:p>
          <w:p w14:paraId="5EA1388E">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4、供应商递交两份或多份内容不同的投标文件，或在一份投标文件中对同一招标项目有两个或多个报价，且未声明哪一个有效的；</w:t>
            </w:r>
          </w:p>
          <w:p w14:paraId="3C05E611">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、附有采购人不能接受的条件的；</w:t>
            </w:r>
          </w:p>
          <w:p w14:paraId="7BC13F91">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、评标过程中，如因两个或两个以上供应商在同一台计算</w:t>
            </w:r>
            <w:r>
              <w:rPr>
                <w:rFonts w:hint="eastAsia" w:ascii="宋体" w:hAnsi="宋体" w:cs="宋体"/>
                <w:bCs/>
                <w:color w:val="000000" w:themeColor="text1"/>
                <w:highlight w:val="none"/>
                <w:lang w:val="en-US" w:eastAsia="zh-CN"/>
                <w14:textFill>
                  <w14:solidFill>
                    <w14:schemeClr w14:val="tx1"/>
                  </w14:solidFill>
                </w14:textFill>
              </w:rPr>
              <w:t>机</w:t>
            </w:r>
            <w:r>
              <w:rPr>
                <w:rFonts w:hint="eastAsia" w:ascii="宋体" w:hAnsi="宋体" w:cs="宋体"/>
                <w:bCs/>
                <w:color w:val="000000" w:themeColor="text1"/>
                <w:highlight w:val="none"/>
                <w14:textFill>
                  <w14:solidFill>
                    <w14:schemeClr w14:val="tx1"/>
                  </w14:solidFill>
                </w14:textFill>
              </w:rPr>
              <w:t>或同一个IP上传投标文件，而被不见面开标系统提示为“投标文件制作机器码一致”的，则视其投标无效。</w:t>
            </w:r>
          </w:p>
          <w:p w14:paraId="20E4BD19">
            <w:pPr>
              <w:pStyle w:val="20"/>
              <w:keepNext w:val="0"/>
              <w:keepLines w:val="0"/>
              <w:pageBreakBefore w:val="0"/>
              <w:widowControl w:val="0"/>
              <w:kinsoku/>
              <w:wordWrap/>
              <w:overflowPunct/>
              <w:topLinePunct w:val="0"/>
              <w:autoSpaceDE/>
              <w:autoSpaceDN/>
              <w:bidi w:val="0"/>
              <w:spacing w:line="440" w:lineRule="exact"/>
              <w:ind w:firstLine="0" w:firstLineChars="0"/>
              <w:textAlignment w:val="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、投标文件有明显不符合招标文件其它要求和有关法律法规的。</w:t>
            </w:r>
          </w:p>
        </w:tc>
      </w:tr>
      <w:tr w14:paraId="706C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65" w:type="dxa"/>
            <w:vAlign w:val="center"/>
          </w:tcPr>
          <w:p w14:paraId="5B230838">
            <w:pPr>
              <w:spacing w:line="360" w:lineRule="exact"/>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10.9</w:t>
            </w:r>
          </w:p>
        </w:tc>
        <w:tc>
          <w:tcPr>
            <w:tcW w:w="8430" w:type="dxa"/>
            <w:gridSpan w:val="2"/>
            <w:vAlign w:val="center"/>
          </w:tcPr>
          <w:p w14:paraId="4462A8D5">
            <w:pPr>
              <w:pStyle w:val="20"/>
              <w:tabs>
                <w:tab w:val="left" w:pos="1268"/>
              </w:tabs>
              <w:ind w:firstLine="0" w:firstLineChars="0"/>
              <w:rPr>
                <w:rFonts w:ascii="宋体" w:hAnsi="宋体" w:cs="宋体"/>
                <w:bCs/>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本招标文件解释权归采购人</w:t>
            </w:r>
          </w:p>
        </w:tc>
      </w:tr>
    </w:tbl>
    <w:p w14:paraId="1AE7DB33">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14" w:name="_Toc23082"/>
      <w:bookmarkStart w:id="15" w:name="_Toc403122491"/>
      <w:bookmarkStart w:id="16" w:name="_Toc426369479"/>
      <w:bookmarkStart w:id="17" w:name="_Toc9048"/>
      <w:bookmarkStart w:id="18" w:name="_Toc23576"/>
      <w:bookmarkStart w:id="19" w:name="_Toc26894"/>
      <w:bookmarkStart w:id="20" w:name="_Toc426369491"/>
      <w:bookmarkStart w:id="21" w:name="_Toc403122503"/>
      <w:r>
        <w:rPr>
          <w:rFonts w:hint="eastAsia" w:ascii="宋体" w:hAnsi="宋体" w:eastAsia="宋体" w:cs="宋体"/>
          <w:color w:val="000000" w:themeColor="text1"/>
          <w:sz w:val="24"/>
          <w:szCs w:val="24"/>
          <w:highlight w:val="none"/>
          <w14:textFill>
            <w14:solidFill>
              <w14:schemeClr w14:val="tx1"/>
            </w14:solidFill>
          </w14:textFill>
        </w:rPr>
        <w:t>1. 总则</w:t>
      </w:r>
      <w:bookmarkEnd w:id="14"/>
      <w:bookmarkEnd w:id="15"/>
      <w:bookmarkEnd w:id="16"/>
      <w:bookmarkEnd w:id="17"/>
      <w:bookmarkEnd w:id="18"/>
    </w:p>
    <w:p w14:paraId="542DC328">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2" w:name="_Toc403122492"/>
      <w:bookmarkStart w:id="23" w:name="_Toc279599771"/>
      <w:bookmarkStart w:id="24" w:name="_Toc274249575"/>
      <w:bookmarkStart w:id="25" w:name="_Toc426369480"/>
      <w:r>
        <w:rPr>
          <w:rFonts w:hint="eastAsia" w:ascii="宋体" w:hAnsi="宋体" w:eastAsia="宋体" w:cs="宋体"/>
          <w:b/>
          <w:bCs/>
          <w:color w:val="000000" w:themeColor="text1"/>
          <w:sz w:val="24"/>
          <w:highlight w:val="none"/>
          <w14:textFill>
            <w14:solidFill>
              <w14:schemeClr w14:val="tx1"/>
            </w14:solidFill>
          </w14:textFill>
        </w:rPr>
        <w:t>1.1 项目概况</w:t>
      </w:r>
      <w:bookmarkEnd w:id="22"/>
      <w:bookmarkEnd w:id="23"/>
      <w:bookmarkEnd w:id="24"/>
      <w:bookmarkEnd w:id="25"/>
    </w:p>
    <w:p w14:paraId="664EBAE4">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 根据</w:t>
      </w:r>
      <w:r>
        <w:rPr>
          <w:rFonts w:hint="eastAsia" w:ascii="宋体" w:hAnsi="宋体" w:eastAsia="宋体" w:cs="宋体"/>
          <w:bCs/>
          <w:color w:val="000000" w:themeColor="text1"/>
          <w:szCs w:val="21"/>
          <w:highlight w:val="none"/>
          <w14:textFill>
            <w14:solidFill>
              <w14:schemeClr w14:val="tx1"/>
            </w14:solidFill>
          </w14:textFill>
        </w:rPr>
        <w:t>《中华人民共和国政府采购法》</w:t>
      </w:r>
      <w:r>
        <w:rPr>
          <w:rFonts w:hint="eastAsia" w:ascii="宋体" w:hAnsi="宋体" w:eastAsia="宋体" w:cs="宋体"/>
          <w:color w:val="000000" w:themeColor="text1"/>
          <w:szCs w:val="21"/>
          <w:highlight w:val="none"/>
          <w14:textFill>
            <w14:solidFill>
              <w14:schemeClr w14:val="tx1"/>
            </w14:solidFill>
          </w14:textFill>
        </w:rPr>
        <w:t xml:space="preserve">等有关法律、法规和规章的规定，本招标项目已具备招标条件，现对本招标项目进行公开招标。 </w:t>
      </w:r>
    </w:p>
    <w:p w14:paraId="34334B96">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1.1.2  本招标项目采购人：见供应商须知前附表。 </w:t>
      </w:r>
    </w:p>
    <w:p w14:paraId="77388C23">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1.1.3  本招标项目采购代理机构：见供应商须知前附表。 </w:t>
      </w:r>
    </w:p>
    <w:p w14:paraId="06ECDBBB">
      <w:pPr>
        <w:spacing w:line="44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  本招标项目名称：见供应商须知前附表。</w:t>
      </w:r>
    </w:p>
    <w:p w14:paraId="20165ED6">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1.1.5  </w:t>
      </w:r>
      <w:r>
        <w:rPr>
          <w:rFonts w:hint="eastAsia" w:ascii="宋体" w:hAnsi="宋体" w:eastAsia="宋体" w:cs="宋体"/>
          <w:bCs/>
          <w:iCs/>
          <w:color w:val="auto"/>
          <w:szCs w:val="21"/>
          <w:highlight w:val="none"/>
          <w:lang w:val="en-US" w:eastAsia="zh-CN"/>
        </w:rPr>
        <w:t>服务</w:t>
      </w:r>
      <w:r>
        <w:rPr>
          <w:rFonts w:hint="eastAsia" w:ascii="宋体" w:hAnsi="宋体" w:eastAsia="宋体" w:cs="宋体"/>
          <w:bCs/>
          <w:iCs/>
          <w:color w:val="auto"/>
          <w:szCs w:val="21"/>
          <w:highlight w:val="none"/>
        </w:rPr>
        <w:t>地点</w:t>
      </w:r>
      <w:r>
        <w:rPr>
          <w:rFonts w:hint="eastAsia" w:ascii="宋体" w:hAnsi="宋体" w:eastAsia="宋体" w:cs="宋体"/>
          <w:color w:val="000000" w:themeColor="text1"/>
          <w:szCs w:val="21"/>
          <w:highlight w:val="none"/>
          <w14:textFill>
            <w14:solidFill>
              <w14:schemeClr w14:val="tx1"/>
            </w14:solidFill>
          </w14:textFill>
        </w:rPr>
        <w:t xml:space="preserve"> ：见供应商须知前附表。</w:t>
      </w:r>
    </w:p>
    <w:p w14:paraId="5A9E63B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6" w:name="_Toc426369481"/>
      <w:bookmarkStart w:id="27" w:name="_Toc279599772"/>
      <w:bookmarkStart w:id="28" w:name="_Toc274249576"/>
      <w:bookmarkStart w:id="29" w:name="_Toc403122493"/>
      <w:r>
        <w:rPr>
          <w:rFonts w:hint="eastAsia" w:ascii="宋体" w:hAnsi="宋体" w:eastAsia="宋体" w:cs="宋体"/>
          <w:b/>
          <w:bCs/>
          <w:color w:val="000000" w:themeColor="text1"/>
          <w:sz w:val="24"/>
          <w:highlight w:val="none"/>
          <w14:textFill>
            <w14:solidFill>
              <w14:schemeClr w14:val="tx1"/>
            </w14:solidFill>
          </w14:textFill>
        </w:rPr>
        <w:t>1.2 资金来源和落实情况</w:t>
      </w:r>
      <w:bookmarkEnd w:id="26"/>
      <w:bookmarkEnd w:id="27"/>
      <w:bookmarkEnd w:id="28"/>
      <w:bookmarkEnd w:id="29"/>
    </w:p>
    <w:p w14:paraId="7FEFE3BB">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1.2.1  本招标项目的资金来源：见供应商须知前附表。 </w:t>
      </w:r>
    </w:p>
    <w:p w14:paraId="0E367CF9">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1.2.2  本招标项目的资</w:t>
      </w:r>
      <w:r>
        <w:rPr>
          <w:rFonts w:hint="eastAsia" w:ascii="宋体" w:hAnsi="宋体" w:eastAsia="宋体" w:cs="宋体"/>
          <w:color w:val="auto"/>
          <w:szCs w:val="21"/>
          <w:highlight w:val="none"/>
        </w:rPr>
        <w:t xml:space="preserve">金落实情况：见供应商须知前附表。 </w:t>
      </w:r>
    </w:p>
    <w:p w14:paraId="496BFE26">
      <w:pPr>
        <w:spacing w:line="500" w:lineRule="exact"/>
        <w:ind w:firstLine="482" w:firstLineChars="200"/>
        <w:rPr>
          <w:rFonts w:hint="eastAsia" w:ascii="宋体" w:hAnsi="宋体" w:eastAsia="宋体" w:cs="宋体"/>
          <w:b/>
          <w:bCs/>
          <w:color w:val="auto"/>
          <w:sz w:val="24"/>
          <w:highlight w:val="none"/>
          <w:lang w:eastAsia="zh-CN"/>
        </w:rPr>
      </w:pPr>
      <w:bookmarkStart w:id="30" w:name="_Toc274249577"/>
      <w:bookmarkStart w:id="31" w:name="_Toc426369482"/>
      <w:bookmarkStart w:id="32" w:name="_Toc279599773"/>
      <w:bookmarkStart w:id="33" w:name="_Toc403122494"/>
      <w:r>
        <w:rPr>
          <w:rFonts w:hint="eastAsia" w:ascii="宋体" w:hAnsi="宋体" w:eastAsia="宋体" w:cs="宋体"/>
          <w:b/>
          <w:bCs/>
          <w:color w:val="auto"/>
          <w:sz w:val="24"/>
          <w:highlight w:val="none"/>
        </w:rPr>
        <w:t>1.3 采购内容、</w:t>
      </w:r>
      <w:r>
        <w:rPr>
          <w:rFonts w:hint="eastAsia" w:ascii="宋体" w:hAnsi="宋体" w:eastAsia="宋体" w:cs="宋体"/>
          <w:b/>
          <w:bCs/>
          <w:color w:val="auto"/>
          <w:sz w:val="24"/>
          <w:highlight w:val="none"/>
          <w:lang w:val="en-US" w:eastAsia="zh-CN"/>
        </w:rPr>
        <w:t>服务周</w:t>
      </w:r>
      <w:r>
        <w:rPr>
          <w:rFonts w:hint="eastAsia" w:ascii="宋体" w:hAnsi="宋体" w:eastAsia="宋体" w:cs="宋体"/>
          <w:b/>
          <w:bCs/>
          <w:color w:val="auto"/>
          <w:sz w:val="24"/>
          <w:highlight w:val="none"/>
        </w:rPr>
        <w:t>期和</w:t>
      </w:r>
      <w:bookmarkEnd w:id="30"/>
      <w:bookmarkEnd w:id="31"/>
      <w:bookmarkEnd w:id="32"/>
      <w:bookmarkEnd w:id="33"/>
      <w:r>
        <w:rPr>
          <w:rFonts w:hint="eastAsia" w:ascii="宋体" w:hAnsi="宋体" w:cs="宋体"/>
          <w:b/>
          <w:bCs/>
          <w:color w:val="auto"/>
          <w:sz w:val="24"/>
          <w:highlight w:val="none"/>
          <w:lang w:eastAsia="zh-CN"/>
        </w:rPr>
        <w:t>质量要求</w:t>
      </w:r>
    </w:p>
    <w:p w14:paraId="6A6A2BD5">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1.3.1  本次招标采购内容：见供应商须知前附表。 </w:t>
      </w:r>
    </w:p>
    <w:p w14:paraId="421ADD23">
      <w:pPr>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1.3.2  本次招标的</w:t>
      </w:r>
      <w:r>
        <w:rPr>
          <w:rFonts w:hint="eastAsia" w:ascii="宋体" w:hAnsi="宋体" w:eastAsia="宋体" w:cs="宋体"/>
          <w:color w:val="auto"/>
          <w:szCs w:val="21"/>
          <w:highlight w:val="none"/>
          <w:lang w:val="en-US" w:eastAsia="zh-CN"/>
        </w:rPr>
        <w:t>服务期</w:t>
      </w:r>
      <w:r>
        <w:rPr>
          <w:rFonts w:hint="eastAsia" w:ascii="宋体" w:hAnsi="宋体" w:eastAsia="宋体" w:cs="宋体"/>
          <w:color w:val="auto"/>
          <w:szCs w:val="21"/>
          <w:highlight w:val="none"/>
        </w:rPr>
        <w:t xml:space="preserve">：见供应商须知前附表。 </w:t>
      </w:r>
    </w:p>
    <w:p w14:paraId="4F371531">
      <w:pPr>
        <w:tabs>
          <w:tab w:val="right" w:pos="904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auto"/>
          <w:szCs w:val="21"/>
          <w:highlight w:val="none"/>
        </w:rPr>
        <w:t>1.3.3  本次招标的</w:t>
      </w:r>
      <w:r>
        <w:rPr>
          <w:rFonts w:hint="eastAsia" w:ascii="宋体" w:hAnsi="宋体" w:cs="宋体"/>
          <w:color w:val="auto"/>
          <w:szCs w:val="21"/>
          <w:highlight w:val="none"/>
          <w:lang w:eastAsia="zh-CN"/>
        </w:rPr>
        <w:t>质量要求</w:t>
      </w:r>
      <w:r>
        <w:rPr>
          <w:rFonts w:hint="eastAsia" w:ascii="宋体" w:hAnsi="宋体" w:eastAsia="宋体" w:cs="宋体"/>
          <w:color w:val="auto"/>
          <w:szCs w:val="21"/>
          <w:highlight w:val="none"/>
        </w:rPr>
        <w:t>：见供应商须知前附表。</w:t>
      </w:r>
      <w:r>
        <w:rPr>
          <w:rFonts w:hint="eastAsia" w:ascii="宋体" w:hAnsi="宋体" w:eastAsia="宋体" w:cs="宋体"/>
          <w:color w:val="000000" w:themeColor="text1"/>
          <w:szCs w:val="21"/>
          <w:highlight w:val="none"/>
          <w14:textFill>
            <w14:solidFill>
              <w14:schemeClr w14:val="tx1"/>
            </w14:solidFill>
          </w14:textFill>
        </w:rPr>
        <w:tab/>
      </w:r>
    </w:p>
    <w:p w14:paraId="0251E3B1">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34" w:name="_Toc279599774"/>
      <w:bookmarkStart w:id="35" w:name="_Toc426369483"/>
      <w:bookmarkStart w:id="36" w:name="_Toc274249578"/>
      <w:bookmarkStart w:id="37" w:name="_Toc403122495"/>
      <w:r>
        <w:rPr>
          <w:rFonts w:hint="eastAsia" w:ascii="宋体" w:hAnsi="宋体" w:eastAsia="宋体" w:cs="宋体"/>
          <w:b/>
          <w:bCs/>
          <w:color w:val="000000" w:themeColor="text1"/>
          <w:sz w:val="24"/>
          <w:highlight w:val="none"/>
          <w14:textFill>
            <w14:solidFill>
              <w14:schemeClr w14:val="tx1"/>
            </w14:solidFill>
          </w14:textFill>
        </w:rPr>
        <w:t>1.4 供应商资格要求</w:t>
      </w:r>
      <w:bookmarkEnd w:id="34"/>
      <w:bookmarkEnd w:id="35"/>
      <w:bookmarkEnd w:id="36"/>
      <w:bookmarkEnd w:id="37"/>
    </w:p>
    <w:p w14:paraId="41798CA9">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1.4.1 供应商应具备承担本招标项目的资质条件。 </w:t>
      </w:r>
    </w:p>
    <w:p w14:paraId="198880FD">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（1）供应商资质条件：见供应商须知前附表； </w:t>
      </w:r>
    </w:p>
    <w:p w14:paraId="48DB0DCD">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bookmarkStart w:id="38" w:name="_Toc279599775"/>
      <w:bookmarkStart w:id="39" w:name="_Toc274249579"/>
      <w:bookmarkStart w:id="40" w:name="_Toc403122496"/>
      <w:r>
        <w:rPr>
          <w:rFonts w:hint="eastAsia" w:ascii="宋体" w:hAnsi="宋体" w:eastAsia="宋体" w:cs="宋体"/>
          <w:color w:val="000000" w:themeColor="text1"/>
          <w:szCs w:val="21"/>
          <w:highlight w:val="none"/>
          <w14:textFill>
            <w14:solidFill>
              <w14:schemeClr w14:val="tx1"/>
            </w14:solidFill>
          </w14:textFill>
        </w:rPr>
        <w:t>1.4.2 本次招标不接受联合体投标。</w:t>
      </w:r>
    </w:p>
    <w:p w14:paraId="79EC415A">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41" w:name="_Toc426369484"/>
      <w:r>
        <w:rPr>
          <w:rFonts w:hint="eastAsia" w:ascii="宋体" w:hAnsi="宋体" w:eastAsia="宋体" w:cs="宋体"/>
          <w:b/>
          <w:bCs/>
          <w:color w:val="000000" w:themeColor="text1"/>
          <w:sz w:val="24"/>
          <w:highlight w:val="none"/>
          <w14:textFill>
            <w14:solidFill>
              <w14:schemeClr w14:val="tx1"/>
            </w14:solidFill>
          </w14:textFill>
        </w:rPr>
        <w:t>1.5 费用承担</w:t>
      </w:r>
      <w:bookmarkEnd w:id="38"/>
      <w:bookmarkEnd w:id="39"/>
      <w:bookmarkEnd w:id="40"/>
      <w:bookmarkEnd w:id="41"/>
    </w:p>
    <w:p w14:paraId="1A72ADB6">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供应商准备和参加投标活动发生的费用自理。 </w:t>
      </w:r>
    </w:p>
    <w:p w14:paraId="33BF4F3C">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42" w:name="_Toc403122497"/>
      <w:bookmarkStart w:id="43" w:name="_Toc426369485"/>
      <w:r>
        <w:rPr>
          <w:rFonts w:hint="eastAsia" w:ascii="宋体" w:hAnsi="宋体" w:eastAsia="宋体" w:cs="宋体"/>
          <w:b/>
          <w:bCs/>
          <w:color w:val="000000" w:themeColor="text1"/>
          <w:sz w:val="24"/>
          <w:highlight w:val="none"/>
          <w14:textFill>
            <w14:solidFill>
              <w14:schemeClr w14:val="tx1"/>
            </w14:solidFill>
          </w14:textFill>
        </w:rPr>
        <w:t>1.6 保密</w:t>
      </w:r>
      <w:bookmarkEnd w:id="42"/>
      <w:bookmarkEnd w:id="43"/>
    </w:p>
    <w:p w14:paraId="7BDF562E">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参与招标投标活动的各方应对招标文件和投标文件中的商业和技术等秘密保密，违者应对由此造成的后果承担法律责任。</w:t>
      </w:r>
    </w:p>
    <w:p w14:paraId="79572588">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44" w:name="_Toc279599777"/>
      <w:bookmarkStart w:id="45" w:name="_Toc403122498"/>
      <w:bookmarkStart w:id="46" w:name="_Toc274249581"/>
      <w:bookmarkStart w:id="47" w:name="_Toc426369486"/>
      <w:r>
        <w:rPr>
          <w:rFonts w:hint="eastAsia" w:ascii="宋体" w:hAnsi="宋体" w:eastAsia="宋体" w:cs="宋体"/>
          <w:b/>
          <w:bCs/>
          <w:color w:val="000000" w:themeColor="text1"/>
          <w:sz w:val="24"/>
          <w:highlight w:val="none"/>
          <w14:textFill>
            <w14:solidFill>
              <w14:schemeClr w14:val="tx1"/>
            </w14:solidFill>
          </w14:textFill>
        </w:rPr>
        <w:t>1.7 语言文字</w:t>
      </w:r>
      <w:bookmarkEnd w:id="44"/>
      <w:bookmarkEnd w:id="45"/>
      <w:bookmarkEnd w:id="46"/>
      <w:bookmarkEnd w:id="47"/>
      <w:r>
        <w:rPr>
          <w:rFonts w:hint="eastAsia" w:ascii="宋体" w:hAnsi="宋体" w:eastAsia="宋体" w:cs="宋体"/>
          <w:b/>
          <w:bCs/>
          <w:color w:val="000000" w:themeColor="text1"/>
          <w:sz w:val="24"/>
          <w:highlight w:val="none"/>
          <w14:textFill>
            <w14:solidFill>
              <w14:schemeClr w14:val="tx1"/>
            </w14:solidFill>
          </w14:textFill>
        </w:rPr>
        <w:t xml:space="preserve"> </w:t>
      </w:r>
    </w:p>
    <w:p w14:paraId="468D732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 采购文件以及供应商与采购人、采购代理机构就有关投标事宜的所有来往函电均应使用简体中文书写。</w:t>
      </w:r>
    </w:p>
    <w:p w14:paraId="14A8138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原版为外文的证书类文件，以及由外国人做出的本人签名、外国公司的名称或外国印章等可以是外文，但应当提供中文翻译文件并加盖供应商公章。必要时评标委员会可以要求供应商提供附有公证书的中文翻译文件或者与原版文件签章相一致的中文翻译文件</w:t>
      </w:r>
      <w:bookmarkStart w:id="48" w:name="_Toc403122499"/>
      <w:bookmarkStart w:id="49" w:name="_Toc426369487"/>
    </w:p>
    <w:p w14:paraId="609C8F99">
      <w:pPr>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1.8 计量单位</w:t>
      </w:r>
      <w:bookmarkEnd w:id="48"/>
      <w:bookmarkEnd w:id="49"/>
    </w:p>
    <w:p w14:paraId="6F489DE5">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1.8.1关于投标计量单位，采购文件已有明确规定的，使用采购文件规定的计量单位；采购文件没有规定的，应采用中华人民共和国法定计量单位。 </w:t>
      </w:r>
    </w:p>
    <w:p w14:paraId="477332E7">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1.8.2本响应性文件所表述的时间均为北京时间。</w:t>
      </w:r>
    </w:p>
    <w:p w14:paraId="3BF99F43">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50" w:name="_Toc279599779"/>
      <w:bookmarkStart w:id="51" w:name="_Toc274249583"/>
      <w:bookmarkStart w:id="52" w:name="_Toc403122500"/>
      <w:bookmarkStart w:id="53" w:name="_Toc426369488"/>
      <w:r>
        <w:rPr>
          <w:rFonts w:hint="eastAsia" w:ascii="宋体" w:hAnsi="宋体" w:eastAsia="宋体" w:cs="宋体"/>
          <w:b/>
          <w:bCs/>
          <w:color w:val="000000" w:themeColor="text1"/>
          <w:sz w:val="24"/>
          <w:highlight w:val="none"/>
          <w14:textFill>
            <w14:solidFill>
              <w14:schemeClr w14:val="tx1"/>
            </w14:solidFill>
          </w14:textFill>
        </w:rPr>
        <w:t>1.9 踏勘现场</w:t>
      </w:r>
      <w:bookmarkEnd w:id="50"/>
      <w:bookmarkEnd w:id="51"/>
      <w:bookmarkEnd w:id="52"/>
      <w:bookmarkEnd w:id="53"/>
    </w:p>
    <w:p w14:paraId="2A447659">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1.9.1  由于项目特殊性，本次招标需供应商自行勘查。 </w:t>
      </w:r>
    </w:p>
    <w:p w14:paraId="6847212F">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54" w:name="_Toc274249584"/>
      <w:bookmarkStart w:id="55" w:name="_Toc426369489"/>
      <w:bookmarkStart w:id="56" w:name="_Toc279599780"/>
      <w:bookmarkStart w:id="57" w:name="_Toc403122501"/>
      <w:r>
        <w:rPr>
          <w:rFonts w:hint="eastAsia" w:ascii="宋体" w:hAnsi="宋体" w:eastAsia="宋体" w:cs="宋体"/>
          <w:b/>
          <w:bCs/>
          <w:color w:val="000000" w:themeColor="text1"/>
          <w:sz w:val="24"/>
          <w:highlight w:val="none"/>
          <w14:textFill>
            <w14:solidFill>
              <w14:schemeClr w14:val="tx1"/>
            </w14:solidFill>
          </w14:textFill>
        </w:rPr>
        <w:t>1.10 投标预备会</w:t>
      </w:r>
      <w:bookmarkEnd w:id="54"/>
      <w:bookmarkEnd w:id="55"/>
      <w:bookmarkEnd w:id="56"/>
      <w:bookmarkEnd w:id="57"/>
    </w:p>
    <w:p w14:paraId="0366E711">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1.10.1 本次招标不召开投标预备会。 </w:t>
      </w:r>
    </w:p>
    <w:p w14:paraId="79A19BDD">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1.10.2 供应商应在供应商须知前附表规定的时间前，以书面形式将提出的问题送达招标代理人。 </w:t>
      </w:r>
    </w:p>
    <w:p w14:paraId="1825E917">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1.10.3 采购人在供应商须知前附表规定的时间内，将对供应商所提问题的澄清，以书面方式通知所有已领取招标文件的供应商。该澄清内容为招标文件的组成部分。 </w:t>
      </w:r>
    </w:p>
    <w:p w14:paraId="0FF811B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58" w:name="_Toc279599781"/>
      <w:bookmarkStart w:id="59" w:name="_Toc274249585"/>
      <w:bookmarkStart w:id="60" w:name="_Toc426369490"/>
      <w:bookmarkStart w:id="61" w:name="_Toc403122502"/>
      <w:r>
        <w:rPr>
          <w:rFonts w:hint="eastAsia" w:ascii="宋体" w:hAnsi="宋体" w:eastAsia="宋体" w:cs="宋体"/>
          <w:b/>
          <w:bCs/>
          <w:color w:val="000000" w:themeColor="text1"/>
          <w:sz w:val="24"/>
          <w:highlight w:val="none"/>
          <w14:textFill>
            <w14:solidFill>
              <w14:schemeClr w14:val="tx1"/>
            </w14:solidFill>
          </w14:textFill>
        </w:rPr>
        <w:t>1.11 分包</w:t>
      </w:r>
      <w:bookmarkEnd w:id="58"/>
      <w:bookmarkEnd w:id="59"/>
      <w:bookmarkEnd w:id="60"/>
      <w:bookmarkEnd w:id="61"/>
    </w:p>
    <w:p w14:paraId="0E358057">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本次招标项目不允许分包。 </w:t>
      </w:r>
    </w:p>
    <w:p w14:paraId="49E52214">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62" w:name="_Toc28663"/>
      <w:bookmarkStart w:id="63" w:name="_Toc9121"/>
      <w:r>
        <w:rPr>
          <w:rFonts w:hint="eastAsia" w:ascii="宋体" w:hAnsi="宋体" w:eastAsia="宋体" w:cs="宋体"/>
          <w:color w:val="000000" w:themeColor="text1"/>
          <w:sz w:val="24"/>
          <w:szCs w:val="24"/>
          <w:highlight w:val="none"/>
          <w14:textFill>
            <w14:solidFill>
              <w14:schemeClr w14:val="tx1"/>
            </w14:solidFill>
          </w14:textFill>
        </w:rPr>
        <w:t>2. 招标文件</w:t>
      </w:r>
      <w:bookmarkEnd w:id="19"/>
      <w:bookmarkEnd w:id="20"/>
      <w:bookmarkEnd w:id="21"/>
      <w:bookmarkEnd w:id="62"/>
      <w:bookmarkEnd w:id="63"/>
    </w:p>
    <w:p w14:paraId="3E562668">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64" w:name="_Toc426369492"/>
      <w:bookmarkStart w:id="65" w:name="_Toc274249587"/>
      <w:bookmarkStart w:id="66" w:name="_Toc279599783"/>
      <w:bookmarkStart w:id="67" w:name="_Toc403122504"/>
      <w:r>
        <w:rPr>
          <w:rFonts w:hint="eastAsia" w:ascii="宋体" w:hAnsi="宋体" w:eastAsia="宋体" w:cs="宋体"/>
          <w:b/>
          <w:bCs/>
          <w:color w:val="000000" w:themeColor="text1"/>
          <w:sz w:val="24"/>
          <w:highlight w:val="none"/>
          <w14:textFill>
            <w14:solidFill>
              <w14:schemeClr w14:val="tx1"/>
            </w14:solidFill>
          </w14:textFill>
        </w:rPr>
        <w:t>2.1 招标文件的组成</w:t>
      </w:r>
      <w:bookmarkEnd w:id="64"/>
      <w:bookmarkEnd w:id="65"/>
      <w:bookmarkEnd w:id="66"/>
      <w:bookmarkEnd w:id="67"/>
    </w:p>
    <w:p w14:paraId="00AC546A">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本招标文件包括： </w:t>
      </w:r>
    </w:p>
    <w:p w14:paraId="56ADAB38">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招标公告；</w:t>
      </w:r>
    </w:p>
    <w:p w14:paraId="6C162323">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供应商须知； </w:t>
      </w:r>
    </w:p>
    <w:p w14:paraId="0E304E90">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评标办法（综合评分法）； </w:t>
      </w:r>
    </w:p>
    <w:p w14:paraId="7B614E1B">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合同条款及格式； </w:t>
      </w:r>
    </w:p>
    <w:p w14:paraId="57782917">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采购内容及技术要求；</w:t>
      </w:r>
    </w:p>
    <w:p w14:paraId="0457EBE6">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质疑与投诉</w:t>
      </w:r>
      <w:r>
        <w:rPr>
          <w:rFonts w:hint="eastAsia"/>
          <w:color w:val="000000" w:themeColor="text1"/>
          <w:szCs w:val="32"/>
          <w:highlight w:val="none"/>
          <w:lang w:eastAsia="zh-CN"/>
          <w14:textFill>
            <w14:solidFill>
              <w14:schemeClr w14:val="tx1"/>
            </w14:solidFill>
          </w14:textFill>
        </w:rPr>
        <w:t>；</w:t>
      </w:r>
    </w:p>
    <w:p w14:paraId="18E0E835">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bCs/>
          <w:color w:val="000000" w:themeColor="text1"/>
          <w:szCs w:val="32"/>
          <w:highlight w:val="none"/>
          <w14:textFill>
            <w14:solidFill>
              <w14:schemeClr w14:val="tx1"/>
            </w14:solidFill>
          </w14:textFill>
        </w:rPr>
        <w:t>履约验收</w:t>
      </w:r>
      <w:r>
        <w:rPr>
          <w:rFonts w:hint="eastAsia" w:ascii="宋体" w:hAnsi="宋体" w:cs="宋体"/>
          <w:bCs/>
          <w:color w:val="000000" w:themeColor="text1"/>
          <w:szCs w:val="32"/>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132BC3CA">
      <w:pPr>
        <w:numPr>
          <w:ilvl w:val="0"/>
          <w:numId w:val="4"/>
        </w:numPr>
        <w:tabs>
          <w:tab w:val="left" w:pos="525"/>
          <w:tab w:val="left" w:pos="630"/>
        </w:tabs>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投标文件格式</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 xml:space="preserve"> </w:t>
      </w:r>
    </w:p>
    <w:p w14:paraId="279D1841">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根据本章第 1.10 款、第 2.2 款和第2.3款对招标文件所作的澄清、修改，构成招标文件的组成部分。 </w:t>
      </w:r>
    </w:p>
    <w:p w14:paraId="5B063A35">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68" w:name="_Toc274249588"/>
      <w:bookmarkStart w:id="69" w:name="_Toc279599784"/>
      <w:bookmarkStart w:id="70" w:name="_Toc403122505"/>
      <w:bookmarkStart w:id="71" w:name="_Toc426369493"/>
      <w:r>
        <w:rPr>
          <w:rFonts w:hint="eastAsia" w:ascii="宋体" w:hAnsi="宋体" w:eastAsia="宋体" w:cs="宋体"/>
          <w:b/>
          <w:bCs/>
          <w:color w:val="000000" w:themeColor="text1"/>
          <w:sz w:val="24"/>
          <w:highlight w:val="none"/>
          <w14:textFill>
            <w14:solidFill>
              <w14:schemeClr w14:val="tx1"/>
            </w14:solidFill>
          </w14:textFill>
        </w:rPr>
        <w:t>2.2 招标文件的澄清</w:t>
      </w:r>
      <w:bookmarkEnd w:id="68"/>
      <w:bookmarkEnd w:id="69"/>
      <w:bookmarkEnd w:id="70"/>
      <w:bookmarkEnd w:id="71"/>
    </w:p>
    <w:p w14:paraId="1BD1AD88">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2.2.1 供应商应仔细阅读和检查招标文件的全部内容。如发现缺页或附件不全，应及时向采购人提出，以便补齐。如有疑问，应在供应商须知前附表规定的时间前以书面形式，要求采购人对招标文件予以澄清。 </w:t>
      </w:r>
    </w:p>
    <w:p w14:paraId="58257BA5">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2.2.2 招标文件的澄清将在供应商须知前附表规定的投标截止时间15天前以书面形式发给所有购买招标文件的供应商，但不指明澄清问题的来源。如果澄清发出的时间距投标截止时间不足 15 天，相应延长投标截止时间。 </w:t>
      </w:r>
    </w:p>
    <w:p w14:paraId="4409A52B">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2.2.3 供应商在收到澄清后，应在供应商须知前附表规定的时间内以书面形式通知采购人，确认已收到该澄清。 </w:t>
      </w:r>
    </w:p>
    <w:p w14:paraId="6F70CDF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72" w:name="_Toc274249589"/>
      <w:bookmarkStart w:id="73" w:name="_Toc279599785"/>
      <w:bookmarkStart w:id="74" w:name="_Toc403122506"/>
      <w:bookmarkStart w:id="75" w:name="_Toc426369494"/>
      <w:r>
        <w:rPr>
          <w:rFonts w:hint="eastAsia" w:ascii="宋体" w:hAnsi="宋体" w:eastAsia="宋体" w:cs="宋体"/>
          <w:b/>
          <w:bCs/>
          <w:color w:val="000000" w:themeColor="text1"/>
          <w:sz w:val="24"/>
          <w:highlight w:val="none"/>
          <w14:textFill>
            <w14:solidFill>
              <w14:schemeClr w14:val="tx1"/>
            </w14:solidFill>
          </w14:textFill>
        </w:rPr>
        <w:t>2.3 招标文件的修改</w:t>
      </w:r>
      <w:bookmarkEnd w:id="72"/>
      <w:bookmarkEnd w:id="73"/>
      <w:bookmarkEnd w:id="74"/>
      <w:bookmarkEnd w:id="75"/>
    </w:p>
    <w:p w14:paraId="59212163">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2.3.1  在投标截止时间 15天前，采购人可以书面形式修改招标文件，并通知所有已购买招标文件的供应商。如果修改招标文件的时间距投标截止时间不足 15 天，相应延长投标截止时间。  </w:t>
      </w:r>
    </w:p>
    <w:p w14:paraId="41FE1CF4">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2.3.2  供应商收到修改内容后，应在供应商须知前附表规定的时间内以书面形式通知采购人，确认已收到该修改。 </w:t>
      </w:r>
      <w:bookmarkStart w:id="76" w:name="_Toc403122507"/>
      <w:bookmarkStart w:id="77" w:name="_Toc23265"/>
      <w:bookmarkStart w:id="78" w:name="_Toc426369495"/>
    </w:p>
    <w:p w14:paraId="30776606">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79" w:name="_Toc22914"/>
      <w:bookmarkStart w:id="80" w:name="_Toc13865"/>
      <w:r>
        <w:rPr>
          <w:rFonts w:hint="eastAsia" w:ascii="宋体" w:hAnsi="宋体" w:eastAsia="宋体" w:cs="宋体"/>
          <w:color w:val="000000" w:themeColor="text1"/>
          <w:sz w:val="24"/>
          <w:szCs w:val="24"/>
          <w:highlight w:val="none"/>
          <w14:textFill>
            <w14:solidFill>
              <w14:schemeClr w14:val="tx1"/>
            </w14:solidFill>
          </w14:textFill>
        </w:rPr>
        <w:t>3. 投标文件</w:t>
      </w:r>
      <w:bookmarkEnd w:id="76"/>
      <w:bookmarkEnd w:id="77"/>
      <w:bookmarkEnd w:id="78"/>
      <w:bookmarkEnd w:id="79"/>
      <w:bookmarkEnd w:id="80"/>
    </w:p>
    <w:p w14:paraId="09190750">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81" w:name="_Toc403122508"/>
      <w:bookmarkStart w:id="82" w:name="_Toc426369496"/>
      <w:bookmarkStart w:id="83" w:name="_Toc274249591"/>
      <w:bookmarkStart w:id="84" w:name="_Toc279599787"/>
      <w:r>
        <w:rPr>
          <w:rFonts w:hint="eastAsia" w:ascii="宋体" w:hAnsi="宋体" w:eastAsia="宋体" w:cs="宋体"/>
          <w:b/>
          <w:bCs/>
          <w:color w:val="000000" w:themeColor="text1"/>
          <w:sz w:val="24"/>
          <w:highlight w:val="none"/>
          <w14:textFill>
            <w14:solidFill>
              <w14:schemeClr w14:val="tx1"/>
            </w14:solidFill>
          </w14:textFill>
        </w:rPr>
        <w:t>3.1 投标文件的组成</w:t>
      </w:r>
      <w:bookmarkEnd w:id="81"/>
      <w:bookmarkEnd w:id="82"/>
      <w:bookmarkEnd w:id="83"/>
      <w:bookmarkEnd w:id="84"/>
    </w:p>
    <w:p w14:paraId="4B4E7A11">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3.1.1 投标文件应包括下列内容： </w:t>
      </w:r>
    </w:p>
    <w:p w14:paraId="1255CDAB">
      <w:pPr>
        <w:spacing w:line="440" w:lineRule="exact"/>
        <w:ind w:firstLine="420" w:firstLineChars="200"/>
        <w:rPr>
          <w:rFonts w:ascii="宋体" w:hAnsi="宋体" w:cs="宋体"/>
          <w:color w:val="000000" w:themeColor="text1"/>
          <w:szCs w:val="21"/>
          <w:highlight w:val="none"/>
          <w14:textFill>
            <w14:solidFill>
              <w14:schemeClr w14:val="tx1"/>
            </w14:solidFill>
          </w14:textFill>
        </w:rPr>
      </w:pPr>
      <w:bookmarkStart w:id="85" w:name="_Toc426369497"/>
      <w:bookmarkStart w:id="86" w:name="_Toc403122509"/>
      <w:bookmarkStart w:id="87" w:name="_Toc274249592"/>
      <w:bookmarkStart w:id="88" w:name="_Toc279599788"/>
      <w:r>
        <w:rPr>
          <w:rFonts w:hint="eastAsia" w:ascii="宋体" w:hAnsi="宋体" w:cs="宋体"/>
          <w:color w:val="000000" w:themeColor="text1"/>
          <w:szCs w:val="21"/>
          <w:highlight w:val="none"/>
          <w14:textFill>
            <w14:solidFill>
              <w14:schemeClr w14:val="tx1"/>
            </w14:solidFill>
          </w14:textFill>
        </w:rPr>
        <w:t>一、投标函及开标一览表</w:t>
      </w:r>
    </w:p>
    <w:p w14:paraId="6F68A61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（一）投标函</w:t>
      </w:r>
    </w:p>
    <w:p w14:paraId="7E0BCAEE">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（二）开标一览表</w:t>
      </w:r>
    </w:p>
    <w:p w14:paraId="25E04CF8">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二、法定代表人身份证明书</w:t>
      </w:r>
    </w:p>
    <w:p w14:paraId="34BC876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三、授权委托书</w:t>
      </w:r>
    </w:p>
    <w:p w14:paraId="1E12A299">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四、技术标部分</w:t>
      </w:r>
    </w:p>
    <w:p w14:paraId="1D08ED76">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五、政府采购供应商的资格证明承诺函；</w:t>
      </w:r>
    </w:p>
    <w:p w14:paraId="09D6C8F7">
      <w:pPr>
        <w:pStyle w:val="19"/>
        <w:spacing w:line="440" w:lineRule="exact"/>
        <w:ind w:firstLineChars="200"/>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综合标部分</w:t>
      </w:r>
    </w:p>
    <w:p w14:paraId="2C3E7A70">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、中小企业声明函（如有）；</w:t>
      </w:r>
    </w:p>
    <w:p w14:paraId="0C05F08C">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八</w:t>
      </w:r>
      <w:r>
        <w:rPr>
          <w:rFonts w:hint="eastAsia" w:ascii="宋体" w:hAnsi="宋体" w:cs="宋体"/>
          <w:color w:val="000000" w:themeColor="text1"/>
          <w:szCs w:val="21"/>
          <w:highlight w:val="none"/>
          <w14:textFill>
            <w14:solidFill>
              <w14:schemeClr w14:val="tx1"/>
            </w14:solidFill>
          </w14:textFill>
        </w:rPr>
        <w:t>、残疾人福利性单位声明函（如有）；</w:t>
      </w:r>
    </w:p>
    <w:p w14:paraId="4F7E62F6">
      <w:pPr>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九</w:t>
      </w:r>
      <w:r>
        <w:rPr>
          <w:rFonts w:hint="eastAsia" w:ascii="宋体" w:hAnsi="宋体" w:cs="宋体"/>
          <w:color w:val="000000" w:themeColor="text1"/>
          <w:szCs w:val="21"/>
          <w:highlight w:val="none"/>
          <w14:textFill>
            <w14:solidFill>
              <w14:schemeClr w14:val="tx1"/>
            </w14:solidFill>
          </w14:textFill>
        </w:rPr>
        <w:t>、招标文件要求的或供应商认为需要加以说明的其他内容。</w:t>
      </w:r>
    </w:p>
    <w:p w14:paraId="1AE43237">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注：1、符合《政府采购法》第二十二条规定的资格条件，按照采购文件约定提供资格承诺，不再提供资质资料，主要包括供应商在投标文件中无需再提供营业执照</w:t>
      </w:r>
      <w:r>
        <w:rPr>
          <w:rFonts w:hint="eastAsia" w:ascii="宋体" w:hAnsi="宋体" w:cs="宋体"/>
          <w:b/>
          <w:bCs/>
          <w:color w:val="000000" w:themeColor="text1"/>
          <w:sz w:val="24"/>
          <w:highlight w:val="none"/>
          <w:lang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资格证明、财务状况报告、依法缴纳税收和社会保障资金、具有履行合同所必须的设备和专业技术能力、参加政府采购活动前三年内在经营活动中没有重大违法记录相关证明材料。</w:t>
      </w:r>
    </w:p>
    <w:p w14:paraId="39CF0B38">
      <w:pPr>
        <w:widowControl/>
        <w:spacing w:line="360" w:lineRule="auto"/>
        <w:ind w:firstLine="482" w:firstLineChars="200"/>
        <w:jc w:val="left"/>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2、供应商应当遵循诚实信用原则，不得作虚假承诺。供应商承诺不实的， 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56BC256C">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3.2 投标报价</w:t>
      </w:r>
      <w:bookmarkEnd w:id="85"/>
      <w:bookmarkEnd w:id="86"/>
      <w:bookmarkEnd w:id="87"/>
      <w:bookmarkEnd w:id="88"/>
    </w:p>
    <w:p w14:paraId="2317868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bookmarkStart w:id="89" w:name="_Toc274249593"/>
      <w:bookmarkStart w:id="90" w:name="_Toc279599789"/>
      <w:bookmarkStart w:id="91" w:name="_Toc426369498"/>
      <w:bookmarkStart w:id="92" w:name="_Toc403122510"/>
      <w:r>
        <w:rPr>
          <w:rFonts w:hint="eastAsia" w:ascii="宋体" w:hAnsi="宋体" w:cs="宋体"/>
          <w:color w:val="000000" w:themeColor="text1"/>
          <w:szCs w:val="21"/>
          <w:highlight w:val="none"/>
          <w14:textFill>
            <w14:solidFill>
              <w14:schemeClr w14:val="tx1"/>
            </w14:solidFill>
          </w14:textFill>
        </w:rPr>
        <w:t>3.2.1投标报价包括：投标人的投标报价应包括服务、设备、材料、管理、利润、税金、政策性规费等应由承包人承担的义务、责任和风险等全部费用。投标人所报的投标价在投标有效期内是固定不变的，投标人不得以任何理由予以变更。</w:t>
      </w:r>
    </w:p>
    <w:p w14:paraId="5057180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3.2.2投标报价在中标后不得修改。</w:t>
      </w:r>
    </w:p>
    <w:p w14:paraId="61C84C4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3.2.3投标人只能提出一个不变价格，采购人不接受任何选择价。</w:t>
      </w:r>
    </w:p>
    <w:p w14:paraId="11809AB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3.2.4投标人必须对招标范围内的所有服务投标。</w:t>
      </w:r>
    </w:p>
    <w:p w14:paraId="76234E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3.2.5全部报价均应以人民币为计量币种，并以人民币进行结算。</w:t>
      </w:r>
    </w:p>
    <w:p w14:paraId="6613175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3.2.6投标报价原则是各投标人依据自身实力、管理水平，结合企业所在地区的人工工资标准，在确保项目质量，确保项目成本的基础上，自主报价、自负盈亏。</w:t>
      </w:r>
    </w:p>
    <w:p w14:paraId="22ADB8D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3.2.7若投标函中的内容与投标一览表内容不一致时，以投标一览表内容为准。若投标一览表中的大写金额和小写金额不一致的，以大写金额为准；总价金额与单价金额不一致的，以单价金额为准，但单价金额小数点有明显错误的除外；对不同文字文本投标文件的解释发生异议的，以中文文本为准。</w:t>
      </w:r>
    </w:p>
    <w:p w14:paraId="61B6256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3.3 投标有效期</w:t>
      </w:r>
      <w:bookmarkEnd w:id="89"/>
      <w:bookmarkEnd w:id="90"/>
      <w:bookmarkEnd w:id="91"/>
      <w:bookmarkEnd w:id="92"/>
    </w:p>
    <w:p w14:paraId="0DBE57D3">
      <w:pPr>
        <w:spacing w:line="42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3.3.1在供应商须知前附表规定的投标有效期内，供应商不得要求撤销或修改其投标文件。 </w:t>
      </w:r>
    </w:p>
    <w:p w14:paraId="0DFA2521">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93" w:name="_Toc403122512"/>
      <w:bookmarkStart w:id="94" w:name="_Toc279599791"/>
      <w:bookmarkStart w:id="95" w:name="_Toc426369501"/>
      <w:bookmarkStart w:id="96" w:name="_Toc274249595"/>
      <w:r>
        <w:rPr>
          <w:rFonts w:hint="eastAsia" w:ascii="宋体" w:hAnsi="宋体" w:eastAsia="宋体" w:cs="宋体"/>
          <w:b/>
          <w:bCs/>
          <w:color w:val="000000" w:themeColor="text1"/>
          <w:sz w:val="24"/>
          <w:highlight w:val="none"/>
          <w14:textFill>
            <w14:solidFill>
              <w14:schemeClr w14:val="tx1"/>
            </w14:solidFill>
          </w14:textFill>
        </w:rPr>
        <w:t>3.5 资格审查资料</w:t>
      </w:r>
      <w:bookmarkEnd w:id="93"/>
      <w:bookmarkEnd w:id="94"/>
      <w:bookmarkEnd w:id="95"/>
      <w:bookmarkEnd w:id="96"/>
    </w:p>
    <w:p w14:paraId="0D9BFEC5">
      <w:pPr>
        <w:spacing w:line="42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3.5.1</w:t>
      </w:r>
      <w:r>
        <w:rPr>
          <w:rFonts w:hint="eastAsia" w:ascii="宋体" w:hAnsi="宋体" w:cs="宋体"/>
          <w:color w:val="000000" w:themeColor="text1"/>
          <w:kern w:val="0"/>
          <w:szCs w:val="21"/>
          <w:highlight w:val="none"/>
          <w14:textFill>
            <w14:solidFill>
              <w14:schemeClr w14:val="tx1"/>
            </w14:solidFill>
          </w14:textFill>
        </w:rPr>
        <w:t>依据“供应商须知前附表”中的要求提交相应的资格证明文件，作为投标文件的一部分，以证明其有资格进行投标和有能力履行合同</w:t>
      </w:r>
      <w:r>
        <w:rPr>
          <w:rFonts w:hint="eastAsia" w:ascii="宋体" w:hAnsi="宋体" w:eastAsia="宋体" w:cs="宋体"/>
          <w:color w:val="000000" w:themeColor="text1"/>
          <w:szCs w:val="21"/>
          <w:highlight w:val="none"/>
          <w14:textFill>
            <w14:solidFill>
              <w14:schemeClr w14:val="tx1"/>
            </w14:solidFill>
          </w14:textFill>
        </w:rPr>
        <w:t xml:space="preserve">。 </w:t>
      </w:r>
    </w:p>
    <w:p w14:paraId="490F09D4">
      <w:pPr>
        <w:spacing w:line="42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3.5.2招标文件规定的供应商资格条件。</w:t>
      </w:r>
    </w:p>
    <w:p w14:paraId="5F5863BF">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97" w:name="_Toc274249596"/>
      <w:bookmarkStart w:id="98" w:name="_Toc279599792"/>
      <w:bookmarkStart w:id="99" w:name="_Toc403122513"/>
      <w:bookmarkStart w:id="100" w:name="_Toc426369502"/>
      <w:r>
        <w:rPr>
          <w:rFonts w:hint="eastAsia" w:ascii="宋体" w:hAnsi="宋体" w:eastAsia="宋体" w:cs="宋体"/>
          <w:b/>
          <w:bCs/>
          <w:color w:val="000000" w:themeColor="text1"/>
          <w:sz w:val="24"/>
          <w:highlight w:val="none"/>
          <w14:textFill>
            <w14:solidFill>
              <w14:schemeClr w14:val="tx1"/>
            </w14:solidFill>
          </w14:textFill>
        </w:rPr>
        <w:t>3.6 备选投标方案</w:t>
      </w:r>
      <w:bookmarkEnd w:id="97"/>
      <w:bookmarkEnd w:id="98"/>
      <w:bookmarkEnd w:id="99"/>
      <w:bookmarkEnd w:id="100"/>
    </w:p>
    <w:p w14:paraId="448683A6">
      <w:pPr>
        <w:tabs>
          <w:tab w:val="left" w:pos="3570"/>
        </w:tabs>
        <w:spacing w:line="42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供应商不得递交备选投标方案。 </w:t>
      </w:r>
    </w:p>
    <w:p w14:paraId="434226AF">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01" w:name="_Toc403122514"/>
      <w:bookmarkStart w:id="102" w:name="_Toc274249597"/>
      <w:bookmarkStart w:id="103" w:name="_Toc279599793"/>
      <w:bookmarkStart w:id="104" w:name="_Toc426369503"/>
      <w:r>
        <w:rPr>
          <w:rFonts w:hint="eastAsia" w:ascii="宋体" w:hAnsi="宋体" w:eastAsia="宋体" w:cs="宋体"/>
          <w:b/>
          <w:bCs/>
          <w:color w:val="000000" w:themeColor="text1"/>
          <w:sz w:val="24"/>
          <w:highlight w:val="none"/>
          <w14:textFill>
            <w14:solidFill>
              <w14:schemeClr w14:val="tx1"/>
            </w14:solidFill>
          </w14:textFill>
        </w:rPr>
        <w:t>3.7 投标文件的编制</w:t>
      </w:r>
      <w:bookmarkEnd w:id="101"/>
      <w:bookmarkEnd w:id="102"/>
      <w:bookmarkEnd w:id="103"/>
      <w:bookmarkEnd w:id="104"/>
    </w:p>
    <w:p w14:paraId="580701CA">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3.7.1 投标文件应按招标文件中要求</w:t>
      </w:r>
      <w:r>
        <w:rPr>
          <w:rFonts w:hint="eastAsia" w:ascii="宋体" w:hAnsi="宋体" w:cs="宋体"/>
          <w:color w:val="000000" w:themeColor="text1"/>
          <w:kern w:val="0"/>
          <w:szCs w:val="21"/>
          <w:highlight w:val="none"/>
          <w14:textFill>
            <w14:solidFill>
              <w14:schemeClr w14:val="tx1"/>
            </w14:solidFill>
          </w14:textFill>
        </w:rPr>
        <w:t>使用焦作市公共资源交易系统投标文件制作专用工具软件编制</w:t>
      </w:r>
      <w:r>
        <w:rPr>
          <w:rFonts w:hint="eastAsia" w:ascii="宋体" w:hAnsi="宋体" w:eastAsia="宋体" w:cs="宋体"/>
          <w:color w:val="000000" w:themeColor="text1"/>
          <w:szCs w:val="21"/>
          <w:highlight w:val="none"/>
          <w14:textFill>
            <w14:solidFill>
              <w14:schemeClr w14:val="tx1"/>
            </w14:solidFill>
          </w14:textFill>
        </w:rPr>
        <w:t xml:space="preserve">。 </w:t>
      </w:r>
    </w:p>
    <w:p w14:paraId="7E9BA75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3.7.2  投标文件应当对招标文件有关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期、投标有效期、</w:t>
      </w:r>
      <w:r>
        <w:rPr>
          <w:rFonts w:hint="eastAsia" w:ascii="宋体" w:hAnsi="宋体" w:cs="宋体"/>
          <w:color w:val="auto"/>
          <w:szCs w:val="21"/>
          <w:highlight w:val="none"/>
          <w:lang w:eastAsia="zh-CN"/>
        </w:rPr>
        <w:t>质量要求</w:t>
      </w:r>
      <w:r>
        <w:rPr>
          <w:rFonts w:hint="eastAsia" w:ascii="宋体" w:hAnsi="宋体" w:eastAsia="宋体" w:cs="宋体"/>
          <w:color w:val="auto"/>
          <w:szCs w:val="21"/>
          <w:highlight w:val="none"/>
        </w:rPr>
        <w:t>、采购要求及服务内容、等实质性内容作出响应。</w:t>
      </w:r>
    </w:p>
    <w:p w14:paraId="0918E95F">
      <w:pPr>
        <w:autoSpaceDE w:val="0"/>
        <w:autoSpaceDN w:val="0"/>
        <w:adjustRightInd w:val="0"/>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3.7.3 </w:t>
      </w:r>
      <w:r>
        <w:rPr>
          <w:rFonts w:hint="eastAsia" w:ascii="宋体" w:hAnsi="宋体" w:eastAsia="宋体" w:cs="宋体"/>
          <w:color w:val="000000" w:themeColor="text1"/>
          <w:szCs w:val="21"/>
          <w:highlight w:val="none"/>
          <w14:textFill>
            <w14:solidFill>
              <w14:schemeClr w14:val="tx1"/>
            </w14:solidFill>
          </w14:textFill>
        </w:rPr>
        <w:t>签字盖章要求</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详见供应商须知前附表</w:t>
      </w:r>
    </w:p>
    <w:p w14:paraId="11172407">
      <w:pPr>
        <w:autoSpaceDE w:val="0"/>
        <w:autoSpaceDN w:val="0"/>
        <w:adjustRightInd w:val="0"/>
        <w:spacing w:line="44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3.7.4</w:t>
      </w:r>
      <w:r>
        <w:rPr>
          <w:rFonts w:ascii="宋体" w:hAnsi="宋体" w:eastAsia="宋体" w:cs="宋体"/>
          <w:color w:val="000000" w:themeColor="text1"/>
          <w:highlight w:val="none"/>
          <w14:textFill>
            <w14:solidFill>
              <w14:schemeClr w14:val="tx1"/>
            </w14:solidFill>
          </w14:textFill>
        </w:rPr>
        <w:t>投标文件份数</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详见供应商须知前附表</w:t>
      </w:r>
    </w:p>
    <w:p w14:paraId="03C2D198">
      <w:pPr>
        <w:autoSpaceDE w:val="0"/>
        <w:autoSpaceDN w:val="0"/>
        <w:adjustRightInd w:val="0"/>
        <w:spacing w:line="44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rPr>
        <w:t>本项目采用电子开评标方式，潜在供应商可提前在焦作市交易中心官网首页</w:t>
      </w:r>
      <w:r>
        <w:rPr>
          <w:rFonts w:hint="eastAsia" w:ascii="宋体" w:hAnsi="宋体" w:cs="宋体"/>
          <w:color w:val="000000" w:themeColor="text1"/>
          <w:kern w:val="0"/>
          <w:szCs w:val="21"/>
          <w:highlight w:val="none"/>
          <w14:textFill>
            <w14:solidFill>
              <w14:schemeClr w14:val="tx1"/>
            </w14:solidFill>
          </w14:textFill>
        </w:rPr>
        <w:t>---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按要求解密投标文件。因文件未及时上传导致投标失败的责任由供应商自行承担。</w:t>
      </w:r>
    </w:p>
    <w:p w14:paraId="759D4A85">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105" w:name="_Toc31809"/>
      <w:bookmarkStart w:id="106" w:name="_Toc403122515"/>
      <w:bookmarkStart w:id="107" w:name="_Toc26998"/>
      <w:bookmarkStart w:id="108" w:name="_Toc426369504"/>
      <w:bookmarkStart w:id="109" w:name="_Toc30100"/>
      <w:r>
        <w:rPr>
          <w:rFonts w:hint="eastAsia" w:ascii="宋体" w:hAnsi="宋体" w:eastAsia="宋体" w:cs="宋体"/>
          <w:color w:val="000000" w:themeColor="text1"/>
          <w:sz w:val="24"/>
          <w:szCs w:val="24"/>
          <w:highlight w:val="none"/>
          <w14:textFill>
            <w14:solidFill>
              <w14:schemeClr w14:val="tx1"/>
            </w14:solidFill>
          </w14:textFill>
        </w:rPr>
        <w:t>4. 投标</w:t>
      </w:r>
      <w:bookmarkEnd w:id="105"/>
      <w:bookmarkEnd w:id="106"/>
      <w:bookmarkEnd w:id="107"/>
      <w:bookmarkEnd w:id="108"/>
      <w:bookmarkEnd w:id="109"/>
    </w:p>
    <w:p w14:paraId="3D176783">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10" w:name="_Toc403122516"/>
      <w:bookmarkStart w:id="111" w:name="_Toc274249599"/>
      <w:bookmarkStart w:id="112" w:name="_Toc279599795"/>
      <w:bookmarkStart w:id="113" w:name="_Toc426369505"/>
      <w:r>
        <w:rPr>
          <w:rFonts w:hint="eastAsia" w:ascii="宋体" w:hAnsi="宋体" w:eastAsia="宋体" w:cs="宋体"/>
          <w:b/>
          <w:bCs/>
          <w:color w:val="000000" w:themeColor="text1"/>
          <w:sz w:val="24"/>
          <w:highlight w:val="none"/>
          <w14:textFill>
            <w14:solidFill>
              <w14:schemeClr w14:val="tx1"/>
            </w14:solidFill>
          </w14:textFill>
        </w:rPr>
        <w:t>4.1 投标文件的密封和标记</w:t>
      </w:r>
      <w:bookmarkEnd w:id="110"/>
      <w:bookmarkEnd w:id="111"/>
      <w:bookmarkEnd w:id="112"/>
      <w:bookmarkEnd w:id="113"/>
    </w:p>
    <w:p w14:paraId="2F1D1CF5">
      <w:pPr>
        <w:autoSpaceDE w:val="0"/>
        <w:autoSpaceDN w:val="0"/>
        <w:adjustRightInd w:val="0"/>
        <w:spacing w:line="44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4.1.1.本项目采用</w:t>
      </w:r>
      <w:r>
        <w:rPr>
          <w:rFonts w:hint="eastAsia" w:ascii="宋体" w:hAnsi="宋体" w:cs="宋体"/>
          <w:color w:val="000000" w:themeColor="text1"/>
          <w:kern w:val="0"/>
          <w:szCs w:val="21"/>
          <w:highlight w:val="none"/>
          <w:lang w:val="zh-CN"/>
          <w14:textFill>
            <w14:solidFill>
              <w14:schemeClr w14:val="tx1"/>
            </w14:solidFill>
          </w14:textFill>
        </w:rPr>
        <w:t>网上上传的电子投标文件</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val="zh-CN"/>
          <w14:textFill>
            <w14:solidFill>
              <w14:schemeClr w14:val="tx1"/>
            </w14:solidFill>
          </w14:textFill>
        </w:rPr>
        <w:t>应使用数字证书认证并加密。</w:t>
      </w:r>
    </w:p>
    <w:p w14:paraId="2DAC0784">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14" w:name="_Toc426369506"/>
      <w:bookmarkStart w:id="115" w:name="_Toc279599796"/>
      <w:bookmarkStart w:id="116" w:name="_Toc274249600"/>
      <w:bookmarkStart w:id="117" w:name="_Toc403122517"/>
      <w:r>
        <w:rPr>
          <w:rFonts w:hint="eastAsia" w:ascii="宋体" w:hAnsi="宋体" w:eastAsia="宋体" w:cs="宋体"/>
          <w:b/>
          <w:bCs/>
          <w:color w:val="000000" w:themeColor="text1"/>
          <w:sz w:val="24"/>
          <w:highlight w:val="none"/>
          <w14:textFill>
            <w14:solidFill>
              <w14:schemeClr w14:val="tx1"/>
            </w14:solidFill>
          </w14:textFill>
        </w:rPr>
        <w:t>4.2 投标文件的递交</w:t>
      </w:r>
      <w:bookmarkEnd w:id="114"/>
      <w:bookmarkEnd w:id="115"/>
      <w:bookmarkEnd w:id="116"/>
      <w:bookmarkEnd w:id="117"/>
    </w:p>
    <w:p w14:paraId="607341A4">
      <w:pPr>
        <w:autoSpaceDE w:val="0"/>
        <w:autoSpaceDN w:val="0"/>
        <w:adjustRightInd w:val="0"/>
        <w:spacing w:line="440" w:lineRule="exact"/>
        <w:ind w:firstLine="420" w:firstLineChars="200"/>
        <w:jc w:val="left"/>
        <w:rPr>
          <w:rFonts w:ascii="宋体" w:hAnsi="宋体" w:cs="宋体"/>
          <w:color w:val="000000" w:themeColor="text1"/>
          <w:kern w:val="0"/>
          <w:szCs w:val="21"/>
          <w:highlight w:val="none"/>
          <w:lang w:val="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4.2.1</w:t>
      </w:r>
      <w:r>
        <w:rPr>
          <w:rFonts w:hint="eastAsia" w:ascii="宋体" w:hAnsi="宋体" w:cs="宋体"/>
          <w:color w:val="000000" w:themeColor="text1"/>
          <w:kern w:val="0"/>
          <w:szCs w:val="21"/>
          <w:highlight w:val="none"/>
          <w:lang w:val="zh-CN"/>
          <w14:textFill>
            <w14:solidFill>
              <w14:schemeClr w14:val="tx1"/>
            </w14:solidFill>
          </w14:textFill>
        </w:rPr>
        <w:t>所有投标文件必须在本招标文件中规定的投标截止时间之前</w:t>
      </w:r>
      <w:r>
        <w:rPr>
          <w:rFonts w:hint="eastAsia" w:ascii="宋体" w:hAnsi="宋体" w:cs="宋体"/>
          <w:color w:val="000000" w:themeColor="text1"/>
          <w:kern w:val="0"/>
          <w:szCs w:val="21"/>
          <w:highlight w:val="none"/>
          <w14:textFill>
            <w14:solidFill>
              <w14:schemeClr w14:val="tx1"/>
            </w14:solidFill>
          </w14:textFill>
        </w:rPr>
        <w:t>提前上传，按要求</w:t>
      </w:r>
      <w:r>
        <w:rPr>
          <w:rFonts w:hint="eastAsia" w:ascii="宋体" w:hAnsi="宋体"/>
          <w:color w:val="000000" w:themeColor="text1"/>
          <w:szCs w:val="21"/>
          <w:highlight w:val="none"/>
          <w14:textFill>
            <w14:solidFill>
              <w14:schemeClr w14:val="tx1"/>
            </w14:solidFill>
          </w14:textFill>
        </w:rPr>
        <w:t>在线签到、解密文件等，解密时间为投标截止时后30分钟内，</w:t>
      </w:r>
      <w:r>
        <w:rPr>
          <w:rFonts w:hint="eastAsia" w:ascii="宋体" w:hAnsi="宋体" w:cs="宋体"/>
          <w:color w:val="000000" w:themeColor="text1"/>
          <w:kern w:val="0"/>
          <w:szCs w:val="21"/>
          <w:highlight w:val="none"/>
          <w14:textFill>
            <w14:solidFill>
              <w14:schemeClr w14:val="tx1"/>
            </w14:solidFill>
          </w14:textFill>
        </w:rPr>
        <w:t>不能按时上传、解密者视为自动放弃投标。</w:t>
      </w:r>
    </w:p>
    <w:p w14:paraId="02F7FD3F">
      <w:pPr>
        <w:autoSpaceDE w:val="0"/>
        <w:autoSpaceDN w:val="0"/>
        <w:adjustRightInd w:val="0"/>
        <w:spacing w:line="440" w:lineRule="exact"/>
        <w:ind w:firstLine="420"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4.2.</w:t>
      </w:r>
      <w:r>
        <w:rPr>
          <w:rFonts w:hint="eastAsia" w:ascii="宋体" w:hAnsi="宋体" w:cs="宋体"/>
          <w:color w:val="000000" w:themeColor="text1"/>
          <w:kern w:val="0"/>
          <w:szCs w:val="21"/>
          <w:highlight w:val="none"/>
          <w:lang w:val="zh-CN"/>
          <w14:textFill>
            <w14:solidFill>
              <w14:schemeClr w14:val="tx1"/>
            </w14:solidFill>
          </w14:textFill>
        </w:rPr>
        <w:t>2.采购人拒绝接收在投标文件递交截止时间后上传的投标文件。</w:t>
      </w:r>
      <w:bookmarkStart w:id="118" w:name="_Hlt26954862"/>
      <w:bookmarkEnd w:id="118"/>
      <w:bookmarkStart w:id="119" w:name="_Hlt26954754"/>
      <w:bookmarkEnd w:id="119"/>
    </w:p>
    <w:p w14:paraId="7D1F9651">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20" w:name="_Toc403122518"/>
      <w:bookmarkStart w:id="121" w:name="_Toc274249601"/>
      <w:bookmarkStart w:id="122" w:name="_Toc426369507"/>
      <w:bookmarkStart w:id="123" w:name="_Toc279599797"/>
      <w:r>
        <w:rPr>
          <w:rFonts w:hint="eastAsia" w:ascii="宋体" w:hAnsi="宋体" w:eastAsia="宋体" w:cs="宋体"/>
          <w:b/>
          <w:bCs/>
          <w:color w:val="000000" w:themeColor="text1"/>
          <w:sz w:val="24"/>
          <w:highlight w:val="none"/>
          <w14:textFill>
            <w14:solidFill>
              <w14:schemeClr w14:val="tx1"/>
            </w14:solidFill>
          </w14:textFill>
        </w:rPr>
        <w:t>4.3 投标文件的修改与撤回</w:t>
      </w:r>
      <w:bookmarkEnd w:id="120"/>
      <w:bookmarkEnd w:id="121"/>
      <w:bookmarkEnd w:id="122"/>
      <w:bookmarkEnd w:id="123"/>
    </w:p>
    <w:p w14:paraId="4FDFB347">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4.3.1  在本章第 2.2.2 项规定的投标截止时间前，供应商可以修改或撤回已递交的投标文件。 </w:t>
      </w:r>
    </w:p>
    <w:p w14:paraId="72250933">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4.3.2  供应商修改或撤回已递交投标文件的书面通知应按照本章第 3.7.3 项的要求签字盖章。 </w:t>
      </w:r>
    </w:p>
    <w:p w14:paraId="25A7C2E8">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4.3.3  修改的内容为投标文件的组成部分。修改的投标文件应按照本章第 3 条、第 4 条规定进行编制、密封、标记和递交，并标明“修改”字样。 </w:t>
      </w:r>
    </w:p>
    <w:p w14:paraId="36B99EF1">
      <w:pPr>
        <w:pStyle w:val="18"/>
        <w:spacing w:before="120" w:after="120" w:line="500" w:lineRule="exact"/>
        <w:ind w:right="-1029" w:rightChars="-490" w:firstLine="482" w:firstLineChars="200"/>
        <w:jc w:val="left"/>
        <w:outlineLvl w:val="1"/>
        <w:rPr>
          <w:rFonts w:ascii="宋体" w:hAnsi="宋体" w:eastAsia="宋体" w:cs="宋体"/>
          <w:color w:val="000000" w:themeColor="text1"/>
          <w:sz w:val="24"/>
          <w:szCs w:val="24"/>
          <w:highlight w:val="none"/>
          <w14:textFill>
            <w14:solidFill>
              <w14:schemeClr w14:val="tx1"/>
            </w14:solidFill>
          </w14:textFill>
        </w:rPr>
      </w:pPr>
      <w:bookmarkStart w:id="124" w:name="_Toc403122519"/>
      <w:bookmarkStart w:id="125" w:name="_Toc426369508"/>
      <w:bookmarkStart w:id="126" w:name="_Toc5457"/>
      <w:bookmarkStart w:id="127" w:name="_Toc18170"/>
      <w:bookmarkStart w:id="128" w:name="_Toc32449"/>
      <w:r>
        <w:rPr>
          <w:rFonts w:hint="eastAsia" w:ascii="宋体" w:hAnsi="宋体" w:eastAsia="宋体" w:cs="宋体"/>
          <w:color w:val="000000" w:themeColor="text1"/>
          <w:sz w:val="24"/>
          <w:szCs w:val="24"/>
          <w:highlight w:val="none"/>
          <w14:textFill>
            <w14:solidFill>
              <w14:schemeClr w14:val="tx1"/>
            </w14:solidFill>
          </w14:textFill>
        </w:rPr>
        <w:t>5. 开标</w:t>
      </w:r>
      <w:bookmarkEnd w:id="124"/>
      <w:bookmarkEnd w:id="125"/>
      <w:bookmarkEnd w:id="126"/>
      <w:bookmarkEnd w:id="127"/>
      <w:bookmarkEnd w:id="128"/>
    </w:p>
    <w:p w14:paraId="41C447A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 .1采购人在规定的投标截止时间（开标时间）和供应商须知前附表规定的地点公开开标。本项目采用“远程不见面”的开标方式,载明远程开标大厅网址（https://ggzy.jiaozuo.gov.cn/BidOpeningHall/bidhall/dqhnjz/login.html）。供应商无需到现场参加开标会议，无需到达现场提交原件资料。供应商应当在线准时参加开标活动并进行文件解密、答疑澄清等。在规定时间内投标文件未解密的供应商，视为放弃投标。</w:t>
      </w:r>
    </w:p>
    <w:p w14:paraId="4DE376FD">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所有投标文件必须在本招标文件中规定的投标截止时间之前提前上传投标文件，按要求解密投标文件，不能按时上传、解密者视为自动放弃投标。</w:t>
      </w:r>
    </w:p>
    <w:p w14:paraId="66AF4A73">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5.1.2供应商不足3家的，不得开标。</w:t>
      </w:r>
    </w:p>
    <w:p w14:paraId="2BAD56A4">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29" w:name="_Toc279599799"/>
      <w:bookmarkStart w:id="130" w:name="_Toc403122520"/>
      <w:bookmarkStart w:id="131" w:name="_Toc274249603"/>
      <w:bookmarkStart w:id="132" w:name="_Toc426369509"/>
      <w:r>
        <w:rPr>
          <w:rFonts w:hint="eastAsia" w:ascii="宋体" w:hAnsi="宋体" w:eastAsia="宋体" w:cs="宋体"/>
          <w:b/>
          <w:bCs/>
          <w:color w:val="000000" w:themeColor="text1"/>
          <w:sz w:val="24"/>
          <w:highlight w:val="none"/>
          <w14:textFill>
            <w14:solidFill>
              <w14:schemeClr w14:val="tx1"/>
            </w14:solidFill>
          </w14:textFill>
        </w:rPr>
        <w:t>5.2 开标时间和地点</w:t>
      </w:r>
      <w:bookmarkEnd w:id="129"/>
      <w:bookmarkEnd w:id="130"/>
      <w:bookmarkEnd w:id="131"/>
      <w:bookmarkEnd w:id="132"/>
    </w:p>
    <w:p w14:paraId="453281C4">
      <w:pPr>
        <w:spacing w:line="44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采购人在本章第 2.2.2 项规定的投标截止时间（开标时间）和供应商须知前附表规定的地点公开开标。</w:t>
      </w:r>
    </w:p>
    <w:p w14:paraId="4FCD22DA">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33" w:name="_Toc279599800"/>
      <w:bookmarkStart w:id="134" w:name="_Toc403122521"/>
      <w:bookmarkStart w:id="135" w:name="_Toc274249604"/>
      <w:bookmarkStart w:id="136" w:name="_Toc426369510"/>
      <w:r>
        <w:rPr>
          <w:rFonts w:hint="eastAsia" w:ascii="宋体" w:hAnsi="宋体" w:eastAsia="宋体" w:cs="宋体"/>
          <w:b/>
          <w:bCs/>
          <w:color w:val="000000" w:themeColor="text1"/>
          <w:sz w:val="24"/>
          <w:highlight w:val="none"/>
          <w14:textFill>
            <w14:solidFill>
              <w14:schemeClr w14:val="tx1"/>
            </w14:solidFill>
          </w14:textFill>
        </w:rPr>
        <w:t>5.3开标程序</w:t>
      </w:r>
      <w:bookmarkEnd w:id="133"/>
      <w:bookmarkEnd w:id="134"/>
      <w:bookmarkEnd w:id="135"/>
      <w:bookmarkEnd w:id="136"/>
    </w:p>
    <w:p w14:paraId="06B6D65F">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137" w:name="_Toc426369511"/>
      <w:r>
        <w:rPr>
          <w:rFonts w:hint="eastAsia" w:ascii="宋体" w:hAnsi="宋体" w:eastAsia="宋体" w:cs="宋体"/>
          <w:color w:val="000000" w:themeColor="text1"/>
          <w:szCs w:val="21"/>
          <w:highlight w:val="none"/>
          <w14:textFill>
            <w14:solidFill>
              <w14:schemeClr w14:val="tx1"/>
            </w14:solidFill>
          </w14:textFill>
        </w:rPr>
        <w:t>5.3</w:t>
      </w:r>
      <w:r>
        <w:rPr>
          <w:rFonts w:hint="eastAsia" w:ascii="宋体" w:hAnsi="宋体" w:eastAsia="宋体" w:cs="宋体"/>
          <w:color w:val="000000" w:themeColor="text1"/>
          <w:szCs w:val="21"/>
          <w:highlight w:val="none"/>
          <w:lang w:val="zh-CN"/>
          <w14:textFill>
            <w14:solidFill>
              <w14:schemeClr w14:val="tx1"/>
            </w14:solidFill>
          </w14:textFill>
        </w:rPr>
        <w:t>.1本</w:t>
      </w:r>
      <w:r>
        <w:rPr>
          <w:rFonts w:hint="eastAsia" w:ascii="宋体" w:hAnsi="宋体" w:eastAsia="宋体" w:cs="宋体"/>
          <w:color w:val="000000" w:themeColor="text1"/>
          <w:szCs w:val="21"/>
          <w:highlight w:val="none"/>
          <w14:textFill>
            <w14:solidFill>
              <w14:schemeClr w14:val="tx1"/>
            </w14:solidFill>
          </w14:textFill>
        </w:rPr>
        <w:t>项目</w:t>
      </w:r>
      <w:r>
        <w:rPr>
          <w:rFonts w:hint="eastAsia" w:ascii="宋体" w:hAnsi="宋体" w:eastAsia="宋体" w:cs="宋体"/>
          <w:color w:val="000000" w:themeColor="text1"/>
          <w:szCs w:val="21"/>
          <w:highlight w:val="none"/>
          <w:lang w:val="zh-CN"/>
          <w14:textFill>
            <w14:solidFill>
              <w14:schemeClr w14:val="tx1"/>
            </w14:solidFill>
          </w14:textFill>
        </w:rPr>
        <w:t>采用电子开标。投标截止时间到达后，各供应商对电子投标文件进行解密。解密完成后各供应商的电子投标文件的实质性内容将自动显示在网页中。供应商在投标截止时间前未上传电子投标文件的将被视为放弃投标。</w:t>
      </w:r>
    </w:p>
    <w:p w14:paraId="203BF9BC">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主持人按下列程序进行开标：</w:t>
      </w:r>
    </w:p>
    <w:p w14:paraId="16F3738C">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(l）宣布投标截止时间已到，不再接收投标文件；</w:t>
      </w:r>
    </w:p>
    <w:p w14:paraId="5AF894E5">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）宣布开标人、唱标人、监标人等有关人员姓名；</w:t>
      </w:r>
    </w:p>
    <w:p w14:paraId="4F090B41">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）电子投标文件解密；</w:t>
      </w:r>
    </w:p>
    <w:p w14:paraId="4151E990">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）宣布投标文件开标顺序，电子唱标并记录在案；</w:t>
      </w:r>
    </w:p>
    <w:p w14:paraId="7E83BC67">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）采购人、监标人等有关人员在开标记录上签字确认；</w:t>
      </w:r>
    </w:p>
    <w:p w14:paraId="793166AC">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）开标结束。</w:t>
      </w:r>
    </w:p>
    <w:p w14:paraId="5C6E4754">
      <w:pPr>
        <w:spacing w:line="400" w:lineRule="exact"/>
        <w:ind w:firstLine="630" w:firstLineChars="3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w:t>
      </w: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开标时出现下列情况的，采购人将拒绝其投标文件。</w:t>
      </w:r>
    </w:p>
    <w:p w14:paraId="3423BCC9">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（1）经检查数字证书无效的投标文件；</w:t>
      </w:r>
    </w:p>
    <w:p w14:paraId="2A0C88B1">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（2）供应商未按供应商须知前附表规定的时间内解密投标文件的；</w:t>
      </w:r>
    </w:p>
    <w:p w14:paraId="7440BE2F">
      <w:pPr>
        <w:spacing w:line="40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5.4开标异议</w:t>
      </w:r>
      <w:bookmarkEnd w:id="137"/>
    </w:p>
    <w:p w14:paraId="29D93CA6">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138" w:name="_Toc403122522"/>
      <w:bookmarkStart w:id="139" w:name="_Toc12881"/>
      <w:bookmarkStart w:id="140" w:name="_Toc21662"/>
      <w:bookmarkStart w:id="141" w:name="_Toc426369512"/>
      <w:r>
        <w:rPr>
          <w:rFonts w:hint="eastAsia" w:ascii="宋体" w:hAnsi="宋体" w:eastAsia="宋体" w:cs="宋体"/>
          <w:color w:val="000000" w:themeColor="text1"/>
          <w:szCs w:val="21"/>
          <w:highlight w:val="none"/>
          <w14:textFill>
            <w14:solidFill>
              <w14:schemeClr w14:val="tx1"/>
            </w14:solidFill>
          </w14:textFill>
        </w:rPr>
        <w:t>5.4.1</w:t>
      </w:r>
      <w:r>
        <w:rPr>
          <w:rFonts w:hint="eastAsia" w:ascii="宋体" w:hAnsi="宋体" w:eastAsia="宋体" w:cs="宋体"/>
          <w:color w:val="000000" w:themeColor="text1"/>
          <w:szCs w:val="21"/>
          <w:highlight w:val="none"/>
          <w:lang w:val="zh-CN"/>
          <w14:textFill>
            <w14:solidFill>
              <w14:schemeClr w14:val="tx1"/>
            </w14:solidFill>
          </w14:textFill>
        </w:rPr>
        <w:t>供应商对开标有异议的，应当在开标现场提出（</w:t>
      </w:r>
      <w:bookmarkStart w:id="142" w:name="_Toc12998"/>
      <w:r>
        <w:rPr>
          <w:rFonts w:hint="eastAsia" w:ascii="宋体" w:hAnsi="宋体" w:eastAsia="宋体" w:cs="宋体"/>
          <w:color w:val="000000" w:themeColor="text1"/>
          <w:szCs w:val="21"/>
          <w:highlight w:val="none"/>
          <w:lang w:val="zh-CN"/>
          <w14:textFill>
            <w14:solidFill>
              <w14:schemeClr w14:val="tx1"/>
            </w14:solidFill>
          </w14:textFill>
        </w:rPr>
        <w:t>语音异议</w:t>
      </w:r>
      <w:bookmarkEnd w:id="142"/>
      <w:r>
        <w:rPr>
          <w:rFonts w:hint="eastAsia" w:ascii="宋体" w:hAnsi="宋体" w:eastAsia="宋体" w:cs="宋体"/>
          <w:color w:val="000000" w:themeColor="text1"/>
          <w:szCs w:val="21"/>
          <w:highlight w:val="none"/>
          <w:lang w:val="zh-CN"/>
          <w14:textFill>
            <w14:solidFill>
              <w14:schemeClr w14:val="tx1"/>
            </w14:solidFill>
          </w14:textFill>
        </w:rPr>
        <w:t>、</w:t>
      </w:r>
      <w:bookmarkStart w:id="143" w:name="_Toc20745"/>
      <w:r>
        <w:rPr>
          <w:rFonts w:hint="eastAsia" w:ascii="宋体" w:hAnsi="宋体" w:eastAsia="宋体" w:cs="宋体"/>
          <w:color w:val="000000" w:themeColor="text1"/>
          <w:szCs w:val="21"/>
          <w:highlight w:val="none"/>
          <w:lang w:val="zh-CN"/>
          <w14:textFill>
            <w14:solidFill>
              <w14:schemeClr w14:val="tx1"/>
            </w14:solidFill>
          </w14:textFill>
        </w:rPr>
        <w:t>文字异议</w:t>
      </w:r>
      <w:bookmarkEnd w:id="143"/>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采购</w:t>
      </w:r>
      <w:r>
        <w:rPr>
          <w:rFonts w:hint="eastAsia" w:ascii="宋体" w:hAnsi="宋体" w:eastAsia="宋体" w:cs="宋体"/>
          <w:color w:val="000000" w:themeColor="text1"/>
          <w:szCs w:val="21"/>
          <w:highlight w:val="none"/>
          <w:lang w:val="zh-CN"/>
          <w14:textFill>
            <w14:solidFill>
              <w14:schemeClr w14:val="tx1"/>
            </w14:solidFill>
          </w14:textFill>
        </w:rPr>
        <w:t>人当场作出答复，并制作记录。</w:t>
      </w:r>
    </w:p>
    <w:p w14:paraId="1EBE4441">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5.4.2</w:t>
      </w:r>
      <w:r>
        <w:rPr>
          <w:rFonts w:hint="eastAsia" w:ascii="宋体" w:hAnsi="宋体" w:eastAsia="宋体" w:cs="宋体"/>
          <w:color w:val="000000" w:themeColor="text1"/>
          <w:szCs w:val="21"/>
          <w:highlight w:val="none"/>
          <w:lang w:val="zh-CN"/>
          <w14:textFill>
            <w14:solidFill>
              <w14:schemeClr w14:val="tx1"/>
            </w14:solidFill>
          </w14:textFill>
        </w:rPr>
        <w:t>开标异常处理</w:t>
      </w:r>
    </w:p>
    <w:p w14:paraId="71543E9D">
      <w:pPr>
        <w:spacing w:line="400" w:lineRule="exact"/>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当出现以下情况时，应对未开标的项目中止电子开标，对原有资料及信息作出妥善保密处理，并在恢复正常后及时安排时间开标：</w:t>
      </w:r>
    </w:p>
    <w:p w14:paraId="7241A5AE">
      <w:pPr>
        <w:spacing w:line="400" w:lineRule="exact"/>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(l）系统服务器发生故障，无法访问或无法使用系统；</w:t>
      </w:r>
    </w:p>
    <w:p w14:paraId="0CF45C2E">
      <w:pPr>
        <w:spacing w:line="400" w:lineRule="exact"/>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(2）系统的软件或数据库出现错误，不能进行正常操作；</w:t>
      </w:r>
    </w:p>
    <w:p w14:paraId="4EB33720">
      <w:pPr>
        <w:spacing w:line="400" w:lineRule="exact"/>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(3）系统发现有安全漏洞，有潜在的泄密危险；</w:t>
      </w:r>
    </w:p>
    <w:p w14:paraId="562814D4">
      <w:pPr>
        <w:spacing w:line="400" w:lineRule="exact"/>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）出现断电事故且短时间内无法恢复供电；</w:t>
      </w:r>
    </w:p>
    <w:p w14:paraId="37C9E153">
      <w:pPr>
        <w:spacing w:line="400" w:lineRule="exact"/>
        <w:ind w:firstLine="420" w:firstLineChars="20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）其他无法保证招投标过程正常进行的情形；</w:t>
      </w:r>
    </w:p>
    <w:p w14:paraId="641381C1">
      <w:pPr>
        <w:spacing w:line="400" w:lineRule="exact"/>
        <w:ind w:firstLine="42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5.</w:t>
      </w:r>
      <w:bookmarkStart w:id="144" w:name="_Toc13445"/>
      <w:bookmarkStart w:id="145" w:name="_Toc9927"/>
      <w:r>
        <w:rPr>
          <w:rFonts w:hint="eastAsia" w:ascii="宋体" w:hAnsi="宋体" w:eastAsia="宋体" w:cs="宋体"/>
          <w:b/>
          <w:bCs/>
          <w:color w:val="000000" w:themeColor="text1"/>
          <w:szCs w:val="21"/>
          <w:highlight w:val="none"/>
          <w14:textFill>
            <w14:solidFill>
              <w14:schemeClr w14:val="tx1"/>
            </w14:solidFill>
          </w14:textFill>
        </w:rPr>
        <w:t>5.资格审查工作</w:t>
      </w:r>
      <w:bookmarkEnd w:id="144"/>
      <w:bookmarkEnd w:id="145"/>
    </w:p>
    <w:p w14:paraId="7B79DB41">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bookmarkStart w:id="146" w:name="_Toc18803"/>
      <w:bookmarkStart w:id="147" w:name="_Toc25275"/>
      <w:bookmarkStart w:id="148" w:name="_Toc18806"/>
      <w:bookmarkStart w:id="149" w:name="_Toc15919"/>
      <w:bookmarkStart w:id="150" w:name="_Toc22488"/>
      <w:bookmarkStart w:id="151" w:name="_Toc25448"/>
      <w:bookmarkStart w:id="152" w:name="_Toc18888"/>
      <w:r>
        <w:rPr>
          <w:rFonts w:hint="eastAsia" w:ascii="宋体" w:hAnsi="宋体" w:eastAsia="宋体" w:cs="宋体"/>
          <w:color w:val="000000" w:themeColor="text1"/>
          <w:szCs w:val="21"/>
          <w:highlight w:val="none"/>
          <w:lang w:val="zh-CN"/>
          <w14:textFill>
            <w14:solidFill>
              <w14:schemeClr w14:val="tx1"/>
            </w14:solidFill>
          </w14:textFill>
        </w:rPr>
        <w:t>采购人或代理机构根据有关法律法规和招标文件的规定，对供应商的资格进行审查，审查每个供应商提交的资格证明材料是否齐全、完整、合法、有效。资格性审查通过不足3家的，将不再进行下一步评审。</w:t>
      </w:r>
      <w:bookmarkEnd w:id="146"/>
      <w:bookmarkEnd w:id="147"/>
      <w:bookmarkEnd w:id="148"/>
      <w:bookmarkEnd w:id="149"/>
      <w:bookmarkEnd w:id="150"/>
      <w:bookmarkEnd w:id="151"/>
      <w:bookmarkEnd w:id="152"/>
    </w:p>
    <w:p w14:paraId="61FBD1EE">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153" w:name="_Toc6889"/>
      <w:r>
        <w:rPr>
          <w:rFonts w:hint="eastAsia" w:ascii="宋体" w:hAnsi="宋体" w:eastAsia="宋体" w:cs="宋体"/>
          <w:color w:val="000000" w:themeColor="text1"/>
          <w:sz w:val="24"/>
          <w:szCs w:val="24"/>
          <w:highlight w:val="none"/>
          <w14:textFill>
            <w14:solidFill>
              <w14:schemeClr w14:val="tx1"/>
            </w14:solidFill>
          </w14:textFill>
        </w:rPr>
        <w:t>6. 评标</w:t>
      </w:r>
      <w:bookmarkEnd w:id="138"/>
      <w:bookmarkEnd w:id="139"/>
      <w:bookmarkEnd w:id="140"/>
      <w:bookmarkEnd w:id="141"/>
      <w:bookmarkEnd w:id="153"/>
    </w:p>
    <w:p w14:paraId="363A3B66">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54" w:name="_Toc274249606"/>
      <w:bookmarkStart w:id="155" w:name="_Toc279599802"/>
      <w:bookmarkStart w:id="156" w:name="_Toc403122523"/>
      <w:bookmarkStart w:id="157" w:name="_Toc426369513"/>
      <w:r>
        <w:rPr>
          <w:rFonts w:hint="eastAsia" w:ascii="宋体" w:hAnsi="宋体" w:eastAsia="宋体" w:cs="宋体"/>
          <w:b/>
          <w:bCs/>
          <w:color w:val="000000" w:themeColor="text1"/>
          <w:sz w:val="24"/>
          <w:highlight w:val="none"/>
          <w14:textFill>
            <w14:solidFill>
              <w14:schemeClr w14:val="tx1"/>
            </w14:solidFill>
          </w14:textFill>
        </w:rPr>
        <w:t>6.1 评标委员会</w:t>
      </w:r>
      <w:bookmarkEnd w:id="154"/>
      <w:bookmarkEnd w:id="155"/>
      <w:bookmarkEnd w:id="156"/>
      <w:bookmarkEnd w:id="157"/>
    </w:p>
    <w:p w14:paraId="75B2EC6A">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6.1.1  评标由采购人依法组建的评标委员会负责。评标委员会由采购人代表和评审专家组成。评标委员会成员人数以及评审专家的确定方式见供应商须知前附表。</w:t>
      </w:r>
    </w:p>
    <w:p w14:paraId="2F0021F4">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6.1.2  评标委员会成员有下列情形之一的，应当回避： </w:t>
      </w:r>
    </w:p>
    <w:p w14:paraId="4CF2481A">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（1）采购人或供应商的主要负责人的近亲属； </w:t>
      </w:r>
    </w:p>
    <w:p w14:paraId="1D748DB0">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（2）项目主管部门或者行政监督部门的人员； </w:t>
      </w:r>
    </w:p>
    <w:p w14:paraId="1308D5B5">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（3）与供应商有经济利益关系，可能影响对投标公正评审的； </w:t>
      </w:r>
    </w:p>
    <w:p w14:paraId="0666F98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（4）曾因在招标、评标以及其他与招标投标有关活动中从事违法行为而受过行政处罚或刑事处罚的。 </w:t>
      </w:r>
    </w:p>
    <w:p w14:paraId="0B18550F">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58" w:name="_Toc274249607"/>
      <w:bookmarkStart w:id="159" w:name="_Toc279599803"/>
      <w:bookmarkStart w:id="160" w:name="_Toc426369514"/>
      <w:bookmarkStart w:id="161" w:name="_Toc403122524"/>
      <w:r>
        <w:rPr>
          <w:rFonts w:hint="eastAsia" w:ascii="宋体" w:hAnsi="宋体" w:eastAsia="宋体" w:cs="宋体"/>
          <w:b/>
          <w:bCs/>
          <w:color w:val="000000" w:themeColor="text1"/>
          <w:sz w:val="24"/>
          <w:highlight w:val="none"/>
          <w14:textFill>
            <w14:solidFill>
              <w14:schemeClr w14:val="tx1"/>
            </w14:solidFill>
          </w14:textFill>
        </w:rPr>
        <w:t>6.2 评标原则</w:t>
      </w:r>
      <w:bookmarkEnd w:id="158"/>
      <w:bookmarkEnd w:id="159"/>
      <w:bookmarkEnd w:id="160"/>
      <w:bookmarkEnd w:id="161"/>
    </w:p>
    <w:p w14:paraId="4301C94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评标活动遵循公平、公正、科学和择优的原则。 </w:t>
      </w:r>
    </w:p>
    <w:p w14:paraId="77C05368">
      <w:pPr>
        <w:spacing w:line="400" w:lineRule="exact"/>
        <w:ind w:firstLine="482" w:firstLineChars="200"/>
        <w:rPr>
          <w:rFonts w:ascii="宋体" w:hAnsi="宋体" w:eastAsia="宋体" w:cs="宋体"/>
          <w:color w:val="000000" w:themeColor="text1"/>
          <w:szCs w:val="21"/>
          <w:highlight w:val="none"/>
          <w14:textFill>
            <w14:solidFill>
              <w14:schemeClr w14:val="tx1"/>
            </w14:solidFill>
          </w14:textFill>
        </w:rPr>
      </w:pPr>
      <w:bookmarkStart w:id="162" w:name="_Toc403122525"/>
      <w:bookmarkStart w:id="163" w:name="_Toc274249608"/>
      <w:bookmarkStart w:id="164" w:name="_Toc426369515"/>
      <w:bookmarkStart w:id="165" w:name="_Toc279599804"/>
      <w:r>
        <w:rPr>
          <w:rFonts w:hint="eastAsia" w:ascii="宋体" w:hAnsi="宋体" w:eastAsia="宋体" w:cs="宋体"/>
          <w:b/>
          <w:bCs/>
          <w:color w:val="000000" w:themeColor="text1"/>
          <w:sz w:val="24"/>
          <w:highlight w:val="none"/>
          <w14:textFill>
            <w14:solidFill>
              <w14:schemeClr w14:val="tx1"/>
            </w14:solidFill>
          </w14:textFill>
        </w:rPr>
        <w:t>6.3 评标</w:t>
      </w:r>
      <w:bookmarkEnd w:id="162"/>
      <w:bookmarkEnd w:id="163"/>
      <w:bookmarkEnd w:id="164"/>
      <w:bookmarkEnd w:id="165"/>
    </w:p>
    <w:p w14:paraId="0A981FA9">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6.3.1在评审过程中，评标委员会发现供应商有下列情形之一的，视为供应商相互串通投标，按照无效投标处理并依据法律、法规追究其相关责任。具体表现形式如下：</w:t>
      </w:r>
    </w:p>
    <w:p w14:paraId="60E1E46F">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不</w:t>
      </w:r>
      <w:r>
        <w:rPr>
          <w:rFonts w:hint="eastAsia" w:ascii="宋体" w:hAnsi="宋体" w:eastAsia="宋体" w:cs="宋体"/>
          <w:color w:val="000000" w:themeColor="text1"/>
          <w:szCs w:val="21"/>
          <w:highlight w:val="none"/>
          <w14:textFill>
            <w14:solidFill>
              <w14:schemeClr w14:val="tx1"/>
            </w14:solidFill>
          </w14:textFill>
        </w:rPr>
        <w:t>同供应商的投标文件由同一单位或者个人编制；</w:t>
      </w:r>
    </w:p>
    <w:p w14:paraId="551FB3ED">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（2）不同供应商委托同一单位或者个人办理投标事宜；</w:t>
      </w:r>
    </w:p>
    <w:p w14:paraId="43B36BDE">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（3）不同供应商的投标文件载明的项目管理成员或者联系人员为同一人；</w:t>
      </w:r>
    </w:p>
    <w:p w14:paraId="00F8536A">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（4）不同供应商的投标文件异常一致或者投标报价呈规律性差异；</w:t>
      </w:r>
    </w:p>
    <w:p w14:paraId="62A68FF7">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（5）有证据证明供应商与采购人、采购代理机构或者其他供应商串通的其他情形；</w:t>
      </w:r>
    </w:p>
    <w:p w14:paraId="7A52A6A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6.3.2评标委员会应当按照招标文件中规定的评标方法和标准，对符合性审查合格的投标文件进行商务和技术评估，综合比较与评价。招标文件没有规定的评标方法、评审因素和标准，不作为评标依据。</w:t>
      </w:r>
    </w:p>
    <w:p w14:paraId="46793A0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6.3.3评标时，评标委员会各成员应当独立对每个供应商的投标文件进行评价，并汇总每个供应商的得分。</w:t>
      </w:r>
    </w:p>
    <w:p w14:paraId="71B46C7F">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评标完成后，评标委员会应当向采购人提交书面评标报告和中标候选人名单。评标委员会推荐中标候选人的人数见供应商须知前附表。</w:t>
      </w:r>
    </w:p>
    <w:p w14:paraId="43862853">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6.3.3 评标委员会负责具体评标事务，并独立履行下列职责：</w:t>
      </w:r>
    </w:p>
    <w:p w14:paraId="3FBF3213">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（1）审查、评价投标文件是否符合招标文件的实质性要求；</w:t>
      </w:r>
    </w:p>
    <w:p w14:paraId="4D27E97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（2）要求供应商对投标文件有关事项作出澄清或者说明；</w:t>
      </w:r>
    </w:p>
    <w:p w14:paraId="59349B71">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（3）对投标文件进行比较和评价；</w:t>
      </w:r>
    </w:p>
    <w:p w14:paraId="3C38AEAB">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（4）确定中标候选人名单；</w:t>
      </w:r>
    </w:p>
    <w:p w14:paraId="0068017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（5）向采购人、采购代理机构或者有关部门报告评标中发现的违法行为。</w:t>
      </w:r>
    </w:p>
    <w:p w14:paraId="0FC43915">
      <w:pPr>
        <w:autoSpaceDE w:val="0"/>
        <w:autoSpaceDN w:val="0"/>
        <w:adjustRightInd w:val="0"/>
        <w:spacing w:line="360" w:lineRule="auto"/>
        <w:ind w:left="237" w:right="-20"/>
        <w:jc w:val="left"/>
        <w:rPr>
          <w:rFonts w:ascii="宋体" w:hAnsi="宋体" w:cs="宋体"/>
          <w:b/>
          <w:bCs/>
          <w:color w:val="000000" w:themeColor="text1"/>
          <w:spacing w:val="1"/>
          <w:kern w:val="0"/>
          <w:szCs w:val="21"/>
          <w:highlight w:val="none"/>
          <w14:textFill>
            <w14:solidFill>
              <w14:schemeClr w14:val="tx1"/>
            </w14:solidFill>
          </w14:textFill>
        </w:rPr>
      </w:pPr>
      <w:r>
        <w:rPr>
          <w:rFonts w:hint="eastAsia" w:ascii="宋体" w:hAnsi="宋体" w:cs="宋体"/>
          <w:b/>
          <w:bCs/>
          <w:color w:val="000000" w:themeColor="text1"/>
          <w:spacing w:val="1"/>
          <w:kern w:val="0"/>
          <w:szCs w:val="21"/>
          <w:highlight w:val="none"/>
          <w14:textFill>
            <w14:solidFill>
              <w14:schemeClr w14:val="tx1"/>
            </w14:solidFill>
          </w14:textFill>
        </w:rPr>
        <w:t>6.4  废标</w:t>
      </w:r>
    </w:p>
    <w:p w14:paraId="600F945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招标采购中，出现下列情形之一的，应予废标：</w:t>
      </w:r>
    </w:p>
    <w:p w14:paraId="3987FFF9">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（1）符合专业条件的供应商或者对招标文件作实质响应的供应商不足三家的；</w:t>
      </w:r>
    </w:p>
    <w:p w14:paraId="1252BDD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（2）出现影响采购公正的违法、违规行为的；</w:t>
      </w:r>
    </w:p>
    <w:p w14:paraId="7B230ED9">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（3）供应商的报价均超过了采购预算，采购人不能支付的；</w:t>
      </w:r>
    </w:p>
    <w:p w14:paraId="76C4E20D">
      <w:pPr>
        <w:spacing w:line="400" w:lineRule="exact"/>
        <w:ind w:firstLine="420" w:firstLineChars="200"/>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（4）因重大变故，采购任务取消的。废标后，采购人应当将废标理由通知所有供应商。</w:t>
      </w:r>
    </w:p>
    <w:p w14:paraId="252D39EF">
      <w:pPr>
        <w:pStyle w:val="18"/>
        <w:spacing w:before="120" w:after="120" w:line="500" w:lineRule="exact"/>
        <w:ind w:right="-1029" w:rightChars="-490" w:firstLine="482" w:firstLineChars="200"/>
        <w:jc w:val="both"/>
        <w:outlineLvl w:val="1"/>
        <w:rPr>
          <w:color w:val="000000" w:themeColor="text1"/>
          <w:highlight w:val="none"/>
          <w14:textFill>
            <w14:solidFill>
              <w14:schemeClr w14:val="tx1"/>
            </w14:solidFill>
          </w14:textFill>
        </w:rPr>
      </w:pPr>
      <w:bookmarkStart w:id="166" w:name="_Toc403122526"/>
      <w:bookmarkStart w:id="167" w:name="_Toc17811"/>
      <w:bookmarkStart w:id="168" w:name="_Toc22968"/>
      <w:bookmarkStart w:id="169" w:name="_Toc26569"/>
      <w:bookmarkStart w:id="170" w:name="_Toc426369516"/>
      <w:r>
        <w:rPr>
          <w:rFonts w:hint="eastAsia" w:ascii="宋体" w:hAnsi="宋体" w:eastAsia="宋体" w:cs="宋体"/>
          <w:color w:val="000000" w:themeColor="text1"/>
          <w:sz w:val="24"/>
          <w:szCs w:val="24"/>
          <w:highlight w:val="none"/>
          <w14:textFill>
            <w14:solidFill>
              <w14:schemeClr w14:val="tx1"/>
            </w14:solidFill>
          </w14:textFill>
        </w:rPr>
        <w:t>7. 合同授予</w:t>
      </w:r>
      <w:bookmarkEnd w:id="166"/>
      <w:bookmarkEnd w:id="167"/>
      <w:bookmarkEnd w:id="168"/>
      <w:bookmarkEnd w:id="169"/>
      <w:bookmarkEnd w:id="170"/>
    </w:p>
    <w:p w14:paraId="55EAAB96">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71" w:name="_Toc403122527"/>
      <w:bookmarkStart w:id="172" w:name="_Toc279599806"/>
      <w:bookmarkStart w:id="173" w:name="_Toc426369517"/>
      <w:bookmarkStart w:id="174" w:name="_Toc274249610"/>
      <w:r>
        <w:rPr>
          <w:rFonts w:hint="eastAsia" w:ascii="宋体" w:hAnsi="宋体" w:eastAsia="宋体" w:cs="宋体"/>
          <w:b/>
          <w:bCs/>
          <w:color w:val="000000" w:themeColor="text1"/>
          <w:sz w:val="24"/>
          <w:highlight w:val="none"/>
          <w14:textFill>
            <w14:solidFill>
              <w14:schemeClr w14:val="tx1"/>
            </w14:solidFill>
          </w14:textFill>
        </w:rPr>
        <w:t>7.1 定标方式</w:t>
      </w:r>
      <w:bookmarkEnd w:id="171"/>
      <w:bookmarkEnd w:id="172"/>
      <w:bookmarkEnd w:id="173"/>
      <w:bookmarkEnd w:id="174"/>
    </w:p>
    <w:p w14:paraId="2665E82F">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7.1.1采购人依据评标委员会推荐的中标候选人确定中标人，评标委员会推荐中标人候选人的人数见供应商须知前附表。</w:t>
      </w:r>
    </w:p>
    <w:p w14:paraId="647A7614">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7.1.2 中标或者成交供应商拒绝与采购人签订合同的，采购人可以按照评审报告推荐的中标或者成交候选人名单排序，确定下一候选人为中标或者成交供应商，也可以重新开展政府采购活动。</w:t>
      </w:r>
    </w:p>
    <w:p w14:paraId="2A201F0C">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75" w:name="_Toc403122528"/>
      <w:bookmarkStart w:id="176" w:name="_Toc279599807"/>
      <w:bookmarkStart w:id="177" w:name="_Toc274249611"/>
      <w:bookmarkStart w:id="178" w:name="_Toc426369518"/>
      <w:r>
        <w:rPr>
          <w:rFonts w:hint="eastAsia" w:ascii="宋体" w:hAnsi="宋体" w:eastAsia="宋体" w:cs="宋体"/>
          <w:b/>
          <w:bCs/>
          <w:color w:val="000000" w:themeColor="text1"/>
          <w:sz w:val="24"/>
          <w:highlight w:val="none"/>
          <w14:textFill>
            <w14:solidFill>
              <w14:schemeClr w14:val="tx1"/>
            </w14:solidFill>
          </w14:textFill>
        </w:rPr>
        <w:t>7.2 中标通知</w:t>
      </w:r>
      <w:bookmarkEnd w:id="175"/>
      <w:bookmarkEnd w:id="176"/>
      <w:bookmarkEnd w:id="177"/>
      <w:bookmarkEnd w:id="178"/>
    </w:p>
    <w:p w14:paraId="2D621A9B">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7.2.1 在本章第3.3款规定的投标有效期内，采购人以书面形式向中标人发出中标通知书，同时将中标结果通知未中标的供应商。 </w:t>
      </w:r>
    </w:p>
    <w:p w14:paraId="5FA04BE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7.2.2中标人在领取中标通知书后应及时到相关部门办理中标后的备案手续。</w:t>
      </w:r>
    </w:p>
    <w:p w14:paraId="18F828FC">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79" w:name="_Toc311550376"/>
      <w:bookmarkStart w:id="180" w:name="_Toc279599808"/>
      <w:bookmarkStart w:id="181" w:name="_Toc274249612"/>
      <w:bookmarkStart w:id="182" w:name="_Toc426369519"/>
      <w:bookmarkStart w:id="183" w:name="_Toc403122529"/>
      <w:r>
        <w:rPr>
          <w:rFonts w:hint="eastAsia" w:ascii="宋体" w:hAnsi="宋体" w:eastAsia="宋体" w:cs="宋体"/>
          <w:b/>
          <w:bCs/>
          <w:color w:val="000000" w:themeColor="text1"/>
          <w:sz w:val="24"/>
          <w:highlight w:val="none"/>
          <w14:textFill>
            <w14:solidFill>
              <w14:schemeClr w14:val="tx1"/>
            </w14:solidFill>
          </w14:textFill>
        </w:rPr>
        <w:t>7.3履约</w:t>
      </w:r>
      <w:bookmarkEnd w:id="179"/>
      <w:bookmarkEnd w:id="180"/>
      <w:bookmarkEnd w:id="181"/>
      <w:r>
        <w:rPr>
          <w:rFonts w:hint="eastAsia" w:ascii="宋体" w:hAnsi="宋体" w:eastAsia="宋体" w:cs="宋体"/>
          <w:b/>
          <w:bCs/>
          <w:color w:val="000000" w:themeColor="text1"/>
          <w:sz w:val="24"/>
          <w:highlight w:val="none"/>
          <w14:textFill>
            <w14:solidFill>
              <w14:schemeClr w14:val="tx1"/>
            </w14:solidFill>
          </w14:textFill>
        </w:rPr>
        <w:t>保证金</w:t>
      </w:r>
      <w:bookmarkEnd w:id="182"/>
      <w:bookmarkEnd w:id="183"/>
    </w:p>
    <w:p w14:paraId="7EEA0928">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7.3.1履约保证金：无</w:t>
      </w:r>
    </w:p>
    <w:p w14:paraId="402421C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7.3.2投标保证金：无</w:t>
      </w:r>
    </w:p>
    <w:p w14:paraId="17E5FDE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84" w:name="_Toc279599809"/>
      <w:bookmarkStart w:id="185" w:name="_Toc274249613"/>
      <w:bookmarkStart w:id="186" w:name="_Toc426369520"/>
      <w:bookmarkStart w:id="187" w:name="_Toc403122530"/>
      <w:r>
        <w:rPr>
          <w:rFonts w:hint="eastAsia" w:ascii="宋体" w:hAnsi="宋体" w:eastAsia="宋体" w:cs="宋体"/>
          <w:b/>
          <w:bCs/>
          <w:color w:val="000000" w:themeColor="text1"/>
          <w:sz w:val="24"/>
          <w:highlight w:val="none"/>
          <w14:textFill>
            <w14:solidFill>
              <w14:schemeClr w14:val="tx1"/>
            </w14:solidFill>
          </w14:textFill>
        </w:rPr>
        <w:t>7.4 签订合同</w:t>
      </w:r>
      <w:bookmarkEnd w:id="184"/>
      <w:bookmarkEnd w:id="185"/>
      <w:bookmarkEnd w:id="186"/>
      <w:bookmarkEnd w:id="187"/>
    </w:p>
    <w:p w14:paraId="7FD87D0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7.4.1  中标人的投标</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14:textFill>
            <w14:solidFill>
              <w14:schemeClr w14:val="tx1"/>
            </w14:solidFill>
          </w14:textFill>
        </w:rPr>
        <w:t>报价为中标价，中标价即为合同价（当中标人的投标</w:t>
      </w:r>
      <w:r>
        <w:rPr>
          <w:rFonts w:hint="eastAsia" w:ascii="宋体" w:hAnsi="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14:textFill>
            <w14:solidFill>
              <w14:schemeClr w14:val="tx1"/>
            </w14:solidFill>
          </w14:textFill>
        </w:rPr>
        <w:t>高于</w:t>
      </w:r>
      <w:r>
        <w:rPr>
          <w:rFonts w:hint="eastAsia" w:ascii="宋体" w:hAnsi="宋体" w:eastAsia="宋体" w:cs="宋体"/>
          <w:color w:val="000000" w:themeColor="text1"/>
          <w:szCs w:val="21"/>
          <w:highlight w:val="none"/>
          <w:lang w:val="en-US" w:eastAsia="zh-CN"/>
          <w14:textFill>
            <w14:solidFill>
              <w14:schemeClr w14:val="tx1"/>
            </w14:solidFill>
          </w14:textFill>
        </w:rPr>
        <w:t>预算</w:t>
      </w:r>
      <w:r>
        <w:rPr>
          <w:rFonts w:hint="eastAsia" w:ascii="宋体" w:hAnsi="宋体" w:eastAsia="宋体" w:cs="宋体"/>
          <w:color w:val="000000" w:themeColor="text1"/>
          <w:szCs w:val="21"/>
          <w:highlight w:val="none"/>
          <w14:textFill>
            <w14:solidFill>
              <w14:schemeClr w14:val="tx1"/>
            </w14:solidFill>
          </w14:textFill>
        </w:rPr>
        <w:t>控制</w:t>
      </w:r>
      <w:r>
        <w:rPr>
          <w:rFonts w:hint="eastAsia" w:ascii="宋体" w:hAnsi="宋体" w:eastAsia="宋体" w:cs="宋体"/>
          <w:color w:val="000000" w:themeColor="text1"/>
          <w:szCs w:val="21"/>
          <w:highlight w:val="none"/>
          <w:lang w:val="en-US" w:eastAsia="zh-CN"/>
          <w14:textFill>
            <w14:solidFill>
              <w14:schemeClr w14:val="tx1"/>
            </w14:solidFill>
          </w14:textFill>
        </w:rPr>
        <w:t>单价金额</w:t>
      </w:r>
      <w:r>
        <w:rPr>
          <w:rFonts w:hint="eastAsia" w:ascii="宋体" w:hAnsi="宋体" w:eastAsia="宋体" w:cs="宋体"/>
          <w:color w:val="000000" w:themeColor="text1"/>
          <w:szCs w:val="21"/>
          <w:highlight w:val="none"/>
          <w14:textFill>
            <w14:solidFill>
              <w14:schemeClr w14:val="tx1"/>
            </w14:solidFill>
          </w14:textFill>
        </w:rPr>
        <w:t>的95%时，该中标人的中标</w:t>
      </w:r>
      <w:r>
        <w:rPr>
          <w:rFonts w:hint="eastAsia" w:ascii="宋体" w:hAnsi="宋体" w:eastAsia="宋体" w:cs="宋体"/>
          <w:color w:val="000000" w:themeColor="text1"/>
          <w:szCs w:val="21"/>
          <w:highlight w:val="none"/>
          <w:lang w:val="en-US" w:eastAsia="zh-CN"/>
          <w14:textFill>
            <w14:solidFill>
              <w14:schemeClr w14:val="tx1"/>
            </w14:solidFill>
          </w14:textFill>
        </w:rPr>
        <w:t>单价</w:t>
      </w:r>
      <w:r>
        <w:rPr>
          <w:rFonts w:hint="eastAsia" w:ascii="宋体" w:hAnsi="宋体" w:eastAsia="宋体" w:cs="宋体"/>
          <w:color w:val="000000" w:themeColor="text1"/>
          <w:szCs w:val="21"/>
          <w:highlight w:val="none"/>
          <w14:textFill>
            <w14:solidFill>
              <w14:schemeClr w14:val="tx1"/>
            </w14:solidFill>
          </w14:textFill>
        </w:rPr>
        <w:t>按控制价的95%执行）。采购人和中标人应当自中标通知书发出之日起15日内，根据招标文件和中标人的投标文件订立书面合同。非因不可抗力因素放弃中标的，或排名第一的中标候选人未按规定期限与采购人签订合同的，应赔偿采购人由此造成的损失，损失费的计算方法为该中标候选人的投标价与重新确定的中标人中标价的差额，并处以采购金额千分之五以上千分之十以下罚款，将其列入不良行为记录名单，在1至3年内禁止参加政府采购活动，并予以通报。</w:t>
      </w:r>
    </w:p>
    <w:p w14:paraId="7CF72C9F">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7.4.2  发出中标通知书后，采购人无正当理由拒签合同的，给中标人造成损失的，还应当赔偿损失。</w:t>
      </w:r>
    </w:p>
    <w:p w14:paraId="4E80360A">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188" w:name="_Toc30009"/>
      <w:bookmarkStart w:id="189" w:name="_Toc10541"/>
      <w:bookmarkStart w:id="190" w:name="_Toc403122531"/>
      <w:bookmarkStart w:id="191" w:name="_Toc426369521"/>
      <w:bookmarkStart w:id="192" w:name="_Toc10417"/>
      <w:r>
        <w:rPr>
          <w:rFonts w:hint="eastAsia" w:ascii="宋体" w:hAnsi="宋体" w:eastAsia="宋体" w:cs="宋体"/>
          <w:color w:val="000000" w:themeColor="text1"/>
          <w:sz w:val="24"/>
          <w:szCs w:val="24"/>
          <w:highlight w:val="none"/>
          <w14:textFill>
            <w14:solidFill>
              <w14:schemeClr w14:val="tx1"/>
            </w14:solidFill>
          </w14:textFill>
        </w:rPr>
        <w:t>8. 重新招标</w:t>
      </w:r>
      <w:bookmarkEnd w:id="188"/>
      <w:bookmarkEnd w:id="189"/>
      <w:bookmarkEnd w:id="190"/>
      <w:bookmarkEnd w:id="191"/>
      <w:bookmarkEnd w:id="192"/>
    </w:p>
    <w:p w14:paraId="3470101A">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193" w:name="_Toc426369522"/>
      <w:bookmarkStart w:id="194" w:name="_Toc274249615"/>
      <w:bookmarkStart w:id="195" w:name="_Toc279599811"/>
      <w:bookmarkStart w:id="196" w:name="_Toc403122532"/>
      <w:r>
        <w:rPr>
          <w:rFonts w:hint="eastAsia" w:ascii="宋体" w:hAnsi="宋体" w:eastAsia="宋体" w:cs="宋体"/>
          <w:b/>
          <w:bCs/>
          <w:color w:val="000000" w:themeColor="text1"/>
          <w:sz w:val="24"/>
          <w:highlight w:val="none"/>
          <w14:textFill>
            <w14:solidFill>
              <w14:schemeClr w14:val="tx1"/>
            </w14:solidFill>
          </w14:textFill>
        </w:rPr>
        <w:t>8.1 重新招标</w:t>
      </w:r>
      <w:bookmarkEnd w:id="193"/>
      <w:bookmarkEnd w:id="194"/>
      <w:bookmarkEnd w:id="195"/>
      <w:bookmarkEnd w:id="196"/>
    </w:p>
    <w:p w14:paraId="4936457B">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有下列情形之一的，采购人将重新招标： </w:t>
      </w:r>
    </w:p>
    <w:p w14:paraId="0C724BA0">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（1）投标截止时间止，供应商少于3个的； </w:t>
      </w:r>
    </w:p>
    <w:p w14:paraId="057A3BBF">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（2）经评标委员会评审后否决所有投标的。 </w:t>
      </w:r>
    </w:p>
    <w:p w14:paraId="4E7EEF2C">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197" w:name="_Toc3760"/>
      <w:bookmarkStart w:id="198" w:name="_Toc426369523"/>
      <w:bookmarkStart w:id="199" w:name="_Toc10372"/>
      <w:bookmarkStart w:id="200" w:name="_Toc403122533"/>
      <w:bookmarkStart w:id="201" w:name="_Toc27398"/>
      <w:r>
        <w:rPr>
          <w:rFonts w:hint="eastAsia" w:ascii="宋体" w:hAnsi="宋体" w:eastAsia="宋体" w:cs="宋体"/>
          <w:color w:val="000000" w:themeColor="text1"/>
          <w:sz w:val="24"/>
          <w:szCs w:val="24"/>
          <w:highlight w:val="none"/>
          <w14:textFill>
            <w14:solidFill>
              <w14:schemeClr w14:val="tx1"/>
            </w14:solidFill>
          </w14:textFill>
        </w:rPr>
        <w:t>9. 纪律和监督</w:t>
      </w:r>
      <w:bookmarkEnd w:id="197"/>
      <w:bookmarkEnd w:id="198"/>
      <w:bookmarkEnd w:id="199"/>
      <w:bookmarkEnd w:id="200"/>
      <w:bookmarkEnd w:id="201"/>
    </w:p>
    <w:p w14:paraId="5A010E9D">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02" w:name="_Toc403122534"/>
      <w:bookmarkStart w:id="203" w:name="_Toc279599814"/>
      <w:bookmarkStart w:id="204" w:name="_Toc426369524"/>
      <w:bookmarkStart w:id="205" w:name="_Toc274249618"/>
      <w:r>
        <w:rPr>
          <w:rFonts w:hint="eastAsia" w:ascii="宋体" w:hAnsi="宋体" w:eastAsia="宋体" w:cs="宋体"/>
          <w:b/>
          <w:bCs/>
          <w:color w:val="000000" w:themeColor="text1"/>
          <w:sz w:val="24"/>
          <w:highlight w:val="none"/>
          <w14:textFill>
            <w14:solidFill>
              <w14:schemeClr w14:val="tx1"/>
            </w14:solidFill>
          </w14:textFill>
        </w:rPr>
        <w:t>9.1 对采购人的纪律要求</w:t>
      </w:r>
      <w:bookmarkEnd w:id="202"/>
      <w:bookmarkEnd w:id="203"/>
      <w:bookmarkEnd w:id="204"/>
      <w:bookmarkEnd w:id="205"/>
    </w:p>
    <w:p w14:paraId="5DDF55DD">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采购人不得泄漏招标投标活动中应当保密的情况和资料，不得与供应商串通损害国家利益、社会公共利益或者他人合法权益。 </w:t>
      </w:r>
    </w:p>
    <w:p w14:paraId="4E59FBBF">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06" w:name="_Toc403122535"/>
      <w:bookmarkStart w:id="207" w:name="_Toc279599815"/>
      <w:bookmarkStart w:id="208" w:name="_Toc274249619"/>
      <w:bookmarkStart w:id="209" w:name="_Toc426369525"/>
      <w:r>
        <w:rPr>
          <w:rFonts w:hint="eastAsia" w:ascii="宋体" w:hAnsi="宋体" w:eastAsia="宋体" w:cs="宋体"/>
          <w:b/>
          <w:bCs/>
          <w:color w:val="000000" w:themeColor="text1"/>
          <w:sz w:val="24"/>
          <w:highlight w:val="none"/>
          <w14:textFill>
            <w14:solidFill>
              <w14:schemeClr w14:val="tx1"/>
            </w14:solidFill>
          </w14:textFill>
        </w:rPr>
        <w:t>9.2 对供应商的纪律要求</w:t>
      </w:r>
      <w:bookmarkEnd w:id="206"/>
      <w:bookmarkEnd w:id="207"/>
      <w:bookmarkEnd w:id="208"/>
      <w:bookmarkEnd w:id="209"/>
    </w:p>
    <w:p w14:paraId="37704EAC">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供应商不得相互串通投标或者与采购人串通投标，不得向采购人或者评标委员会成员行贿谋取中标，不得以他人名义投标或者以其他方式弄虚作假骗取中标；供应商不得以任何方式干扰、影响评标工作。</w:t>
      </w:r>
    </w:p>
    <w:p w14:paraId="7FF30BC2">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10" w:name="_Toc426369526"/>
      <w:bookmarkStart w:id="211" w:name="_Toc403122536"/>
      <w:bookmarkStart w:id="212" w:name="_Toc274249620"/>
      <w:bookmarkStart w:id="213" w:name="_Toc279599816"/>
      <w:r>
        <w:rPr>
          <w:rFonts w:hint="eastAsia" w:ascii="宋体" w:hAnsi="宋体" w:eastAsia="宋体" w:cs="宋体"/>
          <w:b/>
          <w:bCs/>
          <w:color w:val="000000" w:themeColor="text1"/>
          <w:sz w:val="24"/>
          <w:highlight w:val="none"/>
          <w14:textFill>
            <w14:solidFill>
              <w14:schemeClr w14:val="tx1"/>
            </w14:solidFill>
          </w14:textFill>
        </w:rPr>
        <w:t>9.3 对评标委员会成员的纪律要求</w:t>
      </w:r>
      <w:bookmarkEnd w:id="210"/>
      <w:bookmarkEnd w:id="211"/>
      <w:bookmarkEnd w:id="212"/>
      <w:bookmarkEnd w:id="213"/>
    </w:p>
    <w:p w14:paraId="75A9BBAD">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 </w:t>
      </w:r>
    </w:p>
    <w:p w14:paraId="03933CD4">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14" w:name="_Toc279599817"/>
      <w:bookmarkStart w:id="215" w:name="_Toc403122537"/>
      <w:bookmarkStart w:id="216" w:name="_Toc274249621"/>
      <w:bookmarkStart w:id="217" w:name="_Toc426369527"/>
      <w:r>
        <w:rPr>
          <w:rFonts w:hint="eastAsia" w:ascii="宋体" w:hAnsi="宋体" w:eastAsia="宋体" w:cs="宋体"/>
          <w:b/>
          <w:bCs/>
          <w:color w:val="000000" w:themeColor="text1"/>
          <w:sz w:val="24"/>
          <w:highlight w:val="none"/>
          <w14:textFill>
            <w14:solidFill>
              <w14:schemeClr w14:val="tx1"/>
            </w14:solidFill>
          </w14:textFill>
        </w:rPr>
        <w:t>9.4 对与评标活动有关的工作人员的纪律要求</w:t>
      </w:r>
      <w:bookmarkEnd w:id="214"/>
      <w:bookmarkEnd w:id="215"/>
      <w:bookmarkEnd w:id="216"/>
      <w:bookmarkEnd w:id="217"/>
    </w:p>
    <w:p w14:paraId="252F005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60B33125">
      <w:pPr>
        <w:spacing w:line="500" w:lineRule="exact"/>
        <w:ind w:firstLine="482" w:firstLineChars="200"/>
        <w:rPr>
          <w:rFonts w:ascii="宋体" w:hAnsi="宋体" w:eastAsia="宋体" w:cs="宋体"/>
          <w:b/>
          <w:bCs/>
          <w:color w:val="000000" w:themeColor="text1"/>
          <w:sz w:val="24"/>
          <w:highlight w:val="none"/>
          <w14:textFill>
            <w14:solidFill>
              <w14:schemeClr w14:val="tx1"/>
            </w14:solidFill>
          </w14:textFill>
        </w:rPr>
      </w:pPr>
      <w:bookmarkStart w:id="218" w:name="_Toc279599818"/>
      <w:bookmarkStart w:id="219" w:name="_Toc426369528"/>
      <w:bookmarkStart w:id="220" w:name="_Toc274249622"/>
      <w:bookmarkStart w:id="221" w:name="_Toc403122538"/>
      <w:r>
        <w:rPr>
          <w:rFonts w:hint="eastAsia" w:ascii="宋体" w:hAnsi="宋体" w:eastAsia="宋体" w:cs="宋体"/>
          <w:b/>
          <w:bCs/>
          <w:color w:val="000000" w:themeColor="text1"/>
          <w:sz w:val="24"/>
          <w:highlight w:val="none"/>
          <w14:textFill>
            <w14:solidFill>
              <w14:schemeClr w14:val="tx1"/>
            </w14:solidFill>
          </w14:textFill>
        </w:rPr>
        <w:t>9.5 投诉</w:t>
      </w:r>
      <w:bookmarkEnd w:id="218"/>
      <w:bookmarkEnd w:id="219"/>
      <w:bookmarkEnd w:id="220"/>
      <w:bookmarkEnd w:id="221"/>
    </w:p>
    <w:p w14:paraId="30038B02">
      <w:pPr>
        <w:spacing w:line="400" w:lineRule="exact"/>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供应商和其他利害关系人认为本次招标活动违反法律、法规和规章规定的，有权向有关行政监督部门投诉。 </w:t>
      </w:r>
    </w:p>
    <w:p w14:paraId="4459B44E">
      <w:pPr>
        <w:pStyle w:val="18"/>
        <w:spacing w:before="120" w:after="120" w:line="500" w:lineRule="exact"/>
        <w:ind w:right="-1029" w:rightChars="-490" w:firstLine="482" w:firstLineChars="200"/>
        <w:jc w:val="both"/>
        <w:outlineLvl w:val="1"/>
        <w:rPr>
          <w:rFonts w:ascii="宋体" w:hAnsi="宋体" w:eastAsia="宋体" w:cs="宋体"/>
          <w:color w:val="000000" w:themeColor="text1"/>
          <w:sz w:val="24"/>
          <w:szCs w:val="24"/>
          <w:highlight w:val="none"/>
          <w14:textFill>
            <w14:solidFill>
              <w14:schemeClr w14:val="tx1"/>
            </w14:solidFill>
          </w14:textFill>
        </w:rPr>
      </w:pPr>
      <w:bookmarkStart w:id="222" w:name="_Toc13281"/>
      <w:bookmarkStart w:id="223" w:name="_Toc10880"/>
      <w:bookmarkStart w:id="224" w:name="_Toc426369529"/>
      <w:bookmarkStart w:id="225" w:name="_Toc403122539"/>
      <w:bookmarkStart w:id="226" w:name="_Toc25080"/>
      <w:r>
        <w:rPr>
          <w:rFonts w:hint="eastAsia" w:ascii="宋体" w:hAnsi="宋体" w:eastAsia="宋体" w:cs="宋体"/>
          <w:color w:val="000000" w:themeColor="text1"/>
          <w:sz w:val="24"/>
          <w:szCs w:val="24"/>
          <w:highlight w:val="none"/>
          <w14:textFill>
            <w14:solidFill>
              <w14:schemeClr w14:val="tx1"/>
            </w14:solidFill>
          </w14:textFill>
        </w:rPr>
        <w:t>10. 需要补充的其他内容</w:t>
      </w:r>
      <w:bookmarkEnd w:id="222"/>
      <w:bookmarkEnd w:id="223"/>
      <w:bookmarkEnd w:id="224"/>
      <w:bookmarkEnd w:id="225"/>
      <w:bookmarkEnd w:id="226"/>
    </w:p>
    <w:p w14:paraId="0A275E66">
      <w:pPr>
        <w:autoSpaceDE w:val="0"/>
        <w:autoSpaceDN w:val="0"/>
        <w:adjustRightInd w:val="0"/>
        <w:spacing w:line="440" w:lineRule="exact"/>
        <w:ind w:firstLine="482"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10.1 费用承担</w:t>
      </w:r>
    </w:p>
    <w:p w14:paraId="2BE4FE2F">
      <w:pPr>
        <w:autoSpaceDE w:val="0"/>
        <w:autoSpaceDN w:val="0"/>
        <w:adjustRightInd w:val="0"/>
        <w:spacing w:line="440" w:lineRule="exact"/>
        <w:ind w:left="17" w:leftChars="8"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（1）无论投标结果如何，供应商应自行承担所有参与投标的全部费用，采购人和采购代理机构在任何情况下均无义务和责任承担上述费用。</w:t>
      </w:r>
    </w:p>
    <w:p w14:paraId="534CBA56">
      <w:pPr>
        <w:autoSpaceDE w:val="0"/>
        <w:autoSpaceDN w:val="0"/>
        <w:adjustRightInd w:val="0"/>
        <w:spacing w:line="44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（2）招标代理服务费由中标人支付。</w:t>
      </w:r>
    </w:p>
    <w:p w14:paraId="4D35CC33">
      <w:pPr>
        <w:autoSpaceDE w:val="0"/>
        <w:autoSpaceDN w:val="0"/>
        <w:adjustRightInd w:val="0"/>
        <w:spacing w:line="500" w:lineRule="exact"/>
        <w:ind w:firstLine="42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（3）供应商与采购人签订合同后，将合同报采购代理机构备案。</w:t>
      </w:r>
    </w:p>
    <w:p w14:paraId="22E37B17">
      <w:pPr>
        <w:pStyle w:val="31"/>
        <w:ind w:firstLine="482" w:firstLineChars="200"/>
        <w:rPr>
          <w:rFonts w:ascii="宋体" w:hAnsi="宋体" w:eastAsia="宋体" w:cs="宋体"/>
          <w:b/>
          <w:bCs/>
          <w:color w:val="000000" w:themeColor="text1"/>
          <w:kern w:val="2"/>
          <w:sz w:val="24"/>
          <w:highlight w:val="none"/>
          <w14:textFill>
            <w14:solidFill>
              <w14:schemeClr w14:val="tx1"/>
            </w14:solidFill>
          </w14:textFill>
        </w:rPr>
      </w:pPr>
      <w:r>
        <w:rPr>
          <w:rFonts w:hint="eastAsia" w:ascii="宋体" w:hAnsi="宋体" w:eastAsia="宋体" w:cs="宋体"/>
          <w:b/>
          <w:bCs/>
          <w:color w:val="000000" w:themeColor="text1"/>
          <w:kern w:val="2"/>
          <w:sz w:val="24"/>
          <w:highlight w:val="none"/>
          <w14:textFill>
            <w14:solidFill>
              <w14:schemeClr w14:val="tx1"/>
            </w14:solidFill>
          </w14:textFill>
        </w:rPr>
        <w:t>10.2本招标文件未尽事宜，按《中华人民共和国政府采购法》等法律法规的有关规定执行。</w:t>
      </w:r>
    </w:p>
    <w:p w14:paraId="01BD6FC5">
      <w:pPr>
        <w:pStyle w:val="8"/>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E32289E">
      <w:pPr>
        <w:pStyle w:val="18"/>
        <w:numPr>
          <w:ilvl w:val="0"/>
          <w:numId w:val="5"/>
        </w:numPr>
        <w:spacing w:line="600" w:lineRule="exact"/>
        <w:ind w:right="-63" w:rightChars="-30"/>
        <w:rPr>
          <w:rFonts w:ascii="宋体" w:hAnsi="宋体" w:eastAsia="宋体" w:cs="宋体"/>
          <w:color w:val="000000" w:themeColor="text1"/>
          <w:sz w:val="36"/>
          <w:szCs w:val="36"/>
          <w:highlight w:val="none"/>
          <w14:textFill>
            <w14:solidFill>
              <w14:schemeClr w14:val="tx1"/>
            </w14:solidFill>
          </w14:textFill>
        </w:rPr>
      </w:pPr>
      <w:bookmarkStart w:id="227" w:name="_Toc28433"/>
      <w:bookmarkStart w:id="228" w:name="_Toc426369530"/>
      <w:bookmarkStart w:id="229" w:name="_Toc403122540"/>
      <w:bookmarkStart w:id="230" w:name="_Toc2596"/>
      <w:bookmarkStart w:id="231" w:name="_Toc8251"/>
      <w:r>
        <w:rPr>
          <w:rFonts w:hint="eastAsia" w:ascii="宋体" w:hAnsi="宋体" w:eastAsia="宋体" w:cs="宋体"/>
          <w:color w:val="000000" w:themeColor="text1"/>
          <w:sz w:val="36"/>
          <w:szCs w:val="36"/>
          <w:highlight w:val="none"/>
          <w14:textFill>
            <w14:solidFill>
              <w14:schemeClr w14:val="tx1"/>
            </w14:solidFill>
          </w14:textFill>
        </w:rPr>
        <w:t>评标办法</w:t>
      </w:r>
      <w:bookmarkEnd w:id="227"/>
      <w:bookmarkEnd w:id="228"/>
      <w:bookmarkEnd w:id="229"/>
      <w:r>
        <w:rPr>
          <w:rFonts w:hint="eastAsia" w:ascii="宋体" w:hAnsi="宋体" w:eastAsia="宋体" w:cs="宋体"/>
          <w:color w:val="000000" w:themeColor="text1"/>
          <w:sz w:val="36"/>
          <w:szCs w:val="36"/>
          <w:highlight w:val="none"/>
          <w14:textFill>
            <w14:solidFill>
              <w14:schemeClr w14:val="tx1"/>
            </w14:solidFill>
          </w14:textFill>
        </w:rPr>
        <w:t>（综合评分法）</w:t>
      </w:r>
      <w:bookmarkEnd w:id="230"/>
      <w:bookmarkEnd w:id="231"/>
    </w:p>
    <w:p w14:paraId="4B07009A">
      <w:pPr>
        <w:pStyle w:val="32"/>
        <w:spacing w:line="540" w:lineRule="exact"/>
        <w:jc w:val="center"/>
        <w:outlineLvl w:val="1"/>
        <w:rPr>
          <w:rFonts w:ascii="宋体" w:hAnsi="宋体" w:eastAsia="宋体" w:cs="宋体"/>
          <w:b/>
          <w:bCs/>
          <w:color w:val="000000" w:themeColor="text1"/>
          <w:sz w:val="28"/>
          <w:szCs w:val="28"/>
          <w:highlight w:val="none"/>
          <w14:textFill>
            <w14:solidFill>
              <w14:schemeClr w14:val="tx1"/>
            </w14:solidFill>
          </w14:textFill>
        </w:rPr>
      </w:pPr>
      <w:bookmarkStart w:id="232" w:name="_Toc17859"/>
      <w:bookmarkStart w:id="233" w:name="_Toc21885"/>
      <w:bookmarkStart w:id="234" w:name="_Toc29947"/>
      <w:bookmarkStart w:id="235" w:name="_Toc30933"/>
      <w:bookmarkStart w:id="236" w:name="_Toc9561"/>
      <w:bookmarkStart w:id="237" w:name="_Toc16529"/>
      <w:bookmarkStart w:id="238" w:name="_Toc2761070"/>
      <w:r>
        <w:rPr>
          <w:rFonts w:hint="eastAsia" w:ascii="宋体" w:hAnsi="宋体" w:eastAsia="宋体" w:cs="宋体"/>
          <w:b/>
          <w:bCs/>
          <w:color w:val="000000" w:themeColor="text1"/>
          <w:sz w:val="28"/>
          <w:szCs w:val="28"/>
          <w:highlight w:val="none"/>
          <w14:textFill>
            <w14:solidFill>
              <w14:schemeClr w14:val="tx1"/>
            </w14:solidFill>
          </w14:textFill>
        </w:rPr>
        <w:t>评分办法前附表</w:t>
      </w:r>
      <w:bookmarkEnd w:id="232"/>
      <w:bookmarkEnd w:id="233"/>
      <w:bookmarkEnd w:id="234"/>
      <w:bookmarkEnd w:id="235"/>
      <w:bookmarkEnd w:id="236"/>
    </w:p>
    <w:bookmarkEnd w:id="237"/>
    <w:tbl>
      <w:tblPr>
        <w:tblStyle w:val="21"/>
        <w:tblpPr w:leftFromText="180" w:rightFromText="180" w:vertAnchor="text" w:horzAnchor="page" w:tblpX="1155" w:tblpY="363"/>
        <w:tblOverlap w:val="never"/>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095"/>
        <w:gridCol w:w="2084"/>
        <w:gridCol w:w="5602"/>
      </w:tblGrid>
      <w:tr w14:paraId="33D2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1095" w:type="dxa"/>
            <w:vAlign w:val="center"/>
          </w:tcPr>
          <w:p w14:paraId="0F5D29AB">
            <w:pPr>
              <w:spacing w:line="440" w:lineRule="exact"/>
              <w:jc w:val="center"/>
              <w:rPr>
                <w:rFonts w:ascii="宋体" w:hAnsi="宋体" w:cs="宋体"/>
                <w:b/>
                <w:color w:val="000000" w:themeColor="text1"/>
                <w:szCs w:val="21"/>
                <w:highlight w:val="none"/>
                <w14:textFill>
                  <w14:solidFill>
                    <w14:schemeClr w14:val="tx1"/>
                  </w14:solidFill>
                </w14:textFill>
              </w:rPr>
            </w:pPr>
            <w:bookmarkStart w:id="239" w:name="_Toc426369531"/>
            <w:bookmarkStart w:id="240" w:name="_Toc31084"/>
            <w:bookmarkStart w:id="241" w:name="_Toc403122541"/>
            <w:r>
              <w:rPr>
                <w:rFonts w:hint="eastAsia" w:ascii="宋体" w:hAnsi="宋体" w:cs="宋体"/>
                <w:b/>
                <w:bCs/>
                <w:color w:val="000000" w:themeColor="text1"/>
                <w:kern w:val="0"/>
                <w:szCs w:val="21"/>
                <w:highlight w:val="none"/>
                <w14:textFill>
                  <w14:solidFill>
                    <w14:schemeClr w14:val="tx1"/>
                  </w14:solidFill>
                </w14:textFill>
              </w:rPr>
              <w:t>审查主体</w:t>
            </w:r>
          </w:p>
        </w:tc>
        <w:tc>
          <w:tcPr>
            <w:tcW w:w="3179" w:type="dxa"/>
            <w:gridSpan w:val="2"/>
            <w:vAlign w:val="center"/>
          </w:tcPr>
          <w:p w14:paraId="219A4AA2">
            <w:pPr>
              <w:spacing w:line="44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5602" w:type="dxa"/>
            <w:vAlign w:val="center"/>
          </w:tcPr>
          <w:p w14:paraId="7C0B41D7">
            <w:pPr>
              <w:tabs>
                <w:tab w:val="left" w:pos="417"/>
                <w:tab w:val="center" w:pos="2999"/>
              </w:tabs>
              <w:spacing w:line="440" w:lineRule="exact"/>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ab/>
            </w:r>
            <w:r>
              <w:rPr>
                <w:rFonts w:hint="eastAsia" w:ascii="宋体" w:hAnsi="宋体" w:cs="宋体"/>
                <w:b/>
                <w:color w:val="000000" w:themeColor="text1"/>
                <w:szCs w:val="21"/>
                <w:highlight w:val="none"/>
                <w14:textFill>
                  <w14:solidFill>
                    <w14:schemeClr w14:val="tx1"/>
                  </w14:solidFill>
                </w14:textFill>
              </w:rPr>
              <w:tab/>
            </w:r>
            <w:r>
              <w:rPr>
                <w:rFonts w:hint="eastAsia" w:ascii="宋体" w:hAnsi="宋体" w:cs="宋体"/>
                <w:b/>
                <w:color w:val="000000" w:themeColor="text1"/>
                <w:szCs w:val="21"/>
                <w:highlight w:val="none"/>
                <w14:textFill>
                  <w14:solidFill>
                    <w14:schemeClr w14:val="tx1"/>
                  </w14:solidFill>
                </w14:textFill>
              </w:rPr>
              <w:t>评审标准</w:t>
            </w:r>
          </w:p>
        </w:tc>
      </w:tr>
      <w:tr w14:paraId="53A7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exact"/>
        </w:trPr>
        <w:tc>
          <w:tcPr>
            <w:tcW w:w="1095" w:type="dxa"/>
            <w:vMerge w:val="restart"/>
            <w:vAlign w:val="center"/>
          </w:tcPr>
          <w:p w14:paraId="1571688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资格审查小组</w:t>
            </w:r>
          </w:p>
        </w:tc>
        <w:tc>
          <w:tcPr>
            <w:tcW w:w="1095" w:type="dxa"/>
            <w:vMerge w:val="restart"/>
            <w:vAlign w:val="center"/>
          </w:tcPr>
          <w:p w14:paraId="42CE3FD1">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一、资格评审标准</w:t>
            </w:r>
          </w:p>
        </w:tc>
        <w:tc>
          <w:tcPr>
            <w:tcW w:w="2084" w:type="dxa"/>
            <w:vAlign w:val="center"/>
          </w:tcPr>
          <w:p w14:paraId="3D665EB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营业执照、税务登记证、组织机构代码证（或三证合一的营业执照）</w:t>
            </w:r>
          </w:p>
        </w:tc>
        <w:tc>
          <w:tcPr>
            <w:tcW w:w="5602" w:type="dxa"/>
            <w:vAlign w:val="center"/>
          </w:tcPr>
          <w:p w14:paraId="74C3CF2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提供资格承诺函</w:t>
            </w:r>
          </w:p>
        </w:tc>
      </w:tr>
      <w:tr w14:paraId="557C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trPr>
        <w:tc>
          <w:tcPr>
            <w:tcW w:w="1095" w:type="dxa"/>
            <w:vMerge w:val="continue"/>
            <w:vAlign w:val="center"/>
          </w:tcPr>
          <w:p w14:paraId="22CCF40F">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vAlign w:val="center"/>
          </w:tcPr>
          <w:p w14:paraId="335248ED">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vAlign w:val="center"/>
          </w:tcPr>
          <w:p w14:paraId="0DF0775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符合《中华人民共和国政府采购法》第二十二条之规定</w:t>
            </w:r>
          </w:p>
        </w:tc>
        <w:tc>
          <w:tcPr>
            <w:tcW w:w="5602" w:type="dxa"/>
            <w:vAlign w:val="center"/>
          </w:tcPr>
          <w:p w14:paraId="5F9516A7">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提供资格承诺函</w:t>
            </w:r>
          </w:p>
        </w:tc>
      </w:tr>
      <w:tr w14:paraId="20E3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095" w:type="dxa"/>
            <w:vMerge w:val="continue"/>
            <w:vAlign w:val="center"/>
          </w:tcPr>
          <w:p w14:paraId="0D3081CD">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vAlign w:val="center"/>
          </w:tcPr>
          <w:p w14:paraId="19D8C92D">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vAlign w:val="center"/>
          </w:tcPr>
          <w:p w14:paraId="4958C3D9">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法定代表人证明或法人授权委托书</w:t>
            </w:r>
          </w:p>
        </w:tc>
        <w:tc>
          <w:tcPr>
            <w:tcW w:w="5602" w:type="dxa"/>
            <w:vAlign w:val="center"/>
          </w:tcPr>
          <w:p w14:paraId="0A44E8E7">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提供法定代表人（负责人）证明或法人授权委托书</w:t>
            </w:r>
          </w:p>
        </w:tc>
      </w:tr>
      <w:tr w14:paraId="7AB5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exact"/>
        </w:trPr>
        <w:tc>
          <w:tcPr>
            <w:tcW w:w="1095" w:type="dxa"/>
            <w:vMerge w:val="continue"/>
            <w:vAlign w:val="center"/>
          </w:tcPr>
          <w:p w14:paraId="208723A1">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vAlign w:val="center"/>
          </w:tcPr>
          <w:p w14:paraId="4BDA4148">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vAlign w:val="center"/>
          </w:tcPr>
          <w:p w14:paraId="0B7CCEDE">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信誉要求</w:t>
            </w:r>
          </w:p>
        </w:tc>
        <w:tc>
          <w:tcPr>
            <w:tcW w:w="5602" w:type="dxa"/>
            <w:vAlign w:val="center"/>
          </w:tcPr>
          <w:p w14:paraId="6B3BA8A8">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的投标人，拒绝参与政府采购活动，同时对信用信息查询记录和证据进行打印存档</w:t>
            </w:r>
          </w:p>
        </w:tc>
      </w:tr>
      <w:tr w14:paraId="3705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95" w:type="dxa"/>
            <w:vMerge w:val="continue"/>
            <w:tcBorders>
              <w:bottom w:val="single" w:color="auto" w:sz="4" w:space="0"/>
            </w:tcBorders>
            <w:vAlign w:val="center"/>
          </w:tcPr>
          <w:p w14:paraId="35F151B0">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tcBorders>
              <w:bottom w:val="single" w:color="auto" w:sz="4" w:space="0"/>
            </w:tcBorders>
            <w:vAlign w:val="center"/>
          </w:tcPr>
          <w:p w14:paraId="1B717589">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tcBorders>
              <w:bottom w:val="single" w:color="auto" w:sz="4" w:space="0"/>
            </w:tcBorders>
            <w:vAlign w:val="center"/>
          </w:tcPr>
          <w:p w14:paraId="280B41FA">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其他要求</w:t>
            </w:r>
          </w:p>
        </w:tc>
        <w:tc>
          <w:tcPr>
            <w:tcW w:w="5602" w:type="dxa"/>
            <w:tcBorders>
              <w:bottom w:val="single" w:color="auto" w:sz="4" w:space="0"/>
            </w:tcBorders>
            <w:vAlign w:val="center"/>
          </w:tcPr>
          <w:p w14:paraId="5F5A0719">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符合招标文件资格要求的其他要求</w:t>
            </w:r>
          </w:p>
        </w:tc>
      </w:tr>
      <w:tr w14:paraId="0880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trPr>
        <w:tc>
          <w:tcPr>
            <w:tcW w:w="1095" w:type="dxa"/>
            <w:vMerge w:val="restart"/>
            <w:tcBorders>
              <w:top w:val="single" w:color="auto" w:sz="4" w:space="0"/>
              <w:left w:val="single" w:color="auto" w:sz="4" w:space="0"/>
              <w:bottom w:val="single" w:color="auto" w:sz="4" w:space="0"/>
              <w:right w:val="single" w:color="auto" w:sz="4" w:space="0"/>
            </w:tcBorders>
            <w:vAlign w:val="center"/>
          </w:tcPr>
          <w:p w14:paraId="2D7FBAE6">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w:t>
            </w: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2B1F2702">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二、形式评审标准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4EC3FF43">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5602" w:type="dxa"/>
            <w:tcBorders>
              <w:top w:val="single" w:color="auto" w:sz="4" w:space="0"/>
              <w:left w:val="single" w:color="auto" w:sz="4" w:space="0"/>
              <w:bottom w:val="single" w:color="auto" w:sz="4" w:space="0"/>
              <w:right w:val="single" w:color="auto" w:sz="4" w:space="0"/>
            </w:tcBorders>
            <w:vAlign w:val="center"/>
          </w:tcPr>
          <w:p w14:paraId="0AF3F0E1">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与营业执照等证件一致</w:t>
            </w:r>
          </w:p>
        </w:tc>
      </w:tr>
      <w:tr w14:paraId="7B06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70E7F718">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50D2FEB">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718DA4DC">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投标函签字盖章</w:t>
            </w:r>
          </w:p>
        </w:tc>
        <w:tc>
          <w:tcPr>
            <w:tcW w:w="5602" w:type="dxa"/>
            <w:tcBorders>
              <w:top w:val="single" w:color="auto" w:sz="4" w:space="0"/>
              <w:left w:val="single" w:color="auto" w:sz="4" w:space="0"/>
              <w:bottom w:val="single" w:color="auto" w:sz="4" w:space="0"/>
              <w:right w:val="single" w:color="auto" w:sz="4" w:space="0"/>
            </w:tcBorders>
            <w:vAlign w:val="center"/>
          </w:tcPr>
          <w:p w14:paraId="7E35CE67">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加盖单位公章并有法定代表人或其委托代理人签字或盖章</w:t>
            </w:r>
          </w:p>
        </w:tc>
      </w:tr>
      <w:tr w14:paraId="7984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4988245E">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3777821B">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6A041160">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投标文件格式</w:t>
            </w:r>
          </w:p>
        </w:tc>
        <w:tc>
          <w:tcPr>
            <w:tcW w:w="5602" w:type="dxa"/>
            <w:tcBorders>
              <w:top w:val="single" w:color="auto" w:sz="4" w:space="0"/>
              <w:left w:val="single" w:color="auto" w:sz="4" w:space="0"/>
              <w:bottom w:val="single" w:color="auto" w:sz="4" w:space="0"/>
              <w:right w:val="single" w:color="auto" w:sz="4" w:space="0"/>
            </w:tcBorders>
            <w:vAlign w:val="center"/>
          </w:tcPr>
          <w:p w14:paraId="7E7D2985">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符合招标文件格式要求</w:t>
            </w:r>
          </w:p>
        </w:tc>
      </w:tr>
      <w:tr w14:paraId="0AF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6C1E6422">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14:paraId="483FFF11">
            <w:pPr>
              <w:spacing w:line="440" w:lineRule="exact"/>
              <w:jc w:val="center"/>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37535018">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5602" w:type="dxa"/>
            <w:tcBorders>
              <w:top w:val="single" w:color="auto" w:sz="4" w:space="0"/>
              <w:left w:val="single" w:color="auto" w:sz="4" w:space="0"/>
              <w:bottom w:val="single" w:color="auto" w:sz="4" w:space="0"/>
              <w:right w:val="single" w:color="auto" w:sz="4" w:space="0"/>
            </w:tcBorders>
            <w:vAlign w:val="center"/>
          </w:tcPr>
          <w:p w14:paraId="3B276195">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只能有一个有效报价</w:t>
            </w:r>
          </w:p>
        </w:tc>
      </w:tr>
      <w:tr w14:paraId="66E3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trPr>
        <w:tc>
          <w:tcPr>
            <w:tcW w:w="1095" w:type="dxa"/>
            <w:vMerge w:val="continue"/>
            <w:tcBorders>
              <w:top w:val="single" w:color="auto" w:sz="4" w:space="0"/>
              <w:left w:val="single" w:color="auto" w:sz="4" w:space="0"/>
              <w:bottom w:val="single" w:color="auto" w:sz="4" w:space="0"/>
              <w:right w:val="single" w:color="auto" w:sz="4" w:space="0"/>
            </w:tcBorders>
            <w:vAlign w:val="center"/>
          </w:tcPr>
          <w:p w14:paraId="3E53E839">
            <w:pPr>
              <w:spacing w:line="440" w:lineRule="exact"/>
              <w:jc w:val="center"/>
              <w:rPr>
                <w:rFonts w:ascii="宋体" w:hAnsi="宋体" w:cs="宋体"/>
                <w:color w:val="000000" w:themeColor="text1"/>
                <w:szCs w:val="21"/>
                <w:highlight w:val="none"/>
                <w14:textFill>
                  <w14:solidFill>
                    <w14:schemeClr w14:val="tx1"/>
                  </w14:solidFill>
                </w14:textFill>
              </w:rPr>
            </w:pPr>
          </w:p>
        </w:tc>
        <w:tc>
          <w:tcPr>
            <w:tcW w:w="1095" w:type="dxa"/>
            <w:vMerge w:val="restart"/>
            <w:tcBorders>
              <w:top w:val="single" w:color="auto" w:sz="4" w:space="0"/>
              <w:left w:val="single" w:color="auto" w:sz="4" w:space="0"/>
              <w:bottom w:val="single" w:color="auto" w:sz="4" w:space="0"/>
              <w:right w:val="single" w:color="auto" w:sz="4" w:space="0"/>
            </w:tcBorders>
            <w:vAlign w:val="center"/>
          </w:tcPr>
          <w:p w14:paraId="4C78CC15">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三、响应性评审标准</w:t>
            </w:r>
          </w:p>
        </w:tc>
        <w:tc>
          <w:tcPr>
            <w:tcW w:w="2084" w:type="dxa"/>
            <w:tcBorders>
              <w:top w:val="single" w:color="auto" w:sz="4" w:space="0"/>
              <w:left w:val="single" w:color="auto" w:sz="4" w:space="0"/>
              <w:bottom w:val="single" w:color="auto" w:sz="4" w:space="0"/>
              <w:right w:val="single" w:color="auto" w:sz="4" w:space="0"/>
            </w:tcBorders>
            <w:vAlign w:val="center"/>
          </w:tcPr>
          <w:p w14:paraId="211C7587">
            <w:pPr>
              <w:spacing w:line="440" w:lineRule="exact"/>
              <w:jc w:val="center"/>
              <w:rPr>
                <w:rFonts w:hint="default" w:ascii="宋体" w:hAnsi="宋体" w:cs="宋体"/>
                <w:color w:val="auto"/>
                <w:szCs w:val="21"/>
                <w:highlight w:val="none"/>
                <w:lang w:val="en-US"/>
              </w:rPr>
            </w:pPr>
            <w:r>
              <w:rPr>
                <w:rFonts w:hint="default" w:ascii="宋体" w:hAnsi="宋体" w:cs="宋体"/>
                <w:color w:val="auto"/>
                <w:szCs w:val="21"/>
                <w:highlight w:val="none"/>
                <w:lang w:val="en-US" w:eastAsia="zh-CN"/>
              </w:rPr>
              <w:t>服务期</w:t>
            </w:r>
          </w:p>
        </w:tc>
        <w:tc>
          <w:tcPr>
            <w:tcW w:w="5602" w:type="dxa"/>
            <w:tcBorders>
              <w:top w:val="single" w:color="auto" w:sz="4" w:space="0"/>
              <w:left w:val="single" w:color="auto" w:sz="4" w:space="0"/>
              <w:bottom w:val="single" w:color="auto" w:sz="4" w:space="0"/>
              <w:right w:val="single" w:color="auto" w:sz="4" w:space="0"/>
            </w:tcBorders>
            <w:vAlign w:val="center"/>
          </w:tcPr>
          <w:p w14:paraId="71F88550">
            <w:pPr>
              <w:spacing w:line="44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3年。第一年结束考核合格后，续签剩余两年合同。</w:t>
            </w:r>
          </w:p>
        </w:tc>
      </w:tr>
      <w:tr w14:paraId="2D07B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423A8F19">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72DB2E39">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307D4FB2">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质量要求</w:t>
            </w:r>
          </w:p>
        </w:tc>
        <w:tc>
          <w:tcPr>
            <w:tcW w:w="5602" w:type="dxa"/>
            <w:tcBorders>
              <w:top w:val="single" w:color="auto" w:sz="4" w:space="0"/>
              <w:left w:val="single" w:color="auto" w:sz="4" w:space="0"/>
              <w:bottom w:val="single" w:color="auto" w:sz="4" w:space="0"/>
              <w:right w:val="single" w:color="auto" w:sz="4" w:space="0"/>
            </w:tcBorders>
            <w:vAlign w:val="center"/>
          </w:tcPr>
          <w:p w14:paraId="0E7006B4">
            <w:pPr>
              <w:spacing w:line="440" w:lineRule="exact"/>
              <w:rPr>
                <w:rFonts w:ascii="宋体" w:hAnsi="宋体" w:cs="宋体"/>
                <w:color w:val="auto"/>
                <w:szCs w:val="21"/>
                <w:highlight w:val="none"/>
              </w:rPr>
            </w:pPr>
            <w:r>
              <w:rPr>
                <w:rFonts w:hint="eastAsia" w:ascii="宋体" w:hAnsi="宋体" w:cs="宋体"/>
                <w:color w:val="auto"/>
                <w:szCs w:val="21"/>
                <w:highlight w:val="none"/>
              </w:rPr>
              <w:t>合格，符合国家及行业规范标准。</w:t>
            </w:r>
          </w:p>
        </w:tc>
      </w:tr>
      <w:tr w14:paraId="485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3ACE69E7">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3BCD0021">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59BCED04">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商务报价</w:t>
            </w:r>
          </w:p>
        </w:tc>
        <w:tc>
          <w:tcPr>
            <w:tcW w:w="5602" w:type="dxa"/>
            <w:tcBorders>
              <w:top w:val="single" w:color="auto" w:sz="4" w:space="0"/>
              <w:left w:val="single" w:color="auto" w:sz="4" w:space="0"/>
              <w:bottom w:val="single" w:color="auto" w:sz="4" w:space="0"/>
              <w:right w:val="single" w:color="auto" w:sz="4" w:space="0"/>
            </w:tcBorders>
            <w:vAlign w:val="center"/>
          </w:tcPr>
          <w:p w14:paraId="7EBDCDDD">
            <w:pPr>
              <w:spacing w:line="360" w:lineRule="exact"/>
              <w:rPr>
                <w:rFonts w:ascii="宋体" w:hAnsi="宋体" w:cs="宋体"/>
                <w:color w:val="auto"/>
                <w:szCs w:val="21"/>
                <w:highlight w:val="none"/>
              </w:rPr>
            </w:pPr>
            <w:r>
              <w:rPr>
                <w:rFonts w:hint="eastAsia" w:ascii="宋体" w:hAnsi="宋体" w:cs="宋体"/>
                <w:color w:val="auto"/>
                <w:szCs w:val="21"/>
                <w:highlight w:val="none"/>
              </w:rPr>
              <w:t>只能有一个有效报价，且不能超过招标控制价</w:t>
            </w:r>
          </w:p>
        </w:tc>
      </w:tr>
      <w:tr w14:paraId="7EAE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57ECAB68">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67CDDA70">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06FF3DF1">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5602" w:type="dxa"/>
            <w:tcBorders>
              <w:top w:val="single" w:color="auto" w:sz="4" w:space="0"/>
              <w:left w:val="single" w:color="auto" w:sz="4" w:space="0"/>
              <w:bottom w:val="single" w:color="auto" w:sz="4" w:space="0"/>
              <w:right w:val="single" w:color="auto" w:sz="4" w:space="0"/>
            </w:tcBorders>
            <w:vAlign w:val="center"/>
          </w:tcPr>
          <w:p w14:paraId="29C2F0B4">
            <w:pPr>
              <w:spacing w:line="440" w:lineRule="exact"/>
              <w:rPr>
                <w:rFonts w:ascii="宋体" w:hAnsi="宋体" w:cs="宋体"/>
                <w:color w:val="auto"/>
                <w:szCs w:val="21"/>
                <w:highlight w:val="none"/>
              </w:rPr>
            </w:pPr>
            <w:r>
              <w:rPr>
                <w:rFonts w:hint="eastAsia" w:ascii="宋体" w:hAnsi="宋体" w:cs="宋体"/>
                <w:color w:val="auto"/>
                <w:szCs w:val="21"/>
                <w:highlight w:val="none"/>
              </w:rPr>
              <w:t>60日历天（从投标截止之日算起）</w:t>
            </w:r>
          </w:p>
        </w:tc>
      </w:tr>
      <w:tr w14:paraId="2597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4FA41514">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7E83F825">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7F2553A7">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5602" w:type="dxa"/>
            <w:tcBorders>
              <w:top w:val="single" w:color="auto" w:sz="4" w:space="0"/>
              <w:left w:val="single" w:color="auto" w:sz="4" w:space="0"/>
              <w:bottom w:val="single" w:color="auto" w:sz="4" w:space="0"/>
              <w:right w:val="single" w:color="auto" w:sz="4" w:space="0"/>
            </w:tcBorders>
            <w:vAlign w:val="center"/>
          </w:tcPr>
          <w:p w14:paraId="57C18E7A">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符合招标文件第四章“合同条款及格式”规定</w:t>
            </w:r>
          </w:p>
        </w:tc>
      </w:tr>
      <w:tr w14:paraId="6E58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02D2A04B">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12B2C743">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601EF944">
            <w:pPr>
              <w:spacing w:line="44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技术标准和要求</w:t>
            </w:r>
          </w:p>
        </w:tc>
        <w:tc>
          <w:tcPr>
            <w:tcW w:w="5602" w:type="dxa"/>
            <w:tcBorders>
              <w:top w:val="single" w:color="auto" w:sz="4" w:space="0"/>
              <w:left w:val="single" w:color="auto" w:sz="4" w:space="0"/>
              <w:bottom w:val="single" w:color="auto" w:sz="4" w:space="0"/>
              <w:right w:val="single" w:color="auto" w:sz="4" w:space="0"/>
            </w:tcBorders>
            <w:vAlign w:val="center"/>
          </w:tcPr>
          <w:p w14:paraId="47A8097D">
            <w:pPr>
              <w:spacing w:line="44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符合“采购内容及要求”规定，若不符合技术标准和要求规定，将不再进行评审</w:t>
            </w:r>
          </w:p>
        </w:tc>
      </w:tr>
      <w:tr w14:paraId="67DA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exact"/>
        </w:trPr>
        <w:tc>
          <w:tcPr>
            <w:tcW w:w="1095" w:type="dxa"/>
            <w:vMerge w:val="continue"/>
            <w:tcBorders>
              <w:top w:val="single" w:color="auto" w:sz="4" w:space="0"/>
              <w:left w:val="single" w:color="auto" w:sz="4" w:space="0"/>
              <w:bottom w:val="single" w:color="auto" w:sz="4" w:space="0"/>
              <w:right w:val="single" w:color="auto" w:sz="4" w:space="0"/>
            </w:tcBorders>
            <w:vAlign w:val="top"/>
          </w:tcPr>
          <w:p w14:paraId="7EC98948">
            <w:pPr>
              <w:spacing w:line="440" w:lineRule="exact"/>
              <w:rPr>
                <w:rFonts w:ascii="宋体" w:hAnsi="宋体" w:cs="宋体"/>
                <w:color w:val="000000" w:themeColor="text1"/>
                <w:szCs w:val="21"/>
                <w:highlight w:val="none"/>
                <w14:textFill>
                  <w14:solidFill>
                    <w14:schemeClr w14:val="tx1"/>
                  </w14:solidFill>
                </w14:textFill>
              </w:rPr>
            </w:pPr>
          </w:p>
        </w:tc>
        <w:tc>
          <w:tcPr>
            <w:tcW w:w="1095" w:type="dxa"/>
            <w:vMerge w:val="continue"/>
            <w:tcBorders>
              <w:top w:val="single" w:color="auto" w:sz="4" w:space="0"/>
              <w:left w:val="single" w:color="auto" w:sz="4" w:space="0"/>
              <w:bottom w:val="single" w:color="auto" w:sz="4" w:space="0"/>
              <w:right w:val="single" w:color="auto" w:sz="4" w:space="0"/>
            </w:tcBorders>
            <w:vAlign w:val="top"/>
          </w:tcPr>
          <w:p w14:paraId="0D317922">
            <w:pPr>
              <w:spacing w:line="440" w:lineRule="exact"/>
              <w:rPr>
                <w:rFonts w:ascii="宋体" w:hAnsi="宋体" w:cs="宋体"/>
                <w:color w:val="000000" w:themeColor="text1"/>
                <w:szCs w:val="21"/>
                <w:highlight w:val="none"/>
                <w14:textFill>
                  <w14:solidFill>
                    <w14:schemeClr w14:val="tx1"/>
                  </w14:solidFill>
                </w14:textFill>
              </w:rPr>
            </w:pPr>
          </w:p>
        </w:tc>
        <w:tc>
          <w:tcPr>
            <w:tcW w:w="2084" w:type="dxa"/>
            <w:tcBorders>
              <w:top w:val="single" w:color="auto" w:sz="4" w:space="0"/>
              <w:left w:val="single" w:color="auto" w:sz="4" w:space="0"/>
              <w:bottom w:val="single" w:color="auto" w:sz="4" w:space="0"/>
              <w:right w:val="single" w:color="auto" w:sz="4" w:space="0"/>
            </w:tcBorders>
            <w:vAlign w:val="center"/>
          </w:tcPr>
          <w:p w14:paraId="171B3795">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投标文件的其他响应</w:t>
            </w:r>
          </w:p>
        </w:tc>
        <w:tc>
          <w:tcPr>
            <w:tcW w:w="5602" w:type="dxa"/>
            <w:tcBorders>
              <w:top w:val="single" w:color="auto" w:sz="4" w:space="0"/>
              <w:left w:val="single" w:color="auto" w:sz="4" w:space="0"/>
              <w:bottom w:val="single" w:color="auto" w:sz="4" w:space="0"/>
              <w:right w:val="single" w:color="auto" w:sz="4" w:space="0"/>
            </w:tcBorders>
            <w:vAlign w:val="center"/>
          </w:tcPr>
          <w:p w14:paraId="432C4F71">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符合法律、法规和招标文件中规定的其他实质性要求的</w:t>
            </w:r>
          </w:p>
        </w:tc>
      </w:tr>
    </w:tbl>
    <w:p w14:paraId="76E6D48B">
      <w:pPr>
        <w:widowControl/>
        <w:jc w:val="center"/>
        <w:rPr>
          <w:rFonts w:ascii="宋体" w:hAnsi="宋体" w:cs="宋体"/>
          <w:b/>
          <w:color w:val="000000" w:themeColor="text1"/>
          <w:sz w:val="24"/>
          <w:highlight w:val="none"/>
          <w14:textFill>
            <w14:solidFill>
              <w14:schemeClr w14:val="tx1"/>
            </w14:solidFill>
          </w14:textFill>
        </w:rPr>
      </w:pPr>
    </w:p>
    <w:p w14:paraId="11AB3B21">
      <w:pPr>
        <w:widowControl/>
        <w:jc w:val="center"/>
        <w:rPr>
          <w:rFonts w:hint="eastAsia" w:ascii="宋体" w:hAnsi="宋体" w:cs="宋体"/>
          <w:b/>
          <w:color w:val="000000" w:themeColor="text1"/>
          <w:sz w:val="24"/>
          <w:highlight w:val="none"/>
          <w14:textFill>
            <w14:solidFill>
              <w14:schemeClr w14:val="tx1"/>
            </w14:solidFill>
          </w14:textFill>
        </w:rPr>
      </w:pPr>
    </w:p>
    <w:p w14:paraId="78E08C86">
      <w:pPr>
        <w:widowControl/>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评分标准</w:t>
      </w:r>
    </w:p>
    <w:tbl>
      <w:tblPr>
        <w:tblStyle w:val="21"/>
        <w:tblpPr w:leftFromText="180" w:rightFromText="180" w:vertAnchor="text" w:horzAnchor="page" w:tblpX="1048" w:tblpY="111"/>
        <w:tblOverlap w:val="never"/>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4"/>
        <w:gridCol w:w="745"/>
        <w:gridCol w:w="1127"/>
        <w:gridCol w:w="1031"/>
        <w:gridCol w:w="6331"/>
      </w:tblGrid>
      <w:tr w14:paraId="6ACB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trPr>
        <w:tc>
          <w:tcPr>
            <w:tcW w:w="824" w:type="dxa"/>
            <w:vAlign w:val="center"/>
          </w:tcPr>
          <w:p w14:paraId="63A5C2B7">
            <w:pPr>
              <w:pStyle w:val="3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45" w:type="dxa"/>
            <w:vAlign w:val="center"/>
          </w:tcPr>
          <w:p w14:paraId="6AEE1226">
            <w:pPr>
              <w:pStyle w:val="3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127" w:type="dxa"/>
            <w:vAlign w:val="center"/>
          </w:tcPr>
          <w:p w14:paraId="4810B5AD">
            <w:pPr>
              <w:pStyle w:val="3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评标因素</w:t>
            </w:r>
          </w:p>
        </w:tc>
        <w:tc>
          <w:tcPr>
            <w:tcW w:w="1031" w:type="dxa"/>
            <w:vAlign w:val="center"/>
          </w:tcPr>
          <w:p w14:paraId="54AE372F">
            <w:pPr>
              <w:pStyle w:val="3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331" w:type="dxa"/>
            <w:vAlign w:val="center"/>
          </w:tcPr>
          <w:p w14:paraId="26144ECC">
            <w:pPr>
              <w:pStyle w:val="35"/>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评分标准</w:t>
            </w:r>
          </w:p>
        </w:tc>
      </w:tr>
      <w:tr w14:paraId="197C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4" w:hRule="atLeast"/>
        </w:trPr>
        <w:tc>
          <w:tcPr>
            <w:tcW w:w="824" w:type="dxa"/>
            <w:vAlign w:val="center"/>
          </w:tcPr>
          <w:p w14:paraId="57B7D13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745" w:type="dxa"/>
            <w:vAlign w:val="center"/>
          </w:tcPr>
          <w:p w14:paraId="48FBCE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3"/>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报价</w:t>
            </w:r>
            <w:r>
              <w:rPr>
                <w:rFonts w:hint="eastAsia" w:ascii="宋体" w:hAnsi="宋体" w:eastAsia="宋体" w:cs="宋体"/>
                <w:color w:val="000000" w:themeColor="text1"/>
                <w:sz w:val="21"/>
                <w:szCs w:val="21"/>
                <w:highlight w:val="none"/>
                <w:lang w:val="en-US" w:eastAsia="zh-CN"/>
                <w14:textFill>
                  <w14:solidFill>
                    <w14:schemeClr w14:val="tx1"/>
                  </w14:solidFill>
                </w14:textFill>
              </w:rPr>
              <w:t>得分</w:t>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127" w:type="dxa"/>
            <w:vAlign w:val="center"/>
          </w:tcPr>
          <w:p w14:paraId="5386D9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w:t>
            </w:r>
          </w:p>
        </w:tc>
        <w:tc>
          <w:tcPr>
            <w:tcW w:w="1031" w:type="dxa"/>
            <w:vAlign w:val="center"/>
          </w:tcPr>
          <w:p w14:paraId="14A95D9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331" w:type="dxa"/>
            <w:vAlign w:val="center"/>
          </w:tcPr>
          <w:p w14:paraId="16F1D6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价格分采用低价优先法计算，即满足招标文件要求且评标报价最低的评标报价为评标基准价，其价格分为满分。其他投标人的价格分统一按照下：</w:t>
            </w:r>
          </w:p>
          <w:p w14:paraId="6AB385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投标报价得分=(评标基准价／评标报价)×投标报价权重。价格分计算保留小数点后二位。</w:t>
            </w:r>
          </w:p>
          <w:p w14:paraId="7FAE51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根据《政府采购促进中小企业发展管理办法》的通知（财库〔2020〕46号）文件规定：</w:t>
            </w:r>
          </w:p>
          <w:p w14:paraId="035671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对小微企业报价给予20%扣除</w:t>
            </w:r>
            <w:r>
              <w:rPr>
                <w:rFonts w:hint="eastAsia" w:ascii="宋体" w:hAnsi="宋体" w:eastAsia="宋体" w:cs="宋体"/>
                <w:color w:val="000000" w:themeColor="text1"/>
                <w:sz w:val="21"/>
                <w:szCs w:val="21"/>
                <w:highlight w:val="none"/>
                <w14:textFill>
                  <w14:solidFill>
                    <w14:schemeClr w14:val="tx1"/>
                  </w14:solidFill>
                </w14:textFill>
              </w:rPr>
              <w:t>，请按照《政府采购促进中小企业发展管理办法》要求提供中小企业声明函，用扣除后的价格参加评审。</w:t>
            </w:r>
          </w:p>
          <w:p w14:paraId="2414900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（2）关于监狱企业：视同小微企业。须提供由省级以上监狱管理局、戒毒管理局（含新疆生产建设兵团）出具的属于监狱企业的证明文件，否则不考虑价格扣除。</w:t>
            </w:r>
          </w:p>
          <w:p w14:paraId="222DEC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（3）关于残疾人福利性单位：视同小微企业。须提供完整的“残疾人福利性单位声明函”，否则在价格评审时不予考虑价格扣除。残疾人福利性单位属于小型、微型企业的，不重复享受政策。</w:t>
            </w:r>
          </w:p>
          <w:p w14:paraId="4BFB2C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（4）没有提供有效证明材料的供应商将被视为不接受投标总价的扣除，用原投标总价参与评审。</w:t>
            </w:r>
          </w:p>
          <w:p w14:paraId="15E50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（5）本项目采购标的对应的中小微企业行业划分标准：其他未列明行业</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1801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8" w:hRule="atLeast"/>
        </w:trPr>
        <w:tc>
          <w:tcPr>
            <w:tcW w:w="824" w:type="dxa"/>
            <w:vMerge w:val="restart"/>
            <w:vAlign w:val="center"/>
          </w:tcPr>
          <w:p w14:paraId="057792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745" w:type="dxa"/>
            <w:vMerge w:val="restart"/>
            <w:vAlign w:val="center"/>
          </w:tcPr>
          <w:p w14:paraId="2763A2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标得分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127" w:type="dxa"/>
            <w:vAlign w:val="center"/>
          </w:tcPr>
          <w:p w14:paraId="56BF7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1.服务方案</w:t>
            </w:r>
          </w:p>
        </w:tc>
        <w:tc>
          <w:tcPr>
            <w:tcW w:w="1031" w:type="dxa"/>
            <w:vAlign w:val="center"/>
          </w:tcPr>
          <w:p w14:paraId="460490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8分</w:t>
            </w:r>
          </w:p>
        </w:tc>
        <w:tc>
          <w:tcPr>
            <w:tcW w:w="6331" w:type="dxa"/>
            <w:vAlign w:val="center"/>
          </w:tcPr>
          <w:p w14:paraId="68C4707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结合本项目环卫服务等内容制定服务方案。</w:t>
            </w:r>
          </w:p>
          <w:p w14:paraId="4013F9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方案科学、操作性强、措施高效、针对性强得8分；</w:t>
            </w:r>
          </w:p>
          <w:p w14:paraId="060DA7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方案科学、操作性可行、措施效率较高、针对性较强得5分；</w:t>
            </w:r>
          </w:p>
          <w:p w14:paraId="0366CD7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方案不够科学、操作性一般、措施效率一般、针对性不强得3分；</w:t>
            </w:r>
          </w:p>
          <w:p w14:paraId="08C932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存在严重缺项或不提供，得0分</w:t>
            </w:r>
          </w:p>
        </w:tc>
      </w:tr>
      <w:tr w14:paraId="63224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6" w:hRule="atLeast"/>
        </w:trPr>
        <w:tc>
          <w:tcPr>
            <w:tcW w:w="824" w:type="dxa"/>
            <w:vMerge w:val="continue"/>
            <w:vAlign w:val="center"/>
          </w:tcPr>
          <w:p w14:paraId="6FB26F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6983A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27" w:type="dxa"/>
            <w:vAlign w:val="center"/>
          </w:tcPr>
          <w:p w14:paraId="1C9AFC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2.安全管理方案</w:t>
            </w:r>
          </w:p>
        </w:tc>
        <w:tc>
          <w:tcPr>
            <w:tcW w:w="1031" w:type="dxa"/>
            <w:vAlign w:val="center"/>
          </w:tcPr>
          <w:p w14:paraId="205F72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8分</w:t>
            </w:r>
          </w:p>
        </w:tc>
        <w:tc>
          <w:tcPr>
            <w:tcW w:w="6331" w:type="dxa"/>
            <w:vAlign w:val="center"/>
          </w:tcPr>
          <w:p w14:paraId="5592DE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结合正常营运及服务作业时和发生事故时的组织和安全防护措施，制定方案。</w:t>
            </w:r>
          </w:p>
          <w:p w14:paraId="546BC8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方案科学、操作性强、措施高效、针对性强得8分；</w:t>
            </w:r>
          </w:p>
          <w:p w14:paraId="03D22B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方案科学、操作性可行、措施效率较高、针对性较强得5分；</w:t>
            </w:r>
          </w:p>
          <w:p w14:paraId="7E60DF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方案不够科学、操作性一般、措施效率一般、针对性不强得3分；</w:t>
            </w:r>
          </w:p>
          <w:p w14:paraId="7B2D48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存在严重缺项或不提供，得0分</w:t>
            </w:r>
          </w:p>
        </w:tc>
      </w:tr>
      <w:tr w14:paraId="329B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trPr>
        <w:tc>
          <w:tcPr>
            <w:tcW w:w="824" w:type="dxa"/>
            <w:vMerge w:val="continue"/>
            <w:vAlign w:val="center"/>
          </w:tcPr>
          <w:p w14:paraId="388197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78912F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27" w:type="dxa"/>
            <w:vAlign w:val="center"/>
          </w:tcPr>
          <w:p w14:paraId="60FED9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3.质量保证措施</w:t>
            </w:r>
          </w:p>
        </w:tc>
        <w:tc>
          <w:tcPr>
            <w:tcW w:w="1031" w:type="dxa"/>
            <w:vAlign w:val="center"/>
          </w:tcPr>
          <w:p w14:paraId="68E69B6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8分</w:t>
            </w:r>
          </w:p>
        </w:tc>
        <w:tc>
          <w:tcPr>
            <w:tcW w:w="6331" w:type="dxa"/>
            <w:vAlign w:val="center"/>
          </w:tcPr>
          <w:p w14:paraId="1609DA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结合整体管理措施及具体实施服务方案、质量监督保证措施，制定方案。</w:t>
            </w:r>
          </w:p>
          <w:p w14:paraId="3C391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方案科学、操作性强、措施高效、针对性强得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204F68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方案科学、操作性可行、措施效率较高、针对性较强得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20407B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方案不够科学、操作性一般、措施效率一般、针对性不强得3分；</w:t>
            </w:r>
          </w:p>
          <w:p w14:paraId="0DCC83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存在严重缺项或不提供，得0分</w:t>
            </w:r>
          </w:p>
        </w:tc>
      </w:tr>
      <w:tr w14:paraId="6B06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6" w:hRule="atLeast"/>
        </w:trPr>
        <w:tc>
          <w:tcPr>
            <w:tcW w:w="824" w:type="dxa"/>
            <w:vMerge w:val="continue"/>
            <w:vAlign w:val="center"/>
          </w:tcPr>
          <w:p w14:paraId="7084F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55327F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27" w:type="dxa"/>
            <w:vAlign w:val="center"/>
          </w:tcPr>
          <w:p w14:paraId="6CFE52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4.资产接管方案</w:t>
            </w:r>
          </w:p>
        </w:tc>
        <w:tc>
          <w:tcPr>
            <w:tcW w:w="1031" w:type="dxa"/>
            <w:vAlign w:val="center"/>
          </w:tcPr>
          <w:p w14:paraId="263A5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8分</w:t>
            </w:r>
          </w:p>
        </w:tc>
        <w:tc>
          <w:tcPr>
            <w:tcW w:w="6331" w:type="dxa"/>
            <w:vAlign w:val="center"/>
          </w:tcPr>
          <w:p w14:paraId="32A03B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结合投标人针对本项目的人员、车辆及其他资产接管的情况，制定方案。</w:t>
            </w:r>
          </w:p>
          <w:p w14:paraId="23798F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方案科学、操作性强、措施高效、针对性强得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4B94727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方案科学、操作性可行、措施效率较高、针对性较强得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2C74EF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方案不够科学、操作性一般、措施效率一般、针对性不强得3分；</w:t>
            </w:r>
          </w:p>
          <w:p w14:paraId="318844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存在严重缺项或不提供，得0分</w:t>
            </w:r>
          </w:p>
        </w:tc>
      </w:tr>
      <w:tr w14:paraId="120C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trPr>
        <w:tc>
          <w:tcPr>
            <w:tcW w:w="824" w:type="dxa"/>
            <w:vMerge w:val="continue"/>
            <w:vAlign w:val="center"/>
          </w:tcPr>
          <w:p w14:paraId="58B289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548650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27" w:type="dxa"/>
            <w:vAlign w:val="center"/>
          </w:tcPr>
          <w:p w14:paraId="392D7A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5.应急处置方案</w:t>
            </w:r>
          </w:p>
        </w:tc>
        <w:tc>
          <w:tcPr>
            <w:tcW w:w="1031" w:type="dxa"/>
            <w:vAlign w:val="center"/>
          </w:tcPr>
          <w:p w14:paraId="55818B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8分</w:t>
            </w:r>
          </w:p>
        </w:tc>
        <w:tc>
          <w:tcPr>
            <w:tcW w:w="6331" w:type="dxa"/>
            <w:vAlign w:val="center"/>
          </w:tcPr>
          <w:p w14:paraId="3B6919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结合重大或突发事件应急服务保障措施、应急服务响应时间、应急设备保障、重大或突发事件的人员配合、控制失误及其他相关服务等，制定方案。</w:t>
            </w:r>
          </w:p>
          <w:p w14:paraId="32F39C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方案科学、操作性强、措施高效、针对性强得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17DC12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方案科学、操作性可行、措施效率较高、针对性较强得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37B4AC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方案不够科学、操作性一般、措施效率一般、针对性不强得3分；</w:t>
            </w:r>
          </w:p>
          <w:p w14:paraId="20FB31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存在严重缺项或不提供，得0分</w:t>
            </w:r>
          </w:p>
        </w:tc>
      </w:tr>
      <w:tr w14:paraId="452B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9" w:hRule="atLeast"/>
        </w:trPr>
        <w:tc>
          <w:tcPr>
            <w:tcW w:w="824" w:type="dxa"/>
            <w:vMerge w:val="restart"/>
            <w:vAlign w:val="center"/>
          </w:tcPr>
          <w:p w14:paraId="4C20B4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745" w:type="dxa"/>
            <w:vMerge w:val="restart"/>
            <w:vAlign w:val="center"/>
          </w:tcPr>
          <w:p w14:paraId="0F583F5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cs="宋体"/>
                <w:color w:val="000000" w:themeColor="text1"/>
                <w:sz w:val="21"/>
                <w:szCs w:val="21"/>
                <w:highlight w:val="none"/>
                <w:lang w:val="en-US" w:eastAsia="zh-CN"/>
                <w14:textFill>
                  <w14:solidFill>
                    <w14:schemeClr w14:val="tx1"/>
                  </w14:solidFill>
                </w14:textFill>
              </w:rPr>
              <w:t>标</w:t>
            </w:r>
            <w:r>
              <w:rPr>
                <w:rFonts w:hint="eastAsia" w:ascii="宋体" w:hAnsi="宋体" w:eastAsia="宋体" w:cs="宋体"/>
                <w:color w:val="000000" w:themeColor="text1"/>
                <w:sz w:val="21"/>
                <w:szCs w:val="21"/>
                <w:highlight w:val="none"/>
                <w:lang w:val="en-US" w:eastAsia="zh-CN"/>
                <w14:textFill>
                  <w14:solidFill>
                    <w14:schemeClr w14:val="tx1"/>
                  </w14:solidFill>
                </w14:textFill>
              </w:rPr>
              <w:t>得分</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127" w:type="dxa"/>
            <w:vAlign w:val="center"/>
          </w:tcPr>
          <w:p w14:paraId="7281EB2E">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1.人员配置</w:t>
            </w:r>
          </w:p>
        </w:tc>
        <w:tc>
          <w:tcPr>
            <w:tcW w:w="1031" w:type="dxa"/>
            <w:vAlign w:val="center"/>
          </w:tcPr>
          <w:p w14:paraId="553F89D3">
            <w:pPr>
              <w:keepNext w:val="0"/>
              <w:keepLines w:val="0"/>
              <w:pageBreakBefore w:val="0"/>
              <w:widowControl w:val="0"/>
              <w:kinsoku/>
              <w:wordWrap/>
              <w:overflowPunct/>
              <w:topLinePunct w:val="0"/>
              <w:autoSpaceDE/>
              <w:autoSpaceDN/>
              <w:bidi w:val="0"/>
              <w:adjustRightInd/>
              <w:snapToGrid/>
              <w:spacing w:beforeLines="0"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6分</w:t>
            </w:r>
          </w:p>
        </w:tc>
        <w:tc>
          <w:tcPr>
            <w:tcW w:w="6331" w:type="dxa"/>
            <w:vAlign w:val="center"/>
          </w:tcPr>
          <w:p w14:paraId="3A0E6189">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具有详细的人员安排计划、人员分工，岗位职责齐全，组织管理体系科学，能够有效实施养护管理工作。包括各专业工种人员的配备以及劳动力安排具有详细的人员安排计划等内容；</w:t>
            </w:r>
          </w:p>
          <w:p w14:paraId="2292C279">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根据其内容的合理性、科学性、可行性进行打分；内容全面、科学内容设计合理、切实可行，针对性突出，能够全面满足工作实际需求得6分；</w:t>
            </w:r>
          </w:p>
          <w:p w14:paraId="5483F471">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内容基本全面，针对性处于常规水平，能够满足工作的基础需求得4分；</w:t>
            </w:r>
          </w:p>
          <w:p w14:paraId="308EDA6F">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内容涵盖范围有限，针对性模糊，仅能支撑部分工作需求得2分。</w:t>
            </w:r>
          </w:p>
          <w:p w14:paraId="7730CFEF">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注：未提供不得分。</w:t>
            </w:r>
          </w:p>
        </w:tc>
      </w:tr>
      <w:tr w14:paraId="0D21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atLeast"/>
        </w:trPr>
        <w:tc>
          <w:tcPr>
            <w:tcW w:w="824" w:type="dxa"/>
            <w:vMerge w:val="continue"/>
            <w:vAlign w:val="center"/>
          </w:tcPr>
          <w:p w14:paraId="48BA76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457B503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27" w:type="dxa"/>
            <w:vAlign w:val="center"/>
          </w:tcPr>
          <w:p w14:paraId="5E2A85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企业业绩</w:t>
            </w:r>
          </w:p>
        </w:tc>
        <w:tc>
          <w:tcPr>
            <w:tcW w:w="1031" w:type="dxa"/>
            <w:vAlign w:val="center"/>
          </w:tcPr>
          <w:p w14:paraId="5FC635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331" w:type="dxa"/>
            <w:vAlign w:val="center"/>
          </w:tcPr>
          <w:p w14:paraId="54FE768F">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投标人2022年1月1日至投标截止时间前（以合同签订日期为准），承担过类似服务项目，每提供一份业绩得3分，最高得9分。</w:t>
            </w:r>
          </w:p>
          <w:p w14:paraId="438F64D7">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注：须提供合同、中标通知书扫描件或结果公示截图，未提供不得分。</w:t>
            </w:r>
          </w:p>
        </w:tc>
      </w:tr>
      <w:tr w14:paraId="1B15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trPr>
        <w:tc>
          <w:tcPr>
            <w:tcW w:w="824" w:type="dxa"/>
            <w:vMerge w:val="continue"/>
            <w:vAlign w:val="center"/>
          </w:tcPr>
          <w:p w14:paraId="738D54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7A5225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27" w:type="dxa"/>
            <w:vMerge w:val="restart"/>
            <w:vAlign w:val="center"/>
          </w:tcPr>
          <w:p w14:paraId="565FCF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服务承诺</w:t>
            </w:r>
          </w:p>
        </w:tc>
        <w:tc>
          <w:tcPr>
            <w:tcW w:w="1031" w:type="dxa"/>
            <w:vMerge w:val="restart"/>
            <w:vAlign w:val="center"/>
          </w:tcPr>
          <w:p w14:paraId="40855F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tc>
        <w:tc>
          <w:tcPr>
            <w:tcW w:w="6331" w:type="dxa"/>
            <w:vAlign w:val="center"/>
          </w:tcPr>
          <w:p w14:paraId="22E39C7D">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1.服务期内投入充足人员、设备，保证服务质量的承诺及措施。（2分）</w:t>
            </w:r>
          </w:p>
          <w:p w14:paraId="278DC386">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根据承诺及措施内容的详尽、完善、合理进行打分：</w:t>
            </w:r>
          </w:p>
          <w:p w14:paraId="488FD82C">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内容详尽全面、体系完善，措施科学合理且具备高度可行性得2分；</w:t>
            </w:r>
          </w:p>
          <w:p w14:paraId="5A74824C">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内容基本完备，措施基本合理且可行性一般得1分；</w:t>
            </w:r>
          </w:p>
          <w:p w14:paraId="01341D20">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内容不够完备，措施缺乏合理性且不具备可行性得0.5分；</w:t>
            </w:r>
          </w:p>
          <w:p w14:paraId="7E37FFFB">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注：缺项不得分。</w:t>
            </w:r>
          </w:p>
        </w:tc>
      </w:tr>
      <w:tr w14:paraId="31B8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trPr>
        <w:tc>
          <w:tcPr>
            <w:tcW w:w="824" w:type="dxa"/>
            <w:vMerge w:val="continue"/>
            <w:vAlign w:val="center"/>
          </w:tcPr>
          <w:p w14:paraId="1921F1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57A87F5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27" w:type="dxa"/>
            <w:vMerge w:val="continue"/>
            <w:vAlign w:val="center"/>
          </w:tcPr>
          <w:p w14:paraId="0EFDC4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031" w:type="dxa"/>
            <w:vMerge w:val="continue"/>
            <w:vAlign w:val="center"/>
          </w:tcPr>
          <w:p w14:paraId="12A2D7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6331" w:type="dxa"/>
            <w:vAlign w:val="center"/>
          </w:tcPr>
          <w:p w14:paraId="5016EC8F">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2.人员执业的规范性(2分)</w:t>
            </w:r>
          </w:p>
          <w:p w14:paraId="3E25C423">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承诺遵守国家、省、市作业标准，工作人员在工作中遵守制度、遵守岗位职责、作业标准、职业道德规范、文明服务，具有相应的管理措施；</w:t>
            </w:r>
          </w:p>
          <w:p w14:paraId="71871F49">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根据承诺内容的详尽、完善，措施的合理性进行打分：</w:t>
            </w:r>
          </w:p>
          <w:p w14:paraId="62E76A8A">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内容详尽全面、体系完善，措施科学合理且具备高度可行性得2分；</w:t>
            </w:r>
          </w:p>
          <w:p w14:paraId="15D57B6A">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内容基本完备，措施基本合理且可行性一般得1分；</w:t>
            </w:r>
          </w:p>
          <w:p w14:paraId="6E47AB5C">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内容不够完备，措施缺乏合理性且不具备可行性得0.5分；</w:t>
            </w:r>
          </w:p>
          <w:p w14:paraId="447D4CDC">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注：缺项不得分。</w:t>
            </w:r>
          </w:p>
        </w:tc>
      </w:tr>
      <w:tr w14:paraId="49E7F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94" w:hRule="atLeast"/>
        </w:trPr>
        <w:tc>
          <w:tcPr>
            <w:tcW w:w="824" w:type="dxa"/>
            <w:vMerge w:val="continue"/>
            <w:vAlign w:val="center"/>
          </w:tcPr>
          <w:p w14:paraId="6D39E1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323ECD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27" w:type="dxa"/>
            <w:vMerge w:val="continue"/>
            <w:vAlign w:val="center"/>
          </w:tcPr>
          <w:p w14:paraId="2B658A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031" w:type="dxa"/>
            <w:vMerge w:val="continue"/>
            <w:vAlign w:val="center"/>
          </w:tcPr>
          <w:p w14:paraId="0F5305C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6331" w:type="dxa"/>
            <w:vAlign w:val="center"/>
          </w:tcPr>
          <w:p w14:paraId="7C339757">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3.不拖欠人员工资的承诺（2分）</w:t>
            </w:r>
          </w:p>
          <w:p w14:paraId="24804100">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诺不拖欠人员工资；按照《劳动法》、《民法典》、《职工带薪年休假条例》及市政府要求，发放高温津贴、带薪年休假、支付加班或者延长工作时间工资，并具有相应的实施方案；根据承诺内容的详尽、完善程度，实施方案的科学性、合理性、可行性进行打分：</w:t>
            </w:r>
          </w:p>
          <w:p w14:paraId="3C766567">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内容详尽全面、体系完善，措施科学合理且具备高度可行性得2分；</w:t>
            </w:r>
          </w:p>
          <w:p w14:paraId="7CADD0B2">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内容基本完备，措施基本合理且可行性一般得1分；</w:t>
            </w:r>
          </w:p>
          <w:p w14:paraId="5093E661">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内容不够完备，措施缺乏合理性且不具备可行性得0.5分；</w:t>
            </w:r>
          </w:p>
          <w:p w14:paraId="1D6BEB89">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注：缺项不得分。</w:t>
            </w:r>
          </w:p>
        </w:tc>
      </w:tr>
      <w:tr w14:paraId="37DF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1" w:hRule="atLeast"/>
        </w:trPr>
        <w:tc>
          <w:tcPr>
            <w:tcW w:w="824" w:type="dxa"/>
            <w:vMerge w:val="continue"/>
            <w:vAlign w:val="center"/>
          </w:tcPr>
          <w:p w14:paraId="71E438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1B8BB4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127" w:type="dxa"/>
            <w:vMerge w:val="continue"/>
            <w:vAlign w:val="center"/>
          </w:tcPr>
          <w:p w14:paraId="73FD6B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1031" w:type="dxa"/>
            <w:vMerge w:val="continue"/>
            <w:vAlign w:val="center"/>
          </w:tcPr>
          <w:p w14:paraId="576699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p>
        </w:tc>
        <w:tc>
          <w:tcPr>
            <w:tcW w:w="6331" w:type="dxa"/>
            <w:vAlign w:val="center"/>
          </w:tcPr>
          <w:p w14:paraId="442E36FE">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4.发生意外后，意外伤害赔偿及善后工作处理措施（2分）</w:t>
            </w:r>
          </w:p>
          <w:p w14:paraId="30D97370">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发生意外后，具有相应的意外伤害赔偿及善后工作处理措施，根据处理措施的合理性、可行性，承诺内容的详尽程度进行打分：</w:t>
            </w:r>
          </w:p>
          <w:p w14:paraId="6B166048">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内容详尽全面、体系完善，措施科学合理且具备高度可行性得2分；</w:t>
            </w:r>
          </w:p>
          <w:p w14:paraId="1DB830E9">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内容基本完备，措施基本合理且可行性一般得1分；</w:t>
            </w:r>
          </w:p>
          <w:p w14:paraId="7EC9CB52">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内容不够完备，措施缺乏合理性且不具备可行性得0.5分；</w:t>
            </w:r>
          </w:p>
          <w:p w14:paraId="40EBA74B">
            <w:pPr>
              <w:keepNext w:val="0"/>
              <w:keepLines w:val="0"/>
              <w:pageBreakBefore w:val="0"/>
              <w:widowControl w:val="0"/>
              <w:kinsoku/>
              <w:wordWrap/>
              <w:overflowPunct/>
              <w:topLinePunct w:val="0"/>
              <w:autoSpaceDE/>
              <w:autoSpaceDN/>
              <w:bidi w:val="0"/>
              <w:adjustRightInd/>
              <w:snapToGrid/>
              <w:spacing w:beforeLines="0"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注：缺项不得分。</w:t>
            </w:r>
          </w:p>
        </w:tc>
      </w:tr>
      <w:tr w14:paraId="6873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0" w:hRule="atLeast"/>
        </w:trPr>
        <w:tc>
          <w:tcPr>
            <w:tcW w:w="824" w:type="dxa"/>
            <w:vMerge w:val="continue"/>
            <w:vAlign w:val="center"/>
          </w:tcPr>
          <w:p w14:paraId="22CB7F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745" w:type="dxa"/>
            <w:vMerge w:val="continue"/>
            <w:vAlign w:val="center"/>
          </w:tcPr>
          <w:p w14:paraId="480AD4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127" w:type="dxa"/>
            <w:vMerge w:val="continue"/>
            <w:vAlign w:val="center"/>
          </w:tcPr>
          <w:p w14:paraId="5B10C9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031" w:type="dxa"/>
            <w:vMerge w:val="continue"/>
            <w:vAlign w:val="center"/>
          </w:tcPr>
          <w:p w14:paraId="622EAEE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6331" w:type="dxa"/>
            <w:vAlign w:val="center"/>
          </w:tcPr>
          <w:p w14:paraId="1AF184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5.投诉处理措施（2分）</w:t>
            </w:r>
          </w:p>
          <w:p w14:paraId="4A8B86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根据投诉处理措施可行性、完整性、合理性进行打分：</w:t>
            </w:r>
          </w:p>
          <w:p w14:paraId="0AE6574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内容详尽全面、体系完善，措施科学合理且具备高度可行性</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2分；</w:t>
            </w:r>
          </w:p>
          <w:p w14:paraId="7B357E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内容基本完备，措施基本合理且可行性一般</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1分；</w:t>
            </w:r>
          </w:p>
          <w:p w14:paraId="67E4BB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内容不够完备，措施缺乏合理性且不具备可行性</w:t>
            </w:r>
            <w:r>
              <w:rPr>
                <w:rFonts w:hint="eastAsia" w:ascii="宋体" w:hAnsi="宋体" w:eastAsia="宋体" w:cs="宋体"/>
                <w:color w:val="000000" w:themeColor="text1"/>
                <w:sz w:val="21"/>
                <w:szCs w:val="21"/>
                <w:highlight w:val="none"/>
                <w:lang w:val="en-US" w:eastAsia="zh-CN"/>
                <w14:textFill>
                  <w14:solidFill>
                    <w14:schemeClr w14:val="tx1"/>
                  </w14:solidFill>
                </w14:textFill>
              </w:rPr>
              <w:t>得</w:t>
            </w:r>
            <w:r>
              <w:rPr>
                <w:rFonts w:hint="eastAsia" w:ascii="宋体" w:hAnsi="宋体" w:eastAsia="宋体" w:cs="宋体"/>
                <w:color w:val="000000" w:themeColor="text1"/>
                <w:sz w:val="21"/>
                <w:szCs w:val="21"/>
                <w:highlight w:val="none"/>
                <w:lang w:eastAsia="zh-CN"/>
                <w14:textFill>
                  <w14:solidFill>
                    <w14:schemeClr w14:val="tx1"/>
                  </w14:solidFill>
                </w14:textFill>
              </w:rPr>
              <w:t>0.5分；</w:t>
            </w:r>
          </w:p>
          <w:p w14:paraId="74EE19F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注：缺项不得分。</w:t>
            </w:r>
          </w:p>
        </w:tc>
      </w:tr>
      <w:tr w14:paraId="55B4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1" w:hRule="atLeast"/>
        </w:trPr>
        <w:tc>
          <w:tcPr>
            <w:tcW w:w="10058" w:type="dxa"/>
            <w:gridSpan w:val="5"/>
            <w:vAlign w:val="center"/>
          </w:tcPr>
          <w:p w14:paraId="491705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投标人综合得分=投标报价得分+技术部分得分+</w:t>
            </w:r>
            <w:r>
              <w:rPr>
                <w:rFonts w:hint="eastAsia" w:ascii="宋体" w:hAnsi="宋体" w:eastAsia="宋体" w:cs="宋体"/>
                <w:color w:val="000000" w:themeColor="text1"/>
                <w:sz w:val="21"/>
                <w:szCs w:val="21"/>
                <w:highlight w:val="none"/>
                <w:lang w:val="en-US" w:eastAsia="zh-CN"/>
                <w14:textFill>
                  <w14:solidFill>
                    <w14:schemeClr w14:val="tx1"/>
                  </w14:solidFill>
                </w14:textFill>
              </w:rPr>
              <w:t>综合</w:t>
            </w:r>
            <w:r>
              <w:rPr>
                <w:rFonts w:hint="eastAsia" w:ascii="宋体" w:hAnsi="宋体" w:eastAsia="宋体" w:cs="宋体"/>
                <w:color w:val="000000" w:themeColor="text1"/>
                <w:sz w:val="21"/>
                <w:szCs w:val="21"/>
                <w:highlight w:val="none"/>
                <w14:textFill>
                  <w14:solidFill>
                    <w14:schemeClr w14:val="tx1"/>
                  </w14:solidFill>
                </w14:textFill>
              </w:rPr>
              <w:t>部分得分。</w:t>
            </w:r>
          </w:p>
          <w:p w14:paraId="520CD6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投标人最终得分:</w:t>
            </w:r>
          </w:p>
          <w:p w14:paraId="1891A3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1.评标委员会完成评审后，取全部得分算术平均值，作为该投标人的最终得分。</w:t>
            </w:r>
          </w:p>
          <w:p w14:paraId="5DEE3D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2.本办法计算过程中分值按四舍五入保留二位小数。</w:t>
            </w:r>
          </w:p>
          <w:p w14:paraId="5AD8BE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3.评标委员会对通过以上评审的投标人，按最终得分从高到低排序，</w:t>
            </w:r>
            <w:r>
              <w:rPr>
                <w:rFonts w:hint="eastAsia" w:ascii="宋体" w:hAnsi="宋体" w:cs="宋体"/>
                <w:color w:val="000000" w:themeColor="text1"/>
                <w:sz w:val="21"/>
                <w:szCs w:val="21"/>
                <w:highlight w:val="none"/>
                <w:lang w:val="en-US" w:eastAsia="zh-CN"/>
                <w14:textFill>
                  <w14:solidFill>
                    <w14:schemeClr w14:val="tx1"/>
                  </w14:solidFill>
                </w14:textFill>
              </w:rPr>
              <w:t>推荐</w:t>
            </w:r>
            <w:r>
              <w:rPr>
                <w:rFonts w:hint="eastAsia" w:ascii="宋体" w:hAnsi="宋体" w:eastAsia="宋体" w:cs="宋体"/>
                <w:color w:val="000000" w:themeColor="text1"/>
                <w:sz w:val="21"/>
                <w:szCs w:val="21"/>
                <w:highlight w:val="none"/>
                <w14:textFill>
                  <w14:solidFill>
                    <w14:schemeClr w14:val="tx1"/>
                  </w14:solidFill>
                </w14:textFill>
              </w:rPr>
              <w:t>3名中标候选人。当投标人最终得分相等时，按照报价从低到高进行排序，排序第1的为中标人；最终得分相等，报价得分也相等按技术指标优劣排列确定中标人。</w:t>
            </w:r>
          </w:p>
        </w:tc>
      </w:tr>
    </w:tbl>
    <w:p w14:paraId="0B9827BD">
      <w:pPr>
        <w:pStyle w:val="36"/>
        <w:spacing w:line="560" w:lineRule="exact"/>
        <w:rPr>
          <w:color w:val="000000" w:themeColor="text1"/>
          <w:highlight w:val="none"/>
          <w14:textFill>
            <w14:solidFill>
              <w14:schemeClr w14:val="tx1"/>
            </w14:solidFill>
          </w14:textFill>
        </w:rPr>
      </w:pPr>
    </w:p>
    <w:p w14:paraId="081A3DB2">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 评标方法</w:t>
      </w:r>
    </w:p>
    <w:p w14:paraId="01BD6484">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次评标采用综合评分法。评标委员会对满足招标文件实质性要求的投标文件，按照本章第2.2款规定的评分标准进行打分，并按得分由高到低顺序推荐中标候选人，或根据采购人授权直接确定中标人，但投标报价低于其成本的除外。综合评分相等时，以投标报价低的优先；投标报价也相等的，按技术指标优劣排列确定中标人。</w:t>
      </w:r>
    </w:p>
    <w:p w14:paraId="6E54FD70">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 评审标准</w:t>
      </w:r>
    </w:p>
    <w:p w14:paraId="1F13F19C">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 初步评审标准</w:t>
      </w:r>
    </w:p>
    <w:p w14:paraId="55892E6E">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2.1.1 形式评审标准：见评标办法前附表。</w:t>
      </w:r>
    </w:p>
    <w:p w14:paraId="6AC4B309">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2.1.2 资格评审标准：见评标办法前附表。</w:t>
      </w:r>
    </w:p>
    <w:p w14:paraId="35A6C64A">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2.1.3 响应性评审标准：见评标办法前附表。</w:t>
      </w:r>
    </w:p>
    <w:p w14:paraId="75E4DDEE">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 分值构成与评分标准</w:t>
      </w:r>
    </w:p>
    <w:p w14:paraId="64C61C66">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2.2.1 分值构成</w:t>
      </w:r>
    </w:p>
    <w:p w14:paraId="7F92681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详细评分分值：见评标办法前附表。</w:t>
      </w:r>
    </w:p>
    <w:p w14:paraId="4E79460C">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2.2.3 评分标准</w:t>
      </w:r>
    </w:p>
    <w:p w14:paraId="1ADF22C7">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详细评分标准：见评标办法前附表。</w:t>
      </w:r>
    </w:p>
    <w:p w14:paraId="0E2550E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 评标程序</w:t>
      </w:r>
    </w:p>
    <w:p w14:paraId="2AC1899E">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 初步评审</w:t>
      </w:r>
    </w:p>
    <w:p w14:paraId="5BD4A994">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3.1.1 评标委员会依据本章第2.1款规定的标准对投标文件进行初步评审。有一项不符合评审标准的，作废标处理。</w:t>
      </w:r>
    </w:p>
    <w:p w14:paraId="63E966EF">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3.1.2 投标人有以下情形之一的，其投标作废标处理：</w:t>
      </w:r>
    </w:p>
    <w:p w14:paraId="2C1604C0">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（1）第二章“投标人须知”第1.4.3项规定的任何一种情形的；</w:t>
      </w:r>
    </w:p>
    <w:p w14:paraId="426794D8">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（2）串通投标或弄虚作假或有其他违法行为的；</w:t>
      </w:r>
    </w:p>
    <w:p w14:paraId="0B403A5D">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（3）不按评标委员会要求澄清、说明或补正的。</w:t>
      </w:r>
    </w:p>
    <w:p w14:paraId="1F13F7A5">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3.1.3投标报价有算术错误的，评标委员会按以下原则对投标报价进行修正，修正的价格经投标人确认后具有约束力。投标人不接受修正价格的，其投标作废标处理。</w:t>
      </w:r>
    </w:p>
    <w:p w14:paraId="097C0786">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（1）投标文件中的大写金额与小写金额不一致的，以大写金额为准；</w:t>
      </w:r>
    </w:p>
    <w:p w14:paraId="49141DC5">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（2）总价金额与依据单价计算出的结果不一致的，以单价金额为准修正总价，但单价金额小数点有明显错误的除外。</w:t>
      </w:r>
    </w:p>
    <w:p w14:paraId="17F9EEA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 详细评审</w:t>
      </w:r>
    </w:p>
    <w:p w14:paraId="3DCDD291">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3.2.1 评标委员会按本章第2.2款规定的量化因素和分值进行打分，并计算出综合得分。</w:t>
      </w:r>
    </w:p>
    <w:p w14:paraId="108B9698">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（1）按本章规定的评审因素和分值对</w:t>
      </w:r>
      <w:r>
        <w:rPr>
          <w:rFonts w:hint="eastAsia" w:ascii="宋体" w:hAnsi="宋体" w:eastAsia="宋体" w:cs="宋体"/>
          <w:color w:val="000000" w:themeColor="text1"/>
          <w:highlight w:val="none"/>
          <w:lang w:val="en-US" w:eastAsia="zh-CN"/>
          <w14:textFill>
            <w14:solidFill>
              <w14:schemeClr w14:val="tx1"/>
            </w14:solidFill>
          </w14:textFill>
        </w:rPr>
        <w:t>报价得分</w:t>
      </w:r>
      <w:r>
        <w:rPr>
          <w:rFonts w:hint="eastAsia" w:ascii="宋体" w:hAnsi="宋体" w:eastAsia="宋体" w:cs="宋体"/>
          <w:color w:val="000000" w:themeColor="text1"/>
          <w:highlight w:val="none"/>
          <w14:textFill>
            <w14:solidFill>
              <w14:schemeClr w14:val="tx1"/>
            </w14:solidFill>
          </w14:textFill>
        </w:rPr>
        <w:t>计算出得分A；</w:t>
      </w:r>
    </w:p>
    <w:p w14:paraId="27764B3D">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（2）按本章规定的评审因素和分值对技术</w:t>
      </w:r>
      <w:r>
        <w:rPr>
          <w:rFonts w:hint="eastAsia" w:ascii="宋体" w:hAnsi="宋体" w:eastAsia="宋体" w:cs="宋体"/>
          <w:color w:val="000000" w:themeColor="text1"/>
          <w:highlight w:val="none"/>
          <w:lang w:val="en-US" w:eastAsia="zh-CN"/>
          <w14:textFill>
            <w14:solidFill>
              <w14:schemeClr w14:val="tx1"/>
            </w14:solidFill>
          </w14:textFill>
        </w:rPr>
        <w:t>得分</w:t>
      </w:r>
      <w:r>
        <w:rPr>
          <w:rFonts w:hint="eastAsia" w:ascii="宋体" w:hAnsi="宋体" w:eastAsia="宋体" w:cs="宋体"/>
          <w:color w:val="000000" w:themeColor="text1"/>
          <w:highlight w:val="none"/>
          <w14:textFill>
            <w14:solidFill>
              <w14:schemeClr w14:val="tx1"/>
            </w14:solidFill>
          </w14:textFill>
        </w:rPr>
        <w:t>计算出得分B；</w:t>
      </w:r>
    </w:p>
    <w:p w14:paraId="7C8AB94C">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（3）按本章规定的评审因素和分值对综合</w:t>
      </w:r>
      <w:r>
        <w:rPr>
          <w:rFonts w:hint="eastAsia" w:ascii="宋体" w:hAnsi="宋体" w:eastAsia="宋体" w:cs="宋体"/>
          <w:color w:val="000000" w:themeColor="text1"/>
          <w:highlight w:val="none"/>
          <w:lang w:val="en-US" w:eastAsia="zh-CN"/>
          <w14:textFill>
            <w14:solidFill>
              <w14:schemeClr w14:val="tx1"/>
            </w14:solidFill>
          </w14:textFill>
        </w:rPr>
        <w:t>得分</w:t>
      </w:r>
      <w:r>
        <w:rPr>
          <w:rFonts w:hint="eastAsia" w:ascii="宋体" w:hAnsi="宋体" w:eastAsia="宋体" w:cs="宋体"/>
          <w:color w:val="000000" w:themeColor="text1"/>
          <w:highlight w:val="none"/>
          <w14:textFill>
            <w14:solidFill>
              <w14:schemeClr w14:val="tx1"/>
            </w14:solidFill>
          </w14:textFill>
        </w:rPr>
        <w:t>计算出得分C；</w:t>
      </w:r>
    </w:p>
    <w:p w14:paraId="3723D1E7">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3.2.2 评分分值计算保留小数点后两位，小数点后第三位“四舍五入”。</w:t>
      </w:r>
    </w:p>
    <w:p w14:paraId="562CE68C">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3.2.3 投标人得分=A+B+C。</w:t>
      </w:r>
    </w:p>
    <w:p w14:paraId="010B349D">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14:paraId="6CA4B2D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 投标文件的澄清和补正</w:t>
      </w:r>
    </w:p>
    <w:p w14:paraId="26FAA95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3.3.1在评标过程中，评标委员会可以要求投标人对所提交投标文件中不明确的内容进行澄清或说明，或者对细微偏差进行补正。评标委员会不接受投标人主动提出的澄清、说明或补正。</w:t>
      </w:r>
    </w:p>
    <w:p w14:paraId="38894524">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3.3.2 澄清、说明和补正不得改变投标文件的实质性内容（算术性错误修正的除外）。投标人的澄清、说明和补正属于投标文件的组成部分。</w:t>
      </w:r>
    </w:p>
    <w:p w14:paraId="41C697EC">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3.3.3 评标委员会对投标人提交的澄清、说明或补正有疑问的，可以要求投标人进一步澄清、说明或补正，直至满足评标委员会的要求。</w:t>
      </w:r>
    </w:p>
    <w:p w14:paraId="61CC33F3">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 评标结果</w:t>
      </w:r>
    </w:p>
    <w:p w14:paraId="4E7A02DA">
      <w:pPr>
        <w:tabs>
          <w:tab w:val="left" w:pos="720"/>
        </w:tabs>
        <w:spacing w:line="440" w:lineRule="exact"/>
        <w:ind w:firstLine="420"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3.4.1除第二章“投标人须知”前附表授权直接确定中标人外，评标委员会按照得分由高到低的顺序推荐中标候选人。</w:t>
      </w:r>
    </w:p>
    <w:p w14:paraId="7409BBDD">
      <w:pPr>
        <w:tabs>
          <w:tab w:val="left" w:pos="720"/>
        </w:tabs>
        <w:spacing w:line="440" w:lineRule="exact"/>
        <w:ind w:firstLine="420" w:firstLineChars="200"/>
        <w:rPr>
          <w:rFonts w:ascii="宋体" w:hAnsi="宋体" w:eastAsia="宋体" w:cs="宋体"/>
          <w:color w:val="000000" w:themeColor="text1"/>
          <w:szCs w:val="28"/>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3.4.2 评标委员会完成评标后，应当向采购人提交评标报告。</w:t>
      </w:r>
    </w:p>
    <w:p w14:paraId="1F17254C">
      <w:pPr>
        <w:pStyle w:val="18"/>
        <w:numPr>
          <w:ilvl w:val="0"/>
          <w:numId w:val="5"/>
        </w:numPr>
        <w:spacing w:line="600" w:lineRule="exact"/>
        <w:ind w:right="-63" w:rightChars="-30"/>
        <w:rPr>
          <w:rFonts w:ascii="宋体" w:hAnsi="宋体" w:eastAsia="宋体" w:cs="宋体"/>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br w:type="page"/>
      </w:r>
      <w:r>
        <w:rPr>
          <w:rFonts w:hint="eastAsia" w:ascii="宋体" w:hAnsi="宋体" w:eastAsia="宋体" w:cs="宋体"/>
          <w:color w:val="000000" w:themeColor="text1"/>
          <w:sz w:val="36"/>
          <w:szCs w:val="36"/>
          <w:highlight w:val="none"/>
          <w14:textFill>
            <w14:solidFill>
              <w14:schemeClr w14:val="tx1"/>
            </w14:solidFill>
          </w14:textFill>
        </w:rPr>
        <w:t xml:space="preserve"> </w:t>
      </w:r>
      <w:bookmarkStart w:id="242" w:name="_Toc7325"/>
      <w:bookmarkStart w:id="243" w:name="_Toc1430"/>
      <w:r>
        <w:rPr>
          <w:rFonts w:hint="eastAsia" w:ascii="宋体" w:hAnsi="宋体" w:eastAsia="宋体" w:cs="宋体"/>
          <w:color w:val="000000" w:themeColor="text1"/>
          <w:sz w:val="36"/>
          <w:szCs w:val="36"/>
          <w:highlight w:val="none"/>
          <w14:textFill>
            <w14:solidFill>
              <w14:schemeClr w14:val="tx1"/>
            </w14:solidFill>
          </w14:textFill>
        </w:rPr>
        <w:t>合同条款及格式</w:t>
      </w:r>
      <w:bookmarkEnd w:id="239"/>
      <w:bookmarkEnd w:id="240"/>
      <w:bookmarkEnd w:id="241"/>
      <w:bookmarkEnd w:id="242"/>
      <w:bookmarkEnd w:id="243"/>
    </w:p>
    <w:p w14:paraId="6FFFD64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 xml:space="preserve">    </w:t>
      </w:r>
      <w:r>
        <w:rPr>
          <w:rFonts w:hint="eastAsia"/>
          <w:b/>
          <w:bCs/>
          <w:color w:val="000000" w:themeColor="text1"/>
          <w:sz w:val="28"/>
          <w:szCs w:val="28"/>
          <w:highlight w:val="none"/>
          <w14:textFill>
            <w14:solidFill>
              <w14:schemeClr w14:val="tx1"/>
            </w14:solidFill>
          </w14:textFill>
        </w:rPr>
        <w:t xml:space="preserve">  （仅供参考）</w:t>
      </w:r>
    </w:p>
    <w:tbl>
      <w:tblPr>
        <w:tblStyle w:val="21"/>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4"/>
      </w:tblGrid>
      <w:tr w14:paraId="1C09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9514" w:type="dxa"/>
            <w:vAlign w:val="top"/>
          </w:tcPr>
          <w:p w14:paraId="2BE2CB10">
            <w:pPr>
              <w:rPr>
                <w:rFonts w:hint="eastAsia"/>
                <w:color w:val="000000" w:themeColor="text1"/>
                <w:kern w:val="0"/>
                <w:sz w:val="20"/>
                <w:highlight w:val="none"/>
                <w14:textFill>
                  <w14:solidFill>
                    <w14:schemeClr w14:val="tx1"/>
                  </w14:solidFill>
                </w14:textFill>
              </w:rPr>
            </w:pPr>
            <w:r>
              <w:rPr>
                <w:rFonts w:hint="eastAsia"/>
                <w:color w:val="000000" w:themeColor="text1"/>
                <w:kern w:val="0"/>
                <w:sz w:val="20"/>
                <w:highlight w:val="none"/>
                <w14:textFill>
                  <w14:solidFill>
                    <w14:schemeClr w14:val="tx1"/>
                  </w14:solidFill>
                </w14:textFill>
              </w:rPr>
              <w:t>注释：</w:t>
            </w:r>
          </w:p>
          <w:p w14:paraId="091D795A">
            <w:pPr>
              <w:rPr>
                <w:rFonts w:hint="eastAsia"/>
                <w:color w:val="000000" w:themeColor="text1"/>
                <w:kern w:val="0"/>
                <w:sz w:val="20"/>
                <w:highlight w:val="none"/>
                <w14:textFill>
                  <w14:solidFill>
                    <w14:schemeClr w14:val="tx1"/>
                  </w14:solidFill>
                </w14:textFill>
              </w:rPr>
            </w:pPr>
            <w:r>
              <w:rPr>
                <w:rFonts w:hint="eastAsia"/>
                <w:color w:val="000000" w:themeColor="text1"/>
                <w:kern w:val="0"/>
                <w:sz w:val="20"/>
                <w:highlight w:val="none"/>
                <w14:textFill>
                  <w14:solidFill>
                    <w14:schemeClr w14:val="tx1"/>
                  </w14:solidFill>
                </w14:textFill>
              </w:rPr>
              <w:t>本文条款仅作为双方签订合同的参考，为阐明各方的权利和义务，经协商可增加新的条款。但不得与招标文件、投标文件的实质性内容相背离。</w:t>
            </w:r>
          </w:p>
        </w:tc>
      </w:tr>
    </w:tbl>
    <w:p w14:paraId="1D0F3A59">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以下为合同签订时的基本内容，</w:t>
      </w:r>
      <w:r>
        <w:rPr>
          <w:rFonts w:hint="eastAsia" w:ascii="宋体" w:hAnsi="宋体"/>
          <w:color w:val="000000" w:themeColor="text1"/>
          <w:szCs w:val="21"/>
          <w:highlight w:val="none"/>
          <w14:textFill>
            <w14:solidFill>
              <w14:schemeClr w14:val="tx1"/>
            </w14:solidFill>
          </w14:textFill>
        </w:rPr>
        <w:t>若需修改及未尽事宜，待投标人中标后签订合同时与</w:t>
      </w:r>
      <w:r>
        <w:rPr>
          <w:rFonts w:hint="eastAsia" w:ascii="宋体" w:hAnsi="宋体"/>
          <w:bCs/>
          <w:color w:val="000000" w:themeColor="text1"/>
          <w:szCs w:val="21"/>
          <w:highlight w:val="none"/>
          <w14:textFill>
            <w14:solidFill>
              <w14:schemeClr w14:val="tx1"/>
            </w14:solidFill>
          </w14:textFill>
        </w:rPr>
        <w:t>招标人</w:t>
      </w:r>
      <w:r>
        <w:rPr>
          <w:rFonts w:hint="eastAsia" w:ascii="宋体" w:hAnsi="宋体"/>
          <w:color w:val="000000" w:themeColor="text1"/>
          <w:szCs w:val="21"/>
          <w:highlight w:val="none"/>
          <w14:textFill>
            <w14:solidFill>
              <w14:schemeClr w14:val="tx1"/>
            </w14:solidFill>
          </w14:textFill>
        </w:rPr>
        <w:t>协商确定。</w:t>
      </w:r>
      <w:r>
        <w:rPr>
          <w:rFonts w:hint="eastAsia" w:ascii="宋体" w:hAnsi="宋体"/>
          <w:bCs/>
          <w:color w:val="000000" w:themeColor="text1"/>
          <w:szCs w:val="21"/>
          <w:highlight w:val="none"/>
          <w14:textFill>
            <w14:solidFill>
              <w14:schemeClr w14:val="tx1"/>
            </w14:solidFill>
          </w14:textFill>
        </w:rPr>
        <w:t>最终文本是以招标人招标文件和中标人投标文件（包括评标时质询文件）相关内容为基础，经双方谈判后形成的</w:t>
      </w:r>
      <w:r>
        <w:rPr>
          <w:rFonts w:hint="eastAsia" w:ascii="宋体" w:hAnsi="宋体"/>
          <w:color w:val="000000" w:themeColor="text1"/>
          <w:szCs w:val="21"/>
          <w:highlight w:val="none"/>
          <w14:textFill>
            <w14:solidFill>
              <w14:schemeClr w14:val="tx1"/>
            </w14:solidFill>
          </w14:textFill>
        </w:rPr>
        <w:t>合同文本</w:t>
      </w:r>
      <w:r>
        <w:rPr>
          <w:rFonts w:hint="eastAsia" w:ascii="宋体" w:hAnsi="宋体"/>
          <w:bCs/>
          <w:color w:val="000000" w:themeColor="text1"/>
          <w:szCs w:val="21"/>
          <w:highlight w:val="none"/>
          <w14:textFill>
            <w14:solidFill>
              <w14:schemeClr w14:val="tx1"/>
            </w14:solidFill>
          </w14:textFill>
        </w:rPr>
        <w:t>。</w:t>
      </w:r>
    </w:p>
    <w:p w14:paraId="0966A8A0">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甲方（需方）：_________</w:t>
      </w:r>
    </w:p>
    <w:p w14:paraId="552C3F4B">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乙方（供方）：_________</w:t>
      </w:r>
    </w:p>
    <w:p w14:paraId="478DCCC5">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经过双方友好协商，依据《</w:t>
      </w:r>
      <w:r>
        <w:rPr>
          <w:rFonts w:hint="eastAsia" w:ascii="宋体" w:hAnsi="宋体"/>
          <w:bCs/>
          <w:color w:val="000000" w:themeColor="text1"/>
          <w:szCs w:val="21"/>
          <w:highlight w:val="none"/>
          <w14:textFill>
            <w14:solidFill>
              <w14:schemeClr w14:val="tx1"/>
            </w14:solidFill>
          </w14:textFill>
        </w:rPr>
        <w:t>中华人民共和国民法典合同编</w:t>
      </w:r>
      <w:r>
        <w:rPr>
          <w:rFonts w:hint="eastAsia" w:ascii="宋体" w:hAnsi="宋体"/>
          <w:color w:val="000000" w:themeColor="text1"/>
          <w:szCs w:val="21"/>
          <w:highlight w:val="none"/>
          <w14:textFill>
            <w14:solidFill>
              <w14:schemeClr w14:val="tx1"/>
            </w14:solidFill>
          </w14:textFill>
        </w:rPr>
        <w:t>》，双方同意签订以下合同条款，以便双方共同遵守、履行合同。</w:t>
      </w:r>
    </w:p>
    <w:p w14:paraId="1CAB8B22">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1. 项目信息 </w:t>
      </w:r>
    </w:p>
    <w:p w14:paraId="2C95B370">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（1）采购项目名称： </w:t>
      </w:r>
    </w:p>
    <w:p w14:paraId="292833CF">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（2）采购计划编号： </w:t>
      </w:r>
    </w:p>
    <w:p w14:paraId="660AE1A1">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（3）项目内容： </w:t>
      </w:r>
    </w:p>
    <w:p w14:paraId="33C435E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2. 合同金额 </w:t>
      </w:r>
    </w:p>
    <w:p w14:paraId="62BFC329">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（1）合同金额小写： 大写： </w:t>
      </w:r>
    </w:p>
    <w:p w14:paraId="250EDFCA">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（2）具体标的见附件。 </w:t>
      </w:r>
    </w:p>
    <w:p w14:paraId="2D5D3CE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（3）合同价格形式：</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固定</w:t>
      </w:r>
      <w:r>
        <w:rPr>
          <w:rFonts w:hint="eastAsia" w:ascii="宋体" w:hAnsi="宋体"/>
          <w:bCs/>
          <w:color w:val="000000" w:themeColor="text1"/>
          <w:szCs w:val="21"/>
          <w:highlight w:val="none"/>
          <w:lang w:val="en-US" w:eastAsia="zh-CN"/>
          <w14:textFill>
            <w14:solidFill>
              <w14:schemeClr w14:val="tx1"/>
            </w14:solidFill>
          </w14:textFill>
        </w:rPr>
        <w:t>单价</w:t>
      </w:r>
      <w:r>
        <w:rPr>
          <w:rFonts w:ascii="宋体" w:hAnsi="宋体"/>
          <w:bCs/>
          <w:color w:val="000000" w:themeColor="text1"/>
          <w:szCs w:val="21"/>
          <w:highlight w:val="none"/>
          <w14:textFill>
            <w14:solidFill>
              <w14:schemeClr w14:val="tx1"/>
            </w14:solidFill>
          </w14:textFill>
        </w:rPr>
        <w:t xml:space="preserve">合同 。 </w:t>
      </w:r>
    </w:p>
    <w:p w14:paraId="2BAE24D6">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3. 履行合同的时间、地点及方式 </w:t>
      </w:r>
    </w:p>
    <w:p w14:paraId="2F0CF20A">
      <w:pPr>
        <w:spacing w:line="440" w:lineRule="exact"/>
        <w:ind w:firstLine="630" w:firstLineChars="3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起始日期： </w:t>
      </w:r>
    </w:p>
    <w:p w14:paraId="3969359A">
      <w:pPr>
        <w:spacing w:line="440" w:lineRule="exact"/>
        <w:ind w:firstLine="630" w:firstLineChars="3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地点： </w:t>
      </w:r>
    </w:p>
    <w:p w14:paraId="7EAB60F7">
      <w:pPr>
        <w:spacing w:line="440" w:lineRule="exact"/>
        <w:ind w:firstLine="630" w:firstLineChars="3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方式： </w:t>
      </w:r>
    </w:p>
    <w:p w14:paraId="53F4AC19">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4. 解决合同纠纷方式 首先通过双方协商解决，协商解决不成，则通过以下途径之一解决纠纷。 </w:t>
      </w:r>
    </w:p>
    <w:p w14:paraId="452FE06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5. 组成合同的文件 </w:t>
      </w:r>
    </w:p>
    <w:p w14:paraId="42B6B54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本协议书与下列文件一起构成合同文件，如下述文件之间有任何抵触、矛盾或歧义，应 按以下顺序解释： </w:t>
      </w:r>
    </w:p>
    <w:p w14:paraId="51108488">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（1）在采购或合同履行过程中乙方作出的承诺以及双方协商达成的变更或补充协议 </w:t>
      </w:r>
    </w:p>
    <w:p w14:paraId="75D98F37">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（2）中标通知书 </w:t>
      </w:r>
    </w:p>
    <w:p w14:paraId="16E5813E">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（3）投标文件 </w:t>
      </w:r>
    </w:p>
    <w:p w14:paraId="6910BED3">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（4）政府采购合同格式条款及其附件</w:t>
      </w:r>
    </w:p>
    <w:p w14:paraId="31C16030">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（5）专用合同条款 </w:t>
      </w:r>
    </w:p>
    <w:p w14:paraId="71A705A8">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（6）通用合同条款（如果有） </w:t>
      </w:r>
    </w:p>
    <w:p w14:paraId="45B7029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（7）标准、规范及有关技术文件 </w:t>
      </w:r>
    </w:p>
    <w:p w14:paraId="17DCA1E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（8）其他合同文件。 </w:t>
      </w:r>
    </w:p>
    <w:p w14:paraId="588D06FF">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6.其它</w:t>
      </w:r>
    </w:p>
    <w:p w14:paraId="4AEF6872">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6.1．本合同一式肆份，甲乙双方各执贰份，</w:t>
      </w:r>
      <w:r>
        <w:rPr>
          <w:rFonts w:hint="eastAsia" w:ascii="宋体" w:hAnsi="宋体"/>
          <w:color w:val="000000" w:themeColor="text1"/>
          <w:szCs w:val="21"/>
          <w:highlight w:val="none"/>
          <w14:textFill>
            <w14:solidFill>
              <w14:schemeClr w14:val="tx1"/>
            </w14:solidFill>
          </w14:textFill>
        </w:rPr>
        <w:t>；</w:t>
      </w:r>
    </w:p>
    <w:p w14:paraId="0CAC3FDB">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6.2．本合同自签订之日起生效；</w:t>
      </w:r>
    </w:p>
    <w:p w14:paraId="302F8F58">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6.3．本项目的招标文件、投标文件、中标通知书是合同的附件，与合同具有同等的法律效力；</w:t>
      </w:r>
    </w:p>
    <w:p w14:paraId="04361F88">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6.4．其它未尽事宜，由双方友好协商解决，并参照《中华人民共和国民法典合同编》有关条款执行。</w:t>
      </w:r>
    </w:p>
    <w:p w14:paraId="307C759A">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34A47D3B">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p>
    <w:p w14:paraId="42159AFC">
      <w:pPr>
        <w:pStyle w:val="20"/>
        <w:rPr>
          <w:rFonts w:hint="eastAsia"/>
          <w:color w:val="000000" w:themeColor="text1"/>
          <w:highlight w:val="none"/>
          <w14:textFill>
            <w14:solidFill>
              <w14:schemeClr w14:val="tx1"/>
            </w14:solidFill>
          </w14:textFill>
        </w:rPr>
      </w:pPr>
    </w:p>
    <w:p w14:paraId="16CDA381">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甲方（盖章）：_________               乙方（盖章）：_________</w:t>
      </w:r>
    </w:p>
    <w:p w14:paraId="1B7BF2C5">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法定代表人（签字）：_________         法定代表人（签字）：_________</w:t>
      </w:r>
    </w:p>
    <w:p w14:paraId="47427126">
      <w:pPr>
        <w:spacing w:line="440" w:lineRule="exact"/>
        <w:ind w:firstLine="420" w:firstLineChars="200"/>
        <w:jc w:val="lef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_________年____月____日               _________年____月____日</w:t>
      </w:r>
    </w:p>
    <w:p w14:paraId="10E4B2CB">
      <w:pPr>
        <w:rPr>
          <w:color w:val="000000" w:themeColor="text1"/>
          <w:highlight w:val="none"/>
          <w14:textFill>
            <w14:solidFill>
              <w14:schemeClr w14:val="tx1"/>
            </w14:solidFill>
          </w14:textFill>
        </w:rPr>
      </w:pPr>
      <w:bookmarkStart w:id="244" w:name="_Toc25464"/>
      <w:r>
        <w:rPr>
          <w:rFonts w:hint="eastAsia" w:ascii="宋体" w:hAnsi="宋体"/>
          <w:bCs/>
          <w:color w:val="000000" w:themeColor="text1"/>
          <w:szCs w:val="21"/>
          <w:highlight w:val="none"/>
          <w14:textFill>
            <w14:solidFill>
              <w14:schemeClr w14:val="tx1"/>
            </w14:solidFill>
          </w14:textFill>
        </w:rPr>
        <w:t>签订地点：_________                   签订地点：_________</w:t>
      </w:r>
      <w:bookmarkEnd w:id="244"/>
    </w:p>
    <w:p w14:paraId="5DA83D46">
      <w:pPr>
        <w:adjustRightIn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bookmarkStart w:id="245" w:name="_Toc12807"/>
    </w:p>
    <w:p w14:paraId="3AA44E65">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158D2391">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14E44C1B">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07C285FB">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39F52725">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1D48B3D6">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7C2258FC">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6E056CCB">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4682FA77">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3683F259">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658673C3">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4F243D97">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549D51AE">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437DF93D">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5FA94F8A">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1122FCD7">
      <w:pPr>
        <w:pStyle w:val="7"/>
        <w:jc w:val="center"/>
        <w:rPr>
          <w:rFonts w:ascii="宋体" w:hAnsi="宋体" w:eastAsia="宋体" w:cs="宋体"/>
          <w:b/>
          <w:bCs/>
          <w:color w:val="000000" w:themeColor="text1"/>
          <w:sz w:val="21"/>
          <w:szCs w:val="21"/>
          <w:highlight w:val="none"/>
          <w14:textFill>
            <w14:solidFill>
              <w14:schemeClr w14:val="tx1"/>
            </w14:solidFill>
          </w14:textFill>
        </w:rPr>
      </w:pPr>
    </w:p>
    <w:p w14:paraId="3771A2D3">
      <w:pPr>
        <w:pStyle w:val="7"/>
        <w:jc w:val="both"/>
        <w:rPr>
          <w:b/>
          <w:bCs/>
          <w:color w:val="000000" w:themeColor="text1"/>
          <w:sz w:val="32"/>
          <w:szCs w:val="32"/>
          <w:highlight w:val="none"/>
          <w14:textFill>
            <w14:solidFill>
              <w14:schemeClr w14:val="tx1"/>
            </w14:solidFill>
          </w14:textFill>
        </w:rPr>
      </w:pPr>
    </w:p>
    <w:p w14:paraId="4520803D">
      <w:pPr>
        <w:pStyle w:val="7"/>
        <w:numPr>
          <w:ilvl w:val="0"/>
          <w:numId w:val="5"/>
        </w:numPr>
        <w:jc w:val="center"/>
        <w:outlineLvl w:val="0"/>
        <w:rPr>
          <w:b/>
          <w:bCs/>
          <w:color w:val="000000" w:themeColor="text1"/>
          <w:sz w:val="32"/>
          <w:szCs w:val="32"/>
          <w:highlight w:val="none"/>
          <w14:textFill>
            <w14:solidFill>
              <w14:schemeClr w14:val="tx1"/>
            </w14:solidFill>
          </w14:textFill>
        </w:rPr>
      </w:pPr>
      <w:r>
        <w:rPr>
          <w:rFonts w:hint="eastAsia"/>
          <w:b/>
          <w:bCs/>
          <w:color w:val="000000" w:themeColor="text1"/>
          <w:sz w:val="32"/>
          <w:szCs w:val="32"/>
          <w:highlight w:val="none"/>
          <w14:textFill>
            <w14:solidFill>
              <w14:schemeClr w14:val="tx1"/>
            </w14:solidFill>
          </w14:textFill>
        </w:rPr>
        <w:t xml:space="preserve">  </w:t>
      </w:r>
      <w:bookmarkStart w:id="246" w:name="_Toc5373"/>
      <w:r>
        <w:rPr>
          <w:rFonts w:hint="eastAsia"/>
          <w:b/>
          <w:bCs/>
          <w:color w:val="000000" w:themeColor="text1"/>
          <w:sz w:val="32"/>
          <w:szCs w:val="32"/>
          <w:highlight w:val="none"/>
          <w14:textFill>
            <w14:solidFill>
              <w14:schemeClr w14:val="tx1"/>
            </w14:solidFill>
          </w14:textFill>
        </w:rPr>
        <w:t>采购内容及技术要求</w:t>
      </w:r>
      <w:bookmarkEnd w:id="246"/>
    </w:p>
    <w:bookmarkEnd w:id="245"/>
    <w:p w14:paraId="7DD29361">
      <w:pPr>
        <w:pStyle w:val="8"/>
        <w:widowControl w:val="0"/>
        <w:wordWrap/>
        <w:overflowPunct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eastAsia="方正小标宋简体" w:cs="Times New Roman"/>
          <w:color w:val="auto"/>
          <w:spacing w:val="-1"/>
          <w:sz w:val="32"/>
          <w:szCs w:val="32"/>
          <w:highlight w:val="none"/>
          <w:lang w:eastAsia="zh-CN"/>
        </w:rPr>
      </w:pPr>
      <w:bookmarkStart w:id="247" w:name="_Toc403122572"/>
      <w:bookmarkStart w:id="248" w:name="_Toc426369533"/>
      <w:bookmarkStart w:id="249" w:name="_Toc7906"/>
      <w:r>
        <w:rPr>
          <w:rFonts w:hint="default" w:ascii="Times New Roman" w:hAnsi="Times New Roman" w:eastAsia="方正小标宋简体" w:cs="Times New Roman"/>
          <w:color w:val="auto"/>
          <w:spacing w:val="-1"/>
          <w:sz w:val="44"/>
          <w:szCs w:val="44"/>
          <w:highlight w:val="none"/>
          <w:lang w:eastAsia="zh-CN"/>
        </w:rPr>
        <w:br w:type="page"/>
      </w:r>
      <w:r>
        <w:rPr>
          <w:rFonts w:hint="default" w:ascii="Times New Roman" w:hAnsi="Times New Roman" w:eastAsia="方正小标宋简体" w:cs="Times New Roman"/>
          <w:color w:val="auto"/>
          <w:spacing w:val="-1"/>
          <w:sz w:val="32"/>
          <w:szCs w:val="32"/>
          <w:highlight w:val="none"/>
          <w:lang w:eastAsia="zh-CN"/>
        </w:rPr>
        <w:t>博爱县城市管理局博爱县全域环卫市场化项目</w:t>
      </w:r>
    </w:p>
    <w:p w14:paraId="25B2CEA0">
      <w:pPr>
        <w:pStyle w:val="8"/>
        <w:widowControl w:val="0"/>
        <w:wordWrap/>
        <w:overflowPunct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eastAsia="黑体" w:cs="Times New Roman"/>
          <w:b/>
          <w:bCs/>
          <w:color w:val="auto"/>
          <w:sz w:val="32"/>
          <w:szCs w:val="32"/>
          <w:highlight w:val="none"/>
          <w:lang w:eastAsia="zh-CN"/>
        </w:rPr>
      </w:pPr>
      <w:r>
        <w:rPr>
          <w:rFonts w:hint="default" w:ascii="Times New Roman" w:hAnsi="Times New Roman" w:eastAsia="方正小标宋简体" w:cs="Times New Roman"/>
          <w:color w:val="auto"/>
          <w:spacing w:val="-1"/>
          <w:sz w:val="32"/>
          <w:szCs w:val="32"/>
          <w:highlight w:val="none"/>
          <w:lang w:eastAsia="zh-CN"/>
        </w:rPr>
        <w:t>采购内容及要求</w:t>
      </w:r>
    </w:p>
    <w:p w14:paraId="4F1D126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一、实施范围与要求</w:t>
      </w:r>
    </w:p>
    <w:p w14:paraId="663DA61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（一）城区：</w:t>
      </w:r>
    </w:p>
    <w:p w14:paraId="23BB269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1、范围：</w:t>
      </w:r>
    </w:p>
    <w:p w14:paraId="335A0A60">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一标段：管理城区月山路北段、团结路北段等21条主次干道面积213万平方米，总长度49.6公里的清扫保洁、垃圾清运等工作，管理城区9座垃圾中转站、16座公厕。</w:t>
      </w:r>
    </w:p>
    <w:p w14:paraId="07477DF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二标段：管理城区月山路南段、团结路南段等25条主次干道面积177万平方米，总长度45.7公里的清扫保洁、垃圾清运等工作，管理城区5座垃圾中转站、12座公厕。</w:t>
      </w:r>
    </w:p>
    <w:p w14:paraId="5750FAB3">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以后新增的垃圾中转站和公厕及时纳入管理。</w:t>
      </w:r>
    </w:p>
    <w:p w14:paraId="51247A9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2、环卫作业要求：</w:t>
      </w:r>
    </w:p>
    <w:p w14:paraId="15B646B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sz w:val="21"/>
          <w:szCs w:val="21"/>
          <w:highlight w:val="none"/>
          <w:lang w:eastAsia="zh-CN"/>
        </w:rPr>
        <w:t>作业时间</w:t>
      </w:r>
    </w:p>
    <w:p w14:paraId="6C1AFB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一般道路：7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00保洁。</w:t>
      </w:r>
    </w:p>
    <w:p w14:paraId="5A8AEDC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重点路段夜保：保洁时间延长至4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00-22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w:t>
      </w:r>
    </w:p>
    <w:p w14:paraId="4924E6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（2）</w:t>
      </w:r>
      <w:r>
        <w:rPr>
          <w:rFonts w:hint="eastAsia" w:ascii="宋体" w:hAnsi="宋体" w:eastAsia="宋体" w:cs="宋体"/>
          <w:color w:val="auto"/>
          <w:sz w:val="21"/>
          <w:szCs w:val="21"/>
          <w:highlight w:val="none"/>
          <w:lang w:eastAsia="zh-CN"/>
        </w:rPr>
        <w:t>作业标准</w:t>
      </w:r>
    </w:p>
    <w:p w14:paraId="06EB934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“十净五无”即：车行道净、步行道净、边角侧石净、井沟井盖净、树穴净、果皮箱净、路名牌净、候车亭净、护栏净、花木和绿化带净，无垃圾、无污泥积水、无烟蒂痰迹、无尘土、无乱贴乱画。</w:t>
      </w:r>
    </w:p>
    <w:p w14:paraId="61DBD49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3、车辆及设备要求：</w:t>
      </w:r>
      <w:r>
        <w:rPr>
          <w:rFonts w:hint="eastAsia" w:ascii="宋体" w:hAnsi="宋体" w:eastAsia="宋体" w:cs="宋体"/>
          <w:color w:val="auto"/>
          <w:sz w:val="21"/>
          <w:szCs w:val="21"/>
          <w:highlight w:val="none"/>
          <w:lang w:eastAsia="zh-CN"/>
        </w:rPr>
        <w:t>城区环卫作业车辆全部实行新能源环卫车辆作业，将现有中转站升级改造为压缩式中转站，提高生活垃圾清运效率。其中，一标段大型新能源雾炮、洒水车、机扫车、垃圾勾臂车不少于20辆，小型新能源机扫车不少于10辆，压缩箱体不少于6个。二标段大型新能源雾炮、洒水车、机扫车、垃圾勾臂车不少于1</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辆，小型新能源机扫车不少于10辆，压缩箱体不少于4个。</w:t>
      </w:r>
    </w:p>
    <w:p w14:paraId="34AA0EA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4、环保攻坚要求：</w:t>
      </w:r>
    </w:p>
    <w:p w14:paraId="6AB945B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（1）控尘保湿作业：通过科学、精细、常态化的作业，有效降低道路扬尘，保持路面洁净湿润，减少空气颗粒物污染，改善环境空气质量。</w:t>
      </w:r>
    </w:p>
    <w:p w14:paraId="0425F50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（2）专家调度：按照环保攻坚调度要求开展相关环卫作业，并保证时间、效果双达标。</w:t>
      </w:r>
    </w:p>
    <w:p w14:paraId="4DDE5E8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5、环卫相关其他工作要求：</w:t>
      </w:r>
    </w:p>
    <w:p w14:paraId="1D4CADB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按要求开展生活垃圾分类，配合餐厨垃圾收运，各类环卫设施设备的日常运行维护，</w:t>
      </w:r>
      <w:r>
        <w:rPr>
          <w:rFonts w:hint="eastAsia" w:ascii="宋体" w:hAnsi="宋体" w:eastAsia="宋体" w:cs="宋体"/>
          <w:color w:val="auto"/>
          <w:sz w:val="21"/>
          <w:szCs w:val="21"/>
          <w:highlight w:val="none"/>
        </w:rPr>
        <w:t>冬季主干道的除雪</w:t>
      </w:r>
      <w:r>
        <w:rPr>
          <w:rFonts w:hint="eastAsia" w:ascii="宋体" w:hAnsi="宋体" w:eastAsia="宋体" w:cs="宋体"/>
          <w:color w:val="auto"/>
          <w:sz w:val="21"/>
          <w:szCs w:val="21"/>
          <w:highlight w:val="none"/>
          <w:lang w:eastAsia="zh-CN"/>
        </w:rPr>
        <w:t>、除冰</w:t>
      </w:r>
      <w:r>
        <w:rPr>
          <w:rFonts w:hint="eastAsia" w:ascii="宋体" w:hAnsi="宋体" w:eastAsia="宋体" w:cs="宋体"/>
          <w:color w:val="auto"/>
          <w:sz w:val="21"/>
          <w:szCs w:val="21"/>
          <w:highlight w:val="none"/>
        </w:rPr>
        <w:t>等应急保障工作</w:t>
      </w:r>
      <w:r>
        <w:rPr>
          <w:rFonts w:hint="eastAsia" w:ascii="宋体" w:hAnsi="宋体" w:eastAsia="宋体" w:cs="宋体"/>
          <w:color w:val="auto"/>
          <w:sz w:val="21"/>
          <w:szCs w:val="21"/>
          <w:highlight w:val="none"/>
          <w:lang w:eastAsia="zh-CN"/>
        </w:rPr>
        <w:t>，以及与环卫相关的其他工作等</w:t>
      </w:r>
      <w:r>
        <w:rPr>
          <w:rFonts w:hint="eastAsia" w:ascii="宋体" w:hAnsi="宋体" w:eastAsia="宋体" w:cs="宋体"/>
          <w:color w:val="auto"/>
          <w:sz w:val="21"/>
          <w:szCs w:val="21"/>
          <w:highlight w:val="none"/>
        </w:rPr>
        <w:t>。</w:t>
      </w:r>
    </w:p>
    <w:p w14:paraId="36C85E5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（二）农村：</w:t>
      </w:r>
    </w:p>
    <w:p w14:paraId="26185DB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1、范围：</w:t>
      </w:r>
    </w:p>
    <w:p w14:paraId="6FF0A98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一标段：管理范围</w:t>
      </w:r>
      <w:r>
        <w:rPr>
          <w:rFonts w:hint="eastAsia" w:ascii="宋体" w:hAnsi="宋体" w:eastAsia="宋体" w:cs="宋体"/>
          <w:color w:val="auto"/>
          <w:sz w:val="21"/>
          <w:szCs w:val="21"/>
          <w:highlight w:val="none"/>
        </w:rPr>
        <w:t>覆盖我县鸿昌街道、许良镇、月山镇、柏山镇、</w:t>
      </w:r>
      <w:r>
        <w:rPr>
          <w:rFonts w:hint="eastAsia" w:ascii="宋体" w:hAnsi="宋体" w:eastAsia="宋体" w:cs="宋体"/>
          <w:color w:val="auto"/>
          <w:sz w:val="21"/>
          <w:szCs w:val="21"/>
          <w:highlight w:val="none"/>
          <w:lang w:eastAsia="zh-CN"/>
        </w:rPr>
        <w:t>寨豁乡全部91</w:t>
      </w:r>
      <w:r>
        <w:rPr>
          <w:rFonts w:hint="eastAsia" w:ascii="宋体" w:hAnsi="宋体" w:eastAsia="宋体" w:cs="宋体"/>
          <w:color w:val="auto"/>
          <w:sz w:val="21"/>
          <w:szCs w:val="21"/>
          <w:highlight w:val="none"/>
        </w:rPr>
        <w:t>个农村</w:t>
      </w:r>
      <w:r>
        <w:rPr>
          <w:rFonts w:hint="eastAsia" w:ascii="宋体" w:hAnsi="宋体" w:eastAsia="宋体" w:cs="宋体"/>
          <w:color w:val="auto"/>
          <w:sz w:val="21"/>
          <w:szCs w:val="21"/>
          <w:highlight w:val="none"/>
          <w:lang w:eastAsia="zh-CN"/>
        </w:rPr>
        <w:t>，乡镇、</w:t>
      </w:r>
      <w:r>
        <w:rPr>
          <w:rFonts w:hint="eastAsia" w:ascii="宋体" w:hAnsi="宋体" w:eastAsia="宋体" w:cs="宋体"/>
          <w:color w:val="auto"/>
          <w:sz w:val="21"/>
          <w:szCs w:val="21"/>
          <w:highlight w:val="none"/>
        </w:rPr>
        <w:t>街道</w:t>
      </w:r>
      <w:r>
        <w:rPr>
          <w:rFonts w:hint="eastAsia" w:ascii="宋体" w:hAnsi="宋体" w:eastAsia="宋体" w:cs="宋体"/>
          <w:color w:val="auto"/>
          <w:sz w:val="21"/>
          <w:szCs w:val="21"/>
          <w:highlight w:val="none"/>
          <w:lang w:eastAsia="zh-CN"/>
        </w:rPr>
        <w:t>管理的公厕。</w:t>
      </w:r>
    </w:p>
    <w:p w14:paraId="1D5293D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二标段：管理范围</w:t>
      </w:r>
      <w:r>
        <w:rPr>
          <w:rFonts w:hint="eastAsia" w:ascii="宋体" w:hAnsi="宋体" w:eastAsia="宋体" w:cs="宋体"/>
          <w:color w:val="auto"/>
          <w:sz w:val="21"/>
          <w:szCs w:val="21"/>
          <w:highlight w:val="none"/>
        </w:rPr>
        <w:t>覆盖我县清化镇街道</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磨头镇、孝敬镇</w:t>
      </w:r>
      <w:r>
        <w:rPr>
          <w:rFonts w:hint="eastAsia" w:ascii="宋体" w:hAnsi="宋体" w:eastAsia="宋体" w:cs="宋体"/>
          <w:color w:val="auto"/>
          <w:sz w:val="21"/>
          <w:szCs w:val="21"/>
          <w:highlight w:val="none"/>
          <w:lang w:eastAsia="zh-CN"/>
        </w:rPr>
        <w:t>（包括程村小区）</w:t>
      </w:r>
      <w:r>
        <w:rPr>
          <w:rFonts w:hint="eastAsia" w:ascii="宋体" w:hAnsi="宋体" w:eastAsia="宋体" w:cs="宋体"/>
          <w:color w:val="auto"/>
          <w:sz w:val="21"/>
          <w:szCs w:val="21"/>
          <w:highlight w:val="none"/>
        </w:rPr>
        <w:t>、金城乡等</w:t>
      </w: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个乡镇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街道</w:t>
      </w:r>
      <w:r>
        <w:rPr>
          <w:rFonts w:hint="eastAsia" w:ascii="宋体" w:hAnsi="宋体" w:eastAsia="宋体" w:cs="宋体"/>
          <w:color w:val="auto"/>
          <w:sz w:val="21"/>
          <w:szCs w:val="21"/>
          <w:highlight w:val="none"/>
          <w:lang w:eastAsia="zh-CN"/>
        </w:rPr>
        <w:t>全部113</w:t>
      </w:r>
      <w:r>
        <w:rPr>
          <w:rFonts w:hint="eastAsia" w:ascii="宋体" w:hAnsi="宋体" w:eastAsia="宋体" w:cs="宋体"/>
          <w:color w:val="auto"/>
          <w:sz w:val="21"/>
          <w:szCs w:val="21"/>
          <w:highlight w:val="none"/>
        </w:rPr>
        <w:t>个农村</w:t>
      </w:r>
      <w:r>
        <w:rPr>
          <w:rFonts w:hint="eastAsia" w:ascii="宋体" w:hAnsi="宋体" w:eastAsia="宋体" w:cs="宋体"/>
          <w:color w:val="auto"/>
          <w:sz w:val="21"/>
          <w:szCs w:val="21"/>
          <w:highlight w:val="none"/>
          <w:lang w:eastAsia="zh-CN"/>
        </w:rPr>
        <w:t>，乡镇、</w:t>
      </w:r>
      <w:r>
        <w:rPr>
          <w:rFonts w:hint="eastAsia" w:ascii="宋体" w:hAnsi="宋体" w:eastAsia="宋体" w:cs="宋体"/>
          <w:color w:val="auto"/>
          <w:sz w:val="21"/>
          <w:szCs w:val="21"/>
          <w:highlight w:val="none"/>
        </w:rPr>
        <w:t>街道</w:t>
      </w:r>
      <w:r>
        <w:rPr>
          <w:rFonts w:hint="eastAsia" w:ascii="宋体" w:hAnsi="宋体" w:eastAsia="宋体" w:cs="宋体"/>
          <w:color w:val="auto"/>
          <w:sz w:val="21"/>
          <w:szCs w:val="21"/>
          <w:highlight w:val="none"/>
          <w:lang w:eastAsia="zh-CN"/>
        </w:rPr>
        <w:t>管理的公厕。</w:t>
      </w:r>
    </w:p>
    <w:p w14:paraId="2A0E53E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2、环卫作业要求：</w:t>
      </w:r>
    </w:p>
    <w:p w14:paraId="11EA6FE0">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满足农村垃圾收集设施</w:t>
      </w:r>
      <w:r>
        <w:rPr>
          <w:rFonts w:hint="eastAsia" w:ascii="宋体" w:hAnsi="宋体" w:eastAsia="宋体" w:cs="宋体"/>
          <w:color w:val="auto"/>
          <w:sz w:val="21"/>
          <w:szCs w:val="21"/>
          <w:highlight w:val="none"/>
          <w:lang w:eastAsia="zh-CN"/>
        </w:rPr>
        <w:t>、设备</w:t>
      </w:r>
      <w:r>
        <w:rPr>
          <w:rFonts w:hint="eastAsia" w:ascii="宋体" w:hAnsi="宋体" w:eastAsia="宋体" w:cs="宋体"/>
          <w:color w:val="auto"/>
          <w:sz w:val="21"/>
          <w:szCs w:val="21"/>
          <w:highlight w:val="none"/>
        </w:rPr>
        <w:t>的建设投放；农村环卫设施、垃圾收运设施设备的日常运行维护；农村生活垃圾的收集、清理和运输；冬季镇村主干道的除雪等应急保障工作。</w:t>
      </w:r>
    </w:p>
    <w:p w14:paraId="38D7D20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3、</w:t>
      </w:r>
      <w:r>
        <w:rPr>
          <w:rFonts w:hint="eastAsia" w:ascii="宋体" w:hAnsi="宋体" w:cs="宋体"/>
          <w:b/>
          <w:bCs/>
          <w:color w:val="auto"/>
          <w:sz w:val="21"/>
          <w:szCs w:val="21"/>
          <w:highlight w:val="none"/>
          <w:lang w:eastAsia="zh-CN"/>
        </w:rPr>
        <w:t>质量</w:t>
      </w:r>
      <w:r>
        <w:rPr>
          <w:rFonts w:hint="eastAsia" w:ascii="宋体" w:hAnsi="宋体" w:cs="宋体"/>
          <w:b/>
          <w:bCs/>
          <w:color w:val="auto"/>
          <w:sz w:val="21"/>
          <w:szCs w:val="21"/>
          <w:highlight w:val="none"/>
          <w:lang w:val="en-US" w:eastAsia="zh-CN"/>
        </w:rPr>
        <w:t>标准</w:t>
      </w:r>
    </w:p>
    <w:p w14:paraId="5C64559F">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按照河南省住建厅、环保厅、农业厅等三部门印发的《河南省农村垃圾治理达标验收办法》（豫建〔2017〕48号）要求，农村生活垃圾治理具备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五有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标准（一是有稳定的保洁队伍、二是有长效的资金保障、三是有完善的设施设备、四是有成熟的治理技术、五是有完善的监管制度）；所有清扫标准，根据</w:t>
      </w:r>
      <w:r>
        <w:rPr>
          <w:rFonts w:hint="eastAsia" w:ascii="宋体" w:hAnsi="宋体" w:eastAsia="宋体" w:cs="宋体"/>
          <w:color w:val="auto"/>
          <w:sz w:val="21"/>
          <w:szCs w:val="21"/>
          <w:highlight w:val="none"/>
          <w:lang w:eastAsia="zh-CN"/>
        </w:rPr>
        <w:t>省市环保要求及其他</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eastAsia="zh-CN"/>
        </w:rPr>
        <w:t>规定</w:t>
      </w:r>
      <w:r>
        <w:rPr>
          <w:rFonts w:hint="eastAsia" w:ascii="宋体" w:hAnsi="宋体" w:eastAsia="宋体" w:cs="宋体"/>
          <w:color w:val="auto"/>
          <w:sz w:val="21"/>
          <w:szCs w:val="21"/>
          <w:highlight w:val="none"/>
        </w:rPr>
        <w:t>，适时调整。具体要求如下：</w:t>
      </w:r>
    </w:p>
    <w:p w14:paraId="1A788D26">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rPr>
        <w:t>保洁人员、设施设备配备标准</w:t>
      </w:r>
    </w:p>
    <w:p w14:paraId="0F8BD207">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村街保洁人员数量按照不低于人口的2‰配备，建设满足环卫保洁工作的收集、运输设施设备。</w:t>
      </w:r>
    </w:p>
    <w:p w14:paraId="47102343">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（2）清扫标准</w:t>
      </w:r>
    </w:p>
    <w:p w14:paraId="1EF1313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村街保洁</w:t>
      </w:r>
    </w:p>
    <w:p w14:paraId="7DEFDC9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村街保洁应做到一天一扫，定时保洁。</w:t>
      </w:r>
    </w:p>
    <w:p w14:paraId="57B3AE4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作业时间：普扫时间：7:00前普扫结束；</w:t>
      </w:r>
    </w:p>
    <w:p w14:paraId="720E247E">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夏季保洁时间：8:00—12:00，14:00—18:00；</w:t>
      </w:r>
    </w:p>
    <w:p w14:paraId="33AAF2A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冬季保洁时间：8:00—12:00，13:30—17:30。</w:t>
      </w:r>
    </w:p>
    <w:p w14:paraId="4D5DFDD3">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依据《河南省人民政府办公厅关于全面推进农村垃圾治理的实施意见》（豫政办〔2016〕205号）要求，做到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三无一规范一眼净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（村内及周边无垃圾堆放、无污水横流、无杂物挡道，日常生产生活用品堆放规范有序，主次道路路面两侧环境干净）标准，墙体、线杆无乱贴乱画现象。</w:t>
      </w:r>
    </w:p>
    <w:p w14:paraId="3FA6193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w:t>
      </w:r>
      <w:r>
        <w:rPr>
          <w:rFonts w:hint="eastAsia" w:ascii="宋体" w:hAnsi="宋体" w:eastAsia="宋体" w:cs="宋体"/>
          <w:color w:val="auto"/>
          <w:sz w:val="21"/>
          <w:szCs w:val="21"/>
          <w:highlight w:val="none"/>
          <w:lang w:eastAsia="zh-CN"/>
        </w:rPr>
        <w:t>求</w:t>
      </w:r>
      <w:r>
        <w:rPr>
          <w:rFonts w:hint="eastAsia" w:ascii="宋体" w:hAnsi="宋体" w:eastAsia="宋体" w:cs="宋体"/>
          <w:color w:val="auto"/>
          <w:sz w:val="21"/>
          <w:szCs w:val="21"/>
          <w:highlight w:val="none"/>
        </w:rPr>
        <w:t>村庄所有硬化路面（包括村村通道路、生产道路）无垃圾堆放，道牙边无积尘，道外无杂物；村庄范围内无白色垃圾；路面无积留污水；绿化带、树穴周围无垃圾、杂物、杂草等；河道、沟渠边无杂物垃圾（生活垃圾）；保持日常生活物品堆放规范有序，道路两侧环境干净。</w:t>
      </w:r>
    </w:p>
    <w:p w14:paraId="4465EDD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②、垃圾收运</w:t>
      </w:r>
    </w:p>
    <w:p w14:paraId="2016976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垃圾收运做到日产日清，做到无积压、无满溢现象，每日垃圾收集率达到100%；收运过程实行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垃圾不落地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作业，全程密闭运输，无遗漏、撒漏、渗滤液滴漏现象。</w:t>
      </w:r>
    </w:p>
    <w:p w14:paraId="5AEE9E2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环卫设施管护</w:t>
      </w:r>
    </w:p>
    <w:p w14:paraId="361B0A4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时对公用垃圾桶/箱、垃圾收集点内外部进行清理，保持外部整洁、内部畅通；定期对公用垃圾桶/箱、垃圾收集点公厕进行消杀，防止卫生疾病问题发生；定期检查公用垃圾桶/箱、垃圾收集点、公厕管理制度牌是否损坏，发现损坏应及时维修更换。</w:t>
      </w:r>
    </w:p>
    <w:p w14:paraId="5D3D98B0">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4、车辆及设备要求：</w:t>
      </w:r>
      <w:r>
        <w:rPr>
          <w:rFonts w:hint="eastAsia" w:ascii="宋体" w:hAnsi="宋体" w:eastAsia="宋体" w:cs="宋体"/>
          <w:color w:val="auto"/>
          <w:sz w:val="21"/>
          <w:szCs w:val="21"/>
          <w:highlight w:val="none"/>
          <w:lang w:eastAsia="zh-CN"/>
        </w:rPr>
        <w:t>农村环卫作业车辆要求符合现行国家标准，并根据省、市要求，逐步替代新能源环卫车辆。环卫车辆数量必须满足作业要求，使用压缩车辆、压缩式中转站，提高生活垃圾清运效率。其中，一标段洒水车、洗扫车、勾臂车、挂桶车不少于21台，三轮车、小养护不少于12辆（台），压缩箱体不少于5个。二标段洒水车、洗扫车、勾臂车、挂桶车不少于21台，三轮车、小养护不少于12辆（台），压缩箱体不少于5个。</w:t>
      </w:r>
    </w:p>
    <w:p w14:paraId="3073E7B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5、环保攻坚要求：</w:t>
      </w:r>
    </w:p>
    <w:p w14:paraId="6908EA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按照环保攻坚调度要求开展相关环卫作业，并保证时间、效果双达标。</w:t>
      </w:r>
    </w:p>
    <w:p w14:paraId="0242A33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6、农村环卫相关其他工作要求：</w:t>
      </w:r>
    </w:p>
    <w:p w14:paraId="27DB9B9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按要求开展农村生活垃圾分类工作，各类环卫设施设备的日常运行维护，</w:t>
      </w:r>
      <w:r>
        <w:rPr>
          <w:rFonts w:hint="eastAsia" w:ascii="宋体" w:hAnsi="宋体" w:eastAsia="宋体" w:cs="宋体"/>
          <w:color w:val="auto"/>
          <w:sz w:val="21"/>
          <w:szCs w:val="21"/>
          <w:highlight w:val="none"/>
        </w:rPr>
        <w:t>冬季</w:t>
      </w:r>
      <w:r>
        <w:rPr>
          <w:rFonts w:hint="eastAsia" w:ascii="宋体" w:hAnsi="宋体" w:eastAsia="宋体" w:cs="宋体"/>
          <w:color w:val="auto"/>
          <w:sz w:val="21"/>
          <w:szCs w:val="21"/>
          <w:highlight w:val="none"/>
          <w:lang w:eastAsia="zh-CN"/>
        </w:rPr>
        <w:t>村镇</w:t>
      </w:r>
      <w:r>
        <w:rPr>
          <w:rFonts w:hint="eastAsia" w:ascii="宋体" w:hAnsi="宋体" w:eastAsia="宋体" w:cs="宋体"/>
          <w:color w:val="auto"/>
          <w:sz w:val="21"/>
          <w:szCs w:val="21"/>
          <w:highlight w:val="none"/>
        </w:rPr>
        <w:t>主干道的除雪</w:t>
      </w:r>
      <w:r>
        <w:rPr>
          <w:rFonts w:hint="eastAsia" w:ascii="宋体" w:hAnsi="宋体" w:eastAsia="宋体" w:cs="宋体"/>
          <w:color w:val="auto"/>
          <w:sz w:val="21"/>
          <w:szCs w:val="21"/>
          <w:highlight w:val="none"/>
          <w:lang w:eastAsia="zh-CN"/>
        </w:rPr>
        <w:t>、除冰</w:t>
      </w:r>
      <w:r>
        <w:rPr>
          <w:rFonts w:hint="eastAsia" w:ascii="宋体" w:hAnsi="宋体" w:eastAsia="宋体" w:cs="宋体"/>
          <w:color w:val="auto"/>
          <w:sz w:val="21"/>
          <w:szCs w:val="21"/>
          <w:highlight w:val="none"/>
        </w:rPr>
        <w:t>等应急保障工作</w:t>
      </w:r>
      <w:r>
        <w:rPr>
          <w:rFonts w:hint="eastAsia" w:ascii="宋体" w:hAnsi="宋体" w:eastAsia="宋体" w:cs="宋体"/>
          <w:color w:val="auto"/>
          <w:sz w:val="21"/>
          <w:szCs w:val="21"/>
          <w:highlight w:val="none"/>
          <w:lang w:eastAsia="zh-CN"/>
        </w:rPr>
        <w:t>，以及与农村环卫相关的其他工作等</w:t>
      </w:r>
      <w:r>
        <w:rPr>
          <w:rFonts w:hint="eastAsia" w:ascii="宋体" w:hAnsi="宋体" w:eastAsia="宋体" w:cs="宋体"/>
          <w:color w:val="auto"/>
          <w:sz w:val="21"/>
          <w:szCs w:val="21"/>
          <w:highlight w:val="none"/>
        </w:rPr>
        <w:t>。</w:t>
      </w:r>
    </w:p>
    <w:p w14:paraId="0D29D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（三）国省、县、乡公路：</w:t>
      </w:r>
    </w:p>
    <w:p w14:paraId="2D881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1、范围：</w:t>
      </w:r>
    </w:p>
    <w:p w14:paraId="3CFC799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一标段：管理S104郑沁线、S307卫济线等国省道路6条，长度38.572公里。X013西磨线、X028杨前线等县道7条，长度49公里。Y005西际线、Y006九冯线等乡道7条，长度56.8公里。</w:t>
      </w:r>
    </w:p>
    <w:p w14:paraId="14BD808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二标段：管理G327连固线、S235博许线等国省道路3条，长度28.104公里。X016焦白线、X020焦刘线等县道5条，长度44.2公里。Y003东留线、Y011张东线等乡道5条，长度45.6公里。</w:t>
      </w:r>
    </w:p>
    <w:p w14:paraId="7E1C346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2、车辆及设备要求：</w:t>
      </w:r>
      <w:r>
        <w:rPr>
          <w:rFonts w:hint="eastAsia" w:ascii="宋体" w:hAnsi="宋体" w:eastAsia="宋体" w:cs="宋体"/>
          <w:color w:val="auto"/>
          <w:sz w:val="21"/>
          <w:szCs w:val="21"/>
          <w:highlight w:val="none"/>
          <w:lang w:eastAsia="zh-CN"/>
        </w:rPr>
        <w:t>交通道路作业车辆要求符合现行</w:t>
      </w:r>
      <w:r>
        <w:rPr>
          <w:rFonts w:hint="eastAsia" w:ascii="宋体" w:hAnsi="宋体" w:eastAsia="宋体" w:cs="宋体"/>
          <w:snapToGrid w:val="0"/>
          <w:color w:val="auto"/>
          <w:sz w:val="21"/>
          <w:szCs w:val="21"/>
          <w:highlight w:val="none"/>
          <w:lang w:val="en-US" w:eastAsia="zh-CN" w:bidi="ar-SA"/>
        </w:rPr>
        <w:t>国家标准，逐步树立“以扫为主，冲洗为辅”的保洁模式，彻底解决“干净了局部，影响一大片”的环保问题。并根据省、市要求，逐步替代新能源环卫车辆。国省道3公里配备一辆洒水车，6公里配备一辆机扫车，每50公里配备一台除雪车，每20公里配备一台融雪车，需要22辆洒水车，11辆机扫车，除雪车1台，融雪车3台；县、乡道路9公里配备一辆洒水车，20公里配备一辆机扫车；192公里县乡道路需要配备21台洒水车，10台机扫车，除雪车1台；交通道路共计需要配备32辆洒水车，32辆机扫车，除雪车2台，融雪车3台；（洒水车、机扫车要求载重10吨以上）。</w:t>
      </w:r>
    </w:p>
    <w:p w14:paraId="044F269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3、</w:t>
      </w:r>
      <w:r>
        <w:rPr>
          <w:rFonts w:hint="eastAsia" w:ascii="宋体" w:hAnsi="宋体" w:eastAsia="宋体" w:cs="宋体"/>
          <w:b/>
          <w:bCs/>
          <w:color w:val="auto"/>
          <w:sz w:val="21"/>
          <w:szCs w:val="21"/>
          <w:highlight w:val="none"/>
        </w:rPr>
        <w:t>保洁人员、设施设备配备标准</w:t>
      </w:r>
    </w:p>
    <w:p w14:paraId="21AC29F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一级公路</w:t>
      </w:r>
      <w:r>
        <w:rPr>
          <w:rFonts w:hint="eastAsia" w:ascii="宋体" w:hAnsi="宋体" w:eastAsia="宋体" w:cs="宋体"/>
          <w:color w:val="auto"/>
          <w:sz w:val="21"/>
          <w:szCs w:val="21"/>
          <w:highlight w:val="none"/>
        </w:rPr>
        <w:t>保洁人员数量按照</w:t>
      </w:r>
      <w:r>
        <w:rPr>
          <w:rFonts w:hint="eastAsia" w:ascii="宋体" w:hAnsi="宋体" w:eastAsia="宋体" w:cs="宋体"/>
          <w:color w:val="auto"/>
          <w:sz w:val="21"/>
          <w:szCs w:val="21"/>
          <w:highlight w:val="none"/>
          <w:lang w:eastAsia="zh-CN"/>
        </w:rPr>
        <w:t>每公里</w:t>
      </w:r>
      <w:r>
        <w:rPr>
          <w:rFonts w:hint="eastAsia" w:ascii="宋体" w:hAnsi="宋体" w:eastAsia="宋体" w:cs="宋体"/>
          <w:color w:val="auto"/>
          <w:sz w:val="21"/>
          <w:szCs w:val="21"/>
          <w:highlight w:val="none"/>
        </w:rPr>
        <w:t>不低于</w:t>
      </w:r>
      <w:r>
        <w:rPr>
          <w:rFonts w:hint="eastAsia" w:ascii="宋体" w:hAnsi="宋体" w:eastAsia="宋体" w:cs="宋体"/>
          <w:color w:val="auto"/>
          <w:sz w:val="21"/>
          <w:szCs w:val="21"/>
          <w:highlight w:val="none"/>
          <w:lang w:eastAsia="zh-CN"/>
        </w:rPr>
        <w:t>2人，二级公路每公里不少于1人，三级及以下公路每公里不少于0.4人</w:t>
      </w:r>
      <w:r>
        <w:rPr>
          <w:rFonts w:hint="eastAsia" w:ascii="宋体" w:hAnsi="宋体" w:eastAsia="宋体" w:cs="宋体"/>
          <w:color w:val="auto"/>
          <w:sz w:val="21"/>
          <w:szCs w:val="21"/>
          <w:highlight w:val="none"/>
        </w:rPr>
        <w:t>配备，</w:t>
      </w:r>
      <w:r>
        <w:rPr>
          <w:rFonts w:hint="eastAsia" w:ascii="宋体" w:hAnsi="宋体" w:eastAsia="宋体" w:cs="宋体"/>
          <w:color w:val="auto"/>
          <w:sz w:val="21"/>
          <w:szCs w:val="21"/>
          <w:highlight w:val="none"/>
          <w:lang w:eastAsia="zh-CN"/>
        </w:rPr>
        <w:t>人员配备应</w:t>
      </w:r>
      <w:r>
        <w:rPr>
          <w:rFonts w:hint="eastAsia" w:ascii="宋体" w:hAnsi="宋体" w:eastAsia="宋体" w:cs="宋体"/>
          <w:color w:val="auto"/>
          <w:sz w:val="21"/>
          <w:szCs w:val="21"/>
          <w:highlight w:val="none"/>
        </w:rPr>
        <w:t>满足</w:t>
      </w:r>
      <w:r>
        <w:rPr>
          <w:rFonts w:hint="eastAsia" w:ascii="宋体" w:hAnsi="宋体" w:eastAsia="宋体" w:cs="宋体"/>
          <w:color w:val="auto"/>
          <w:sz w:val="21"/>
          <w:szCs w:val="21"/>
          <w:highlight w:val="none"/>
          <w:lang w:eastAsia="zh-CN"/>
        </w:rPr>
        <w:t>道路清扫、杂草垃圾清理、标志标牌的清洗等机械设备无法开展的工作</w:t>
      </w:r>
      <w:r>
        <w:rPr>
          <w:rFonts w:hint="eastAsia" w:ascii="宋体" w:hAnsi="宋体" w:eastAsia="宋体" w:cs="宋体"/>
          <w:color w:val="auto"/>
          <w:sz w:val="21"/>
          <w:szCs w:val="21"/>
          <w:highlight w:val="none"/>
        </w:rPr>
        <w:t>。</w:t>
      </w:r>
    </w:p>
    <w:p w14:paraId="7AA98F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4、道路保洁要求及环保攻坚要求：</w:t>
      </w:r>
    </w:p>
    <w:p w14:paraId="1FCCC13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作业规范：</w:t>
      </w:r>
    </w:p>
    <w:p w14:paraId="721AD5E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普扫：全面清扫，做到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四无、</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（无垃圾、无杂物、无积水、无污物；路面净、路牙净、</w:t>
      </w:r>
      <w:r>
        <w:rPr>
          <w:rFonts w:hint="eastAsia" w:ascii="宋体" w:hAnsi="宋体" w:eastAsia="宋体" w:cs="宋体"/>
          <w:color w:val="auto"/>
          <w:sz w:val="21"/>
          <w:szCs w:val="21"/>
          <w:highlight w:val="none"/>
          <w:lang w:eastAsia="zh-CN"/>
        </w:rPr>
        <w:t>井沟</w:t>
      </w:r>
      <w:r>
        <w:rPr>
          <w:rFonts w:hint="eastAsia" w:ascii="宋体" w:hAnsi="宋体" w:eastAsia="宋体" w:cs="宋体"/>
          <w:color w:val="auto"/>
          <w:sz w:val="21"/>
          <w:szCs w:val="21"/>
          <w:highlight w:val="none"/>
        </w:rPr>
        <w:t>净、绿化带净</w:t>
      </w:r>
      <w:r>
        <w:rPr>
          <w:rFonts w:hint="eastAsia" w:ascii="宋体" w:hAnsi="宋体" w:eastAsia="宋体" w:cs="宋体"/>
          <w:color w:val="auto"/>
          <w:sz w:val="21"/>
          <w:szCs w:val="21"/>
          <w:highlight w:val="none"/>
          <w:lang w:eastAsia="zh-CN"/>
        </w:rPr>
        <w:t>、护栏净、标志标牌净</w:t>
      </w:r>
      <w:r>
        <w:rPr>
          <w:rFonts w:hint="eastAsia" w:ascii="宋体" w:hAnsi="宋体" w:eastAsia="宋体" w:cs="宋体"/>
          <w:color w:val="auto"/>
          <w:sz w:val="21"/>
          <w:szCs w:val="21"/>
          <w:highlight w:val="none"/>
        </w:rPr>
        <w:t>）。</w:t>
      </w:r>
    </w:p>
    <w:p w14:paraId="4B6F4C6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雨天：及时清理下水井箅子周围的垃圾杂物，保障排水畅通。</w:t>
      </w:r>
    </w:p>
    <w:p w14:paraId="1281D8C6">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雪天：以清除积雪、</w:t>
      </w:r>
      <w:r>
        <w:rPr>
          <w:rFonts w:hint="eastAsia" w:ascii="宋体" w:hAnsi="宋体" w:eastAsia="宋体" w:cs="宋体"/>
          <w:b w:val="0"/>
          <w:bCs w:val="0"/>
          <w:color w:val="auto"/>
          <w:sz w:val="21"/>
          <w:szCs w:val="21"/>
          <w:highlight w:val="none"/>
          <w:lang w:val="en-US" w:eastAsia="zh-CN"/>
        </w:rPr>
        <w:t>道路</w:t>
      </w:r>
      <w:r>
        <w:rPr>
          <w:rFonts w:hint="eastAsia" w:ascii="宋体" w:hAnsi="宋体" w:eastAsia="宋体" w:cs="宋体"/>
          <w:color w:val="auto"/>
          <w:sz w:val="21"/>
          <w:szCs w:val="21"/>
          <w:highlight w:val="none"/>
          <w:lang w:eastAsia="zh-CN"/>
        </w:rPr>
        <w:t>除冰</w:t>
      </w:r>
      <w:r>
        <w:rPr>
          <w:rFonts w:hint="eastAsia" w:ascii="宋体" w:hAnsi="宋体" w:eastAsia="宋体" w:cs="宋体"/>
          <w:color w:val="auto"/>
          <w:sz w:val="21"/>
          <w:szCs w:val="21"/>
          <w:highlight w:val="none"/>
        </w:rPr>
        <w:t>等应急保障工作</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rPr>
        <w:t>根据预案撒布融雪剂，组织人员清扫。</w:t>
      </w:r>
    </w:p>
    <w:p w14:paraId="6719530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巡回保洁：以</w:t>
      </w:r>
      <w:r>
        <w:rPr>
          <w:rFonts w:hint="eastAsia" w:ascii="宋体" w:hAnsi="宋体" w:eastAsia="宋体" w:cs="宋体"/>
          <w:color w:val="auto"/>
          <w:sz w:val="21"/>
          <w:szCs w:val="21"/>
          <w:highlight w:val="none"/>
          <w:lang w:eastAsia="zh-CN"/>
        </w:rPr>
        <w:t>“巡</w:t>
      </w:r>
      <w:r>
        <w:rPr>
          <w:rFonts w:hint="eastAsia" w:ascii="宋体" w:hAnsi="宋体" w:eastAsia="宋体" w:cs="宋体"/>
          <w:color w:val="auto"/>
          <w:sz w:val="21"/>
          <w:szCs w:val="21"/>
          <w:highlight w:val="none"/>
        </w:rPr>
        <w:t>、扫、</w:t>
      </w:r>
      <w:r>
        <w:rPr>
          <w:rFonts w:hint="eastAsia" w:ascii="宋体" w:hAnsi="宋体" w:eastAsia="宋体" w:cs="宋体"/>
          <w:color w:val="auto"/>
          <w:sz w:val="21"/>
          <w:szCs w:val="21"/>
          <w:highlight w:val="none"/>
          <w:lang w:eastAsia="zh-CN"/>
        </w:rPr>
        <w:t>清、</w:t>
      </w:r>
      <w:r>
        <w:rPr>
          <w:rFonts w:hint="eastAsia" w:ascii="宋体" w:hAnsi="宋体" w:eastAsia="宋体" w:cs="宋体"/>
          <w:color w:val="auto"/>
          <w:sz w:val="21"/>
          <w:szCs w:val="21"/>
          <w:highlight w:val="none"/>
        </w:rPr>
        <w:t>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为主，及时清除动态垃圾。</w:t>
      </w:r>
    </w:p>
    <w:p w14:paraId="4C89D3D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工具使用：使用大扫</w:t>
      </w:r>
      <w:r>
        <w:rPr>
          <w:rFonts w:hint="eastAsia" w:ascii="宋体" w:hAnsi="宋体" w:eastAsia="宋体" w:cs="宋体"/>
          <w:color w:val="auto"/>
          <w:sz w:val="21"/>
          <w:szCs w:val="21"/>
          <w:highlight w:val="none"/>
          <w:lang w:eastAsia="zh-CN"/>
        </w:rPr>
        <w:t>帚、</w:t>
      </w:r>
      <w:r>
        <w:rPr>
          <w:rFonts w:hint="eastAsia" w:ascii="宋体" w:hAnsi="宋体" w:eastAsia="宋体" w:cs="宋体"/>
          <w:color w:val="auto"/>
          <w:sz w:val="21"/>
          <w:szCs w:val="21"/>
          <w:highlight w:val="none"/>
        </w:rPr>
        <w:t>小扫</w:t>
      </w:r>
      <w:r>
        <w:rPr>
          <w:rFonts w:hint="eastAsia" w:ascii="宋体" w:hAnsi="宋体" w:eastAsia="宋体" w:cs="宋体"/>
          <w:color w:val="auto"/>
          <w:sz w:val="21"/>
          <w:szCs w:val="21"/>
          <w:highlight w:val="none"/>
          <w:lang w:eastAsia="zh-CN"/>
        </w:rPr>
        <w:t>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铁铣</w:t>
      </w:r>
      <w:r>
        <w:rPr>
          <w:rFonts w:hint="eastAsia" w:ascii="宋体" w:hAnsi="宋体" w:eastAsia="宋体" w:cs="宋体"/>
          <w:color w:val="auto"/>
          <w:sz w:val="21"/>
          <w:szCs w:val="21"/>
          <w:highlight w:val="none"/>
        </w:rPr>
        <w:t>、保洁袋等，工具摆放整齐，不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碍交通。</w:t>
      </w:r>
    </w:p>
    <w:p w14:paraId="3A02F98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文明作业：不将垃圾扫入下水道、绿化带，不焚烧垃圾。</w:t>
      </w:r>
    </w:p>
    <w:p w14:paraId="01A2714A">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G327国道连固线青天河路至沁阳界段</w:t>
      </w:r>
      <w:r>
        <w:rPr>
          <w:rFonts w:hint="eastAsia" w:ascii="宋体" w:hAnsi="宋体" w:eastAsia="宋体" w:cs="宋体"/>
          <w:color w:val="auto"/>
          <w:sz w:val="21"/>
          <w:szCs w:val="21"/>
          <w:highlight w:val="none"/>
        </w:rPr>
        <w:t>全天候巡回保洁</w:t>
      </w:r>
    </w:p>
    <w:p w14:paraId="5123F5B9">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00保洁。</w:t>
      </w:r>
    </w:p>
    <w:p w14:paraId="69D6DB02">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重点路段保洁时间全天候。</w:t>
      </w:r>
    </w:p>
    <w:p w14:paraId="41A8868B">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2"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省道S104郑沁线、S235F博许线、S307卫济线、S310长邵线</w:t>
      </w:r>
    </w:p>
    <w:p w14:paraId="26DE1023">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00保洁。</w:t>
      </w:r>
    </w:p>
    <w:p w14:paraId="4A9F7E4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重点路段夜保时间延长至4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00-22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w:t>
      </w:r>
    </w:p>
    <w:p w14:paraId="1F460230">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其他道路</w:t>
      </w:r>
    </w:p>
    <w:p w14:paraId="42B877CE">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00保洁。</w:t>
      </w:r>
    </w:p>
    <w:p w14:paraId="79C1F5A3">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376" w:firstLineChars="200"/>
        <w:jc w:val="both"/>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lang w:eastAsia="zh-CN"/>
        </w:rPr>
        <w:t>重点路段夜保时间延长至4</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eastAsia="zh-CN"/>
        </w:rPr>
        <w:t>00-22</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1"/>
          <w:sz w:val="21"/>
          <w:szCs w:val="21"/>
          <w:highlight w:val="none"/>
          <w:lang w:eastAsia="zh-CN"/>
        </w:rPr>
        <w:t>00。</w:t>
      </w:r>
    </w:p>
    <w:p w14:paraId="0D5F54E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二、垃圾分类</w:t>
      </w:r>
    </w:p>
    <w:p w14:paraId="0078943E">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eastAsia="zh-CN"/>
        </w:rPr>
        <w:t>中标企业每年将不低于总成交额</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kern w:val="2"/>
          <w:sz w:val="21"/>
          <w:szCs w:val="21"/>
          <w:highlight w:val="none"/>
          <w:lang w:eastAsia="zh-CN"/>
        </w:rPr>
        <w:t>的资金用于垃圾分类工作的投入，用于购买垃圾分类设备。（根据市分类办当年要求购买相关设备）</w:t>
      </w:r>
    </w:p>
    <w:p w14:paraId="2B245C8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三、资产移交</w:t>
      </w:r>
    </w:p>
    <w:p w14:paraId="72CB732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对原有的环卫车辆、设备等资产进行评估，通过租</w:t>
      </w:r>
      <w:r>
        <w:rPr>
          <w:rFonts w:hint="eastAsia" w:ascii="宋体" w:hAnsi="宋体" w:eastAsia="宋体" w:cs="宋体"/>
          <w:color w:val="auto"/>
          <w:spacing w:val="-6"/>
          <w:sz w:val="21"/>
          <w:szCs w:val="21"/>
          <w:highlight w:val="none"/>
          <w:lang w:eastAsia="zh-CN"/>
        </w:rPr>
        <w:t>赁或有偿转让等方式移交中标企业使用。</w:t>
      </w:r>
    </w:p>
    <w:p w14:paraId="3C891BF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四、生活垃圾的处理</w:t>
      </w:r>
    </w:p>
    <w:p w14:paraId="38B1A9D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eastAsia="zh-CN"/>
        </w:rPr>
        <w:t>城区及农村产生的生活垃圾，统一运送至位于磨头镇大礼元村东的焦作市静脉产业园西部园区生活垃圾焚烧发电项目（焦作绿博城发环保能源有限公司），进行焚烧处理，运输费用由市场化公司负责，垃圾焚烧处理费用由县财政负责。</w:t>
      </w:r>
    </w:p>
    <w:p w14:paraId="081EA407">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right"/>
        <w:textAlignment w:val="baseline"/>
        <w:rPr>
          <w:rFonts w:hint="eastAsia" w:ascii="宋体" w:hAnsi="宋体" w:eastAsia="宋体" w:cs="宋体"/>
          <w:color w:val="auto"/>
          <w:sz w:val="21"/>
          <w:szCs w:val="21"/>
          <w:highlight w:val="none"/>
          <w:lang w:eastAsia="zh-CN"/>
        </w:rPr>
      </w:pPr>
    </w:p>
    <w:p w14:paraId="060E6D75">
      <w:pPr>
        <w:pStyle w:val="20"/>
        <w:keepNext w:val="0"/>
        <w:keepLines w:val="0"/>
        <w:pageBreakBefore w:val="0"/>
        <w:widowControl w:val="0"/>
        <w:tabs>
          <w:tab w:val="left" w:pos="945"/>
          <w:tab w:val="left" w:pos="1155"/>
        </w:tabs>
        <w:kinsoku/>
        <w:wordWrap/>
        <w:topLinePunct w:val="0"/>
        <w:autoSpaceDE/>
        <w:autoSpaceDN/>
        <w:bidi w:val="0"/>
        <w:spacing w:line="440" w:lineRule="exact"/>
        <w:ind w:left="0" w:leftChars="0" w:firstLine="0" w:firstLineChars="0"/>
        <w:rPr>
          <w:rFonts w:hint="eastAsia" w:ascii="宋体" w:hAnsi="宋体" w:eastAsia="宋体" w:cs="宋体"/>
          <w:sz w:val="21"/>
          <w:szCs w:val="21"/>
        </w:rPr>
      </w:pPr>
    </w:p>
    <w:p w14:paraId="092FD2F9">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附件：1.城区道路清扫面积情况</w:t>
      </w:r>
    </w:p>
    <w:p w14:paraId="5DD8C207">
      <w:pPr>
        <w:keepNext w:val="0"/>
        <w:keepLines w:val="0"/>
        <w:pageBreakBefore w:val="0"/>
        <w:widowControl w:val="0"/>
        <w:numPr>
          <w:ilvl w:val="0"/>
          <w:numId w:val="0"/>
        </w:numPr>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2.中转站、公厕统计表</w:t>
      </w:r>
    </w:p>
    <w:p w14:paraId="120D105F">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3.博爱县城区环卫作业模式和</w:t>
      </w:r>
      <w:r>
        <w:rPr>
          <w:rFonts w:hint="eastAsia" w:ascii="宋体" w:hAnsi="宋体" w:cs="宋体"/>
          <w:b w:val="0"/>
          <w:bCs w:val="0"/>
          <w:color w:val="auto"/>
          <w:sz w:val="21"/>
          <w:szCs w:val="21"/>
          <w:highlight w:val="none"/>
          <w:lang w:val="en-US" w:eastAsia="zh-CN"/>
        </w:rPr>
        <w:t>质量标准</w:t>
      </w:r>
    </w:p>
    <w:p w14:paraId="2E9EAC68">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4.博爱县城区道路控尘保湿工作要求</w:t>
      </w:r>
    </w:p>
    <w:p w14:paraId="6510C126">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5.各乡镇人口数（总表）</w:t>
      </w:r>
    </w:p>
    <w:p w14:paraId="347B7075">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6.博爱县各乡镇公厕一览表</w:t>
      </w:r>
    </w:p>
    <w:p w14:paraId="03B6262D">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7.交通运输局道路保洁控尘分布安排</w:t>
      </w:r>
    </w:p>
    <w:p w14:paraId="63DE60F3">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8.交通道路保洁工作实施方案与细则</w:t>
      </w:r>
    </w:p>
    <w:p w14:paraId="10C7828E">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9.环卫车辆设备明细表</w:t>
      </w:r>
    </w:p>
    <w:p w14:paraId="0A1D2983">
      <w:pPr>
        <w:pStyle w:val="19"/>
        <w:keepNext w:val="0"/>
        <w:keepLines w:val="0"/>
        <w:pageBreakBefore w:val="0"/>
        <w:widowControl w:val="0"/>
        <w:kinsoku/>
        <w:wordWrap/>
        <w:topLinePunct w:val="0"/>
        <w:autoSpaceDE/>
        <w:autoSpaceDN/>
        <w:bidi w:val="0"/>
        <w:spacing w:line="440" w:lineRule="exact"/>
        <w:rPr>
          <w:rFonts w:hint="eastAsia" w:ascii="宋体" w:hAnsi="宋体" w:eastAsia="宋体" w:cs="宋体"/>
          <w:sz w:val="21"/>
          <w:szCs w:val="21"/>
        </w:rPr>
      </w:pPr>
    </w:p>
    <w:p w14:paraId="39C43EAB">
      <w:pPr>
        <w:pStyle w:val="19"/>
        <w:rPr>
          <w:rFonts w:hint="default" w:ascii="Times New Roman" w:hAnsi="Times New Roman" w:cs="Times New Roman"/>
          <w:color w:val="auto"/>
          <w:highlight w:val="none"/>
        </w:rPr>
      </w:pPr>
    </w:p>
    <w:p w14:paraId="752DE903">
      <w:pPr>
        <w:pStyle w:val="20"/>
        <w:tabs>
          <w:tab w:val="left" w:pos="945"/>
          <w:tab w:val="left" w:pos="1155"/>
        </w:tabs>
        <w:rPr>
          <w:rFonts w:hint="default" w:ascii="Times New Roman" w:hAnsi="Times New Roman" w:cs="Times New Roman"/>
          <w:color w:val="auto"/>
          <w:highlight w:val="none"/>
        </w:rPr>
      </w:pPr>
    </w:p>
    <w:p w14:paraId="04697AD8">
      <w:pPr>
        <w:pStyle w:val="19"/>
        <w:rPr>
          <w:rFonts w:hint="default"/>
        </w:rPr>
        <w:sectPr>
          <w:footerReference r:id="rId5" w:type="default"/>
          <w:pgSz w:w="11906" w:h="16839"/>
          <w:pgMar w:top="2098" w:right="1474" w:bottom="1984" w:left="1587" w:header="0" w:footer="1417" w:gutter="0"/>
          <w:pgNumType w:fmt="decimal" w:start="1"/>
          <w:cols w:space="720" w:num="1"/>
        </w:sectPr>
      </w:pPr>
    </w:p>
    <w:tbl>
      <w:tblPr>
        <w:tblStyle w:val="21"/>
        <w:tblW w:w="13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0"/>
        <w:gridCol w:w="1673"/>
        <w:gridCol w:w="1854"/>
        <w:gridCol w:w="1296"/>
        <w:gridCol w:w="1272"/>
        <w:gridCol w:w="1368"/>
        <w:gridCol w:w="1296"/>
        <w:gridCol w:w="1272"/>
        <w:gridCol w:w="1512"/>
        <w:gridCol w:w="1536"/>
      </w:tblGrid>
      <w:tr w14:paraId="22E4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13959" w:type="dxa"/>
            <w:gridSpan w:val="10"/>
            <w:tcBorders>
              <w:top w:val="nil"/>
              <w:left w:val="nil"/>
              <w:bottom w:val="nil"/>
              <w:right w:val="nil"/>
            </w:tcBorders>
            <w:noWrap w:val="0"/>
            <w:vAlign w:val="center"/>
          </w:tcPr>
          <w:p w14:paraId="4FFDCF9E">
            <w:pPr>
              <w:widowControl w:val="0"/>
              <w:kinsoku w:val="0"/>
              <w:wordWrap/>
              <w:overflowPunct w:val="0"/>
              <w:autoSpaceDE w:val="0"/>
              <w:autoSpaceDN w:val="0"/>
              <w:adjustRightInd w:val="0"/>
              <w:snapToGrid w:val="0"/>
              <w:spacing w:beforeAutospacing="0" w:afterAutospacing="0" w:line="600" w:lineRule="exact"/>
              <w:ind w:left="0" w:leftChars="0" w:right="0" w:firstLine="0" w:firstLineChars="0"/>
              <w:jc w:val="both"/>
              <w:textAlignment w:val="center"/>
              <w:rPr>
                <w:rFonts w:hint="default" w:ascii="Times New Roman" w:hAnsi="Times New Roman" w:eastAsia="仿宋_GB2312" w:cs="Times New Roman"/>
                <w:b/>
                <w:bCs/>
                <w:color w:val="auto"/>
                <w:sz w:val="32"/>
                <w:szCs w:val="32"/>
                <w:highlight w:val="none"/>
                <w:lang w:val="en-US" w:eastAsia="zh-CN"/>
              </w:rPr>
            </w:pPr>
            <w:r>
              <w:rPr>
                <w:rFonts w:hint="default" w:ascii="Times New Roman" w:hAnsi="Times New Roman" w:eastAsia="国标黑体" w:cs="Times New Roman"/>
                <w:b w:val="0"/>
                <w:bCs w:val="0"/>
                <w:color w:val="auto"/>
                <w:sz w:val="32"/>
                <w:szCs w:val="32"/>
                <w:highlight w:val="none"/>
                <w:lang w:eastAsia="zh-CN"/>
              </w:rPr>
              <w:t>附件</w:t>
            </w:r>
            <w:r>
              <w:rPr>
                <w:rFonts w:hint="default" w:ascii="Times New Roman" w:hAnsi="Times New Roman" w:eastAsia="国标黑体" w:cs="Times New Roman"/>
                <w:b w:val="0"/>
                <w:bCs w:val="0"/>
                <w:color w:val="auto"/>
                <w:sz w:val="32"/>
                <w:szCs w:val="32"/>
                <w:highlight w:val="none"/>
                <w:lang w:val="en-US" w:eastAsia="zh-CN"/>
              </w:rPr>
              <w:t>1</w:t>
            </w:r>
          </w:p>
        </w:tc>
      </w:tr>
      <w:tr w14:paraId="2DA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jc w:val="center"/>
        </w:trPr>
        <w:tc>
          <w:tcPr>
            <w:tcW w:w="13959" w:type="dxa"/>
            <w:gridSpan w:val="10"/>
            <w:tcBorders>
              <w:top w:val="nil"/>
              <w:left w:val="nil"/>
              <w:bottom w:val="nil"/>
              <w:right w:val="nil"/>
            </w:tcBorders>
            <w:noWrap w:val="0"/>
            <w:vAlign w:val="center"/>
          </w:tcPr>
          <w:p w14:paraId="2DD5B7AF">
            <w:pPr>
              <w:widowControl w:val="0"/>
              <w:kinsoku w:val="0"/>
              <w:wordWrap/>
              <w:overflowPunct w:val="0"/>
              <w:autoSpaceDE w:val="0"/>
              <w:autoSpaceDN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方正小标宋简体" w:cs="Times New Roman"/>
                <w:snapToGrid w:val="0"/>
                <w:color w:val="auto"/>
                <w:spacing w:val="-1"/>
                <w:sz w:val="32"/>
                <w:szCs w:val="32"/>
                <w:highlight w:val="none"/>
                <w:lang w:val="en-US" w:eastAsia="zh-CN" w:bidi="ar-SA"/>
              </w:rPr>
              <w:t>一标段</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城区道路清扫面积情况</w:t>
            </w:r>
          </w:p>
        </w:tc>
      </w:tr>
      <w:tr w14:paraId="38E2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880" w:type="dxa"/>
            <w:tcBorders>
              <w:top w:val="single" w:color="000000" w:sz="4" w:space="0"/>
              <w:left w:val="single" w:color="000000" w:sz="4" w:space="0"/>
              <w:bottom w:val="single" w:color="000000" w:sz="4" w:space="0"/>
              <w:right w:val="single" w:color="auto" w:sz="4" w:space="0"/>
            </w:tcBorders>
            <w:noWrap w:val="0"/>
            <w:vAlign w:val="center"/>
          </w:tcPr>
          <w:p w14:paraId="055C693B">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序号</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4BC587E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道路名称</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AA4AF5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路段起止</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0A9D87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长度</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18AC72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宽度</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A992DE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人行道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F85555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慢车道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593D13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快车道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ACCE2E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快车道面积（平方米）</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8E4C7C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面积（平方米）</w:t>
            </w:r>
          </w:p>
        </w:tc>
      </w:tr>
      <w:tr w14:paraId="5DEE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98B6EE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67FD4CD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3D3D82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站前路至市人民路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0A9B11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680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CA3E70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65A5E8AF">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1C7F563">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1AF66F2">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D9AE740">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FBCEC7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30600</w:t>
            </w:r>
          </w:p>
        </w:tc>
      </w:tr>
      <w:tr w14:paraId="4036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60ACAB9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FC987A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ADBA2F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26E039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4100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6C0BCB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48</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942E47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C7168A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C10570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185F14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98400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59FCDF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196800</w:t>
            </w:r>
          </w:p>
        </w:tc>
      </w:tr>
      <w:tr w14:paraId="5A8BF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94E609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0382371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团结路北段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5097F6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发展大道至中山路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DF6AB5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4AEB1E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ABFA28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2.5+5</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21DBDB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CBA308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2FDB97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24000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76968F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64000</w:t>
            </w:r>
          </w:p>
        </w:tc>
      </w:tr>
      <w:tr w14:paraId="4D845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334798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1148E29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鄈城路北段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A58CF7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513999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32B8B6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E0844A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FD7321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AE467F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D04EBE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62900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8B0471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155400</w:t>
            </w:r>
          </w:p>
        </w:tc>
      </w:tr>
      <w:tr w14:paraId="58D2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5402BD1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6F60A75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1662E4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CD242D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3800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0CC97C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9A7CAC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162060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2B72B5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CE7C7D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57000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EADEC7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133000</w:t>
            </w:r>
          </w:p>
        </w:tc>
      </w:tr>
      <w:tr w14:paraId="52E04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4A4C703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41E617B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海华路北段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82E402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5C5ED5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63346C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82F555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46E308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D88C40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CA1F62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45500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024411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147000</w:t>
            </w:r>
          </w:p>
        </w:tc>
      </w:tr>
      <w:tr w14:paraId="1319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5ED3698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5F92A7B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青天河路北段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7F199A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市人民路至中山路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438F09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4400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B01834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42400DC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B25522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9C69C9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0CDD74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74800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0997545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176000</w:t>
            </w:r>
          </w:p>
        </w:tc>
      </w:tr>
      <w:tr w14:paraId="36A08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4C775FD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51728BD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市人民路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206777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石河桥至月山路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A62C18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5880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E39D9E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47</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FFBFBE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889B29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80D960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457050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182280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0877E9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282240</w:t>
            </w:r>
          </w:p>
        </w:tc>
      </w:tr>
      <w:tr w14:paraId="768A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78C274F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38922AC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发展大道</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391270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月山路至石河桥西</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56C345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7600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536E63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57</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4D1A170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0FC3DB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2FC783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3D8BD3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243200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F04396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460200</w:t>
            </w:r>
          </w:p>
        </w:tc>
      </w:tr>
      <w:tr w14:paraId="0289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B0DB19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3269F2A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文化路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09EAD5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团结路至广兴路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48304BE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08B93C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38</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7C3696E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B6483D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A00093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EB789F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68250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D6BAFC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199175</w:t>
            </w:r>
          </w:p>
        </w:tc>
      </w:tr>
      <w:tr w14:paraId="2E7E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244D7BC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5C47A9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科技路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6CD79EE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滨河路至好友路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6BCE6A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2130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219114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A52CFA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C57E94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9F58AE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72E2F11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38340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8950E2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85200</w:t>
            </w:r>
          </w:p>
        </w:tc>
      </w:tr>
      <w:tr w14:paraId="750C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4A44852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088C010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竹园路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B997A4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滨河路至鄈城路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6E5B92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780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D66BF9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14972A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0BE34C1">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6DED2E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354921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10920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DF8B96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18720</w:t>
            </w:r>
          </w:p>
        </w:tc>
      </w:tr>
      <w:tr w14:paraId="1E5B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2AFC000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3CBD5B6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靳家岭路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5715635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科技路至世纪大道</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33CC34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2520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941D083">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3351C4A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BDE5C6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6×2</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EB4C8F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7FA2E8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37800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932FAF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93240</w:t>
            </w:r>
          </w:p>
        </w:tc>
      </w:tr>
      <w:tr w14:paraId="45CF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110EF1B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3127D4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群英西街</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9B8DF9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月山路至团结路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E2B01E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85DCF7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570CA7D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1C455CC4">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9ED39A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8044B8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9750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18A2B63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16900</w:t>
            </w:r>
          </w:p>
        </w:tc>
      </w:tr>
      <w:tr w14:paraId="7AD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207F93E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6A0352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明月街</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0B1EB9A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滨河路至柏山路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873523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29387E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4D0205AC">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CBE878A">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50758A0">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49DD8DC4">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74DE441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5000</w:t>
            </w:r>
          </w:p>
        </w:tc>
      </w:tr>
      <w:tr w14:paraId="1771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F28B49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12534B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中光路北段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2072198">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文化路至老山东牛杂店</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0A5682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380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A0545E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F7D7F74">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608A831">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046A332">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31864562">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21B20DFA">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9120</w:t>
            </w:r>
          </w:p>
        </w:tc>
      </w:tr>
      <w:tr w14:paraId="64611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540533D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881272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电商大厦东西侧</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41EEAB81">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A633E6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18C953D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5D43B2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247E1C2">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18BFE4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5B5954B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7000</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05719E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12000</w:t>
            </w:r>
          </w:p>
        </w:tc>
      </w:tr>
      <w:tr w14:paraId="0362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7323F2B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18BAB5C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群英东街</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E732CE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柏山路至规划路</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40A3AC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861FD3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31</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1D88296">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686E7F4">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914BA63">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5192AAD">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47E5B6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9300</w:t>
            </w:r>
          </w:p>
        </w:tc>
      </w:tr>
      <w:tr w14:paraId="4BCC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7CB15F5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32BAD6C">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规划路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13C60BD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中山路至群英东街</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E1C293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D88F12D">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1D50689E">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6E9D462">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77A6C03C">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026E3FD4">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477396C6">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7200</w:t>
            </w:r>
          </w:p>
        </w:tc>
      </w:tr>
      <w:tr w14:paraId="67B9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2A4AB19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726744A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兴园路北段</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2885C76E">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贵屯村北至至铁路桥</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69DCB167">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550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4F6119BF">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7EE112CF">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BF76A95">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0929B2D7">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69A9CD06">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6A59BF50">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22000</w:t>
            </w:r>
          </w:p>
        </w:tc>
      </w:tr>
      <w:tr w14:paraId="7A79E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188A9524">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2883F539">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业泰路</w:t>
            </w: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72B2EF52">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发展大道至铁路桥</w:t>
            </w: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51FFDCBF">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611913C0">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42A12F06">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AB836E7">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D805C85">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2F13DF40">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58E18DCB">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13500</w:t>
            </w:r>
          </w:p>
        </w:tc>
      </w:tr>
      <w:tr w14:paraId="4BB6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jc w:val="center"/>
        </w:trPr>
        <w:tc>
          <w:tcPr>
            <w:tcW w:w="880" w:type="dxa"/>
            <w:tcBorders>
              <w:top w:val="single" w:color="000000" w:sz="4" w:space="0"/>
              <w:left w:val="single" w:color="000000" w:sz="4" w:space="0"/>
              <w:bottom w:val="single" w:color="000000" w:sz="4" w:space="0"/>
              <w:right w:val="single" w:color="000000" w:sz="4" w:space="0"/>
            </w:tcBorders>
            <w:noWrap w:val="0"/>
            <w:vAlign w:val="center"/>
          </w:tcPr>
          <w:p w14:paraId="0FC7410B">
            <w:pPr>
              <w:widowControl w:val="0"/>
              <w:wordWrap/>
              <w:overflowPunct w:val="0"/>
              <w:adjustRightInd w:val="0"/>
              <w:snapToGrid w:val="0"/>
              <w:spacing w:beforeAutospacing="0" w:afterAutospacing="0" w:line="360" w:lineRule="auto"/>
              <w:ind w:left="0" w:leftChars="0" w:right="0" w:firstLine="0" w:firstLineChars="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合计</w:t>
            </w:r>
          </w:p>
        </w:tc>
        <w:tc>
          <w:tcPr>
            <w:tcW w:w="1673" w:type="dxa"/>
            <w:tcBorders>
              <w:top w:val="single" w:color="000000" w:sz="4" w:space="0"/>
              <w:left w:val="single" w:color="000000" w:sz="4" w:space="0"/>
              <w:bottom w:val="single" w:color="000000" w:sz="4" w:space="0"/>
              <w:right w:val="single" w:color="000000" w:sz="4" w:space="0"/>
            </w:tcBorders>
            <w:noWrap w:val="0"/>
            <w:vAlign w:val="center"/>
          </w:tcPr>
          <w:p w14:paraId="4330A44D">
            <w:pPr>
              <w:widowControl w:val="0"/>
              <w:wordWrap/>
              <w:overflowPunct w:val="0"/>
              <w:adjustRightInd w:val="0"/>
              <w:snapToGrid w:val="0"/>
              <w:spacing w:beforeAutospacing="0" w:afterAutospacing="0" w:line="360" w:lineRule="auto"/>
              <w:ind w:left="0" w:leftChars="0" w:right="0" w:firstLine="0" w:firstLineChars="0"/>
              <w:rPr>
                <w:rFonts w:hint="eastAsia" w:ascii="宋体" w:hAnsi="宋体" w:eastAsia="宋体" w:cs="宋体"/>
                <w:color w:val="auto"/>
                <w:sz w:val="24"/>
                <w:szCs w:val="24"/>
                <w:highlight w:val="none"/>
              </w:rPr>
            </w:pPr>
          </w:p>
        </w:tc>
        <w:tc>
          <w:tcPr>
            <w:tcW w:w="1854" w:type="dxa"/>
            <w:tcBorders>
              <w:top w:val="single" w:color="000000" w:sz="4" w:space="0"/>
              <w:left w:val="single" w:color="000000" w:sz="4" w:space="0"/>
              <w:bottom w:val="single" w:color="000000" w:sz="4" w:space="0"/>
              <w:right w:val="single" w:color="000000" w:sz="4" w:space="0"/>
            </w:tcBorders>
            <w:noWrap w:val="0"/>
            <w:vAlign w:val="center"/>
          </w:tcPr>
          <w:p w14:paraId="3AC1662D">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1E32D85">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49620</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3DC33187">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368" w:type="dxa"/>
            <w:tcBorders>
              <w:top w:val="single" w:color="000000" w:sz="4" w:space="0"/>
              <w:left w:val="single" w:color="000000" w:sz="4" w:space="0"/>
              <w:bottom w:val="single" w:color="000000" w:sz="4" w:space="0"/>
              <w:right w:val="single" w:color="000000" w:sz="4" w:space="0"/>
            </w:tcBorders>
            <w:noWrap w:val="0"/>
            <w:vAlign w:val="center"/>
          </w:tcPr>
          <w:p w14:paraId="0AF88A18">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96" w:type="dxa"/>
            <w:tcBorders>
              <w:top w:val="single" w:color="000000" w:sz="4" w:space="0"/>
              <w:left w:val="single" w:color="000000" w:sz="4" w:space="0"/>
              <w:bottom w:val="single" w:color="000000" w:sz="4" w:space="0"/>
              <w:right w:val="single" w:color="000000" w:sz="4" w:space="0"/>
            </w:tcBorders>
            <w:noWrap w:val="0"/>
            <w:vAlign w:val="center"/>
          </w:tcPr>
          <w:p w14:paraId="33D7CB48">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55DD6738">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noWrap w:val="0"/>
            <w:vAlign w:val="center"/>
          </w:tcPr>
          <w:p w14:paraId="128AEBD8">
            <w:pPr>
              <w:widowControl w:val="0"/>
              <w:wordWrap/>
              <w:overflowPunct w:val="0"/>
              <w:adjustRightInd w:val="0"/>
              <w:snapToGrid w:val="0"/>
              <w:spacing w:beforeAutospacing="0" w:afterAutospacing="0" w:line="360" w:lineRule="auto"/>
              <w:ind w:left="0" w:leftChars="0" w:right="0" w:firstLine="0" w:firstLineChars="0"/>
              <w:jc w:val="center"/>
              <w:rPr>
                <w:rFonts w:hint="eastAsia" w:ascii="宋体" w:hAnsi="宋体" w:eastAsia="宋体" w:cs="宋体"/>
                <w:color w:val="auto"/>
                <w:sz w:val="24"/>
                <w:szCs w:val="24"/>
                <w:highlight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14:paraId="3A2DDE41">
            <w:pPr>
              <w:widowControl w:val="0"/>
              <w:wordWrap/>
              <w:overflowPunct w:val="0"/>
              <w:adjustRightInd w:val="0"/>
              <w:snapToGrid w:val="0"/>
              <w:spacing w:beforeAutospacing="0" w:afterAutospacing="0" w:line="360" w:lineRule="auto"/>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2136595</w:t>
            </w:r>
          </w:p>
        </w:tc>
      </w:tr>
    </w:tbl>
    <w:p w14:paraId="1BDD7FD2">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48AD90F4">
      <w:pPr>
        <w:widowControl w:val="0"/>
        <w:wordWrap/>
        <w:overflowPunct w:val="0"/>
        <w:spacing w:beforeAutospacing="0" w:afterAutospacing="0" w:line="600" w:lineRule="exact"/>
        <w:ind w:left="0" w:leftChars="0" w:right="0" w:firstLine="880" w:firstLineChars="20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tbl>
      <w:tblPr>
        <w:tblStyle w:val="21"/>
        <w:tblW w:w="139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4"/>
        <w:gridCol w:w="1865"/>
        <w:gridCol w:w="1576"/>
        <w:gridCol w:w="1286"/>
        <w:gridCol w:w="1251"/>
        <w:gridCol w:w="1423"/>
        <w:gridCol w:w="1252"/>
        <w:gridCol w:w="1288"/>
        <w:gridCol w:w="1523"/>
        <w:gridCol w:w="1526"/>
      </w:tblGrid>
      <w:tr w14:paraId="2DDC4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13984" w:type="dxa"/>
            <w:gridSpan w:val="10"/>
            <w:tcBorders>
              <w:top w:val="nil"/>
              <w:left w:val="nil"/>
              <w:bottom w:val="nil"/>
              <w:right w:val="nil"/>
            </w:tcBorders>
            <w:noWrap w:val="0"/>
            <w:vAlign w:val="center"/>
          </w:tcPr>
          <w:p w14:paraId="578FB42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仿宋_GB18030" w:cs="Times New Roman"/>
                <w:b/>
                <w:bCs/>
                <w:color w:val="auto"/>
                <w:sz w:val="32"/>
                <w:szCs w:val="32"/>
                <w:highlight w:val="none"/>
                <w:lang w:eastAsia="zh-CN"/>
              </w:rPr>
            </w:pPr>
            <w:r>
              <w:rPr>
                <w:rFonts w:hint="default" w:ascii="Times New Roman" w:hAnsi="Times New Roman" w:eastAsia="方正小标宋简体" w:cs="Times New Roman"/>
                <w:snapToGrid w:val="0"/>
                <w:color w:val="auto"/>
                <w:spacing w:val="-1"/>
                <w:sz w:val="32"/>
                <w:szCs w:val="32"/>
                <w:highlight w:val="none"/>
                <w:lang w:val="en-US" w:eastAsia="zh-CN" w:bidi="ar-SA"/>
              </w:rPr>
              <w:t>二标段</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 城区道路清扫面积情况</w:t>
            </w:r>
          </w:p>
        </w:tc>
      </w:tr>
      <w:tr w14:paraId="7018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307E5C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序号</w:t>
            </w:r>
          </w:p>
        </w:tc>
        <w:tc>
          <w:tcPr>
            <w:tcW w:w="1865" w:type="dxa"/>
            <w:tcBorders>
              <w:top w:val="single" w:color="000000" w:sz="4" w:space="0"/>
              <w:left w:val="single" w:color="auto" w:sz="4" w:space="0"/>
              <w:bottom w:val="single" w:color="000000" w:sz="4" w:space="0"/>
              <w:right w:val="single" w:color="000000" w:sz="4" w:space="0"/>
            </w:tcBorders>
            <w:noWrap w:val="0"/>
            <w:vAlign w:val="center"/>
          </w:tcPr>
          <w:p w14:paraId="389BED8B">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道路名称</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7697C51">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路段起止</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43EC77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长度</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46FDB03">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宽度</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6DCD088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人行道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B98304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慢车道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D1769C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快车道</w:t>
            </w:r>
            <w:r>
              <w:rPr>
                <w:rFonts w:hint="eastAsia" w:ascii="宋体" w:hAnsi="宋体" w:eastAsia="宋体" w:cs="宋体"/>
                <w:b w:val="0"/>
                <w:bCs w:val="0"/>
                <w:color w:val="auto"/>
                <w:sz w:val="24"/>
                <w:szCs w:val="24"/>
                <w:highlight w:val="none"/>
                <w:lang w:eastAsia="zh-CN"/>
              </w:rPr>
              <w:br w:type="textWrapping"/>
            </w:r>
            <w:r>
              <w:rPr>
                <w:rFonts w:hint="eastAsia" w:ascii="宋体" w:hAnsi="宋体" w:eastAsia="宋体" w:cs="宋体"/>
                <w:b w:val="0"/>
                <w:bCs w:val="0"/>
                <w:color w:val="auto"/>
                <w:sz w:val="24"/>
                <w:szCs w:val="24"/>
                <w:highlight w:val="none"/>
                <w:lang w:eastAsia="zh-CN"/>
              </w:rPr>
              <w:t>（米）</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DC07D90">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快车道面积（平方米）</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0674680">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面积（平方米）</w:t>
            </w:r>
          </w:p>
        </w:tc>
      </w:tr>
      <w:tr w14:paraId="6C887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F50F15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E206F7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6B6A516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中山路至鸿昌路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B6501F0">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1778</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FEECA22">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48</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638B1BC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66381B9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3183CF5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9D26D0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42672</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67C45ED">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85344</w:t>
            </w:r>
          </w:p>
        </w:tc>
      </w:tr>
      <w:tr w14:paraId="4A48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541321C">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035585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团结路南段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3ED60DE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中山路至鸿昌路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725065C">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2080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BD5ACE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B98BC3F">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2.5+5</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18B4616A">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E04243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D923BE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24960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A17832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66560</w:t>
            </w:r>
          </w:p>
        </w:tc>
      </w:tr>
      <w:tr w14:paraId="388C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994" w:type="dxa"/>
            <w:vMerge w:val="restart"/>
            <w:tcBorders>
              <w:top w:val="single" w:color="000000" w:sz="4" w:space="0"/>
              <w:left w:val="single" w:color="000000" w:sz="4" w:space="0"/>
              <w:bottom w:val="single" w:color="000000" w:sz="4" w:space="0"/>
              <w:right w:val="single" w:color="000000" w:sz="4" w:space="0"/>
            </w:tcBorders>
            <w:noWrap w:val="0"/>
            <w:vAlign w:val="center"/>
          </w:tcPr>
          <w:p w14:paraId="3833F9BD">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8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B9CA5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鄈城路南段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1A58DDF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中山路至鸿昌路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CD5E3E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1790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4C8C55D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FA8F11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4864E4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5A53192">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0FD6B0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30430</w:t>
            </w:r>
          </w:p>
        </w:tc>
        <w:tc>
          <w:tcPr>
            <w:tcW w:w="152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FE730">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118435</w:t>
            </w:r>
          </w:p>
        </w:tc>
      </w:tr>
      <w:tr w14:paraId="47EE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99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67CA7">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8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09E715">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394CFF6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高庙村南段至开源大道</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FFABD2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2400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39CA7F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29B2A3E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F41BDD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F23F49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9F0BDD9">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BEF54">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r>
      <w:tr w14:paraId="49220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6E029ED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4259DE2">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FA67A75">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中山路至鸿昌路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42E5D3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2390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86A9D2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1F53A7E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1452CBA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F929DF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56B2F8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35850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0101152">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83650</w:t>
            </w:r>
          </w:p>
        </w:tc>
      </w:tr>
      <w:tr w14:paraId="30B1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DF141F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1B8D7E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海华路南段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1C1E4B1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中山路至高速路入口</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D41A7C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6300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1AFE124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915C2B2">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307005C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1CCEF06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1667BBD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81900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00B294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264600</w:t>
            </w:r>
          </w:p>
        </w:tc>
      </w:tr>
      <w:tr w14:paraId="4CA9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4BA66372">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03870C2">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青天河路南段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79323DA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中山路至郑常路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87A188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4050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2C2605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A297BA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75A1DA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68B466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ECC8B14">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68850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0E78D6F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162000</w:t>
            </w:r>
          </w:p>
        </w:tc>
      </w:tr>
      <w:tr w14:paraId="410BC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60D3C0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67B4760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EF7C58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泗沟村东口至广兴路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29A1A3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7060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03611A0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36</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53D19F8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A0A049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97A608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3D3B5F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134140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9759B2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253187</w:t>
            </w:r>
          </w:p>
        </w:tc>
      </w:tr>
      <w:tr w14:paraId="50DF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4C6196D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349191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玉祥路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4EDB7D3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月山路至海华路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3D8EAF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4000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ACEBB4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63</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284CE12">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325D372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4A13BF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0B41ABD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164000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E2058B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252000</w:t>
            </w:r>
          </w:p>
        </w:tc>
      </w:tr>
      <w:tr w14:paraId="5B99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B7033C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48F7AC1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兴园路南段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76E0393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世纪大道至贵屯村南</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90841B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470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C34BFF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72A14FF">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757558CF">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B6AF21F">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2E69FD1">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6BA68DD9">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18800</w:t>
            </w:r>
          </w:p>
        </w:tc>
      </w:tr>
      <w:tr w14:paraId="3ED2D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37A6E78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0</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096080C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清义路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6567D072">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滨河路至海华路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E1E6F9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890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899EEC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6C2CC7D8">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F7BF5C7">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AD8F76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3861EC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14240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CE618F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23140</w:t>
            </w:r>
          </w:p>
        </w:tc>
      </w:tr>
      <w:tr w14:paraId="78DB7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7C510B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1</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18F41A6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72DF17B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中山路至体育路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9C4AA8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1630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B33F2A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36</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CD8C079">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35C76D8">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1345F2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605C27B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26080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0270F4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53680</w:t>
            </w:r>
          </w:p>
        </w:tc>
      </w:tr>
      <w:tr w14:paraId="5B49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427F64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519D2FC">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和谐路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519713A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团结路至官庄村口</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41E9E5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1393</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394B711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35AB99E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759D700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9A58B3A">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CFE1D1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29253</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3CE388B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49720</w:t>
            </w:r>
          </w:p>
        </w:tc>
      </w:tr>
      <w:tr w14:paraId="4AF8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7A90F23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A8E169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世纪大道</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24F7B07F">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好友路至兴园路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A9F4BAA">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2080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666E31F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4C23559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72C7778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456C59D">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5C414C8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45760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701C2C1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108160</w:t>
            </w:r>
          </w:p>
        </w:tc>
      </w:tr>
      <w:tr w14:paraId="0FC96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BEFD2ED">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76644A7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纬三路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5068571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迎宾大道至月山路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A0C8CA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3940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87D044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7DB3B80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0149D53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07BCD78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260E40B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82740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3F35B2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145780</w:t>
            </w:r>
          </w:p>
        </w:tc>
      </w:tr>
      <w:tr w14:paraId="2F1E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2E7F6DC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B41631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博文路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332458DA">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纬一路至开源大道</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A034D1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2600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517FA6E">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664EBBFC">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583AEA0">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6F4F1C7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4EEAB4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41600</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5559A939">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67600</w:t>
            </w:r>
          </w:p>
        </w:tc>
      </w:tr>
      <w:tr w14:paraId="6685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623E8FD4">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27B61B56">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清怡苑东路</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065A8CB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清义路至中山路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859D877">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25503E83">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91A66EF">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03F18E39">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280F5BC4">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4900625">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46A021F">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6400</w:t>
            </w:r>
          </w:p>
        </w:tc>
      </w:tr>
      <w:tr w14:paraId="6AF43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477BABCF">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39EA3EF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中光路南段</w:t>
            </w: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05D671C5">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和谐路至鸿昌路</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B8958D8">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480</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74DDA1E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8CC77B4">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5B42DDD6">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5D10E4F8">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4871C99F">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2A101C42">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11520</w:t>
            </w:r>
          </w:p>
        </w:tc>
      </w:tr>
      <w:tr w14:paraId="17777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94" w:type="dxa"/>
            <w:tcBorders>
              <w:top w:val="single" w:color="000000" w:sz="4" w:space="0"/>
              <w:left w:val="single" w:color="000000" w:sz="4" w:space="0"/>
              <w:bottom w:val="single" w:color="000000" w:sz="4" w:space="0"/>
              <w:right w:val="single" w:color="000000" w:sz="4" w:space="0"/>
            </w:tcBorders>
            <w:noWrap w:val="0"/>
            <w:vAlign w:val="center"/>
          </w:tcPr>
          <w:p w14:paraId="5B3456EB">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合计</w:t>
            </w:r>
          </w:p>
        </w:tc>
        <w:tc>
          <w:tcPr>
            <w:tcW w:w="1865" w:type="dxa"/>
            <w:tcBorders>
              <w:top w:val="single" w:color="000000" w:sz="4" w:space="0"/>
              <w:left w:val="single" w:color="000000" w:sz="4" w:space="0"/>
              <w:bottom w:val="single" w:color="000000" w:sz="4" w:space="0"/>
              <w:right w:val="single" w:color="000000" w:sz="4" w:space="0"/>
            </w:tcBorders>
            <w:noWrap w:val="0"/>
            <w:vAlign w:val="center"/>
          </w:tcPr>
          <w:p w14:paraId="581FAE5B">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76" w:type="dxa"/>
            <w:tcBorders>
              <w:top w:val="single" w:color="000000" w:sz="4" w:space="0"/>
              <w:left w:val="single" w:color="000000" w:sz="4" w:space="0"/>
              <w:bottom w:val="single" w:color="000000" w:sz="4" w:space="0"/>
              <w:right w:val="single" w:color="000000" w:sz="4" w:space="0"/>
            </w:tcBorders>
            <w:noWrap w:val="0"/>
            <w:vAlign w:val="center"/>
          </w:tcPr>
          <w:p w14:paraId="74853BFF">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9BDE6B1">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45731</w:t>
            </w:r>
          </w:p>
        </w:tc>
        <w:tc>
          <w:tcPr>
            <w:tcW w:w="1251" w:type="dxa"/>
            <w:tcBorders>
              <w:top w:val="single" w:color="000000" w:sz="4" w:space="0"/>
              <w:left w:val="single" w:color="000000" w:sz="4" w:space="0"/>
              <w:bottom w:val="single" w:color="000000" w:sz="4" w:space="0"/>
              <w:right w:val="single" w:color="000000" w:sz="4" w:space="0"/>
            </w:tcBorders>
            <w:noWrap w:val="0"/>
            <w:vAlign w:val="center"/>
          </w:tcPr>
          <w:p w14:paraId="5404A101">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423" w:type="dxa"/>
            <w:tcBorders>
              <w:top w:val="single" w:color="000000" w:sz="4" w:space="0"/>
              <w:left w:val="single" w:color="000000" w:sz="4" w:space="0"/>
              <w:bottom w:val="single" w:color="000000" w:sz="4" w:space="0"/>
              <w:right w:val="single" w:color="000000" w:sz="4" w:space="0"/>
            </w:tcBorders>
            <w:noWrap w:val="0"/>
            <w:vAlign w:val="center"/>
          </w:tcPr>
          <w:p w14:paraId="013F410C">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52" w:type="dxa"/>
            <w:tcBorders>
              <w:top w:val="single" w:color="000000" w:sz="4" w:space="0"/>
              <w:left w:val="single" w:color="000000" w:sz="4" w:space="0"/>
              <w:bottom w:val="single" w:color="000000" w:sz="4" w:space="0"/>
              <w:right w:val="single" w:color="000000" w:sz="4" w:space="0"/>
            </w:tcBorders>
            <w:noWrap w:val="0"/>
            <w:vAlign w:val="center"/>
          </w:tcPr>
          <w:p w14:paraId="403D5B36">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288" w:type="dxa"/>
            <w:tcBorders>
              <w:top w:val="single" w:color="000000" w:sz="4" w:space="0"/>
              <w:left w:val="single" w:color="000000" w:sz="4" w:space="0"/>
              <w:bottom w:val="single" w:color="000000" w:sz="4" w:space="0"/>
              <w:right w:val="single" w:color="000000" w:sz="4" w:space="0"/>
            </w:tcBorders>
            <w:noWrap w:val="0"/>
            <w:vAlign w:val="center"/>
          </w:tcPr>
          <w:p w14:paraId="73A891B8">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3" w:type="dxa"/>
            <w:tcBorders>
              <w:top w:val="single" w:color="000000" w:sz="4" w:space="0"/>
              <w:left w:val="single" w:color="000000" w:sz="4" w:space="0"/>
              <w:bottom w:val="single" w:color="000000" w:sz="4" w:space="0"/>
              <w:right w:val="single" w:color="000000" w:sz="4" w:space="0"/>
            </w:tcBorders>
            <w:noWrap w:val="0"/>
            <w:vAlign w:val="center"/>
          </w:tcPr>
          <w:p w14:paraId="70FEA647">
            <w:pPr>
              <w:widowControl w:val="0"/>
              <w:wordWrap/>
              <w:overflowPunct w:val="0"/>
              <w:adjustRightInd w:val="0"/>
              <w:snapToGrid w:val="0"/>
              <w:spacing w:beforeAutospacing="0" w:afterAutospacing="0" w:line="540" w:lineRule="exact"/>
              <w:ind w:left="0" w:leftChars="0" w:right="0" w:firstLine="0" w:firstLineChars="0"/>
              <w:jc w:val="center"/>
              <w:rPr>
                <w:rFonts w:hint="eastAsia" w:ascii="宋体" w:hAnsi="宋体" w:eastAsia="宋体" w:cs="宋体"/>
                <w:color w:val="auto"/>
                <w:sz w:val="24"/>
                <w:szCs w:val="24"/>
                <w:highlight w:val="none"/>
              </w:rPr>
            </w:pP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474FB59C">
            <w:pPr>
              <w:widowControl w:val="0"/>
              <w:wordWrap/>
              <w:overflowPunct w:val="0"/>
              <w:adjustRightInd w:val="0"/>
              <w:snapToGrid w:val="0"/>
              <w:spacing w:beforeAutospacing="0" w:afterAutospacing="0" w:line="5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1770576</w:t>
            </w:r>
          </w:p>
        </w:tc>
      </w:tr>
    </w:tbl>
    <w:p w14:paraId="575D15BD">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465ED953">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6429B74D">
      <w:pPr>
        <w:widowControl w:val="0"/>
        <w:wordWrap/>
        <w:overflowPunct w:val="0"/>
        <w:spacing w:beforeAutospacing="0" w:afterAutospacing="0" w:line="600" w:lineRule="exact"/>
        <w:ind w:right="0"/>
        <w:jc w:val="both"/>
        <w:rPr>
          <w:rFonts w:hint="default" w:ascii="Times New Roman" w:hAnsi="Times New Roman" w:eastAsia="方正小标宋简体" w:cs="Times New Roman"/>
          <w:color w:val="auto"/>
          <w:sz w:val="44"/>
          <w:szCs w:val="44"/>
          <w:highlight w:val="none"/>
        </w:rPr>
      </w:pPr>
    </w:p>
    <w:p w14:paraId="6C5450C6">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sectPr>
          <w:pgSz w:w="16839" w:h="11906" w:orient="landscape"/>
          <w:pgMar w:top="1440" w:right="1800" w:bottom="1440" w:left="1800" w:header="0" w:footer="1032" w:gutter="0"/>
          <w:pgNumType w:fmt="decimal"/>
          <w:cols w:space="720" w:num="1"/>
        </w:sectPr>
      </w:pPr>
    </w:p>
    <w:tbl>
      <w:tblPr>
        <w:tblStyle w:val="21"/>
        <w:tblW w:w="7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0"/>
        <w:gridCol w:w="3249"/>
        <w:gridCol w:w="2580"/>
        <w:gridCol w:w="1042"/>
      </w:tblGrid>
      <w:tr w14:paraId="0197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7831" w:type="dxa"/>
            <w:gridSpan w:val="4"/>
            <w:tcBorders>
              <w:top w:val="nil"/>
              <w:left w:val="nil"/>
              <w:bottom w:val="nil"/>
              <w:right w:val="nil"/>
            </w:tcBorders>
            <w:noWrap w:val="0"/>
            <w:vAlign w:val="center"/>
          </w:tcPr>
          <w:p w14:paraId="0A227E08">
            <w:pPr>
              <w:widowControl w:val="0"/>
              <w:wordWrap/>
              <w:overflowPunct w:val="0"/>
              <w:adjustRightInd w:val="0"/>
              <w:snapToGrid w:val="0"/>
              <w:spacing w:beforeAutospacing="0" w:afterAutospacing="0" w:line="600" w:lineRule="exact"/>
              <w:ind w:left="0" w:leftChars="0" w:right="0" w:firstLine="0" w:firstLineChars="0"/>
              <w:jc w:val="both"/>
              <w:textAlignment w:val="center"/>
              <w:rPr>
                <w:rFonts w:hint="default" w:ascii="Times New Roman" w:hAnsi="Times New Roman" w:eastAsia="宋体" w:cs="Times New Roman"/>
                <w:color w:val="auto"/>
                <w:sz w:val="22"/>
                <w:szCs w:val="22"/>
                <w:highlight w:val="none"/>
              </w:rPr>
            </w:pPr>
            <w:r>
              <w:rPr>
                <w:rFonts w:hint="default" w:ascii="Times New Roman" w:hAnsi="Times New Roman" w:eastAsia="国标黑体" w:cs="Times New Roman"/>
                <w:b w:val="0"/>
                <w:bCs w:val="0"/>
                <w:color w:val="auto"/>
                <w:sz w:val="36"/>
                <w:szCs w:val="36"/>
                <w:highlight w:val="none"/>
                <w:lang w:eastAsia="zh-CN"/>
              </w:rPr>
              <w:t>附件2</w:t>
            </w:r>
          </w:p>
        </w:tc>
      </w:tr>
      <w:tr w14:paraId="6D86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831" w:type="dxa"/>
            <w:gridSpan w:val="4"/>
            <w:tcBorders>
              <w:top w:val="nil"/>
              <w:left w:val="nil"/>
              <w:bottom w:val="nil"/>
              <w:right w:val="nil"/>
            </w:tcBorders>
            <w:noWrap w:val="0"/>
            <w:vAlign w:val="center"/>
          </w:tcPr>
          <w:p w14:paraId="079E45D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default" w:ascii="Times New Roman" w:hAnsi="Times New Roman" w:eastAsia="宋体" w:cs="Times New Roman"/>
                <w:b/>
                <w:bCs/>
                <w:color w:val="auto"/>
                <w:sz w:val="40"/>
                <w:szCs w:val="40"/>
                <w:highlight w:val="none"/>
                <w:lang w:eastAsia="zh-CN"/>
              </w:rPr>
            </w:pPr>
            <w:r>
              <w:rPr>
                <w:rFonts w:hint="default" w:ascii="Times New Roman" w:hAnsi="Times New Roman" w:eastAsia="方正小标宋简体" w:cs="Times New Roman"/>
                <w:snapToGrid w:val="0"/>
                <w:color w:val="auto"/>
                <w:spacing w:val="-1"/>
                <w:sz w:val="44"/>
                <w:szCs w:val="44"/>
                <w:highlight w:val="none"/>
                <w:lang w:val="en-US" w:eastAsia="zh-CN" w:bidi="ar-SA"/>
              </w:rPr>
              <w:t>一标段</w:t>
            </w:r>
            <w:r>
              <w:rPr>
                <w:rFonts w:hint="eastAsia" w:ascii="Times New Roman" w:hAnsi="Times New Roman" w:eastAsia="方正小标宋简体" w:cs="Times New Roman"/>
                <w:snapToGrid w:val="0"/>
                <w:color w:val="auto"/>
                <w:spacing w:val="-1"/>
                <w:sz w:val="44"/>
                <w:szCs w:val="44"/>
                <w:highlight w:val="none"/>
                <w:lang w:val="en-US" w:eastAsia="zh-CN" w:bidi="ar-SA"/>
              </w:rPr>
              <w:t xml:space="preserve"> </w:t>
            </w:r>
            <w:r>
              <w:rPr>
                <w:rFonts w:hint="default" w:ascii="Times New Roman" w:hAnsi="Times New Roman" w:eastAsia="方正小标宋简体" w:cs="Times New Roman"/>
                <w:snapToGrid w:val="0"/>
                <w:color w:val="auto"/>
                <w:spacing w:val="-1"/>
                <w:sz w:val="44"/>
                <w:szCs w:val="44"/>
                <w:highlight w:val="none"/>
                <w:lang w:val="en-US" w:eastAsia="zh-CN" w:bidi="ar-SA"/>
              </w:rPr>
              <w:t xml:space="preserve"> 中转站、公厕统计表</w:t>
            </w:r>
          </w:p>
        </w:tc>
      </w:tr>
      <w:tr w14:paraId="17B5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34960C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序号</w:t>
            </w:r>
          </w:p>
        </w:tc>
        <w:tc>
          <w:tcPr>
            <w:tcW w:w="3249" w:type="dxa"/>
            <w:tcBorders>
              <w:top w:val="single" w:color="000000" w:sz="4" w:space="0"/>
              <w:left w:val="single" w:color="auto" w:sz="4" w:space="0"/>
              <w:bottom w:val="single" w:color="000000" w:sz="4" w:space="0"/>
              <w:right w:val="single" w:color="000000" w:sz="4" w:space="0"/>
            </w:tcBorders>
            <w:noWrap w:val="0"/>
            <w:vAlign w:val="center"/>
          </w:tcPr>
          <w:p w14:paraId="18E7B97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E11371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位置</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05460860">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w:t>
            </w:r>
          </w:p>
        </w:tc>
      </w:tr>
      <w:tr w14:paraId="074A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3BAB767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5B7E5966">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铭源小区中转站、公厕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81A44C6">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铭源小区东门</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DE424C4">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6B86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1B2921F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2AA4F589">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粮食局中转站、公厕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26C732AC">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粮食局东侧</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F7EB00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p>
        </w:tc>
      </w:tr>
      <w:tr w14:paraId="0CC19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34331DE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0C5912E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马营中转站、公厕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3AF12290">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马营村北口（清尘）</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F6319BD">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56F2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3B2FE2A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3E9FD0E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盛世华庭中转站、公厕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C25236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盛世华庭南</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87580E2">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7AF4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25134F2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529A1E8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七方中转站、公厕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D9F3BE1">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七方村口</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27C9C3A6">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520F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2467F53C">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44A9BD90">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上庄中转站、公厕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16A92A4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上庄村口</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68DD322">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6137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4755D86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2FAEB5C1">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民族街中转站、公厕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3D5D03D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西关供电所西侧</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0AD4711">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3417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05408632">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21B3C90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麻庄中转站、公厕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25B5814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麻庄村北口</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A5DED56">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1844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15AD68B1">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3CA7AC0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酒奉中转站、公厕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31B6567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帝一城对面</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59419CC">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6C36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31A5063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67FCDCB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群英西街公厕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ABF58C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铭源新天地东侧</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7CFA43A">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3029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2A78522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03DB3AE0">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麻庄环保公厕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4AEF6FF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麻庄村西口</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F487B5E">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24E3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26D6C82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c>
          <w:tcPr>
            <w:tcW w:w="3249" w:type="dxa"/>
            <w:tcBorders>
              <w:top w:val="single" w:color="000000" w:sz="4" w:space="0"/>
              <w:left w:val="single" w:color="000000" w:sz="4" w:space="0"/>
              <w:bottom w:val="nil"/>
              <w:right w:val="single" w:color="000000" w:sz="4" w:space="0"/>
            </w:tcBorders>
            <w:noWrap w:val="0"/>
            <w:vAlign w:val="center"/>
          </w:tcPr>
          <w:p w14:paraId="07F2AF7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花间巷公厕</w:t>
            </w:r>
          </w:p>
        </w:tc>
        <w:tc>
          <w:tcPr>
            <w:tcW w:w="2580" w:type="dxa"/>
            <w:tcBorders>
              <w:top w:val="single" w:color="000000" w:sz="4" w:space="0"/>
              <w:left w:val="single" w:color="000000" w:sz="4" w:space="0"/>
              <w:bottom w:val="nil"/>
              <w:right w:val="single" w:color="000000" w:sz="4" w:space="0"/>
            </w:tcBorders>
            <w:noWrap w:val="0"/>
            <w:vAlign w:val="center"/>
          </w:tcPr>
          <w:p w14:paraId="43D7242A">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花间巷东口</w:t>
            </w:r>
          </w:p>
        </w:tc>
        <w:tc>
          <w:tcPr>
            <w:tcW w:w="1042" w:type="dxa"/>
            <w:tcBorders>
              <w:top w:val="single" w:color="000000" w:sz="4" w:space="0"/>
              <w:left w:val="single" w:color="000000" w:sz="4" w:space="0"/>
              <w:bottom w:val="nil"/>
              <w:right w:val="single" w:color="000000" w:sz="4" w:space="0"/>
            </w:tcBorders>
            <w:noWrap w:val="0"/>
            <w:vAlign w:val="center"/>
          </w:tcPr>
          <w:p w14:paraId="53DB5EA9">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4EB5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6138557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120CD870">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人民路廊道公厕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7E396789">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花园红绿灯东南角</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2D087A6">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7E30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4711408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078BC4AC">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人民路廊道公厕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5483FF4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葵城路口西北角</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5B1F1A80">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76E2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60" w:type="dxa"/>
            <w:tcBorders>
              <w:top w:val="single" w:color="000000" w:sz="4" w:space="0"/>
              <w:left w:val="single" w:color="000000" w:sz="4" w:space="0"/>
              <w:bottom w:val="nil"/>
              <w:right w:val="single" w:color="000000" w:sz="4" w:space="0"/>
            </w:tcBorders>
            <w:noWrap w:val="0"/>
            <w:vAlign w:val="center"/>
          </w:tcPr>
          <w:p w14:paraId="4D543869">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3869619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人民路廊道公厕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2ECD999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滨河路口西北角</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CC5AEE9">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4A83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60" w:type="dxa"/>
            <w:tcBorders>
              <w:top w:val="single" w:color="000000" w:sz="4" w:space="0"/>
              <w:left w:val="single" w:color="000000" w:sz="4" w:space="0"/>
              <w:bottom w:val="single" w:color="000000" w:sz="4" w:space="0"/>
              <w:right w:val="single" w:color="000000" w:sz="4" w:space="0"/>
            </w:tcBorders>
            <w:noWrap w:val="0"/>
            <w:vAlign w:val="center"/>
          </w:tcPr>
          <w:p w14:paraId="5A9E8A92">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w:t>
            </w:r>
          </w:p>
        </w:tc>
        <w:tc>
          <w:tcPr>
            <w:tcW w:w="3249" w:type="dxa"/>
            <w:tcBorders>
              <w:top w:val="single" w:color="000000" w:sz="4" w:space="0"/>
              <w:left w:val="single" w:color="000000" w:sz="4" w:space="0"/>
              <w:bottom w:val="single" w:color="000000" w:sz="4" w:space="0"/>
              <w:right w:val="single" w:color="000000" w:sz="4" w:space="0"/>
            </w:tcBorders>
            <w:noWrap w:val="0"/>
            <w:vAlign w:val="center"/>
          </w:tcPr>
          <w:p w14:paraId="321F5B07">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人民路廊道公厕</w:t>
            </w:r>
          </w:p>
        </w:tc>
        <w:tc>
          <w:tcPr>
            <w:tcW w:w="2580" w:type="dxa"/>
            <w:tcBorders>
              <w:top w:val="single" w:color="000000" w:sz="4" w:space="0"/>
              <w:left w:val="single" w:color="000000" w:sz="4" w:space="0"/>
              <w:bottom w:val="single" w:color="000000" w:sz="4" w:space="0"/>
              <w:right w:val="single" w:color="000000" w:sz="4" w:space="0"/>
            </w:tcBorders>
            <w:noWrap w:val="0"/>
            <w:vAlign w:val="center"/>
          </w:tcPr>
          <w:p w14:paraId="0E94AFB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新材料大学东侧路南</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DBC7D3A">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bl>
    <w:p w14:paraId="24DD3EAD">
      <w:pPr>
        <w:widowControl w:val="0"/>
        <w:wordWrap/>
        <w:overflowPunct w:val="0"/>
        <w:snapToGrid w:val="0"/>
        <w:spacing w:beforeAutospacing="0" w:afterAutospacing="0" w:line="600" w:lineRule="exact"/>
        <w:ind w:right="0"/>
        <w:rPr>
          <w:rFonts w:hint="default" w:ascii="Times New Roman" w:hAnsi="Times New Roman" w:eastAsia="仿宋" w:cs="Times New Roman"/>
          <w:b/>
          <w:bCs/>
          <w:color w:val="auto"/>
          <w:sz w:val="32"/>
          <w:szCs w:val="32"/>
          <w:highlight w:val="none"/>
          <w:lang w:eastAsia="zh-CN"/>
        </w:rPr>
      </w:pPr>
    </w:p>
    <w:p w14:paraId="11131CAA">
      <w:pPr>
        <w:pStyle w:val="20"/>
        <w:tabs>
          <w:tab w:val="left" w:pos="945"/>
          <w:tab w:val="left" w:pos="1155"/>
        </w:tabs>
        <w:ind w:left="0" w:leftChars="0" w:firstLine="0" w:firstLineChars="0"/>
        <w:rPr>
          <w:rFonts w:hint="default" w:ascii="Times New Roman" w:hAnsi="Times New Roman" w:eastAsia="仿宋" w:cs="Times New Roman"/>
          <w:b/>
          <w:bCs/>
          <w:color w:val="auto"/>
          <w:sz w:val="32"/>
          <w:szCs w:val="32"/>
          <w:highlight w:val="none"/>
          <w:lang w:eastAsia="zh-CN"/>
        </w:rPr>
      </w:pPr>
    </w:p>
    <w:p w14:paraId="249C3CFC">
      <w:pPr>
        <w:pStyle w:val="19"/>
        <w:ind w:left="0" w:leftChars="0" w:firstLine="0" w:firstLineChars="0"/>
        <w:rPr>
          <w:rFonts w:hint="default"/>
          <w:lang w:eastAsia="zh-CN"/>
        </w:rPr>
      </w:pPr>
    </w:p>
    <w:tbl>
      <w:tblPr>
        <w:tblStyle w:val="21"/>
        <w:tblW w:w="7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
        <w:gridCol w:w="2583"/>
        <w:gridCol w:w="2325"/>
        <w:gridCol w:w="1908"/>
      </w:tblGrid>
      <w:tr w14:paraId="25F4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jc w:val="center"/>
        </w:trPr>
        <w:tc>
          <w:tcPr>
            <w:tcW w:w="7738" w:type="dxa"/>
            <w:gridSpan w:val="4"/>
            <w:tcBorders>
              <w:top w:val="nil"/>
              <w:left w:val="nil"/>
              <w:bottom w:val="nil"/>
              <w:right w:val="nil"/>
            </w:tcBorders>
            <w:noWrap w:val="0"/>
            <w:vAlign w:val="center"/>
          </w:tcPr>
          <w:p w14:paraId="2506234C">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宋体" w:cs="Times New Roman"/>
                <w:b/>
                <w:bCs/>
                <w:color w:val="auto"/>
                <w:sz w:val="40"/>
                <w:szCs w:val="40"/>
                <w:highlight w:val="none"/>
                <w:lang w:eastAsia="zh-CN"/>
              </w:rPr>
            </w:pP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二标段 </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中转站、公厕统计表</w:t>
            </w:r>
          </w:p>
        </w:tc>
      </w:tr>
      <w:tr w14:paraId="0713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922" w:type="dxa"/>
            <w:tcBorders>
              <w:top w:val="single" w:color="000000" w:sz="4" w:space="0"/>
              <w:left w:val="single" w:color="000000" w:sz="4" w:space="0"/>
              <w:bottom w:val="nil"/>
              <w:right w:val="single" w:color="auto" w:sz="4" w:space="0"/>
            </w:tcBorders>
            <w:noWrap w:val="0"/>
            <w:vAlign w:val="center"/>
          </w:tcPr>
          <w:p w14:paraId="7EC31945">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序号</w:t>
            </w:r>
          </w:p>
        </w:tc>
        <w:tc>
          <w:tcPr>
            <w:tcW w:w="2583" w:type="dxa"/>
            <w:tcBorders>
              <w:top w:val="single" w:color="000000" w:sz="4" w:space="0"/>
              <w:left w:val="single" w:color="auto" w:sz="4" w:space="0"/>
              <w:bottom w:val="nil"/>
              <w:right w:val="single" w:color="000000" w:sz="4" w:space="0"/>
            </w:tcBorders>
            <w:noWrap w:val="0"/>
            <w:vAlign w:val="center"/>
          </w:tcPr>
          <w:p w14:paraId="1674500C">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名称</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15862B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位置</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19B9FCB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备注</w:t>
            </w:r>
          </w:p>
        </w:tc>
      </w:tr>
      <w:tr w14:paraId="190B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A02500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08857B9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幸福湖中转站、公厕</w:t>
            </w:r>
          </w:p>
        </w:tc>
        <w:tc>
          <w:tcPr>
            <w:tcW w:w="2325" w:type="dxa"/>
            <w:tcBorders>
              <w:top w:val="single" w:color="000000" w:sz="4" w:space="0"/>
              <w:left w:val="nil"/>
              <w:bottom w:val="single" w:color="000000" w:sz="4" w:space="0"/>
              <w:right w:val="single" w:color="000000" w:sz="4" w:space="0"/>
            </w:tcBorders>
            <w:noWrap w:val="0"/>
            <w:vAlign w:val="center"/>
          </w:tcPr>
          <w:p w14:paraId="70433612">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幸福湖公园西门</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AED2F7E">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1E0F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ADD86FA">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72D5B8B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南广场中转站、公厕</w:t>
            </w:r>
          </w:p>
        </w:tc>
        <w:tc>
          <w:tcPr>
            <w:tcW w:w="2325" w:type="dxa"/>
            <w:tcBorders>
              <w:top w:val="single" w:color="000000" w:sz="4" w:space="0"/>
              <w:left w:val="nil"/>
              <w:bottom w:val="single" w:color="000000" w:sz="4" w:space="0"/>
              <w:right w:val="single" w:color="000000" w:sz="4" w:space="0"/>
            </w:tcBorders>
            <w:noWrap w:val="0"/>
            <w:vAlign w:val="center"/>
          </w:tcPr>
          <w:p w14:paraId="3E9D3F2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南广场</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136A57A6">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0971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3037346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2C4077A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中医院中转站、公厕</w:t>
            </w:r>
          </w:p>
        </w:tc>
        <w:tc>
          <w:tcPr>
            <w:tcW w:w="2325" w:type="dxa"/>
            <w:tcBorders>
              <w:top w:val="single" w:color="000000" w:sz="4" w:space="0"/>
              <w:left w:val="nil"/>
              <w:bottom w:val="single" w:color="000000" w:sz="4" w:space="0"/>
              <w:right w:val="single" w:color="000000" w:sz="4" w:space="0"/>
            </w:tcBorders>
            <w:noWrap w:val="0"/>
            <w:vAlign w:val="center"/>
          </w:tcPr>
          <w:p w14:paraId="5506EEB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中医院东侧</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1D16CF0">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3DDC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4CD19D53">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34B7927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新十街中转站、公厕</w:t>
            </w:r>
          </w:p>
        </w:tc>
        <w:tc>
          <w:tcPr>
            <w:tcW w:w="2325" w:type="dxa"/>
            <w:tcBorders>
              <w:top w:val="single" w:color="000000" w:sz="4" w:space="0"/>
              <w:left w:val="nil"/>
              <w:bottom w:val="single" w:color="000000" w:sz="4" w:space="0"/>
              <w:right w:val="single" w:color="000000" w:sz="4" w:space="0"/>
            </w:tcBorders>
            <w:noWrap w:val="0"/>
            <w:vAlign w:val="center"/>
          </w:tcPr>
          <w:p w14:paraId="1F48A8D0">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新十街村口</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1931B0A">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4752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8732B89">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524D0C87">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西关中转站、公厕</w:t>
            </w:r>
          </w:p>
        </w:tc>
        <w:tc>
          <w:tcPr>
            <w:tcW w:w="2325" w:type="dxa"/>
            <w:tcBorders>
              <w:top w:val="single" w:color="000000" w:sz="4" w:space="0"/>
              <w:left w:val="nil"/>
              <w:bottom w:val="single" w:color="000000" w:sz="4" w:space="0"/>
              <w:right w:val="single" w:color="000000" w:sz="4" w:space="0"/>
            </w:tcBorders>
            <w:noWrap w:val="0"/>
            <w:vAlign w:val="center"/>
          </w:tcPr>
          <w:p w14:paraId="239C7106">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西关村口</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6BC8463">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7F67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7DCD2F67">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1824A3DB">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曹门中转站、公厕</w:t>
            </w:r>
          </w:p>
        </w:tc>
        <w:tc>
          <w:tcPr>
            <w:tcW w:w="2325" w:type="dxa"/>
            <w:tcBorders>
              <w:top w:val="single" w:color="000000" w:sz="4" w:space="0"/>
              <w:left w:val="nil"/>
              <w:bottom w:val="single" w:color="000000" w:sz="4" w:space="0"/>
              <w:right w:val="single" w:color="000000" w:sz="4" w:space="0"/>
            </w:tcBorders>
            <w:noWrap w:val="0"/>
            <w:vAlign w:val="center"/>
          </w:tcPr>
          <w:p w14:paraId="02C259A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曹门</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9AAA49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土地纠纷，设备损坏，公厕未使用</w:t>
            </w:r>
          </w:p>
        </w:tc>
      </w:tr>
      <w:tr w14:paraId="1723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EC9DEAC">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31658B4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电业局公厕</w:t>
            </w:r>
          </w:p>
        </w:tc>
        <w:tc>
          <w:tcPr>
            <w:tcW w:w="2325" w:type="dxa"/>
            <w:tcBorders>
              <w:top w:val="single" w:color="000000" w:sz="4" w:space="0"/>
              <w:left w:val="nil"/>
              <w:bottom w:val="single" w:color="000000" w:sz="4" w:space="0"/>
              <w:right w:val="single" w:color="000000" w:sz="4" w:space="0"/>
            </w:tcBorders>
            <w:noWrap w:val="0"/>
            <w:vAlign w:val="center"/>
          </w:tcPr>
          <w:p w14:paraId="11739BF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电业局对面</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49E2864D">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0BE1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6FF0D7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02D302C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玉祥路公厕</w:t>
            </w:r>
          </w:p>
        </w:tc>
        <w:tc>
          <w:tcPr>
            <w:tcW w:w="2325" w:type="dxa"/>
            <w:tcBorders>
              <w:top w:val="single" w:color="000000" w:sz="4" w:space="0"/>
              <w:left w:val="nil"/>
              <w:bottom w:val="single" w:color="000000" w:sz="4" w:space="0"/>
              <w:right w:val="single" w:color="000000" w:sz="4" w:space="0"/>
            </w:tcBorders>
            <w:noWrap w:val="0"/>
            <w:vAlign w:val="center"/>
          </w:tcPr>
          <w:p w14:paraId="1A9319B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运管所对面</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4A033B8B">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0A44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14F5F158">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0641D6E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十街公厕</w:t>
            </w:r>
          </w:p>
        </w:tc>
        <w:tc>
          <w:tcPr>
            <w:tcW w:w="2325" w:type="dxa"/>
            <w:tcBorders>
              <w:top w:val="single" w:color="000000" w:sz="4" w:space="0"/>
              <w:left w:val="nil"/>
              <w:bottom w:val="single" w:color="000000" w:sz="4" w:space="0"/>
              <w:right w:val="single" w:color="000000" w:sz="4" w:space="0"/>
            </w:tcBorders>
            <w:noWrap w:val="0"/>
            <w:vAlign w:val="center"/>
          </w:tcPr>
          <w:p w14:paraId="376B956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十街大队南侧</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68493E84">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2F29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6C5D782">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16B06D56">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三街公厕</w:t>
            </w:r>
          </w:p>
        </w:tc>
        <w:tc>
          <w:tcPr>
            <w:tcW w:w="2325" w:type="dxa"/>
            <w:tcBorders>
              <w:top w:val="single" w:color="000000" w:sz="4" w:space="0"/>
              <w:left w:val="nil"/>
              <w:bottom w:val="single" w:color="000000" w:sz="4" w:space="0"/>
              <w:right w:val="single" w:color="000000" w:sz="4" w:space="0"/>
            </w:tcBorders>
            <w:noWrap w:val="0"/>
            <w:vAlign w:val="center"/>
          </w:tcPr>
          <w:p w14:paraId="0B8D61FF">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四达路口对面</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8F842BB">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19509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1495EA24">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630F1E51">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鼎基环保公厕</w:t>
            </w:r>
          </w:p>
        </w:tc>
        <w:tc>
          <w:tcPr>
            <w:tcW w:w="2325" w:type="dxa"/>
            <w:tcBorders>
              <w:top w:val="single" w:color="000000" w:sz="4" w:space="0"/>
              <w:left w:val="nil"/>
              <w:bottom w:val="single" w:color="000000" w:sz="4" w:space="0"/>
              <w:right w:val="single" w:color="000000" w:sz="4" w:space="0"/>
            </w:tcBorders>
            <w:noWrap w:val="0"/>
            <w:vAlign w:val="center"/>
          </w:tcPr>
          <w:p w14:paraId="7809B30C">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鼎基服装城前</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2759539">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部分蹲位损坏严重，无法维修，现正申请更新</w:t>
            </w:r>
          </w:p>
        </w:tc>
      </w:tr>
      <w:tr w14:paraId="42A46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21F8326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06E3992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鄈城路南段公厕</w:t>
            </w:r>
          </w:p>
        </w:tc>
        <w:tc>
          <w:tcPr>
            <w:tcW w:w="2325" w:type="dxa"/>
            <w:tcBorders>
              <w:top w:val="single" w:color="000000" w:sz="4" w:space="0"/>
              <w:left w:val="nil"/>
              <w:bottom w:val="single" w:color="000000" w:sz="4" w:space="0"/>
              <w:right w:val="single" w:color="000000" w:sz="4" w:space="0"/>
            </w:tcBorders>
            <w:noWrap w:val="0"/>
            <w:vAlign w:val="center"/>
          </w:tcPr>
          <w:p w14:paraId="242C1E77">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十街大队北侧</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3760D1E9">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r w14:paraId="6406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922" w:type="dxa"/>
            <w:tcBorders>
              <w:top w:val="single" w:color="000000" w:sz="4" w:space="0"/>
              <w:left w:val="single" w:color="000000" w:sz="4" w:space="0"/>
              <w:bottom w:val="single" w:color="000000" w:sz="4" w:space="0"/>
              <w:right w:val="single" w:color="000000" w:sz="4" w:space="0"/>
            </w:tcBorders>
            <w:noWrap w:val="0"/>
            <w:vAlign w:val="center"/>
          </w:tcPr>
          <w:p w14:paraId="0C2900BE">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2583" w:type="dxa"/>
            <w:tcBorders>
              <w:top w:val="single" w:color="000000" w:sz="4" w:space="0"/>
              <w:left w:val="single" w:color="000000" w:sz="4" w:space="0"/>
              <w:bottom w:val="single" w:color="000000" w:sz="4" w:space="0"/>
              <w:right w:val="single" w:color="000000" w:sz="4" w:space="0"/>
            </w:tcBorders>
            <w:noWrap w:val="0"/>
            <w:vAlign w:val="center"/>
          </w:tcPr>
          <w:p w14:paraId="2F2709A5">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商贸城公厕</w:t>
            </w:r>
          </w:p>
        </w:tc>
        <w:tc>
          <w:tcPr>
            <w:tcW w:w="2325" w:type="dxa"/>
            <w:tcBorders>
              <w:top w:val="single" w:color="000000" w:sz="4" w:space="0"/>
              <w:left w:val="nil"/>
              <w:bottom w:val="single" w:color="000000" w:sz="4" w:space="0"/>
              <w:right w:val="single" w:color="000000" w:sz="4" w:space="0"/>
            </w:tcBorders>
            <w:noWrap w:val="0"/>
            <w:vAlign w:val="center"/>
          </w:tcPr>
          <w:p w14:paraId="2BF6A7DD">
            <w:pPr>
              <w:widowControl w:val="0"/>
              <w:wordWrap/>
              <w:overflowPunct w:val="0"/>
              <w:adjustRightInd w:val="0"/>
              <w:snapToGrid w:val="0"/>
              <w:spacing w:beforeAutospacing="0" w:afterAutospacing="0" w:line="4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商贸城西头</w:t>
            </w:r>
          </w:p>
        </w:tc>
        <w:tc>
          <w:tcPr>
            <w:tcW w:w="1908" w:type="dxa"/>
            <w:tcBorders>
              <w:top w:val="single" w:color="000000" w:sz="4" w:space="0"/>
              <w:left w:val="single" w:color="000000" w:sz="4" w:space="0"/>
              <w:bottom w:val="single" w:color="000000" w:sz="4" w:space="0"/>
              <w:right w:val="single" w:color="000000" w:sz="4" w:space="0"/>
            </w:tcBorders>
            <w:noWrap w:val="0"/>
            <w:vAlign w:val="center"/>
          </w:tcPr>
          <w:p w14:paraId="2DA0B3B5">
            <w:pPr>
              <w:widowControl w:val="0"/>
              <w:wordWrap/>
              <w:overflowPunct w:val="0"/>
              <w:adjustRightInd w:val="0"/>
              <w:snapToGrid w:val="0"/>
              <w:spacing w:beforeAutospacing="0" w:afterAutospacing="0" w:line="460" w:lineRule="exact"/>
              <w:ind w:left="0" w:leftChars="0" w:right="0" w:firstLine="0" w:firstLineChars="0"/>
              <w:jc w:val="center"/>
              <w:rPr>
                <w:rFonts w:hint="eastAsia" w:ascii="宋体" w:hAnsi="宋体" w:eastAsia="宋体" w:cs="宋体"/>
                <w:color w:val="auto"/>
                <w:sz w:val="24"/>
                <w:szCs w:val="24"/>
                <w:highlight w:val="none"/>
              </w:rPr>
            </w:pPr>
          </w:p>
        </w:tc>
      </w:tr>
    </w:tbl>
    <w:p w14:paraId="65038FAE">
      <w:pPr>
        <w:widowControl w:val="0"/>
        <w:wordWrap/>
        <w:overflowPunct w:val="0"/>
        <w:snapToGrid w:val="0"/>
        <w:spacing w:beforeAutospacing="0" w:afterAutospacing="0" w:line="600" w:lineRule="exact"/>
        <w:ind w:right="0"/>
        <w:rPr>
          <w:rFonts w:hint="default" w:ascii="Times New Roman" w:hAnsi="Times New Roman" w:eastAsia="仿宋" w:cs="Times New Roman"/>
          <w:b/>
          <w:bCs/>
          <w:color w:val="auto"/>
          <w:sz w:val="32"/>
          <w:szCs w:val="32"/>
          <w:highlight w:val="none"/>
          <w:lang w:eastAsia="zh-CN"/>
        </w:rPr>
      </w:pPr>
    </w:p>
    <w:p w14:paraId="02796DD4">
      <w:pPr>
        <w:widowControl w:val="0"/>
        <w:wordWrap/>
        <w:overflowPunct w:val="0"/>
        <w:snapToGrid w:val="0"/>
        <w:spacing w:beforeAutospacing="0" w:afterAutospacing="0" w:line="600" w:lineRule="exact"/>
        <w:ind w:right="0"/>
        <w:rPr>
          <w:rFonts w:hint="default" w:ascii="Times New Roman" w:hAnsi="Times New Roman" w:eastAsia="仿宋" w:cs="Times New Roman"/>
          <w:b/>
          <w:bCs/>
          <w:color w:val="auto"/>
          <w:sz w:val="32"/>
          <w:szCs w:val="32"/>
          <w:highlight w:val="none"/>
          <w:lang w:eastAsia="zh-CN"/>
        </w:rPr>
      </w:pPr>
    </w:p>
    <w:p w14:paraId="60633E87">
      <w:pPr>
        <w:widowControl w:val="0"/>
        <w:wordWrap/>
        <w:overflowPunct w:val="0"/>
        <w:snapToGrid w:val="0"/>
        <w:spacing w:beforeAutospacing="0" w:afterAutospacing="0" w:line="600" w:lineRule="exact"/>
        <w:ind w:right="0"/>
        <w:rPr>
          <w:rFonts w:hint="default" w:ascii="Times New Roman" w:hAnsi="Times New Roman" w:eastAsia="仿宋" w:cs="Times New Roman"/>
          <w:b/>
          <w:bCs/>
          <w:color w:val="auto"/>
          <w:sz w:val="32"/>
          <w:szCs w:val="32"/>
          <w:highlight w:val="none"/>
          <w:lang w:eastAsia="zh-CN"/>
        </w:rPr>
      </w:pPr>
    </w:p>
    <w:p w14:paraId="5513ACC7">
      <w:pPr>
        <w:pStyle w:val="20"/>
        <w:tabs>
          <w:tab w:val="left" w:pos="945"/>
          <w:tab w:val="left" w:pos="1155"/>
        </w:tabs>
        <w:rPr>
          <w:rFonts w:hint="default"/>
          <w:lang w:eastAsia="zh-CN"/>
        </w:rPr>
      </w:pPr>
    </w:p>
    <w:p w14:paraId="356BA32F">
      <w:pPr>
        <w:widowControl w:val="0"/>
        <w:wordWrap/>
        <w:overflowPunct w:val="0"/>
        <w:snapToGrid w:val="0"/>
        <w:spacing w:beforeAutospacing="0" w:afterAutospacing="0" w:line="600" w:lineRule="exact"/>
        <w:ind w:right="0"/>
        <w:rPr>
          <w:rFonts w:hint="default" w:ascii="Times New Roman" w:hAnsi="Times New Roman" w:eastAsia="方正小标宋简体" w:cs="Times New Roman"/>
          <w:snapToGrid w:val="0"/>
          <w:color w:val="auto"/>
          <w:spacing w:val="-1"/>
          <w:sz w:val="32"/>
          <w:szCs w:val="32"/>
          <w:highlight w:val="none"/>
          <w:lang w:val="en-US" w:eastAsia="zh-CN" w:bidi="ar-SA"/>
        </w:rPr>
      </w:pPr>
      <w:r>
        <w:rPr>
          <w:rFonts w:hint="eastAsia" w:ascii="黑体" w:hAnsi="黑体" w:eastAsia="黑体" w:cs="黑体"/>
          <w:b w:val="0"/>
          <w:bCs w:val="0"/>
          <w:color w:val="auto"/>
          <w:sz w:val="32"/>
          <w:szCs w:val="32"/>
          <w:highlight w:val="none"/>
          <w:lang w:eastAsia="zh-CN"/>
        </w:rPr>
        <w:t>附件</w:t>
      </w:r>
      <w:r>
        <w:rPr>
          <w:rFonts w:hint="default" w:ascii="Times New Roman" w:hAnsi="Times New Roman" w:eastAsia="黑体" w:cs="Times New Roman"/>
          <w:b w:val="0"/>
          <w:bCs w:val="0"/>
          <w:color w:val="auto"/>
          <w:sz w:val="32"/>
          <w:szCs w:val="32"/>
          <w:highlight w:val="none"/>
          <w:lang w:val="en-US" w:eastAsia="zh-CN"/>
        </w:rPr>
        <w:t>3</w:t>
      </w:r>
    </w:p>
    <w:p w14:paraId="2A654D9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小标宋简体" w:cs="Times New Roman"/>
          <w:snapToGrid w:val="0"/>
          <w:color w:val="auto"/>
          <w:spacing w:val="-1"/>
          <w:sz w:val="32"/>
          <w:szCs w:val="32"/>
          <w:highlight w:val="none"/>
          <w:lang w:val="en-US" w:eastAsia="zh-CN" w:bidi="ar-SA"/>
        </w:rPr>
      </w:pPr>
      <w:r>
        <w:rPr>
          <w:rFonts w:hint="default" w:ascii="Times New Roman" w:hAnsi="Times New Roman" w:eastAsia="方正小标宋简体" w:cs="Times New Roman"/>
          <w:snapToGrid w:val="0"/>
          <w:color w:val="auto"/>
          <w:spacing w:val="-1"/>
          <w:sz w:val="32"/>
          <w:szCs w:val="32"/>
          <w:highlight w:val="none"/>
          <w:lang w:val="en-US" w:eastAsia="zh-CN" w:bidi="ar-SA"/>
        </w:rPr>
        <w:t>博爱县城区环卫作业模式和</w:t>
      </w:r>
      <w:r>
        <w:rPr>
          <w:rFonts w:hint="eastAsia" w:ascii="Times New Roman" w:hAnsi="Times New Roman" w:eastAsia="方正小标宋简体" w:cs="Times New Roman"/>
          <w:snapToGrid w:val="0"/>
          <w:color w:val="auto"/>
          <w:spacing w:val="-1"/>
          <w:sz w:val="32"/>
          <w:szCs w:val="32"/>
          <w:highlight w:val="none"/>
          <w:lang w:val="en-US" w:eastAsia="zh-CN" w:bidi="ar-SA"/>
        </w:rPr>
        <w:t>质量标准</w:t>
      </w:r>
    </w:p>
    <w:p w14:paraId="1BC3FF8C">
      <w:pPr>
        <w:widowControl w:val="0"/>
        <w:wordWrap/>
        <w:overflowPunct w:val="0"/>
        <w:adjustRightInd/>
        <w:snapToGrid w:val="0"/>
        <w:spacing w:beforeAutospacing="0" w:afterAutospacing="0" w:line="600" w:lineRule="exact"/>
        <w:ind w:left="0" w:leftChars="0" w:right="0" w:firstLine="400" w:firstLineChars="200"/>
        <w:jc w:val="both"/>
        <w:rPr>
          <w:rFonts w:hint="default" w:ascii="Times New Roman" w:hAnsi="Times New Roman" w:eastAsia="黑体" w:cs="Times New Roman"/>
          <w:color w:val="auto"/>
          <w:kern w:val="2"/>
          <w:sz w:val="20"/>
          <w:szCs w:val="20"/>
          <w:highlight w:val="none"/>
          <w:lang w:eastAsia="zh-CN"/>
        </w:rPr>
      </w:pPr>
    </w:p>
    <w:p w14:paraId="5F094B7A">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一、人工清扫保洁</w:t>
      </w:r>
    </w:p>
    <w:p w14:paraId="4C9DAEAE">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eastAsia="zh-CN"/>
        </w:rPr>
        <w:t>1、</w:t>
      </w:r>
      <w:r>
        <w:rPr>
          <w:rFonts w:hint="eastAsia" w:ascii="宋体" w:hAnsi="宋体" w:eastAsia="宋体" w:cs="宋体"/>
          <w:b/>
          <w:bCs/>
          <w:color w:val="auto"/>
          <w:sz w:val="21"/>
          <w:szCs w:val="21"/>
          <w:highlight w:val="none"/>
          <w:lang w:eastAsia="zh-CN"/>
        </w:rPr>
        <w:t>作业时间</w:t>
      </w:r>
    </w:p>
    <w:p w14:paraId="29684B4D">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一般道路：7：00-11：00、14：00-18：00保洁。</w:t>
      </w:r>
    </w:p>
    <w:p w14:paraId="071718F8">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重点路段夜保：保洁时间延长至4：00-22：00。</w:t>
      </w:r>
    </w:p>
    <w:p w14:paraId="12BA9AC6">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2"/>
          <w:sz w:val="21"/>
          <w:szCs w:val="21"/>
          <w:highlight w:val="none"/>
          <w:lang w:eastAsia="zh-CN"/>
        </w:rPr>
        <w:t>2、</w:t>
      </w:r>
      <w:r>
        <w:rPr>
          <w:rFonts w:hint="eastAsia" w:ascii="宋体" w:hAnsi="宋体" w:eastAsia="宋体" w:cs="宋体"/>
          <w:b/>
          <w:bCs/>
          <w:color w:val="auto"/>
          <w:sz w:val="21"/>
          <w:szCs w:val="21"/>
          <w:highlight w:val="none"/>
          <w:lang w:eastAsia="zh-CN"/>
        </w:rPr>
        <w:t>作业标准</w:t>
      </w:r>
    </w:p>
    <w:p w14:paraId="15D79D5F">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净五无”即：车行道净、步行道净、边角侧石净、井沟井盖净、树穴净、果皮箱净、路名牌净、候车亭净、护栏净、花木和绿化带净，无垃圾、无污泥积水、无烟蒂痰迹、无尘土、无乱贴乱画。主次干道垃圾停留时间不超过10分钟，背街小巷垃圾停留时间不超过15分钟。</w:t>
      </w:r>
    </w:p>
    <w:p w14:paraId="43550DEA">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二、机械清扫保洁</w:t>
      </w:r>
    </w:p>
    <w:p w14:paraId="41F8AC9B">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1、作业时间</w:t>
      </w:r>
    </w:p>
    <w:p w14:paraId="23E02682">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机械化清洁作业时间为6:00-12:00；14:00-18:00（可根据季节及实际情况调整）。</w:t>
      </w:r>
    </w:p>
    <w:p w14:paraId="6C5CC957">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2、作业标准及频次</w:t>
      </w:r>
    </w:p>
    <w:p w14:paraId="4C05620E">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可机扫道路每天至少机扫两次、冲洗两次、洒水4次、雾炮降尘2次，作业后每平方米尘土不超过10克；可机械作业人行道、辅道、背街小巷每周至少冲洗1次，不得有明显泥壳、污迹；道路护栏每天至少清洁1次。</w:t>
      </w:r>
    </w:p>
    <w:p w14:paraId="68FED1AC">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三、垃圾收运</w:t>
      </w:r>
    </w:p>
    <w:p w14:paraId="56D11987">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1、作业时间</w:t>
      </w:r>
    </w:p>
    <w:p w14:paraId="439A43A9">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主次干道使用沿街收集车每天7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00、21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00-23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00收集三次，重点时期全天不间断巡回收集；背街小巷勾臂箱每天至少清理2次，其余时间随满随清；中转站垃圾日产日清不过夜。</w:t>
      </w:r>
    </w:p>
    <w:p w14:paraId="45E82973">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2、作业标准</w:t>
      </w:r>
    </w:p>
    <w:p w14:paraId="25BB6575">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收集作业中收集车辆全程密闭，不得抛洒滴漏，收集后地面不得有垃圾、污水存留，收集车辆每周至少擦洗2次，保持外观干净无污垢；垃圾清运车不得夹挂垃圾、滴洒污水，并保持外观整洁。</w:t>
      </w:r>
    </w:p>
    <w:p w14:paraId="6FBEAADF">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四、中转站管理</w:t>
      </w:r>
    </w:p>
    <w:p w14:paraId="23784091">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1、作业时间</w:t>
      </w:r>
    </w:p>
    <w:p w14:paraId="090F9328">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00-19</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00，重点中转站作业时间延长至24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w:t>
      </w:r>
    </w:p>
    <w:p w14:paraId="05DF8E9C">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2、作业标准</w:t>
      </w:r>
    </w:p>
    <w:p w14:paraId="28AB518A">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净五无两通一明一全一少一整洁”，即，地面净、墙壁净、门窗净、灯具净、设备净、牌匾净、台帐本净、周边环境净，无垃圾散落、无污水、无尘土，无异味、无设备损坏、供排水通、电通，灯明，台帐全，蚊蝇少，管理间干净整洁。</w:t>
      </w:r>
    </w:p>
    <w:p w14:paraId="3C9DEA24">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五、公厕管理</w:t>
      </w:r>
    </w:p>
    <w:p w14:paraId="32349736">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1、作业时间</w:t>
      </w:r>
    </w:p>
    <w:p w14:paraId="1FB7DA18">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396" w:firstLineChars="200"/>
        <w:jc w:val="both"/>
        <w:textAlignment w:val="baseline"/>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全部公厕24小时开放，有人值守时间为6</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00-18</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lang w:eastAsia="zh-CN"/>
        </w:rPr>
        <w:t>00。</w:t>
      </w:r>
    </w:p>
    <w:p w14:paraId="343B2A04">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2、作业标准</w:t>
      </w:r>
    </w:p>
    <w:p w14:paraId="55D114D3">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净五无两通一明一全一整洁”，即，地面净、厕位净、门窗净、墙壁净、隔板净、便池净、灯具净、牌匾净、台账本净、周边环境净，无溢流、无垃圾、无蚊蝇、无异味、无设备损坏，供排水通、电通，灯明，台帐全，管理间干净整洁。</w:t>
      </w:r>
    </w:p>
    <w:p w14:paraId="2EF15AA6">
      <w:pPr>
        <w:widowControl w:val="0"/>
        <w:wordWrap/>
        <w:overflowPunct w:val="0"/>
        <w:snapToGrid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38E73558">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黑体" w:cs="Times New Roman"/>
          <w:color w:val="auto"/>
          <w:spacing w:val="-5"/>
          <w:sz w:val="32"/>
          <w:szCs w:val="32"/>
          <w:highlight w:val="none"/>
        </w:rPr>
      </w:pPr>
      <w:r>
        <w:rPr>
          <w:rFonts w:hint="default" w:ascii="Times New Roman" w:hAnsi="Times New Roman" w:eastAsia="仿宋" w:cs="Times New Roman"/>
          <w:b/>
          <w:bCs/>
          <w:color w:val="auto"/>
          <w:sz w:val="32"/>
          <w:szCs w:val="32"/>
          <w:highlight w:val="none"/>
          <w:lang w:eastAsia="zh-CN"/>
        </w:rPr>
        <w:br w:type="page"/>
      </w:r>
      <w:r>
        <w:rPr>
          <w:rFonts w:hint="default" w:ascii="Times New Roman" w:hAnsi="Times New Roman" w:eastAsia="黑体" w:cs="Times New Roman"/>
          <w:color w:val="auto"/>
          <w:spacing w:val="-5"/>
          <w:sz w:val="32"/>
          <w:szCs w:val="32"/>
          <w:highlight w:val="none"/>
        </w:rPr>
        <w:t>附件</w:t>
      </w:r>
      <w:r>
        <w:rPr>
          <w:rFonts w:hint="default" w:ascii="Times New Roman" w:hAnsi="Times New Roman" w:eastAsia="黑体" w:cs="Times New Roman"/>
          <w:color w:val="auto"/>
          <w:spacing w:val="-5"/>
          <w:sz w:val="32"/>
          <w:szCs w:val="32"/>
          <w:highlight w:val="none"/>
          <w:lang w:val="en-US" w:eastAsia="zh-CN"/>
        </w:rPr>
        <w:t>4</w:t>
      </w:r>
    </w:p>
    <w:p w14:paraId="3CD44858">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小标宋简体" w:cs="Times New Roman"/>
          <w:snapToGrid w:val="0"/>
          <w:color w:val="auto"/>
          <w:spacing w:val="-1"/>
          <w:sz w:val="32"/>
          <w:szCs w:val="32"/>
          <w:highlight w:val="none"/>
          <w:lang w:val="en-US" w:eastAsia="zh-CN" w:bidi="ar-SA"/>
        </w:rPr>
      </w:pPr>
    </w:p>
    <w:p w14:paraId="137E2D34">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小标宋简体" w:cs="Times New Roman"/>
          <w:snapToGrid w:val="0"/>
          <w:color w:val="auto"/>
          <w:spacing w:val="-1"/>
          <w:sz w:val="32"/>
          <w:szCs w:val="32"/>
          <w:highlight w:val="none"/>
          <w:lang w:val="en-US" w:eastAsia="zh-CN" w:bidi="ar-SA"/>
        </w:rPr>
      </w:pPr>
      <w:r>
        <w:rPr>
          <w:rFonts w:hint="default" w:ascii="Times New Roman" w:hAnsi="Times New Roman" w:eastAsia="方正小标宋简体" w:cs="Times New Roman"/>
          <w:snapToGrid w:val="0"/>
          <w:color w:val="auto"/>
          <w:spacing w:val="-1"/>
          <w:sz w:val="32"/>
          <w:szCs w:val="32"/>
          <w:highlight w:val="none"/>
          <w:lang w:val="en-US" w:eastAsia="zh-CN" w:bidi="ar-SA"/>
        </w:rPr>
        <w:t>博爱县城区道路控尘保湿工作要求</w:t>
      </w:r>
    </w:p>
    <w:p w14:paraId="53F5330A">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cs="Times New Roman"/>
          <w:color w:val="auto"/>
          <w:sz w:val="22"/>
          <w:szCs w:val="22"/>
          <w:highlight w:val="none"/>
        </w:rPr>
      </w:pPr>
    </w:p>
    <w:p w14:paraId="33158764">
      <w:pPr>
        <w:keepNext w:val="0"/>
        <w:keepLines w:val="0"/>
        <w:pageBreakBefore w:val="0"/>
        <w:widowControl w:val="0"/>
        <w:kinsoku/>
        <w:wordWrap/>
        <w:overflowPunct w:val="0"/>
        <w:topLinePunct w:val="0"/>
        <w:autoSpaceDE/>
        <w:autoSpaceDN/>
        <w:bidi w:val="0"/>
        <w:adjustRightIn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一、总体目标与原则</w:t>
      </w:r>
    </w:p>
    <w:p w14:paraId="00B5E8E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（一）总体目标：</w:t>
      </w:r>
      <w:r>
        <w:rPr>
          <w:rFonts w:hint="eastAsia" w:ascii="宋体" w:hAnsi="宋体" w:eastAsia="宋体" w:cs="宋体"/>
          <w:color w:val="auto"/>
          <w:sz w:val="21"/>
          <w:szCs w:val="21"/>
          <w:highlight w:val="none"/>
          <w:lang w:eastAsia="zh-CN"/>
        </w:rPr>
        <w:t>通过科学、精细、常态化的作业，有效降低道路扬尘，保持路面洁净湿润，减少空气颗粒物污染，改善环境空气质量，保障公众健康。</w:t>
      </w:r>
    </w:p>
    <w:p w14:paraId="2A9C3D6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（二）工作原则：</w:t>
      </w:r>
    </w:p>
    <w:p w14:paraId="2B56F29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1、预防为主，综合治理：抑尘与除尘相结合，源头控制与末端治理并重。</w:t>
      </w:r>
    </w:p>
    <w:p w14:paraId="040EC85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2、科学精准，按需施策：根据不同季节、天气、路段和污染等级，灵活调整作业频次与方式。</w:t>
      </w:r>
    </w:p>
    <w:p w14:paraId="00C446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3、人机结合，提质增效：充分发挥机械作业的优势，配合人工辅助，实现高效清洁。</w:t>
      </w:r>
    </w:p>
    <w:p w14:paraId="50789130">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4、安全作业，文明施工：确保作业人员与路人安全，最大限度减少对交通和市民生活的影响。</w:t>
      </w:r>
    </w:p>
    <w:p w14:paraId="3DFE3E4D">
      <w:pPr>
        <w:keepNext w:val="0"/>
        <w:keepLines w:val="0"/>
        <w:pageBreakBefore w:val="0"/>
        <w:widowControl w:val="0"/>
        <w:kinsoku/>
        <w:wordWrap/>
        <w:overflowPunct w:val="0"/>
        <w:topLinePunct w:val="0"/>
        <w:autoSpaceDE/>
        <w:autoSpaceDN/>
        <w:bidi w:val="0"/>
        <w:adjustRightIn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二、具体作业要求</w:t>
      </w:r>
    </w:p>
    <w:p w14:paraId="71D7FDC7">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（一）常规天气作业要求</w:t>
      </w:r>
    </w:p>
    <w:p w14:paraId="223868AB">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1.作业频次：</w:t>
      </w:r>
    </w:p>
    <w:p w14:paraId="462AC45B">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396"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主干道、重点区域：每日至少进行</w:t>
      </w:r>
      <w:r>
        <w:rPr>
          <w:rFonts w:hint="eastAsia" w:ascii="宋体" w:hAnsi="宋体" w:eastAsia="宋体" w:cs="宋体"/>
          <w:color w:val="auto"/>
          <w:spacing w:val="-6"/>
          <w:sz w:val="21"/>
          <w:szCs w:val="21"/>
          <w:highlight w:val="none"/>
          <w:lang w:eastAsia="zh-CN"/>
        </w:rPr>
        <w:t>6</w:t>
      </w:r>
      <w:r>
        <w:rPr>
          <w:rFonts w:hint="eastAsia" w:ascii="宋体" w:hAnsi="宋体" w:eastAsia="宋体" w:cs="宋体"/>
          <w:color w:val="auto"/>
          <w:spacing w:val="-6"/>
          <w:sz w:val="21"/>
          <w:szCs w:val="21"/>
          <w:highlight w:val="none"/>
        </w:rPr>
        <w:t>次机械化洗</w:t>
      </w:r>
      <w:r>
        <w:rPr>
          <w:rFonts w:hint="eastAsia" w:ascii="宋体" w:hAnsi="宋体" w:eastAsia="宋体" w:cs="宋体"/>
          <w:color w:val="auto"/>
          <w:sz w:val="21"/>
          <w:szCs w:val="21"/>
          <w:highlight w:val="none"/>
        </w:rPr>
        <w:t>扫、冲洗和洒水作业（如：早高峰前、中午、下午）。</w:t>
      </w:r>
    </w:p>
    <w:p w14:paraId="1F8D45AA">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次干道、支路：每日至少进行</w:t>
      </w: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次机械化洗扫和洒水作业。</w:t>
      </w:r>
    </w:p>
    <w:p w14:paraId="2D17B617">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污染严重路段、施工周边路段：根据实际情况增加频次，实施循环保洁。</w:t>
      </w:r>
    </w:p>
    <w:p w14:paraId="6E45B10B">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2.作业模式（“冲、洒、扫、吸”组合）：</w:t>
      </w:r>
    </w:p>
    <w:p w14:paraId="1D089BBD">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高压冲洗：使用高压冲洗车，将路面积尘、污泥冲刷至道路两侧。适用于作业开始前，为洗扫车创造条件。</w:t>
      </w:r>
    </w:p>
    <w:p w14:paraId="0988A1EB">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喷雾降尘：使用洒水车进行喷雾作业，有效增加空气湿度，沉降悬浮颗粒物。车速宜控制在20-30公里/小时。</w:t>
      </w:r>
    </w:p>
    <w:p w14:paraId="628E5FBF">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湿式洗扫：使用洗扫车进行作业，实现“扫、洗、收”一体化，彻底清除路面污染物。车速宜控制在5-10公里/小时，确保吸拾干净。</w:t>
      </w:r>
    </w:p>
    <w:p w14:paraId="0C2D272E">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人工辅助：对机械作业无法覆盖的角落（如：人行道、路缘石边、护栏下）进行人工冲洗和清扫。</w:t>
      </w:r>
    </w:p>
    <w:p w14:paraId="4AEE0CD8">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（二）特殊天气与季节作业要求</w:t>
      </w:r>
    </w:p>
    <w:p w14:paraId="6FED9B56">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1.大风干燥天气：</w:t>
      </w:r>
    </w:p>
    <w:p w14:paraId="064508F2">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显著增加洒水与喷雾频次，保持路面持续湿润，形成“水膜”抑尘。</w:t>
      </w:r>
    </w:p>
    <w:p w14:paraId="759C30D0">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启动应急作业预案，必要时进行24小时不间断循环洒水降尘。</w:t>
      </w:r>
    </w:p>
    <w:p w14:paraId="1061F8B9">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2.夏季高温天气：</w:t>
      </w:r>
    </w:p>
    <w:p w14:paraId="47445FC6">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避开每日最高温时段（如：12:00-15:00）进行洒水，防止水分快速蒸发导致资源浪费和交通隐患。</w:t>
      </w:r>
    </w:p>
    <w:p w14:paraId="403CB553">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增加在早晚和夜间的作业频次，利用低温时段提高保湿效果。</w:t>
      </w:r>
    </w:p>
    <w:p w14:paraId="03507559">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重点保障行人密集区域的路面降温保湿。</w:t>
      </w:r>
    </w:p>
    <w:p w14:paraId="02AC85AC">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3.冬季低温天气（气温低于0℃时）：</w:t>
      </w:r>
    </w:p>
    <w:p w14:paraId="346B04DE">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停止一切形式的洒水、喷雾和洗扫作业，防止路面结冰，引发交通事故。</w:t>
      </w:r>
    </w:p>
    <w:p w14:paraId="7CC9A915">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转为干式吸扫或人工清扫为主，及时清除路面渣土、积雪。</w:t>
      </w:r>
    </w:p>
    <w:p w14:paraId="2B5E8B50">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密切关注天气预报，在午后气温回升至冰点以上时，可适时进行短时、局部的冲洗作业。</w:t>
      </w:r>
    </w:p>
    <w:p w14:paraId="0119B36F">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4.降雨天气：</w:t>
      </w:r>
    </w:p>
    <w:p w14:paraId="28CD6C61">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“借雨作业”黄金期。雨势较小时，出动高压冲洗车，利用雨水软化污渍的优势，彻底冲刷路面积泥、油污，事半功倍。</w:t>
      </w:r>
    </w:p>
    <w:p w14:paraId="5151A070">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大雨及以上雨势时，停止作业，确保安全。雨后及时清理下水道口杂物，推净路面积水。</w:t>
      </w:r>
    </w:p>
    <w:p w14:paraId="26C59F06">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（三）重点区域作业要求</w:t>
      </w:r>
    </w:p>
    <w:p w14:paraId="79FE146C">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1.施工工地周边：</w:t>
      </w:r>
    </w:p>
    <w:p w14:paraId="68D04D72">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与企业协商，要求其在出口处设置高标准洗车台，确保车辆净车出场。</w:t>
      </w:r>
    </w:p>
    <w:p w14:paraId="75964FB8">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在该路段部署“定点+巡线”保洁力量，增加巡回保洁和机械冲洗频次。</w:t>
      </w:r>
    </w:p>
    <w:p w14:paraId="723FF48C">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必要时，协调施工单位共同进行道路保洁。</w:t>
      </w:r>
    </w:p>
    <w:p w14:paraId="4BC2B88B">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2.渣土运输线路：</w:t>
      </w:r>
    </w:p>
    <w:p w14:paraId="6188205C">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根据渣土车运行时间，调整作业班次，在其经过后立即进行跟进保洁。</w:t>
      </w:r>
    </w:p>
    <w:p w14:paraId="131A9D20">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夜间增加冲洗和洗扫作业力量。</w:t>
      </w:r>
    </w:p>
    <w:p w14:paraId="17573122">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3.城市出入口、城乡结合部：</w:t>
      </w:r>
    </w:p>
    <w:p w14:paraId="08760252">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提高作业标准，将其视同主干道进行管理。</w:t>
      </w:r>
    </w:p>
    <w:p w14:paraId="73ECA429">
      <w:pPr>
        <w:keepNext w:val="0"/>
        <w:keepLines w:val="0"/>
        <w:pageBreakBefore w:val="0"/>
        <w:widowControl w:val="0"/>
        <w:kinsoku/>
        <w:wordWrap/>
        <w:overflowPunct w:val="0"/>
        <w:topLinePunct w:val="0"/>
        <w:autoSpaceDE/>
        <w:autoSpaceDN/>
        <w:bidi w:val="0"/>
        <w:adjustRightInd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重点清理道路两侧积存的尘土和垃圾。</w:t>
      </w:r>
    </w:p>
    <w:p w14:paraId="79471A29">
      <w:pPr>
        <w:keepNext w:val="0"/>
        <w:keepLines w:val="0"/>
        <w:pageBreakBefore w:val="0"/>
        <w:widowControl w:val="0"/>
        <w:kinsoku/>
        <w:wordWrap/>
        <w:overflowPunct w:val="0"/>
        <w:topLinePunct w:val="0"/>
        <w:autoSpaceDE/>
        <w:autoSpaceDN/>
        <w:bidi w:val="0"/>
        <w:adjustRightInd/>
        <w:spacing w:beforeAutospacing="0" w:afterAutospacing="0" w:line="440" w:lineRule="exact"/>
        <w:ind w:left="0" w:leftChars="0" w:right="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三、</w:t>
      </w:r>
      <w:r>
        <w:rPr>
          <w:rFonts w:hint="eastAsia" w:ascii="宋体" w:hAnsi="宋体" w:cs="宋体"/>
          <w:b w:val="0"/>
          <w:bCs w:val="0"/>
          <w:color w:val="auto"/>
          <w:sz w:val="21"/>
          <w:szCs w:val="21"/>
          <w:highlight w:val="none"/>
          <w:lang w:eastAsia="zh-CN"/>
        </w:rPr>
        <w:t>质量要求</w:t>
      </w:r>
      <w:r>
        <w:rPr>
          <w:rFonts w:hint="eastAsia" w:ascii="宋体" w:hAnsi="宋体" w:eastAsia="宋体" w:cs="宋体"/>
          <w:b w:val="0"/>
          <w:bCs w:val="0"/>
          <w:color w:val="auto"/>
          <w:sz w:val="21"/>
          <w:szCs w:val="21"/>
          <w:highlight w:val="none"/>
          <w:lang w:eastAsia="zh-CN"/>
        </w:rPr>
        <w:t>与考核</w:t>
      </w:r>
    </w:p>
    <w:p w14:paraId="227F9B65">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1.感官标准：</w:t>
      </w:r>
    </w:p>
    <w:p w14:paraId="71DBC3DB">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路面见本色：沥青路面呈黑色，水泥路面呈青灰色。</w:t>
      </w:r>
    </w:p>
    <w:p w14:paraId="1CFAEC90">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无积水、无结冰：作业后路面无大面积残留水洼，冬季无冰面。</w:t>
      </w:r>
    </w:p>
    <w:p w14:paraId="20F7B3AB">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边石无尘：道路侧石边缘无泥沙积存。</w:t>
      </w:r>
    </w:p>
    <w:p w14:paraId="0AB7A712">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空气无扬尘：车辆驶过无明显扬尘。</w:t>
      </w:r>
    </w:p>
    <w:p w14:paraId="6177DAE0">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2.量化指标：</w:t>
      </w:r>
    </w:p>
    <w:p w14:paraId="69DF08A6">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道路尘土残存量：采用“以克论净”方法检测，主干道每平方米不超过5克/㎡，次干道不超过10克/㎡。</w:t>
      </w:r>
    </w:p>
    <w:p w14:paraId="6D3BA948">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机械化作业率：主次干道机械化清扫率需达到</w:t>
      </w:r>
      <w:r>
        <w:rPr>
          <w:rFonts w:hint="eastAsia" w:ascii="宋体" w:hAnsi="宋体" w:eastAsia="宋体" w:cs="宋体"/>
          <w:color w:val="auto"/>
          <w:sz w:val="21"/>
          <w:szCs w:val="21"/>
          <w:highlight w:val="none"/>
          <w:lang w:eastAsia="zh-CN"/>
        </w:rPr>
        <w:t>100</w:t>
      </w:r>
      <w:r>
        <w:rPr>
          <w:rFonts w:hint="eastAsia" w:ascii="宋体" w:hAnsi="宋体" w:eastAsia="宋体" w:cs="宋体"/>
          <w:color w:val="auto"/>
          <w:sz w:val="21"/>
          <w:szCs w:val="21"/>
          <w:highlight w:val="none"/>
        </w:rPr>
        <w:t>%。</w:t>
      </w:r>
    </w:p>
    <w:p w14:paraId="4E3EFF89">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路面相对湿度：在干燥天气下，通过监测确保路面在作业后一段时间内保持湿润。</w:t>
      </w:r>
    </w:p>
    <w:p w14:paraId="52E5B95B">
      <w:pPr>
        <w:keepNext w:val="0"/>
        <w:keepLines w:val="0"/>
        <w:pageBreakBefore w:val="0"/>
        <w:widowControl w:val="0"/>
        <w:kinsoku/>
        <w:wordWrap/>
        <w:overflowPunct w:val="0"/>
        <w:topLinePunct w:val="0"/>
        <w:autoSpaceDE/>
        <w:autoSpaceDN/>
        <w:bidi w:val="0"/>
        <w:adjustRightInd/>
        <w:snapToGrid w:val="0"/>
        <w:spacing w:beforeAutospacing="0" w:afterAutospacing="0" w:line="440" w:lineRule="exact"/>
        <w:ind w:left="0" w:leftChars="0" w:right="0" w:firstLine="420" w:firstLineChars="200"/>
        <w:jc w:val="both"/>
        <w:textAlignment w:val="baseline"/>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四、保障与安全措施</w:t>
      </w:r>
    </w:p>
    <w:p w14:paraId="335A5913">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1.人员与设备保障：</w:t>
      </w:r>
    </w:p>
    <w:p w14:paraId="004C3297">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配齐配足各类作业车辆（高压冲洗车、洒水车、洗扫车、雾炮车等）并确保车况良好。</w:t>
      </w:r>
    </w:p>
    <w:p w14:paraId="543674B5">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对驾驶员和保洁员进行定期专业技能与安全培训。</w:t>
      </w:r>
    </w:p>
    <w:p w14:paraId="78C9C228">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2.智慧化管理：</w:t>
      </w:r>
    </w:p>
    <w:p w14:paraId="126C2641">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为作业车辆安装</w:t>
      </w:r>
      <w:r>
        <w:rPr>
          <w:rFonts w:hint="eastAsia" w:ascii="宋体" w:hAnsi="宋体" w:eastAsia="宋体" w:cs="宋体"/>
          <w:color w:val="auto"/>
          <w:sz w:val="21"/>
          <w:szCs w:val="21"/>
          <w:highlight w:val="none"/>
          <w:lang w:eastAsia="zh-CN"/>
        </w:rPr>
        <w:t>“北斗”定位</w:t>
      </w:r>
      <w:r>
        <w:rPr>
          <w:rFonts w:hint="eastAsia" w:ascii="宋体" w:hAnsi="宋体" w:eastAsia="宋体" w:cs="宋体"/>
          <w:color w:val="auto"/>
          <w:sz w:val="21"/>
          <w:szCs w:val="21"/>
          <w:highlight w:val="none"/>
        </w:rPr>
        <w:t>和作业状态传感器，通过智慧环卫平台实时监控作业轨迹、频次和用水量，实现精准调度与考核。</w:t>
      </w:r>
    </w:p>
    <w:p w14:paraId="21D90145">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2" w:firstLineChars="200"/>
        <w:jc w:val="both"/>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3.安全文明作业：</w:t>
      </w:r>
    </w:p>
    <w:p w14:paraId="7C1DEF46">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错峰作业：尽量避开上下班交通高峰时段。</w:t>
      </w:r>
    </w:p>
    <w:p w14:paraId="41E2DE5C">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规范警示：作业车辆必须开启警示灯、作业提示音乐，提醒行人和车辆。</w:t>
      </w:r>
    </w:p>
    <w:p w14:paraId="3035E0E4">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礼让行人：洒水车、冲洗车遇行人时应主动减速、关闭水阀或调整喷水角度，避免溅射行人。</w:t>
      </w:r>
    </w:p>
    <w:p w14:paraId="15528682">
      <w:pPr>
        <w:keepNext w:val="0"/>
        <w:keepLines w:val="0"/>
        <w:pageBreakBefore w:val="0"/>
        <w:widowControl w:val="0"/>
        <w:kinsoku/>
        <w:wordWrap/>
        <w:overflowPunct w:val="0"/>
        <w:topLinePunct w:val="0"/>
        <w:autoSpaceDE/>
        <w:autoSpaceDN/>
        <w:bidi w:val="0"/>
        <w:snapToGrid w:val="0"/>
        <w:spacing w:beforeAutospacing="0" w:afterAutospacing="0" w:line="440" w:lineRule="exact"/>
        <w:ind w:left="0" w:leftChars="0" w:right="0" w:firstLine="420" w:firstLineChars="20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人员安全：保洁员必须穿着反光背心，遵守交通规则。</w:t>
      </w:r>
    </w:p>
    <w:p w14:paraId="34A60557">
      <w:pPr>
        <w:keepNext w:val="0"/>
        <w:keepLines w:val="0"/>
        <w:pageBreakBefore w:val="0"/>
        <w:widowControl w:val="0"/>
        <w:kinsoku/>
        <w:wordWrap/>
        <w:overflowPunct w:val="0"/>
        <w:topLinePunct w:val="0"/>
        <w:autoSpaceDE/>
        <w:autoSpaceDN/>
        <w:bidi w:val="0"/>
        <w:spacing w:beforeAutospacing="0" w:afterAutospacing="0" w:line="440" w:lineRule="exact"/>
        <w:ind w:right="0"/>
        <w:rPr>
          <w:rFonts w:hint="default" w:ascii="Times New Roman" w:hAnsi="Times New Roman" w:eastAsia="仿宋" w:cs="Times New Roman"/>
          <w:color w:val="auto"/>
          <w:sz w:val="32"/>
          <w:szCs w:val="32"/>
          <w:highlight w:val="none"/>
        </w:rPr>
      </w:pPr>
      <w:r>
        <w:rPr>
          <w:rFonts w:hint="eastAsia" w:ascii="宋体" w:hAnsi="宋体" w:eastAsia="宋体" w:cs="宋体"/>
          <w:color w:val="auto"/>
          <w:sz w:val="21"/>
          <w:szCs w:val="21"/>
          <w:highlight w:val="none"/>
        </w:rPr>
        <w:br w:type="page"/>
      </w:r>
    </w:p>
    <w:tbl>
      <w:tblPr>
        <w:tblStyle w:val="21"/>
        <w:tblW w:w="85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39"/>
        <w:gridCol w:w="2628"/>
        <w:gridCol w:w="3304"/>
        <w:gridCol w:w="1248"/>
      </w:tblGrid>
      <w:tr w14:paraId="25D92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1" w:hRule="atLeast"/>
        </w:trPr>
        <w:tc>
          <w:tcPr>
            <w:tcW w:w="3967" w:type="dxa"/>
            <w:gridSpan w:val="2"/>
            <w:tcBorders>
              <w:top w:val="nil"/>
              <w:left w:val="nil"/>
              <w:bottom w:val="nil"/>
              <w:right w:val="nil"/>
            </w:tcBorders>
            <w:noWrap w:val="0"/>
            <w:vAlign w:val="center"/>
          </w:tcPr>
          <w:p w14:paraId="09D6F66E">
            <w:pPr>
              <w:widowControl w:val="0"/>
              <w:wordWrap/>
              <w:overflowPunct w:val="0"/>
              <w:adjustRightInd w:val="0"/>
              <w:snapToGrid w:val="0"/>
              <w:spacing w:beforeAutospacing="0" w:afterAutospacing="0" w:line="600" w:lineRule="exact"/>
              <w:ind w:left="0" w:leftChars="0" w:right="0" w:firstLine="0" w:firstLineChars="0"/>
              <w:jc w:val="both"/>
              <w:rPr>
                <w:rFonts w:hint="default" w:ascii="Times New Roman" w:hAnsi="Times New Roman" w:eastAsia="仿宋" w:cs="Times New Roman"/>
                <w:color w:val="auto"/>
                <w:sz w:val="32"/>
                <w:szCs w:val="32"/>
                <w:highlight w:val="none"/>
              </w:rPr>
            </w:pPr>
            <w:r>
              <w:rPr>
                <w:rFonts w:hint="default" w:ascii="Times New Roman" w:hAnsi="Times New Roman" w:eastAsia="黑体" w:cs="Times New Roman"/>
                <w:color w:val="auto"/>
                <w:spacing w:val="-5"/>
                <w:sz w:val="32"/>
                <w:szCs w:val="32"/>
                <w:highlight w:val="none"/>
                <w:lang w:eastAsia="zh-CN"/>
              </w:rPr>
              <w:t>附件5</w:t>
            </w:r>
          </w:p>
        </w:tc>
        <w:tc>
          <w:tcPr>
            <w:tcW w:w="3304" w:type="dxa"/>
            <w:tcBorders>
              <w:top w:val="nil"/>
              <w:left w:val="nil"/>
              <w:bottom w:val="nil"/>
              <w:right w:val="nil"/>
            </w:tcBorders>
            <w:noWrap w:val="0"/>
            <w:vAlign w:val="center"/>
          </w:tcPr>
          <w:p w14:paraId="3D496D5D">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c>
          <w:tcPr>
            <w:tcW w:w="1248" w:type="dxa"/>
            <w:tcBorders>
              <w:top w:val="nil"/>
              <w:left w:val="nil"/>
              <w:bottom w:val="nil"/>
              <w:right w:val="nil"/>
            </w:tcBorders>
            <w:noWrap w:val="0"/>
            <w:vAlign w:val="center"/>
          </w:tcPr>
          <w:p w14:paraId="01954510">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r>
      <w:tr w14:paraId="259B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8519" w:type="dxa"/>
            <w:gridSpan w:val="4"/>
            <w:tcBorders>
              <w:top w:val="nil"/>
              <w:left w:val="nil"/>
              <w:bottom w:val="nil"/>
              <w:right w:val="nil"/>
            </w:tcBorders>
            <w:noWrap w:val="0"/>
            <w:vAlign w:val="center"/>
          </w:tcPr>
          <w:p w14:paraId="0050BDDF">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 w:cs="Times New Roman"/>
                <w:color w:val="auto"/>
                <w:sz w:val="32"/>
                <w:szCs w:val="32"/>
                <w:highlight w:val="none"/>
              </w:rPr>
            </w:pP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一标段 </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各乡镇人口数（总表）</w:t>
            </w:r>
          </w:p>
        </w:tc>
      </w:tr>
      <w:tr w14:paraId="6A909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339" w:type="dxa"/>
            <w:tcBorders>
              <w:top w:val="nil"/>
              <w:left w:val="nil"/>
              <w:bottom w:val="nil"/>
              <w:right w:val="nil"/>
            </w:tcBorders>
            <w:noWrap w:val="0"/>
            <w:vAlign w:val="center"/>
          </w:tcPr>
          <w:p w14:paraId="5C998FB5">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仿宋" w:cs="Times New Roman"/>
                <w:color w:val="auto"/>
                <w:sz w:val="24"/>
                <w:szCs w:val="24"/>
                <w:highlight w:val="none"/>
              </w:rPr>
            </w:pPr>
          </w:p>
        </w:tc>
        <w:tc>
          <w:tcPr>
            <w:tcW w:w="2628" w:type="dxa"/>
            <w:tcBorders>
              <w:top w:val="nil"/>
              <w:left w:val="nil"/>
              <w:bottom w:val="nil"/>
              <w:right w:val="nil"/>
            </w:tcBorders>
            <w:noWrap w:val="0"/>
            <w:vAlign w:val="center"/>
          </w:tcPr>
          <w:p w14:paraId="56E3B0E4">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c>
          <w:tcPr>
            <w:tcW w:w="3304" w:type="dxa"/>
            <w:tcBorders>
              <w:top w:val="nil"/>
              <w:left w:val="nil"/>
              <w:bottom w:val="nil"/>
              <w:right w:val="nil"/>
            </w:tcBorders>
            <w:noWrap w:val="0"/>
            <w:vAlign w:val="center"/>
          </w:tcPr>
          <w:p w14:paraId="42BE740C">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c>
          <w:tcPr>
            <w:tcW w:w="1248" w:type="dxa"/>
            <w:tcBorders>
              <w:top w:val="nil"/>
              <w:left w:val="nil"/>
              <w:bottom w:val="nil"/>
              <w:right w:val="nil"/>
            </w:tcBorders>
            <w:noWrap w:val="0"/>
            <w:vAlign w:val="center"/>
          </w:tcPr>
          <w:p w14:paraId="2D18680C">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r>
      <w:tr w14:paraId="0CFC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069F320">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一标段</w:t>
            </w:r>
          </w:p>
        </w:tc>
        <w:tc>
          <w:tcPr>
            <w:tcW w:w="2628" w:type="dxa"/>
            <w:tcBorders>
              <w:top w:val="single" w:color="000000" w:sz="4" w:space="0"/>
              <w:left w:val="nil"/>
              <w:bottom w:val="single" w:color="000000" w:sz="4" w:space="0"/>
              <w:right w:val="single" w:color="000000" w:sz="4" w:space="0"/>
            </w:tcBorders>
            <w:noWrap w:val="0"/>
            <w:vAlign w:val="center"/>
          </w:tcPr>
          <w:p w14:paraId="0FDF142C">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乡镇</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220AC272">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户籍人口数</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3C9BE272">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备注</w:t>
            </w:r>
          </w:p>
        </w:tc>
      </w:tr>
      <w:tr w14:paraId="4466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4E602">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3CBEA0E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鸿昌街道办事处</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A51DAFC">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47744</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0E736E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5857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CE163">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11B155E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月山镇</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734380E8">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25150</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4AE19C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0C6B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7EA10">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0121625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柏山镇</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715A59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41376</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08FD285D">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3574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3A549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42A097D6">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寨豁乡</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42BD2BA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13105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E58F713">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4317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1323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361C944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许良镇</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525FB36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51803</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439B9733">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4193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13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33CFD">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628" w:type="dxa"/>
            <w:tcBorders>
              <w:top w:val="single" w:color="000000" w:sz="4" w:space="0"/>
              <w:left w:val="nil"/>
              <w:bottom w:val="single" w:color="000000" w:sz="4" w:space="0"/>
              <w:right w:val="single" w:color="000000" w:sz="4" w:space="0"/>
            </w:tcBorders>
            <w:noWrap w:val="0"/>
            <w:vAlign w:val="center"/>
          </w:tcPr>
          <w:p w14:paraId="755EC60E">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合计</w:t>
            </w:r>
          </w:p>
        </w:tc>
        <w:tc>
          <w:tcPr>
            <w:tcW w:w="3304" w:type="dxa"/>
            <w:tcBorders>
              <w:top w:val="single" w:color="000000" w:sz="4" w:space="0"/>
              <w:left w:val="single" w:color="000000" w:sz="4" w:space="0"/>
              <w:bottom w:val="single" w:color="000000" w:sz="4" w:space="0"/>
              <w:right w:val="single" w:color="000000" w:sz="4" w:space="0"/>
            </w:tcBorders>
            <w:noWrap w:val="0"/>
            <w:vAlign w:val="center"/>
          </w:tcPr>
          <w:p w14:paraId="47475226">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179178</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97ACD41">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6F4C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339" w:type="dxa"/>
            <w:tcBorders>
              <w:top w:val="nil"/>
              <w:left w:val="nil"/>
              <w:bottom w:val="nil"/>
              <w:right w:val="nil"/>
            </w:tcBorders>
            <w:noWrap w:val="0"/>
            <w:vAlign w:val="center"/>
          </w:tcPr>
          <w:p w14:paraId="34A9AB71">
            <w:pPr>
              <w:widowControl w:val="0"/>
              <w:wordWrap/>
              <w:overflowPunct w:val="0"/>
              <w:adjustRightInd w:val="0"/>
              <w:snapToGrid w:val="0"/>
              <w:spacing w:beforeAutospacing="0" w:afterAutospacing="0" w:line="600" w:lineRule="exact"/>
              <w:ind w:left="0" w:leftChars="0" w:right="0" w:firstLine="0" w:firstLineChars="0"/>
              <w:rPr>
                <w:rFonts w:hint="eastAsia" w:ascii="宋体" w:hAnsi="宋体" w:eastAsia="宋体" w:cs="宋体"/>
                <w:color w:val="auto"/>
                <w:sz w:val="24"/>
                <w:szCs w:val="24"/>
                <w:highlight w:val="none"/>
              </w:rPr>
            </w:pPr>
          </w:p>
        </w:tc>
        <w:tc>
          <w:tcPr>
            <w:tcW w:w="2628" w:type="dxa"/>
            <w:tcBorders>
              <w:top w:val="nil"/>
              <w:left w:val="nil"/>
              <w:bottom w:val="nil"/>
              <w:right w:val="nil"/>
            </w:tcBorders>
            <w:noWrap w:val="0"/>
            <w:vAlign w:val="center"/>
          </w:tcPr>
          <w:p w14:paraId="6FBD5A55">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3304" w:type="dxa"/>
            <w:tcBorders>
              <w:top w:val="nil"/>
              <w:left w:val="nil"/>
              <w:bottom w:val="nil"/>
              <w:right w:val="nil"/>
            </w:tcBorders>
            <w:noWrap w:val="0"/>
            <w:vAlign w:val="center"/>
          </w:tcPr>
          <w:p w14:paraId="781D237D">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91个村</w:t>
            </w:r>
          </w:p>
        </w:tc>
        <w:tc>
          <w:tcPr>
            <w:tcW w:w="1248" w:type="dxa"/>
            <w:tcBorders>
              <w:top w:val="nil"/>
              <w:left w:val="nil"/>
              <w:bottom w:val="nil"/>
              <w:right w:val="nil"/>
            </w:tcBorders>
            <w:noWrap w:val="0"/>
            <w:vAlign w:val="center"/>
          </w:tcPr>
          <w:p w14:paraId="11F1520B">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bl>
    <w:p w14:paraId="0AD82FD4">
      <w:pPr>
        <w:widowControl w:val="0"/>
        <w:wordWrap/>
        <w:overflowPunct w:val="0"/>
        <w:adjustRightInd w:val="0"/>
        <w:snapToGrid w:val="0"/>
        <w:spacing w:beforeAutospacing="0" w:afterAutospacing="0" w:line="600" w:lineRule="exact"/>
        <w:ind w:left="0" w:leftChars="0" w:right="0" w:firstLine="0" w:firstLineChars="0"/>
        <w:jc w:val="both"/>
        <w:rPr>
          <w:rFonts w:hint="default" w:ascii="Times New Roman" w:hAnsi="Times New Roman" w:eastAsia="仿宋" w:cs="Times New Roman"/>
          <w:color w:val="auto"/>
          <w:sz w:val="44"/>
          <w:szCs w:val="44"/>
          <w:highlight w:val="none"/>
        </w:rPr>
      </w:pPr>
    </w:p>
    <w:p w14:paraId="71F26271">
      <w:pPr>
        <w:widowControl w:val="0"/>
        <w:wordWrap/>
        <w:overflowPunct w:val="0"/>
        <w:adjustRightInd w:val="0"/>
        <w:snapToGrid w:val="0"/>
        <w:spacing w:beforeAutospacing="0" w:afterAutospacing="0" w:line="600" w:lineRule="exact"/>
        <w:ind w:left="0" w:leftChars="0" w:right="0" w:firstLine="0" w:firstLineChars="0"/>
        <w:jc w:val="both"/>
        <w:rPr>
          <w:rFonts w:hint="default" w:ascii="Times New Roman" w:hAnsi="Times New Roman" w:eastAsia="仿宋" w:cs="Times New Roman"/>
          <w:color w:val="auto"/>
          <w:sz w:val="44"/>
          <w:szCs w:val="44"/>
          <w:highlight w:val="none"/>
        </w:rPr>
      </w:pPr>
    </w:p>
    <w:p w14:paraId="73ABDB02">
      <w:pPr>
        <w:widowControl w:val="0"/>
        <w:wordWrap/>
        <w:overflowPunct w:val="0"/>
        <w:adjustRightInd w:val="0"/>
        <w:snapToGrid w:val="0"/>
        <w:spacing w:beforeAutospacing="0" w:afterAutospacing="0" w:line="600" w:lineRule="exact"/>
        <w:ind w:left="0" w:leftChars="0" w:right="0" w:firstLine="0" w:firstLineChars="0"/>
        <w:jc w:val="both"/>
        <w:rPr>
          <w:rFonts w:hint="default" w:ascii="Times New Roman" w:hAnsi="Times New Roman" w:eastAsia="仿宋" w:cs="Times New Roman"/>
          <w:color w:val="auto"/>
          <w:sz w:val="44"/>
          <w:szCs w:val="44"/>
          <w:highlight w:val="none"/>
        </w:rPr>
      </w:pPr>
    </w:p>
    <w:p w14:paraId="4691DF7F">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仿宋" w:cs="Times New Roman"/>
          <w:color w:val="auto"/>
          <w:sz w:val="44"/>
          <w:szCs w:val="44"/>
          <w:highlight w:val="none"/>
        </w:rPr>
      </w:pPr>
      <w:r>
        <w:rPr>
          <w:rFonts w:hint="default" w:ascii="Times New Roman" w:hAnsi="Times New Roman" w:eastAsia="仿宋" w:cs="Times New Roman"/>
          <w:color w:val="auto"/>
          <w:sz w:val="44"/>
          <w:szCs w:val="44"/>
          <w:highlight w:val="none"/>
        </w:rPr>
        <w:br w:type="page"/>
      </w:r>
    </w:p>
    <w:tbl>
      <w:tblPr>
        <w:tblStyle w:val="21"/>
        <w:tblW w:w="8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7"/>
        <w:gridCol w:w="2796"/>
        <w:gridCol w:w="3112"/>
        <w:gridCol w:w="1262"/>
      </w:tblGrid>
      <w:tr w14:paraId="72ACA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8377" w:type="dxa"/>
            <w:gridSpan w:val="4"/>
            <w:tcBorders>
              <w:top w:val="nil"/>
              <w:left w:val="nil"/>
              <w:bottom w:val="nil"/>
              <w:right w:val="nil"/>
            </w:tcBorders>
            <w:noWrap w:val="0"/>
            <w:vAlign w:val="center"/>
          </w:tcPr>
          <w:p w14:paraId="74D50FDF">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 w:cs="Times New Roman"/>
                <w:color w:val="auto"/>
                <w:sz w:val="40"/>
                <w:szCs w:val="40"/>
                <w:highlight w:val="none"/>
              </w:rPr>
            </w:pPr>
            <w:r>
              <w:rPr>
                <w:rFonts w:hint="default" w:ascii="Times New Roman" w:hAnsi="Times New Roman" w:eastAsia="方正小标宋简体" w:cs="Times New Roman"/>
                <w:snapToGrid w:val="0"/>
                <w:color w:val="auto"/>
                <w:spacing w:val="-1"/>
                <w:sz w:val="32"/>
                <w:szCs w:val="32"/>
                <w:highlight w:val="none"/>
                <w:lang w:val="en-US" w:eastAsia="zh-CN" w:bidi="ar-SA"/>
              </w:rPr>
              <w:t>二标段</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 各乡镇人口数（总表）</w:t>
            </w:r>
          </w:p>
        </w:tc>
      </w:tr>
      <w:tr w14:paraId="38773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207" w:type="dxa"/>
            <w:tcBorders>
              <w:top w:val="nil"/>
              <w:left w:val="nil"/>
              <w:bottom w:val="nil"/>
              <w:right w:val="nil"/>
            </w:tcBorders>
            <w:noWrap w:val="0"/>
            <w:vAlign w:val="center"/>
          </w:tcPr>
          <w:p w14:paraId="45C57A8E">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仿宋" w:cs="Times New Roman"/>
                <w:color w:val="auto"/>
                <w:sz w:val="24"/>
                <w:szCs w:val="24"/>
                <w:highlight w:val="none"/>
              </w:rPr>
            </w:pPr>
          </w:p>
        </w:tc>
        <w:tc>
          <w:tcPr>
            <w:tcW w:w="2796" w:type="dxa"/>
            <w:tcBorders>
              <w:top w:val="nil"/>
              <w:left w:val="nil"/>
              <w:bottom w:val="nil"/>
              <w:right w:val="nil"/>
            </w:tcBorders>
            <w:noWrap w:val="0"/>
            <w:vAlign w:val="center"/>
          </w:tcPr>
          <w:p w14:paraId="23611644">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c>
          <w:tcPr>
            <w:tcW w:w="3112" w:type="dxa"/>
            <w:tcBorders>
              <w:top w:val="nil"/>
              <w:left w:val="nil"/>
              <w:bottom w:val="nil"/>
              <w:right w:val="nil"/>
            </w:tcBorders>
            <w:noWrap w:val="0"/>
            <w:vAlign w:val="center"/>
          </w:tcPr>
          <w:p w14:paraId="7C5E7857">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c>
          <w:tcPr>
            <w:tcW w:w="1262" w:type="dxa"/>
            <w:tcBorders>
              <w:top w:val="nil"/>
              <w:left w:val="nil"/>
              <w:bottom w:val="nil"/>
              <w:right w:val="nil"/>
            </w:tcBorders>
            <w:noWrap w:val="0"/>
            <w:vAlign w:val="center"/>
          </w:tcPr>
          <w:p w14:paraId="0ADFD705">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24"/>
                <w:szCs w:val="24"/>
                <w:highlight w:val="none"/>
              </w:rPr>
            </w:pPr>
          </w:p>
        </w:tc>
      </w:tr>
      <w:tr w14:paraId="7527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restart"/>
            <w:tcBorders>
              <w:top w:val="single" w:color="000000" w:sz="4" w:space="0"/>
              <w:left w:val="single" w:color="000000" w:sz="4" w:space="0"/>
              <w:bottom w:val="single" w:color="000000" w:sz="4" w:space="0"/>
              <w:right w:val="single" w:color="000000" w:sz="4" w:space="0"/>
            </w:tcBorders>
            <w:noWrap w:val="0"/>
            <w:vAlign w:val="center"/>
          </w:tcPr>
          <w:p w14:paraId="1937C5B8">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二标段</w:t>
            </w:r>
          </w:p>
        </w:tc>
        <w:tc>
          <w:tcPr>
            <w:tcW w:w="2796" w:type="dxa"/>
            <w:tcBorders>
              <w:top w:val="single" w:color="000000" w:sz="4" w:space="0"/>
              <w:left w:val="nil"/>
              <w:bottom w:val="single" w:color="000000" w:sz="4" w:space="0"/>
              <w:right w:val="single" w:color="000000" w:sz="4" w:space="0"/>
            </w:tcBorders>
            <w:noWrap w:val="0"/>
            <w:vAlign w:val="center"/>
          </w:tcPr>
          <w:p w14:paraId="230C490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乡镇</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2B3138BE">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户籍人口数</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1FB733CA">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备注</w:t>
            </w:r>
          </w:p>
        </w:tc>
      </w:tr>
      <w:tr w14:paraId="14968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5B79FA">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796" w:type="dxa"/>
            <w:tcBorders>
              <w:top w:val="single" w:color="000000" w:sz="4" w:space="0"/>
              <w:left w:val="nil"/>
              <w:bottom w:val="single" w:color="000000" w:sz="4" w:space="0"/>
              <w:right w:val="single" w:color="000000" w:sz="4" w:space="0"/>
            </w:tcBorders>
            <w:noWrap w:val="0"/>
            <w:vAlign w:val="center"/>
          </w:tcPr>
          <w:p w14:paraId="5CD41379">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清化镇街道办事处</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276C99C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51903</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54854A9">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2C6E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DAAB28">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796" w:type="dxa"/>
            <w:tcBorders>
              <w:top w:val="single" w:color="000000" w:sz="4" w:space="0"/>
              <w:left w:val="nil"/>
              <w:bottom w:val="single" w:color="000000" w:sz="4" w:space="0"/>
              <w:right w:val="single" w:color="000000" w:sz="4" w:space="0"/>
            </w:tcBorders>
            <w:noWrap w:val="0"/>
            <w:vAlign w:val="center"/>
          </w:tcPr>
          <w:p w14:paraId="08023B0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磨头镇</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213875A2">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35072</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BA85E23">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3186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155D6">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796" w:type="dxa"/>
            <w:tcBorders>
              <w:top w:val="single" w:color="000000" w:sz="4" w:space="0"/>
              <w:left w:val="nil"/>
              <w:bottom w:val="single" w:color="000000" w:sz="4" w:space="0"/>
              <w:right w:val="single" w:color="000000" w:sz="4" w:space="0"/>
            </w:tcBorders>
            <w:noWrap w:val="0"/>
            <w:vAlign w:val="center"/>
          </w:tcPr>
          <w:p w14:paraId="4183FCA8">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金城乡</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30706077">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54592</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2005FA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5648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3A61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796" w:type="dxa"/>
            <w:tcBorders>
              <w:top w:val="single" w:color="000000" w:sz="4" w:space="0"/>
              <w:left w:val="nil"/>
              <w:bottom w:val="single" w:color="000000" w:sz="4" w:space="0"/>
              <w:right w:val="single" w:color="000000" w:sz="4" w:space="0"/>
            </w:tcBorders>
            <w:noWrap w:val="0"/>
            <w:vAlign w:val="center"/>
          </w:tcPr>
          <w:p w14:paraId="77433B5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孝敬镇</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6EAFED77">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50776</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304D7C39">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08D5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9EC90">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2796" w:type="dxa"/>
            <w:tcBorders>
              <w:top w:val="single" w:color="000000" w:sz="4" w:space="0"/>
              <w:left w:val="nil"/>
              <w:bottom w:val="single" w:color="000000" w:sz="4" w:space="0"/>
              <w:right w:val="single" w:color="000000" w:sz="4" w:space="0"/>
            </w:tcBorders>
            <w:noWrap w:val="0"/>
            <w:vAlign w:val="center"/>
          </w:tcPr>
          <w:p w14:paraId="06916370">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合计</w:t>
            </w:r>
          </w:p>
        </w:tc>
        <w:tc>
          <w:tcPr>
            <w:tcW w:w="3112" w:type="dxa"/>
            <w:tcBorders>
              <w:top w:val="single" w:color="000000" w:sz="4" w:space="0"/>
              <w:left w:val="single" w:color="000000" w:sz="4" w:space="0"/>
              <w:bottom w:val="single" w:color="000000" w:sz="4" w:space="0"/>
              <w:right w:val="single" w:color="000000" w:sz="4" w:space="0"/>
            </w:tcBorders>
            <w:noWrap w:val="0"/>
            <w:vAlign w:val="center"/>
          </w:tcPr>
          <w:p w14:paraId="54D1C6D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192343</w:t>
            </w:r>
          </w:p>
        </w:tc>
        <w:tc>
          <w:tcPr>
            <w:tcW w:w="1262" w:type="dxa"/>
            <w:tcBorders>
              <w:top w:val="single" w:color="000000" w:sz="4" w:space="0"/>
              <w:left w:val="single" w:color="000000" w:sz="4" w:space="0"/>
              <w:bottom w:val="single" w:color="000000" w:sz="4" w:space="0"/>
              <w:right w:val="single" w:color="000000" w:sz="4" w:space="0"/>
            </w:tcBorders>
            <w:noWrap w:val="0"/>
            <w:vAlign w:val="center"/>
          </w:tcPr>
          <w:p w14:paraId="0548601C">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r>
      <w:tr w14:paraId="66A1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207" w:type="dxa"/>
            <w:tcBorders>
              <w:top w:val="nil"/>
              <w:left w:val="nil"/>
              <w:bottom w:val="nil"/>
              <w:right w:val="nil"/>
            </w:tcBorders>
            <w:noWrap w:val="0"/>
            <w:vAlign w:val="center"/>
          </w:tcPr>
          <w:p w14:paraId="45A7999C">
            <w:pPr>
              <w:widowControl w:val="0"/>
              <w:wordWrap/>
              <w:overflowPunct w:val="0"/>
              <w:adjustRightInd w:val="0"/>
              <w:snapToGrid w:val="0"/>
              <w:spacing w:beforeAutospacing="0" w:afterAutospacing="0" w:line="600" w:lineRule="exact"/>
              <w:ind w:left="0" w:leftChars="0" w:right="0" w:firstLine="0" w:firstLineChars="0"/>
              <w:rPr>
                <w:rFonts w:hint="eastAsia" w:ascii="宋体" w:hAnsi="宋体" w:eastAsia="宋体" w:cs="宋体"/>
                <w:color w:val="auto"/>
                <w:sz w:val="24"/>
                <w:szCs w:val="24"/>
                <w:highlight w:val="none"/>
              </w:rPr>
            </w:pPr>
          </w:p>
        </w:tc>
        <w:tc>
          <w:tcPr>
            <w:tcW w:w="2796" w:type="dxa"/>
            <w:tcBorders>
              <w:top w:val="nil"/>
              <w:left w:val="nil"/>
              <w:bottom w:val="nil"/>
              <w:right w:val="nil"/>
            </w:tcBorders>
            <w:noWrap w:val="0"/>
            <w:vAlign w:val="center"/>
          </w:tcPr>
          <w:p w14:paraId="119BF251">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3112" w:type="dxa"/>
            <w:tcBorders>
              <w:top w:val="nil"/>
              <w:left w:val="nil"/>
              <w:bottom w:val="nil"/>
              <w:right w:val="nil"/>
            </w:tcBorders>
            <w:noWrap w:val="0"/>
            <w:vAlign w:val="center"/>
          </w:tcPr>
          <w:p w14:paraId="36974715">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113个村</w:t>
            </w:r>
          </w:p>
        </w:tc>
        <w:tc>
          <w:tcPr>
            <w:tcW w:w="1262" w:type="dxa"/>
            <w:tcBorders>
              <w:top w:val="nil"/>
              <w:left w:val="nil"/>
              <w:bottom w:val="nil"/>
              <w:right w:val="nil"/>
            </w:tcBorders>
            <w:noWrap w:val="0"/>
            <w:vAlign w:val="center"/>
          </w:tcPr>
          <w:p w14:paraId="3C73847B">
            <w:pPr>
              <w:widowControl w:val="0"/>
              <w:wordWrap/>
              <w:overflowPunct w:val="0"/>
              <w:adjustRightInd w:val="0"/>
              <w:snapToGrid w:val="0"/>
              <w:spacing w:beforeAutospacing="0" w:afterAutospacing="0" w:line="600" w:lineRule="exact"/>
              <w:ind w:left="0" w:leftChars="0" w:right="0" w:firstLine="0" w:firstLineChars="0"/>
              <w:rPr>
                <w:rFonts w:hint="eastAsia" w:ascii="宋体" w:hAnsi="宋体" w:eastAsia="宋体" w:cs="宋体"/>
                <w:color w:val="auto"/>
                <w:sz w:val="24"/>
                <w:szCs w:val="24"/>
                <w:highlight w:val="none"/>
              </w:rPr>
            </w:pPr>
          </w:p>
        </w:tc>
      </w:tr>
    </w:tbl>
    <w:p w14:paraId="0EB3FD96">
      <w:pPr>
        <w:widowControl w:val="0"/>
        <w:wordWrap/>
        <w:overflowPunct w:val="0"/>
        <w:adjustRightInd w:val="0"/>
        <w:snapToGrid w:val="0"/>
        <w:spacing w:beforeAutospacing="0" w:afterAutospacing="0" w:line="600" w:lineRule="exact"/>
        <w:ind w:left="0" w:leftChars="0" w:right="0" w:firstLine="0" w:firstLineChars="0"/>
        <w:jc w:val="both"/>
        <w:rPr>
          <w:rFonts w:hint="default" w:ascii="Times New Roman" w:hAnsi="Times New Roman" w:eastAsia="方正小标宋简体" w:cs="Times New Roman"/>
          <w:color w:val="auto"/>
          <w:sz w:val="44"/>
          <w:szCs w:val="44"/>
          <w:highlight w:val="none"/>
        </w:rPr>
      </w:pPr>
    </w:p>
    <w:p w14:paraId="5C2DBF15">
      <w:pPr>
        <w:widowControl w:val="0"/>
        <w:wordWrap/>
        <w:overflowPunct w:val="0"/>
        <w:spacing w:beforeAutospacing="0" w:afterAutospacing="0" w:line="600" w:lineRule="exact"/>
        <w:ind w:right="0"/>
        <w:jc w:val="both"/>
        <w:rPr>
          <w:rFonts w:hint="default" w:ascii="Times New Roman" w:hAnsi="Times New Roman" w:eastAsia="方正小标宋简体" w:cs="Times New Roman"/>
          <w:color w:val="auto"/>
          <w:sz w:val="44"/>
          <w:szCs w:val="44"/>
          <w:highlight w:val="none"/>
        </w:rPr>
      </w:pPr>
    </w:p>
    <w:p w14:paraId="44154FA4">
      <w:pPr>
        <w:widowControl w:val="0"/>
        <w:wordWrap/>
        <w:overflowPunct w:val="0"/>
        <w:spacing w:beforeAutospacing="0" w:afterAutospacing="0" w:line="600" w:lineRule="exact"/>
        <w:ind w:right="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tbl>
      <w:tblPr>
        <w:tblStyle w:val="21"/>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7"/>
        <w:gridCol w:w="1459"/>
        <w:gridCol w:w="1015"/>
        <w:gridCol w:w="1636"/>
        <w:gridCol w:w="3237"/>
        <w:gridCol w:w="895"/>
      </w:tblGrid>
      <w:tr w14:paraId="22CE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217" w:type="dxa"/>
            <w:tcBorders>
              <w:top w:val="nil"/>
              <w:left w:val="nil"/>
              <w:bottom w:val="nil"/>
              <w:right w:val="nil"/>
            </w:tcBorders>
            <w:noWrap w:val="0"/>
            <w:vAlign w:val="center"/>
          </w:tcPr>
          <w:p w14:paraId="36248A92">
            <w:pPr>
              <w:widowControl w:val="0"/>
              <w:wordWrap/>
              <w:overflowPunct w:val="0"/>
              <w:adjustRightInd w:val="0"/>
              <w:snapToGrid w:val="0"/>
              <w:spacing w:beforeAutospacing="0" w:afterAutospacing="0" w:line="600" w:lineRule="exact"/>
              <w:ind w:left="0" w:leftChars="0" w:right="0" w:firstLine="0" w:firstLineChars="0"/>
              <w:jc w:val="both"/>
              <w:textAlignment w:val="center"/>
              <w:rPr>
                <w:rFonts w:hint="default" w:ascii="Times New Roman" w:hAnsi="Times New Roman" w:eastAsia="仿宋" w:cs="Times New Roman"/>
                <w:b/>
                <w:bCs/>
                <w:color w:val="auto"/>
                <w:sz w:val="32"/>
                <w:szCs w:val="32"/>
                <w:highlight w:val="none"/>
              </w:rPr>
            </w:pPr>
            <w:r>
              <w:rPr>
                <w:rFonts w:hint="default" w:ascii="Times New Roman" w:hAnsi="Times New Roman" w:eastAsia="国标黑体" w:cs="Times New Roman"/>
                <w:b w:val="0"/>
                <w:bCs w:val="0"/>
                <w:color w:val="auto"/>
                <w:sz w:val="32"/>
                <w:szCs w:val="32"/>
                <w:highlight w:val="none"/>
                <w:lang w:eastAsia="zh-CN"/>
              </w:rPr>
              <w:t>附件6</w:t>
            </w:r>
          </w:p>
        </w:tc>
        <w:tc>
          <w:tcPr>
            <w:tcW w:w="1459" w:type="dxa"/>
            <w:tcBorders>
              <w:top w:val="nil"/>
              <w:left w:val="nil"/>
              <w:bottom w:val="nil"/>
              <w:right w:val="nil"/>
            </w:tcBorders>
            <w:noWrap w:val="0"/>
            <w:vAlign w:val="center"/>
          </w:tcPr>
          <w:p w14:paraId="5415C0D2">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仿宋" w:cs="Times New Roman"/>
                <w:b/>
                <w:bCs/>
                <w:color w:val="auto"/>
                <w:sz w:val="32"/>
                <w:szCs w:val="32"/>
                <w:highlight w:val="none"/>
              </w:rPr>
            </w:pPr>
          </w:p>
        </w:tc>
        <w:tc>
          <w:tcPr>
            <w:tcW w:w="1015" w:type="dxa"/>
            <w:tcBorders>
              <w:top w:val="nil"/>
              <w:left w:val="nil"/>
              <w:bottom w:val="nil"/>
              <w:right w:val="nil"/>
            </w:tcBorders>
            <w:noWrap w:val="0"/>
            <w:vAlign w:val="center"/>
          </w:tcPr>
          <w:p w14:paraId="035BBD0C">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c>
          <w:tcPr>
            <w:tcW w:w="1636" w:type="dxa"/>
            <w:tcBorders>
              <w:top w:val="nil"/>
              <w:left w:val="nil"/>
              <w:bottom w:val="nil"/>
              <w:right w:val="nil"/>
            </w:tcBorders>
            <w:noWrap w:val="0"/>
            <w:vAlign w:val="center"/>
          </w:tcPr>
          <w:p w14:paraId="2E07FA0A">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c>
          <w:tcPr>
            <w:tcW w:w="3237" w:type="dxa"/>
            <w:tcBorders>
              <w:top w:val="nil"/>
              <w:left w:val="nil"/>
              <w:bottom w:val="nil"/>
              <w:right w:val="nil"/>
            </w:tcBorders>
            <w:noWrap w:val="0"/>
            <w:vAlign w:val="center"/>
          </w:tcPr>
          <w:p w14:paraId="0B09D7B9">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c>
          <w:tcPr>
            <w:tcW w:w="895" w:type="dxa"/>
            <w:tcBorders>
              <w:top w:val="nil"/>
              <w:left w:val="nil"/>
              <w:bottom w:val="nil"/>
              <w:right w:val="nil"/>
            </w:tcBorders>
            <w:noWrap w:val="0"/>
            <w:vAlign w:val="center"/>
          </w:tcPr>
          <w:p w14:paraId="58FCA27D">
            <w:pPr>
              <w:widowControl w:val="0"/>
              <w:wordWrap/>
              <w:overflowPunct w:val="0"/>
              <w:adjustRightInd w:val="0"/>
              <w:snapToGrid w:val="0"/>
              <w:spacing w:beforeAutospacing="0" w:afterAutospacing="0" w:line="600" w:lineRule="exact"/>
              <w:ind w:left="0" w:leftChars="0" w:right="0" w:firstLine="0" w:firstLineChars="0"/>
              <w:jc w:val="center"/>
              <w:rPr>
                <w:rFonts w:hint="default" w:ascii="Times New Roman" w:hAnsi="Times New Roman" w:eastAsia="仿宋" w:cs="Times New Roman"/>
                <w:color w:val="auto"/>
                <w:sz w:val="32"/>
                <w:szCs w:val="32"/>
                <w:highlight w:val="none"/>
              </w:rPr>
            </w:pPr>
          </w:p>
        </w:tc>
      </w:tr>
      <w:tr w14:paraId="7751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9459" w:type="dxa"/>
            <w:gridSpan w:val="6"/>
            <w:tcBorders>
              <w:top w:val="nil"/>
              <w:left w:val="nil"/>
              <w:bottom w:val="nil"/>
              <w:right w:val="nil"/>
            </w:tcBorders>
            <w:noWrap w:val="0"/>
            <w:vAlign w:val="center"/>
          </w:tcPr>
          <w:p w14:paraId="622C62EB">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 w:cs="Times New Roman"/>
                <w:color w:val="auto"/>
                <w:sz w:val="32"/>
                <w:szCs w:val="32"/>
                <w:highlight w:val="none"/>
              </w:rPr>
            </w:pP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一标段 </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博爱县各乡镇公厕一览表</w:t>
            </w:r>
          </w:p>
        </w:tc>
      </w:tr>
      <w:tr w14:paraId="012C7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6A157F">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一标段</w:t>
            </w:r>
          </w:p>
        </w:tc>
        <w:tc>
          <w:tcPr>
            <w:tcW w:w="1459" w:type="dxa"/>
            <w:tcBorders>
              <w:top w:val="single" w:color="000000" w:sz="4" w:space="0"/>
              <w:left w:val="nil"/>
              <w:bottom w:val="single" w:color="000000" w:sz="4" w:space="0"/>
              <w:right w:val="single" w:color="000000" w:sz="4" w:space="0"/>
            </w:tcBorders>
            <w:noWrap w:val="0"/>
            <w:vAlign w:val="center"/>
          </w:tcPr>
          <w:p w14:paraId="755EC0B5">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辖区</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F01BDB8">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FA0021E">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村街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15A65B3">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具体位置</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9C12197">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备注</w:t>
            </w:r>
          </w:p>
        </w:tc>
      </w:tr>
      <w:tr w14:paraId="516F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0C6DA">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restart"/>
            <w:tcBorders>
              <w:top w:val="single" w:color="000000" w:sz="4" w:space="0"/>
              <w:left w:val="nil"/>
              <w:bottom w:val="single" w:color="000000" w:sz="4" w:space="0"/>
              <w:right w:val="single" w:color="000000" w:sz="4" w:space="0"/>
            </w:tcBorders>
            <w:noWrap w:val="0"/>
            <w:vAlign w:val="center"/>
          </w:tcPr>
          <w:p w14:paraId="0C38541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鸿昌</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（8座）</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0D2C68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4346DBA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36FE5E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二街市场东街</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B97915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400CD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3FD665">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1EE971F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D1BEFB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01D3AE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4A5582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九街菜市场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14EB7EE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40AA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AA3980">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089326C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4943743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035F8A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FDC8D6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振兴街西段</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7EDB549">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4E30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FAAA90">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5AA89FE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BE3318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93D5E7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CEE351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重阳路永丰巷</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53B9A1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45E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18B81">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60F79AA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1AA8CB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1A9138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九街</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581EEA0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重阳路广场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EBF7A29">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6D70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0CA9F">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2653F71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67E8D1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25B6AB4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闫庄</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4ACF845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闫庄新村小区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AE7D9F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33DB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5D528">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5A343FE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199693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BE2562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下期城</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61BD1BA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广场东侧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45E4A0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7FB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51B37">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1F4C7F3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F30BC0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F136DF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七方</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424B8B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月山路西侧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2863B879">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696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1D828">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restart"/>
            <w:tcBorders>
              <w:top w:val="single" w:color="000000" w:sz="4" w:space="0"/>
              <w:left w:val="nil"/>
              <w:bottom w:val="single" w:color="000000" w:sz="4" w:space="0"/>
              <w:right w:val="single" w:color="000000" w:sz="4" w:space="0"/>
            </w:tcBorders>
            <w:noWrap w:val="0"/>
            <w:vAlign w:val="center"/>
          </w:tcPr>
          <w:p w14:paraId="2A898A2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柏山镇</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（7座）</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49D713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7639A18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05A29CD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博爱县革命史教育基地东侧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DAC38E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0C060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94C1">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70A9460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AF321D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6CD8DA9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2CADEAA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玉屏山游乐场北侧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512DE0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0C4C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AC57D">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079AF6B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223FA9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B1BAF4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147F3C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玉屏山游乐场南侧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7C8DFAD">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A35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7EF1C">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73E7ECF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4CA34DC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10EF7D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2C0DC55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烈士陵园对面（柏山村市场）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0C72CBF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4B05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728A6">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46C9C128">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A954AF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06C204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90D3BC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山口铁路桥南（柏山村市场）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0916FE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730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71FA3">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4483CD0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079708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10BBDC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50A31B5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柏山村市场东</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EBFB538">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FCC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36CB7">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385277F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09B768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3F124AC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水运村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36D402F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游园东北角</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6981C61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988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EF21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restart"/>
            <w:tcBorders>
              <w:top w:val="single" w:color="000000" w:sz="4" w:space="0"/>
              <w:left w:val="nil"/>
              <w:bottom w:val="single" w:color="000000" w:sz="4" w:space="0"/>
              <w:right w:val="single" w:color="000000" w:sz="4" w:space="0"/>
            </w:tcBorders>
            <w:noWrap w:val="0"/>
            <w:vAlign w:val="center"/>
          </w:tcPr>
          <w:p w14:paraId="3FDF472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许良镇</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（5座）</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759CB3E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636" w:type="dxa"/>
            <w:tcBorders>
              <w:top w:val="single" w:color="000000" w:sz="4" w:space="0"/>
              <w:left w:val="single" w:color="000000" w:sz="4" w:space="0"/>
              <w:bottom w:val="nil"/>
              <w:right w:val="single" w:color="000000" w:sz="4" w:space="0"/>
            </w:tcBorders>
            <w:noWrap w:val="0"/>
            <w:vAlign w:val="center"/>
          </w:tcPr>
          <w:p w14:paraId="205B1F6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南道</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48CD8D4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足球场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1B9913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b/>
                <w:bCs/>
                <w:color w:val="auto"/>
                <w:sz w:val="24"/>
                <w:szCs w:val="24"/>
                <w:highlight w:val="none"/>
              </w:rPr>
            </w:pPr>
          </w:p>
        </w:tc>
      </w:tr>
      <w:tr w14:paraId="2946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863A9">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2C459D1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791677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50E7306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大新庄</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299FC3B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邘新广场舞台后侧</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4047A4C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D10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336C81">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783066F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0B2A74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636" w:type="dxa"/>
            <w:tcBorders>
              <w:top w:val="nil"/>
              <w:left w:val="nil"/>
              <w:bottom w:val="nil"/>
              <w:right w:val="single" w:color="000000" w:sz="4" w:space="0"/>
            </w:tcBorders>
            <w:noWrap w:val="0"/>
            <w:vAlign w:val="center"/>
          </w:tcPr>
          <w:p w14:paraId="4865415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西中道</w:t>
            </w:r>
          </w:p>
        </w:tc>
        <w:tc>
          <w:tcPr>
            <w:tcW w:w="3237" w:type="dxa"/>
            <w:tcBorders>
              <w:top w:val="single" w:color="000000" w:sz="4" w:space="0"/>
              <w:left w:val="single" w:color="000000" w:sz="4" w:space="0"/>
              <w:bottom w:val="single" w:color="000000" w:sz="4" w:space="0"/>
              <w:right w:val="nil"/>
            </w:tcBorders>
            <w:noWrap w:val="0"/>
            <w:vAlign w:val="center"/>
          </w:tcPr>
          <w:p w14:paraId="19DC10F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村广场公厕</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7B1F5EB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394D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68A9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single" w:color="000000" w:sz="4" w:space="0"/>
            </w:tcBorders>
            <w:noWrap w:val="0"/>
            <w:vAlign w:val="center"/>
          </w:tcPr>
          <w:p w14:paraId="1D56335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7F12E8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p>
        </w:tc>
        <w:tc>
          <w:tcPr>
            <w:tcW w:w="1636" w:type="dxa"/>
            <w:tcBorders>
              <w:top w:val="single" w:color="000000" w:sz="4" w:space="0"/>
              <w:left w:val="single" w:color="000000" w:sz="4" w:space="0"/>
              <w:bottom w:val="nil"/>
              <w:right w:val="single" w:color="000000" w:sz="4" w:space="0"/>
            </w:tcBorders>
            <w:noWrap w:val="0"/>
            <w:vAlign w:val="center"/>
          </w:tcPr>
          <w:p w14:paraId="43BCC03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泗沟</w:t>
            </w:r>
          </w:p>
        </w:tc>
        <w:tc>
          <w:tcPr>
            <w:tcW w:w="3237" w:type="dxa"/>
            <w:tcBorders>
              <w:top w:val="single" w:color="000000" w:sz="4" w:space="0"/>
              <w:left w:val="nil"/>
              <w:bottom w:val="nil"/>
              <w:right w:val="single" w:color="000000" w:sz="4" w:space="0"/>
            </w:tcBorders>
            <w:noWrap w:val="0"/>
            <w:vAlign w:val="center"/>
          </w:tcPr>
          <w:p w14:paraId="531790F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泗沟村熊猫公厕</w:t>
            </w:r>
          </w:p>
        </w:tc>
        <w:tc>
          <w:tcPr>
            <w:tcW w:w="895" w:type="dxa"/>
            <w:tcBorders>
              <w:top w:val="single" w:color="000000" w:sz="4" w:space="0"/>
              <w:left w:val="single" w:color="000000" w:sz="4" w:space="0"/>
              <w:bottom w:val="nil"/>
              <w:right w:val="single" w:color="000000" w:sz="4" w:space="0"/>
            </w:tcBorders>
            <w:noWrap w:val="0"/>
            <w:vAlign w:val="center"/>
          </w:tcPr>
          <w:p w14:paraId="0D0F52E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0E78F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41FDA">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restart"/>
            <w:tcBorders>
              <w:top w:val="single" w:color="000000" w:sz="4" w:space="0"/>
              <w:left w:val="nil"/>
              <w:bottom w:val="single" w:color="000000" w:sz="4" w:space="0"/>
              <w:right w:val="nil"/>
            </w:tcBorders>
            <w:noWrap w:val="0"/>
            <w:vAlign w:val="center"/>
          </w:tcPr>
          <w:p w14:paraId="20AD36F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寨豁乡（10座）</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150FDA3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p>
        </w:tc>
        <w:tc>
          <w:tcPr>
            <w:tcW w:w="1636" w:type="dxa"/>
            <w:tcBorders>
              <w:top w:val="single" w:color="000000" w:sz="4" w:space="0"/>
              <w:left w:val="nil"/>
              <w:bottom w:val="single" w:color="000000" w:sz="4" w:space="0"/>
              <w:right w:val="single" w:color="000000" w:sz="4" w:space="0"/>
            </w:tcBorders>
            <w:noWrap w:val="0"/>
            <w:vAlign w:val="center"/>
          </w:tcPr>
          <w:p w14:paraId="75A4ADD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下岭后村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6CEF4D5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下岭后文化驿站广场</w:t>
            </w:r>
          </w:p>
        </w:tc>
        <w:tc>
          <w:tcPr>
            <w:tcW w:w="895" w:type="dxa"/>
            <w:tcBorders>
              <w:top w:val="single" w:color="000000" w:sz="4" w:space="0"/>
              <w:left w:val="single" w:color="000000" w:sz="4" w:space="0"/>
              <w:bottom w:val="nil"/>
              <w:right w:val="single" w:color="000000" w:sz="4" w:space="0"/>
            </w:tcBorders>
            <w:noWrap w:val="0"/>
            <w:vAlign w:val="center"/>
          </w:tcPr>
          <w:p w14:paraId="48287E7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D79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419E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634CB8D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24EA91C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636" w:type="dxa"/>
            <w:tcBorders>
              <w:top w:val="single" w:color="000000" w:sz="4" w:space="0"/>
              <w:left w:val="nil"/>
              <w:bottom w:val="single" w:color="000000" w:sz="4" w:space="0"/>
              <w:right w:val="single" w:color="000000" w:sz="4" w:space="0"/>
            </w:tcBorders>
            <w:noWrap w:val="0"/>
            <w:vAlign w:val="center"/>
          </w:tcPr>
          <w:p w14:paraId="77F640D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寨豁村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65C1C78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王河小游园内</w:t>
            </w:r>
          </w:p>
        </w:tc>
        <w:tc>
          <w:tcPr>
            <w:tcW w:w="895" w:type="dxa"/>
            <w:tcBorders>
              <w:top w:val="single" w:color="000000" w:sz="4" w:space="0"/>
              <w:left w:val="single" w:color="000000" w:sz="4" w:space="0"/>
              <w:bottom w:val="nil"/>
              <w:right w:val="single" w:color="000000" w:sz="4" w:space="0"/>
            </w:tcBorders>
            <w:noWrap w:val="0"/>
            <w:vAlign w:val="center"/>
          </w:tcPr>
          <w:p w14:paraId="7FEC540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7844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DCA6A">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062BA17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D4E21E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p>
        </w:tc>
        <w:tc>
          <w:tcPr>
            <w:tcW w:w="1636" w:type="dxa"/>
            <w:tcBorders>
              <w:top w:val="single" w:color="000000" w:sz="4" w:space="0"/>
              <w:left w:val="nil"/>
              <w:bottom w:val="single" w:color="000000" w:sz="4" w:space="0"/>
              <w:right w:val="single" w:color="000000" w:sz="4" w:space="0"/>
            </w:tcBorders>
            <w:noWrap w:val="0"/>
            <w:vAlign w:val="center"/>
          </w:tcPr>
          <w:p w14:paraId="281858A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寨豁村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345DD19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老兵驿站北100米路东</w:t>
            </w:r>
          </w:p>
        </w:tc>
        <w:tc>
          <w:tcPr>
            <w:tcW w:w="895" w:type="dxa"/>
            <w:tcBorders>
              <w:top w:val="single" w:color="000000" w:sz="4" w:space="0"/>
              <w:left w:val="single" w:color="000000" w:sz="4" w:space="0"/>
              <w:bottom w:val="nil"/>
              <w:right w:val="single" w:color="000000" w:sz="4" w:space="0"/>
            </w:tcBorders>
            <w:noWrap w:val="0"/>
            <w:vAlign w:val="center"/>
          </w:tcPr>
          <w:p w14:paraId="7E0BFEB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0B06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A2BFF">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07A826B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6CF7008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p>
        </w:tc>
        <w:tc>
          <w:tcPr>
            <w:tcW w:w="1636" w:type="dxa"/>
            <w:tcBorders>
              <w:top w:val="single" w:color="000000" w:sz="4" w:space="0"/>
              <w:left w:val="nil"/>
              <w:bottom w:val="single" w:color="000000" w:sz="4" w:space="0"/>
              <w:right w:val="single" w:color="000000" w:sz="4" w:space="0"/>
            </w:tcBorders>
            <w:noWrap w:val="0"/>
            <w:vAlign w:val="center"/>
          </w:tcPr>
          <w:p w14:paraId="6AA1801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探花庄村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77CC848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邢岭民宿停车场</w:t>
            </w:r>
          </w:p>
        </w:tc>
        <w:tc>
          <w:tcPr>
            <w:tcW w:w="895" w:type="dxa"/>
            <w:tcBorders>
              <w:top w:val="single" w:color="000000" w:sz="4" w:space="0"/>
              <w:left w:val="single" w:color="000000" w:sz="4" w:space="0"/>
              <w:bottom w:val="nil"/>
              <w:right w:val="single" w:color="000000" w:sz="4" w:space="0"/>
            </w:tcBorders>
            <w:noWrap w:val="0"/>
            <w:vAlign w:val="center"/>
          </w:tcPr>
          <w:p w14:paraId="3E4D4BA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47FC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45B4E">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00369B6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31C3D4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636" w:type="dxa"/>
            <w:tcBorders>
              <w:top w:val="single" w:color="000000" w:sz="4" w:space="0"/>
              <w:left w:val="nil"/>
              <w:bottom w:val="single" w:color="000000" w:sz="4" w:space="0"/>
              <w:right w:val="single" w:color="000000" w:sz="4" w:space="0"/>
            </w:tcBorders>
            <w:noWrap w:val="0"/>
            <w:vAlign w:val="center"/>
          </w:tcPr>
          <w:p w14:paraId="2FC2210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探花庄村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3E28507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邢岭民宿停车场东100米，民宿区内</w:t>
            </w:r>
          </w:p>
        </w:tc>
        <w:tc>
          <w:tcPr>
            <w:tcW w:w="895" w:type="dxa"/>
            <w:tcBorders>
              <w:top w:val="single" w:color="000000" w:sz="4" w:space="0"/>
              <w:left w:val="single" w:color="000000" w:sz="4" w:space="0"/>
              <w:bottom w:val="nil"/>
              <w:right w:val="single" w:color="000000" w:sz="4" w:space="0"/>
            </w:tcBorders>
            <w:noWrap w:val="0"/>
            <w:vAlign w:val="center"/>
          </w:tcPr>
          <w:p w14:paraId="0B95487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5C7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F1ED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41B2302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1973C5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w:t>
            </w:r>
          </w:p>
        </w:tc>
        <w:tc>
          <w:tcPr>
            <w:tcW w:w="1636" w:type="dxa"/>
            <w:tcBorders>
              <w:top w:val="single" w:color="000000" w:sz="4" w:space="0"/>
              <w:left w:val="nil"/>
              <w:bottom w:val="single" w:color="000000" w:sz="4" w:space="0"/>
              <w:right w:val="single" w:color="000000" w:sz="4" w:space="0"/>
            </w:tcBorders>
            <w:noWrap w:val="0"/>
            <w:vAlign w:val="center"/>
          </w:tcPr>
          <w:p w14:paraId="44A795D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青天河村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0DBAFC9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村委会外西侧</w:t>
            </w:r>
          </w:p>
        </w:tc>
        <w:tc>
          <w:tcPr>
            <w:tcW w:w="895" w:type="dxa"/>
            <w:tcBorders>
              <w:top w:val="single" w:color="000000" w:sz="4" w:space="0"/>
              <w:left w:val="single" w:color="000000" w:sz="4" w:space="0"/>
              <w:bottom w:val="nil"/>
              <w:right w:val="single" w:color="000000" w:sz="4" w:space="0"/>
            </w:tcBorders>
            <w:noWrap w:val="0"/>
            <w:vAlign w:val="center"/>
          </w:tcPr>
          <w:p w14:paraId="1F6A051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2B77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C4F75">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7B5678F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37FED27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636" w:type="dxa"/>
            <w:tcBorders>
              <w:top w:val="single" w:color="000000" w:sz="4" w:space="0"/>
              <w:left w:val="nil"/>
              <w:bottom w:val="single" w:color="000000" w:sz="4" w:space="0"/>
              <w:right w:val="single" w:color="000000" w:sz="4" w:space="0"/>
            </w:tcBorders>
            <w:noWrap w:val="0"/>
            <w:vAlign w:val="center"/>
          </w:tcPr>
          <w:p w14:paraId="218B7A6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青天河村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21FF010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村西小广场内</w:t>
            </w:r>
          </w:p>
        </w:tc>
        <w:tc>
          <w:tcPr>
            <w:tcW w:w="895" w:type="dxa"/>
            <w:tcBorders>
              <w:top w:val="single" w:color="000000" w:sz="4" w:space="0"/>
              <w:left w:val="single" w:color="000000" w:sz="4" w:space="0"/>
              <w:bottom w:val="nil"/>
              <w:right w:val="single" w:color="000000" w:sz="4" w:space="0"/>
            </w:tcBorders>
            <w:noWrap w:val="0"/>
            <w:vAlign w:val="center"/>
          </w:tcPr>
          <w:p w14:paraId="3FEF394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7C1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3941C">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3695E0E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08C11E0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27</w:t>
            </w:r>
          </w:p>
        </w:tc>
        <w:tc>
          <w:tcPr>
            <w:tcW w:w="1636" w:type="dxa"/>
            <w:tcBorders>
              <w:top w:val="single" w:color="000000" w:sz="4" w:space="0"/>
              <w:left w:val="nil"/>
              <w:bottom w:val="single" w:color="000000" w:sz="4" w:space="0"/>
              <w:right w:val="single" w:color="000000" w:sz="4" w:space="0"/>
            </w:tcBorders>
            <w:noWrap w:val="0"/>
            <w:vAlign w:val="center"/>
          </w:tcPr>
          <w:p w14:paraId="6F5CBEC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方山村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0907552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方山村西300米处</w:t>
            </w:r>
          </w:p>
        </w:tc>
        <w:tc>
          <w:tcPr>
            <w:tcW w:w="895" w:type="dxa"/>
            <w:tcBorders>
              <w:top w:val="single" w:color="000000" w:sz="4" w:space="0"/>
              <w:left w:val="single" w:color="000000" w:sz="4" w:space="0"/>
              <w:bottom w:val="nil"/>
              <w:right w:val="single" w:color="000000" w:sz="4" w:space="0"/>
            </w:tcBorders>
            <w:noWrap w:val="0"/>
            <w:vAlign w:val="center"/>
          </w:tcPr>
          <w:p w14:paraId="6D01FA0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5A1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50EB4">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6E51B67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432D517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28</w:t>
            </w:r>
          </w:p>
        </w:tc>
        <w:tc>
          <w:tcPr>
            <w:tcW w:w="1636" w:type="dxa"/>
            <w:tcBorders>
              <w:top w:val="single" w:color="000000" w:sz="4" w:space="0"/>
              <w:left w:val="nil"/>
              <w:bottom w:val="single" w:color="000000" w:sz="4" w:space="0"/>
              <w:right w:val="single" w:color="000000" w:sz="4" w:space="0"/>
            </w:tcBorders>
            <w:noWrap w:val="0"/>
            <w:vAlign w:val="center"/>
          </w:tcPr>
          <w:p w14:paraId="048356C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方山村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34E2BC5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村委会北50米游园内</w:t>
            </w:r>
          </w:p>
        </w:tc>
        <w:tc>
          <w:tcPr>
            <w:tcW w:w="895" w:type="dxa"/>
            <w:tcBorders>
              <w:top w:val="single" w:color="000000" w:sz="4" w:space="0"/>
              <w:left w:val="single" w:color="000000" w:sz="4" w:space="0"/>
              <w:bottom w:val="nil"/>
              <w:right w:val="single" w:color="000000" w:sz="4" w:space="0"/>
            </w:tcBorders>
            <w:noWrap w:val="0"/>
            <w:vAlign w:val="center"/>
          </w:tcPr>
          <w:p w14:paraId="6737020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D13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C5E2F">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vMerge w:val="continue"/>
            <w:tcBorders>
              <w:top w:val="single" w:color="000000" w:sz="4" w:space="0"/>
              <w:left w:val="nil"/>
              <w:bottom w:val="single" w:color="000000" w:sz="4" w:space="0"/>
              <w:right w:val="nil"/>
            </w:tcBorders>
            <w:noWrap w:val="0"/>
            <w:vAlign w:val="center"/>
          </w:tcPr>
          <w:p w14:paraId="7B201EE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1A2DB6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29</w:t>
            </w:r>
          </w:p>
        </w:tc>
        <w:tc>
          <w:tcPr>
            <w:tcW w:w="1636" w:type="dxa"/>
            <w:tcBorders>
              <w:top w:val="single" w:color="000000" w:sz="4" w:space="0"/>
              <w:left w:val="nil"/>
              <w:bottom w:val="single" w:color="000000" w:sz="4" w:space="0"/>
              <w:right w:val="single" w:color="000000" w:sz="4" w:space="0"/>
            </w:tcBorders>
            <w:noWrap w:val="0"/>
            <w:vAlign w:val="center"/>
          </w:tcPr>
          <w:p w14:paraId="1D4E510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白坡村</w:t>
            </w: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4C8580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白坡村村口游园停车场</w:t>
            </w: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502CC42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05C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8DB8B">
            <w:pPr>
              <w:widowControl w:val="0"/>
              <w:wordWrap/>
              <w:overflowPunct w:val="0"/>
              <w:adjustRightInd w:val="0"/>
              <w:snapToGrid w:val="0"/>
              <w:spacing w:beforeAutospacing="0" w:afterAutospacing="0" w:line="600" w:lineRule="exact"/>
              <w:ind w:left="0" w:leftChars="0" w:right="0" w:firstLine="0" w:firstLineChars="0"/>
              <w:jc w:val="center"/>
              <w:rPr>
                <w:rFonts w:hint="eastAsia" w:ascii="宋体" w:hAnsi="宋体" w:eastAsia="宋体" w:cs="宋体"/>
                <w:color w:val="auto"/>
                <w:sz w:val="24"/>
                <w:szCs w:val="24"/>
                <w:highlight w:val="none"/>
              </w:rPr>
            </w:pPr>
          </w:p>
        </w:tc>
        <w:tc>
          <w:tcPr>
            <w:tcW w:w="1459" w:type="dxa"/>
            <w:tcBorders>
              <w:top w:val="single" w:color="000000" w:sz="4" w:space="0"/>
              <w:left w:val="nil"/>
              <w:bottom w:val="single" w:color="000000" w:sz="4" w:space="0"/>
              <w:right w:val="single" w:color="000000" w:sz="4" w:space="0"/>
            </w:tcBorders>
            <w:noWrap w:val="0"/>
            <w:vAlign w:val="center"/>
          </w:tcPr>
          <w:p w14:paraId="44A0270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月山镇</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（0座）</w:t>
            </w:r>
          </w:p>
        </w:tc>
        <w:tc>
          <w:tcPr>
            <w:tcW w:w="1015" w:type="dxa"/>
            <w:tcBorders>
              <w:top w:val="nil"/>
              <w:left w:val="single" w:color="000000" w:sz="4" w:space="0"/>
              <w:bottom w:val="single" w:color="000000" w:sz="4" w:space="0"/>
              <w:right w:val="single" w:color="000000" w:sz="4" w:space="0"/>
            </w:tcBorders>
            <w:noWrap w:val="0"/>
            <w:vAlign w:val="center"/>
          </w:tcPr>
          <w:p w14:paraId="4D4B702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1636" w:type="dxa"/>
            <w:tcBorders>
              <w:top w:val="single" w:color="000000" w:sz="4" w:space="0"/>
              <w:left w:val="single" w:color="000000" w:sz="4" w:space="0"/>
              <w:bottom w:val="single" w:color="000000" w:sz="4" w:space="0"/>
              <w:right w:val="single" w:color="000000" w:sz="4" w:space="0"/>
            </w:tcBorders>
            <w:noWrap w:val="0"/>
            <w:vAlign w:val="center"/>
          </w:tcPr>
          <w:p w14:paraId="0159E078">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3237" w:type="dxa"/>
            <w:tcBorders>
              <w:top w:val="single" w:color="000000" w:sz="4" w:space="0"/>
              <w:left w:val="single" w:color="000000" w:sz="4" w:space="0"/>
              <w:bottom w:val="single" w:color="000000" w:sz="4" w:space="0"/>
              <w:right w:val="single" w:color="000000" w:sz="4" w:space="0"/>
            </w:tcBorders>
            <w:noWrap w:val="0"/>
            <w:vAlign w:val="center"/>
          </w:tcPr>
          <w:p w14:paraId="1135F40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cBorders>
            <w:noWrap w:val="0"/>
            <w:vAlign w:val="center"/>
          </w:tcPr>
          <w:p w14:paraId="34374E2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bl>
    <w:p w14:paraId="5751FD04">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br w:type="page"/>
      </w:r>
    </w:p>
    <w:tbl>
      <w:tblPr>
        <w:tblStyle w:val="21"/>
        <w:tblW w:w="9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51"/>
        <w:gridCol w:w="1473"/>
        <w:gridCol w:w="1063"/>
        <w:gridCol w:w="1746"/>
        <w:gridCol w:w="2905"/>
        <w:gridCol w:w="1254"/>
      </w:tblGrid>
      <w:tr w14:paraId="6316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9692" w:type="dxa"/>
            <w:gridSpan w:val="6"/>
            <w:tcBorders>
              <w:top w:val="nil"/>
              <w:left w:val="nil"/>
              <w:bottom w:val="nil"/>
              <w:right w:val="nil"/>
            </w:tcBorders>
            <w:noWrap w:val="0"/>
            <w:vAlign w:val="center"/>
          </w:tcPr>
          <w:p w14:paraId="09D1FD4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 w:cs="Times New Roman"/>
                <w:color w:val="auto"/>
                <w:sz w:val="40"/>
                <w:szCs w:val="40"/>
                <w:highlight w:val="none"/>
              </w:rPr>
            </w:pPr>
            <w:r>
              <w:rPr>
                <w:rFonts w:hint="default" w:ascii="Times New Roman" w:hAnsi="Times New Roman" w:eastAsia="方正小标宋简体" w:cs="Times New Roman"/>
                <w:snapToGrid w:val="0"/>
                <w:color w:val="auto"/>
                <w:spacing w:val="-1"/>
                <w:sz w:val="32"/>
                <w:szCs w:val="32"/>
                <w:highlight w:val="none"/>
                <w:lang w:val="en-US" w:eastAsia="zh-CN" w:bidi="ar-SA"/>
              </w:rPr>
              <w:t>二标段</w:t>
            </w:r>
            <w:r>
              <w:rPr>
                <w:rFonts w:hint="eastAsia" w:ascii="Times New Roman" w:hAnsi="Times New Roman" w:eastAsia="方正小标宋简体" w:cs="Times New Roman"/>
                <w:snapToGrid w:val="0"/>
                <w:color w:val="auto"/>
                <w:spacing w:val="-1"/>
                <w:sz w:val="32"/>
                <w:szCs w:val="32"/>
                <w:highlight w:val="none"/>
                <w:lang w:val="en-US" w:eastAsia="zh-CN" w:bidi="ar-SA"/>
              </w:rPr>
              <w:t xml:space="preserve"> </w:t>
            </w:r>
            <w:r>
              <w:rPr>
                <w:rFonts w:hint="default" w:ascii="Times New Roman" w:hAnsi="Times New Roman" w:eastAsia="方正小标宋简体" w:cs="Times New Roman"/>
                <w:snapToGrid w:val="0"/>
                <w:color w:val="auto"/>
                <w:spacing w:val="-1"/>
                <w:sz w:val="32"/>
                <w:szCs w:val="32"/>
                <w:highlight w:val="none"/>
                <w:lang w:val="en-US" w:eastAsia="zh-CN" w:bidi="ar-SA"/>
              </w:rPr>
              <w:t xml:space="preserve"> 博爱县各乡镇公厕一览表</w:t>
            </w:r>
          </w:p>
        </w:tc>
      </w:tr>
      <w:tr w14:paraId="6A7C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75C31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二标段</w:t>
            </w:r>
          </w:p>
        </w:tc>
        <w:tc>
          <w:tcPr>
            <w:tcW w:w="1473" w:type="dxa"/>
            <w:tcBorders>
              <w:top w:val="single" w:color="000000" w:sz="4" w:space="0"/>
              <w:left w:val="nil"/>
              <w:bottom w:val="single" w:color="000000" w:sz="4" w:space="0"/>
              <w:right w:val="single" w:color="000000" w:sz="4" w:space="0"/>
            </w:tcBorders>
            <w:noWrap w:val="0"/>
            <w:vAlign w:val="center"/>
          </w:tcPr>
          <w:p w14:paraId="3176F67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辖区</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6A0799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序号</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2ADAC12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村街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5C57DA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具体位置</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5D1280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备注</w:t>
            </w:r>
          </w:p>
        </w:tc>
      </w:tr>
      <w:tr w14:paraId="79CFF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F47D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restart"/>
            <w:tcBorders>
              <w:top w:val="single" w:color="000000" w:sz="4" w:space="0"/>
              <w:left w:val="nil"/>
              <w:bottom w:val="nil"/>
              <w:right w:val="single" w:color="000000" w:sz="4" w:space="0"/>
            </w:tcBorders>
            <w:noWrap w:val="0"/>
            <w:vAlign w:val="center"/>
          </w:tcPr>
          <w:p w14:paraId="6A693E1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清化镇</w:t>
            </w:r>
          </w:p>
          <w:p w14:paraId="7AF57E2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14座</w:t>
            </w:r>
            <w:r>
              <w:rPr>
                <w:rFonts w:hint="eastAsia" w:ascii="宋体" w:hAnsi="宋体" w:eastAsia="宋体" w:cs="宋体"/>
                <w:color w:val="auto"/>
                <w:sz w:val="24"/>
                <w:szCs w:val="24"/>
                <w:highlight w:val="none"/>
                <w:lang w:val="en-US" w:eastAsia="zh-CN"/>
              </w:rPr>
              <w:t>)</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497DA0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3239233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十街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44D95C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老环城南路路北东口，十街村委会后面</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62D584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3BC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1FE8D">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5A15503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F3B523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11F7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A1F01E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老环城南路路北，十街幼儿园东侧</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4CF230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07E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4C72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6297DC3C">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43A8E2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DB25FF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西关</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4F4876A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玉祥路与博月路交叉口东北角民族小区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591360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3A122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4988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53F2D98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860279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746" w:type="dxa"/>
            <w:tcBorders>
              <w:top w:val="nil"/>
              <w:left w:val="single" w:color="000000" w:sz="4" w:space="0"/>
              <w:bottom w:val="single" w:color="000000" w:sz="4" w:space="0"/>
              <w:right w:val="single" w:color="000000" w:sz="4" w:space="0"/>
            </w:tcBorders>
            <w:noWrap w:val="0"/>
            <w:vAlign w:val="center"/>
          </w:tcPr>
          <w:p w14:paraId="04C14A6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五街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6D6B6EE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滨河路西，汽车站南</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16C71FD">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EABE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CCBED">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0FFEAA5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6A9AD4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746" w:type="dxa"/>
            <w:tcBorders>
              <w:top w:val="nil"/>
              <w:left w:val="single" w:color="000000" w:sz="4" w:space="0"/>
              <w:bottom w:val="single" w:color="000000" w:sz="4" w:space="0"/>
              <w:right w:val="single" w:color="000000" w:sz="4" w:space="0"/>
            </w:tcBorders>
            <w:noWrap w:val="0"/>
            <w:vAlign w:val="center"/>
          </w:tcPr>
          <w:p w14:paraId="7770C92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F005B9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玉祥中学西，广场东一街南</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5BCCA3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B5FA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F7B3F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79DCE7D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572050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F43C82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4BDC25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老环城南路路北，百花巷西头</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CE3586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49E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550B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69C0D93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F3217C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269B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89900B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城建巷北头路东</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3C7CA6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6C23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8FEC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6BA6EAF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DA4028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A4DC9">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AAC8AF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老环城南路北老拘留所后</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8029C3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5C21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916D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062C054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CF9C2C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167279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七街</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3AFE6D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玉祥中学北，阁前路路东</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FB82F0F">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7E5D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4ADE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7DA0C498">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A218EC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6037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1E6E6E9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老东南门街西段路南龙兴六巷</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00404D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B51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1FC0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364501B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DC68F8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C56910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太子庄</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4EA09D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太子庄村西文化广场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C1EEF1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427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0A5B87">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546E3C8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C1BC57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131469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南关</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E9FB32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葵城路果品蔬菜批发市场</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98E85F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472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D9BB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6D53C36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A21DD4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BE812A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南朱营</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ED7813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高政路村史游园南边</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6BCAE8D">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3C8E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4193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5F1C1199">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B10F44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57F548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前莎庄</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5A473BB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前莎庄竹园南侧</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76032D5">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5A7A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7BFF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tcBorders>
              <w:top w:val="single" w:color="000000" w:sz="4" w:space="0"/>
              <w:left w:val="nil"/>
              <w:bottom w:val="single" w:color="000000" w:sz="4" w:space="0"/>
              <w:right w:val="single" w:color="000000" w:sz="4" w:space="0"/>
            </w:tcBorders>
            <w:noWrap w:val="0"/>
            <w:vAlign w:val="center"/>
          </w:tcPr>
          <w:p w14:paraId="1D11ABC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金城乡</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（1座）</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18E1AD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74AFF6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西金城</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77B5CD6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西金城主大街东</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018F17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6BC4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7BBB30">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restart"/>
            <w:tcBorders>
              <w:top w:val="single" w:color="000000" w:sz="4" w:space="0"/>
              <w:left w:val="nil"/>
              <w:bottom w:val="nil"/>
              <w:right w:val="single" w:color="000000" w:sz="4" w:space="0"/>
            </w:tcBorders>
            <w:noWrap w:val="0"/>
            <w:vAlign w:val="center"/>
          </w:tcPr>
          <w:p w14:paraId="540DA91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磨头镇</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（4座）</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2091C47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5A21F1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东张赶村</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94B2E8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村东口大街路北</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0EE19A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2B70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D464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2AD07228">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B5CFB8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4C31FA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磨头村</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0842B52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村南大街路东</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D1EBE6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1403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F0FA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605E667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7941CF7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E319ED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际西村</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3443A29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308省道际东村与际西村交叉口</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3149CCB">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72EF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FA58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nil"/>
              <w:right w:val="single" w:color="000000" w:sz="4" w:space="0"/>
            </w:tcBorders>
            <w:noWrap w:val="0"/>
            <w:vAlign w:val="center"/>
          </w:tcPr>
          <w:p w14:paraId="5E29AF6A">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0FBBD91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764969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狮口村</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14:paraId="3DEE766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村东北角，文化广场边</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0E683DE">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07F10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F680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restart"/>
            <w:tcBorders>
              <w:top w:val="single" w:color="000000" w:sz="4" w:space="0"/>
              <w:left w:val="nil"/>
              <w:bottom w:val="single" w:color="000000" w:sz="4" w:space="0"/>
              <w:right w:val="single" w:color="000000" w:sz="4" w:space="0"/>
            </w:tcBorders>
            <w:noWrap w:val="0"/>
            <w:vAlign w:val="center"/>
          </w:tcPr>
          <w:p w14:paraId="134C5DC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孝敬镇</w:t>
            </w:r>
            <w:r>
              <w:rPr>
                <w:rFonts w:hint="eastAsia" w:ascii="宋体" w:hAnsi="宋体" w:eastAsia="宋体" w:cs="宋体"/>
                <w:color w:val="auto"/>
                <w:sz w:val="24"/>
                <w:szCs w:val="24"/>
                <w:highlight w:val="none"/>
                <w:lang w:eastAsia="zh-CN"/>
              </w:rPr>
              <w:br w:type="textWrapping"/>
            </w:r>
            <w:r>
              <w:rPr>
                <w:rFonts w:hint="eastAsia" w:ascii="宋体" w:hAnsi="宋体" w:eastAsia="宋体" w:cs="宋体"/>
                <w:color w:val="auto"/>
                <w:sz w:val="24"/>
                <w:szCs w:val="24"/>
                <w:highlight w:val="none"/>
                <w:lang w:eastAsia="zh-CN"/>
              </w:rPr>
              <w:t>（2座）</w:t>
            </w: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530BFBA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7969B5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齐村</w:t>
            </w:r>
          </w:p>
        </w:tc>
        <w:tc>
          <w:tcPr>
            <w:tcW w:w="2905" w:type="dxa"/>
            <w:tcBorders>
              <w:top w:val="single" w:color="000000" w:sz="4" w:space="0"/>
              <w:left w:val="nil"/>
              <w:bottom w:val="single" w:color="000000" w:sz="4" w:space="0"/>
              <w:right w:val="nil"/>
            </w:tcBorders>
            <w:noWrap w:val="0"/>
            <w:vAlign w:val="center"/>
          </w:tcPr>
          <w:p w14:paraId="022E85B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村委会北30米</w:t>
            </w:r>
          </w:p>
        </w:tc>
        <w:tc>
          <w:tcPr>
            <w:tcW w:w="1254" w:type="dxa"/>
            <w:tcBorders>
              <w:top w:val="single" w:color="000000" w:sz="4" w:space="0"/>
              <w:left w:val="single" w:color="000000" w:sz="4" w:space="0"/>
              <w:bottom w:val="nil"/>
              <w:right w:val="single" w:color="000000" w:sz="4" w:space="0"/>
            </w:tcBorders>
            <w:noWrap w:val="0"/>
            <w:vAlign w:val="center"/>
          </w:tcPr>
          <w:p w14:paraId="6B6F7064">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r w14:paraId="583B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2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29F6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473" w:type="dxa"/>
            <w:vMerge w:val="continue"/>
            <w:tcBorders>
              <w:top w:val="single" w:color="000000" w:sz="4" w:space="0"/>
              <w:left w:val="nil"/>
              <w:bottom w:val="single" w:color="000000" w:sz="4" w:space="0"/>
              <w:right w:val="single" w:color="000000" w:sz="4" w:space="0"/>
            </w:tcBorders>
            <w:noWrap w:val="0"/>
            <w:vAlign w:val="center"/>
          </w:tcPr>
          <w:p w14:paraId="6231B3B6">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c>
          <w:tcPr>
            <w:tcW w:w="1063" w:type="dxa"/>
            <w:tcBorders>
              <w:top w:val="single" w:color="000000" w:sz="4" w:space="0"/>
              <w:left w:val="single" w:color="000000" w:sz="4" w:space="0"/>
              <w:bottom w:val="single" w:color="000000" w:sz="4" w:space="0"/>
              <w:right w:val="single" w:color="000000" w:sz="4" w:space="0"/>
            </w:tcBorders>
            <w:noWrap w:val="0"/>
            <w:vAlign w:val="center"/>
          </w:tcPr>
          <w:p w14:paraId="133E44B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746" w:type="dxa"/>
            <w:tcBorders>
              <w:top w:val="single" w:color="000000" w:sz="4" w:space="0"/>
              <w:left w:val="nil"/>
              <w:bottom w:val="single" w:color="000000" w:sz="4" w:space="0"/>
              <w:right w:val="single" w:color="000000" w:sz="4" w:space="0"/>
            </w:tcBorders>
            <w:noWrap w:val="0"/>
            <w:vAlign w:val="center"/>
          </w:tcPr>
          <w:p w14:paraId="77BBCFA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东内都村</w:t>
            </w:r>
          </w:p>
        </w:tc>
        <w:tc>
          <w:tcPr>
            <w:tcW w:w="2905" w:type="dxa"/>
            <w:tcBorders>
              <w:top w:val="single" w:color="000000" w:sz="4" w:space="0"/>
              <w:left w:val="nil"/>
              <w:bottom w:val="single" w:color="000000" w:sz="4" w:space="0"/>
              <w:right w:val="nil"/>
            </w:tcBorders>
            <w:noWrap w:val="0"/>
            <w:vAlign w:val="center"/>
          </w:tcPr>
          <w:p w14:paraId="78FC1ED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村委会西侧20米</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8AD1C63">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p>
        </w:tc>
      </w:tr>
    </w:tbl>
    <w:p w14:paraId="22A32FCF">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73464AD0">
      <w:pPr>
        <w:widowControl w:val="0"/>
        <w:wordWrap/>
        <w:overflowPunct w:val="0"/>
        <w:adjustRightInd w:val="0"/>
        <w:snapToGrid w:val="0"/>
        <w:spacing w:beforeAutospacing="0" w:afterAutospacing="0" w:line="600" w:lineRule="exact"/>
        <w:ind w:left="0" w:leftChars="0" w:right="0" w:firstLine="0" w:firstLineChars="0"/>
        <w:rPr>
          <w:rFonts w:hint="default" w:ascii="Times New Roman" w:hAnsi="Times New Roman" w:cs="Times New Roman"/>
          <w:b/>
          <w:bCs/>
          <w:color w:val="auto"/>
          <w:sz w:val="32"/>
          <w:szCs w:val="32"/>
          <w:highlight w:val="none"/>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国标黑体" w:cs="Times New Roman"/>
          <w:b w:val="0"/>
          <w:bCs w:val="0"/>
          <w:color w:val="auto"/>
          <w:sz w:val="32"/>
          <w:szCs w:val="32"/>
          <w:highlight w:val="none"/>
          <w:lang w:eastAsia="zh-CN"/>
        </w:rPr>
        <w:t>附件7</w:t>
      </w:r>
    </w:p>
    <w:p w14:paraId="57943892">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小标宋简体" w:cs="Times New Roman"/>
          <w:snapToGrid w:val="0"/>
          <w:color w:val="auto"/>
          <w:spacing w:val="-1"/>
          <w:sz w:val="32"/>
          <w:szCs w:val="32"/>
          <w:highlight w:val="none"/>
          <w:lang w:val="en-US" w:eastAsia="zh-CN" w:bidi="ar-SA"/>
        </w:rPr>
      </w:pPr>
    </w:p>
    <w:p w14:paraId="24DD83E6">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方正小标宋简体" w:cs="Times New Roman"/>
          <w:snapToGrid w:val="0"/>
          <w:color w:val="auto"/>
          <w:spacing w:val="-1"/>
          <w:sz w:val="32"/>
          <w:szCs w:val="32"/>
          <w:highlight w:val="none"/>
          <w:lang w:val="en-US" w:eastAsia="zh-CN" w:bidi="ar-SA"/>
        </w:rPr>
      </w:pPr>
      <w:r>
        <w:rPr>
          <w:rFonts w:hint="default" w:ascii="Times New Roman" w:hAnsi="Times New Roman" w:eastAsia="方正小标宋简体" w:cs="Times New Roman"/>
          <w:snapToGrid w:val="0"/>
          <w:color w:val="auto"/>
          <w:spacing w:val="-1"/>
          <w:sz w:val="32"/>
          <w:szCs w:val="32"/>
          <w:highlight w:val="none"/>
          <w:lang w:val="en-US" w:eastAsia="zh-CN" w:bidi="ar-SA"/>
        </w:rPr>
        <w:t>交通运输局道路保洁控尘分布安排</w:t>
      </w:r>
    </w:p>
    <w:tbl>
      <w:tblPr>
        <w:tblStyle w:val="21"/>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984"/>
        <w:gridCol w:w="2383"/>
        <w:gridCol w:w="2267"/>
      </w:tblGrid>
      <w:tr w14:paraId="760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750" w:type="dxa"/>
            <w:gridSpan w:val="4"/>
            <w:noWrap w:val="0"/>
            <w:vAlign w:val="top"/>
          </w:tcPr>
          <w:p w14:paraId="333E672C">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default" w:ascii="Times New Roman" w:hAnsi="Times New Roman" w:eastAsia="仿宋" w:cs="Times New Roman"/>
                <w:color w:val="auto"/>
                <w:sz w:val="24"/>
                <w:highlight w:val="none"/>
              </w:rPr>
            </w:pPr>
            <w:r>
              <w:rPr>
                <w:rFonts w:hint="default" w:ascii="Times New Roman" w:hAnsi="Times New Roman" w:eastAsia="黑体" w:cs="Times New Roman"/>
                <w:b w:val="0"/>
                <w:bCs w:val="0"/>
                <w:color w:val="auto"/>
                <w:sz w:val="36"/>
                <w:szCs w:val="36"/>
                <w:highlight w:val="none"/>
                <w:lang w:eastAsia="zh-CN"/>
              </w:rPr>
              <w:t>一标段（中山路以北）</w:t>
            </w:r>
          </w:p>
        </w:tc>
      </w:tr>
      <w:tr w14:paraId="122A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61A4477A">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84" w:type="dxa"/>
            <w:noWrap w:val="0"/>
            <w:vAlign w:val="center"/>
          </w:tcPr>
          <w:p w14:paraId="5FD5A4E0">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道路名称</w:t>
            </w:r>
          </w:p>
        </w:tc>
        <w:tc>
          <w:tcPr>
            <w:tcW w:w="2383" w:type="dxa"/>
            <w:noWrap w:val="0"/>
            <w:vAlign w:val="center"/>
          </w:tcPr>
          <w:p w14:paraId="2F23BC81">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道路等级</w:t>
            </w:r>
          </w:p>
        </w:tc>
        <w:tc>
          <w:tcPr>
            <w:tcW w:w="2267" w:type="dxa"/>
            <w:noWrap w:val="0"/>
            <w:vAlign w:val="center"/>
          </w:tcPr>
          <w:p w14:paraId="0D1F4554">
            <w:pPr>
              <w:widowControl w:val="0"/>
              <w:wordWrap/>
              <w:overflowPunct w:val="0"/>
              <w:adjustRightInd w:val="0"/>
              <w:snapToGrid w:val="0"/>
              <w:spacing w:beforeAutospacing="0" w:afterAutospacing="0" w:line="6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线路里程（公里）</w:t>
            </w:r>
          </w:p>
        </w:tc>
      </w:tr>
      <w:tr w14:paraId="6734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632E86D2">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84" w:type="dxa"/>
            <w:noWrap w:val="0"/>
            <w:vAlign w:val="center"/>
          </w:tcPr>
          <w:p w14:paraId="70447E8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X013</w:t>
            </w:r>
            <w:r>
              <w:rPr>
                <w:rFonts w:hint="eastAsia" w:ascii="宋体" w:hAnsi="宋体" w:eastAsia="宋体" w:cs="宋体"/>
                <w:color w:val="auto"/>
                <w:sz w:val="24"/>
                <w:szCs w:val="24"/>
                <w:highlight w:val="none"/>
                <w:lang w:eastAsia="zh-CN"/>
              </w:rPr>
              <w:t>西磨线</w:t>
            </w:r>
          </w:p>
        </w:tc>
        <w:tc>
          <w:tcPr>
            <w:tcW w:w="2383" w:type="dxa"/>
            <w:noWrap w:val="0"/>
            <w:vAlign w:val="center"/>
          </w:tcPr>
          <w:p w14:paraId="055B0C8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1AA1518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r>
      <w:tr w14:paraId="59D84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705F3D4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984" w:type="dxa"/>
            <w:noWrap w:val="0"/>
            <w:vAlign w:val="center"/>
          </w:tcPr>
          <w:p w14:paraId="55AE4E7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X028</w:t>
            </w:r>
            <w:r>
              <w:rPr>
                <w:rFonts w:hint="eastAsia" w:ascii="宋体" w:hAnsi="宋体" w:eastAsia="宋体" w:cs="宋体"/>
                <w:color w:val="auto"/>
                <w:sz w:val="24"/>
                <w:szCs w:val="24"/>
                <w:highlight w:val="none"/>
                <w:lang w:eastAsia="zh-CN"/>
              </w:rPr>
              <w:t>杨前线</w:t>
            </w:r>
          </w:p>
        </w:tc>
        <w:tc>
          <w:tcPr>
            <w:tcW w:w="2383" w:type="dxa"/>
            <w:noWrap w:val="0"/>
            <w:vAlign w:val="center"/>
          </w:tcPr>
          <w:p w14:paraId="5A0D6CD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5991259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r>
      <w:tr w14:paraId="7F33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5BCA11C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984" w:type="dxa"/>
            <w:noWrap w:val="0"/>
            <w:vAlign w:val="center"/>
          </w:tcPr>
          <w:p w14:paraId="04F9893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X058</w:t>
            </w:r>
            <w:r>
              <w:rPr>
                <w:rFonts w:hint="eastAsia" w:ascii="宋体" w:hAnsi="宋体" w:eastAsia="宋体" w:cs="宋体"/>
                <w:color w:val="auto"/>
                <w:sz w:val="24"/>
                <w:szCs w:val="24"/>
                <w:highlight w:val="none"/>
                <w:lang w:eastAsia="zh-CN"/>
              </w:rPr>
              <w:t>黄冢线</w:t>
            </w:r>
          </w:p>
        </w:tc>
        <w:tc>
          <w:tcPr>
            <w:tcW w:w="2383" w:type="dxa"/>
            <w:noWrap w:val="0"/>
            <w:vAlign w:val="center"/>
          </w:tcPr>
          <w:p w14:paraId="772664F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p>
        </w:tc>
        <w:tc>
          <w:tcPr>
            <w:tcW w:w="2267" w:type="dxa"/>
            <w:noWrap w:val="0"/>
            <w:vAlign w:val="center"/>
          </w:tcPr>
          <w:p w14:paraId="2DED2B9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r>
      <w:tr w14:paraId="6982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2CF1F28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984" w:type="dxa"/>
            <w:noWrap w:val="0"/>
            <w:vAlign w:val="center"/>
          </w:tcPr>
          <w:p w14:paraId="368688A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X079</w:t>
            </w:r>
            <w:r>
              <w:rPr>
                <w:rFonts w:hint="eastAsia" w:ascii="宋体" w:hAnsi="宋体" w:eastAsia="宋体" w:cs="宋体"/>
                <w:color w:val="auto"/>
                <w:sz w:val="24"/>
                <w:szCs w:val="24"/>
                <w:highlight w:val="none"/>
                <w:lang w:eastAsia="zh-CN"/>
              </w:rPr>
              <w:t>大唐线</w:t>
            </w:r>
          </w:p>
        </w:tc>
        <w:tc>
          <w:tcPr>
            <w:tcW w:w="2383" w:type="dxa"/>
            <w:noWrap w:val="0"/>
            <w:vAlign w:val="center"/>
          </w:tcPr>
          <w:p w14:paraId="1D59DA3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4F702F9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8</w:t>
            </w:r>
          </w:p>
        </w:tc>
      </w:tr>
      <w:tr w14:paraId="4690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5A77E2C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984" w:type="dxa"/>
            <w:noWrap w:val="0"/>
            <w:vAlign w:val="center"/>
          </w:tcPr>
          <w:p w14:paraId="1B257C2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X098</w:t>
            </w:r>
            <w:r>
              <w:rPr>
                <w:rFonts w:hint="eastAsia" w:ascii="宋体" w:hAnsi="宋体" w:eastAsia="宋体" w:cs="宋体"/>
                <w:color w:val="auto"/>
                <w:sz w:val="24"/>
                <w:szCs w:val="24"/>
                <w:highlight w:val="none"/>
                <w:lang w:eastAsia="zh-CN"/>
              </w:rPr>
              <w:t>贵葵线</w:t>
            </w:r>
          </w:p>
        </w:tc>
        <w:tc>
          <w:tcPr>
            <w:tcW w:w="2383" w:type="dxa"/>
            <w:noWrap w:val="0"/>
            <w:vAlign w:val="center"/>
          </w:tcPr>
          <w:p w14:paraId="73919AD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483B9DA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w:t>
            </w:r>
          </w:p>
        </w:tc>
      </w:tr>
      <w:tr w14:paraId="4476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2901990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984" w:type="dxa"/>
            <w:noWrap w:val="0"/>
            <w:vAlign w:val="center"/>
          </w:tcPr>
          <w:p w14:paraId="4AB5A69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X100</w:t>
            </w:r>
            <w:r>
              <w:rPr>
                <w:rFonts w:hint="eastAsia" w:ascii="宋体" w:hAnsi="宋体" w:eastAsia="宋体" w:cs="宋体"/>
                <w:color w:val="auto"/>
                <w:sz w:val="24"/>
                <w:szCs w:val="24"/>
                <w:highlight w:val="none"/>
                <w:lang w:eastAsia="zh-CN"/>
              </w:rPr>
              <w:t>冢许线</w:t>
            </w:r>
          </w:p>
        </w:tc>
        <w:tc>
          <w:tcPr>
            <w:tcW w:w="2383" w:type="dxa"/>
            <w:noWrap w:val="0"/>
            <w:vAlign w:val="center"/>
          </w:tcPr>
          <w:p w14:paraId="4D6A4FC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590F102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w:t>
            </w:r>
          </w:p>
        </w:tc>
      </w:tr>
      <w:tr w14:paraId="2BAD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073CD38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2984" w:type="dxa"/>
            <w:noWrap w:val="0"/>
            <w:vAlign w:val="center"/>
          </w:tcPr>
          <w:p w14:paraId="0DB92D5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X015</w:t>
            </w:r>
            <w:r>
              <w:rPr>
                <w:rFonts w:hint="eastAsia" w:ascii="宋体" w:hAnsi="宋体" w:eastAsia="宋体" w:cs="宋体"/>
                <w:color w:val="auto"/>
                <w:sz w:val="24"/>
                <w:szCs w:val="24"/>
                <w:highlight w:val="none"/>
                <w:lang w:eastAsia="zh-CN"/>
              </w:rPr>
              <w:t>高九线</w:t>
            </w:r>
          </w:p>
        </w:tc>
        <w:tc>
          <w:tcPr>
            <w:tcW w:w="2383" w:type="dxa"/>
            <w:noWrap w:val="0"/>
            <w:vAlign w:val="center"/>
          </w:tcPr>
          <w:p w14:paraId="013549C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33834F9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r>
      <w:tr w14:paraId="2EAA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50FB354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2984" w:type="dxa"/>
            <w:noWrap w:val="0"/>
            <w:vAlign w:val="center"/>
          </w:tcPr>
          <w:p w14:paraId="2100D38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Y005西际线</w:t>
            </w:r>
          </w:p>
        </w:tc>
        <w:tc>
          <w:tcPr>
            <w:tcW w:w="2383" w:type="dxa"/>
            <w:noWrap w:val="0"/>
            <w:vAlign w:val="center"/>
          </w:tcPr>
          <w:p w14:paraId="34AD0B6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乡道 </w:t>
            </w:r>
          </w:p>
        </w:tc>
        <w:tc>
          <w:tcPr>
            <w:tcW w:w="2267" w:type="dxa"/>
            <w:noWrap w:val="0"/>
            <w:vAlign w:val="center"/>
          </w:tcPr>
          <w:p w14:paraId="2CB9A05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15.9</w:t>
            </w:r>
          </w:p>
        </w:tc>
      </w:tr>
      <w:tr w14:paraId="6B75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67FE87E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2984" w:type="dxa"/>
            <w:noWrap w:val="0"/>
            <w:vAlign w:val="center"/>
          </w:tcPr>
          <w:p w14:paraId="12F298A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Y006</w:t>
            </w:r>
            <w:r>
              <w:rPr>
                <w:rFonts w:hint="eastAsia" w:ascii="宋体" w:hAnsi="宋体" w:eastAsia="宋体" w:cs="宋体"/>
                <w:color w:val="auto"/>
                <w:sz w:val="24"/>
                <w:szCs w:val="24"/>
                <w:highlight w:val="none"/>
                <w:lang w:eastAsia="zh-CN"/>
              </w:rPr>
              <w:t>九冯线</w:t>
            </w:r>
          </w:p>
        </w:tc>
        <w:tc>
          <w:tcPr>
            <w:tcW w:w="2383" w:type="dxa"/>
            <w:noWrap w:val="0"/>
            <w:vAlign w:val="center"/>
          </w:tcPr>
          <w:p w14:paraId="692453D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399F2C8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r>
      <w:tr w14:paraId="011E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center"/>
          </w:tcPr>
          <w:p w14:paraId="2583102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2984" w:type="dxa"/>
            <w:noWrap w:val="0"/>
            <w:vAlign w:val="center"/>
          </w:tcPr>
          <w:p w14:paraId="5A0736AA">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Y009</w:t>
            </w:r>
            <w:r>
              <w:rPr>
                <w:rFonts w:hint="eastAsia" w:ascii="宋体" w:hAnsi="宋体" w:eastAsia="宋体" w:cs="宋体"/>
                <w:color w:val="auto"/>
                <w:sz w:val="24"/>
                <w:szCs w:val="24"/>
                <w:highlight w:val="none"/>
                <w:lang w:eastAsia="zh-CN"/>
              </w:rPr>
              <w:t>崔西线</w:t>
            </w:r>
          </w:p>
        </w:tc>
        <w:tc>
          <w:tcPr>
            <w:tcW w:w="2383" w:type="dxa"/>
            <w:noWrap w:val="0"/>
            <w:vAlign w:val="center"/>
          </w:tcPr>
          <w:p w14:paraId="1E75978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723F4A9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w:t>
            </w:r>
          </w:p>
        </w:tc>
      </w:tr>
      <w:tr w14:paraId="0583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03DDB6C1">
            <w:pPr>
              <w:widowControl w:val="0"/>
              <w:wordWrap/>
              <w:overflowPunct w:val="0"/>
              <w:adjustRightInd w:val="0"/>
              <w:snapToGrid w:val="0"/>
              <w:spacing w:beforeAutospacing="0" w:afterAutospacing="0" w:line="580" w:lineRule="exact"/>
              <w:ind w:left="0" w:leftChars="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2984" w:type="dxa"/>
            <w:noWrap w:val="0"/>
            <w:vAlign w:val="center"/>
          </w:tcPr>
          <w:p w14:paraId="3F96A9D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Y010</w:t>
            </w:r>
            <w:r>
              <w:rPr>
                <w:rFonts w:hint="eastAsia" w:ascii="宋体" w:hAnsi="宋体" w:eastAsia="宋体" w:cs="宋体"/>
                <w:color w:val="auto"/>
                <w:sz w:val="24"/>
                <w:szCs w:val="24"/>
                <w:highlight w:val="none"/>
                <w:lang w:eastAsia="zh-CN"/>
              </w:rPr>
              <w:t>留江线</w:t>
            </w:r>
          </w:p>
        </w:tc>
        <w:tc>
          <w:tcPr>
            <w:tcW w:w="2383" w:type="dxa"/>
            <w:noWrap w:val="0"/>
            <w:vAlign w:val="center"/>
          </w:tcPr>
          <w:p w14:paraId="3E3E7F3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24F7F18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r>
      <w:tr w14:paraId="466C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65AEF2DB">
            <w:pPr>
              <w:widowControl w:val="0"/>
              <w:wordWrap/>
              <w:overflowPunct w:val="0"/>
              <w:adjustRightInd w:val="0"/>
              <w:snapToGrid w:val="0"/>
              <w:spacing w:before="0" w:beforeAutospacing="0" w:afterLines="5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p>
        </w:tc>
        <w:tc>
          <w:tcPr>
            <w:tcW w:w="2984" w:type="dxa"/>
            <w:noWrap w:val="0"/>
            <w:vAlign w:val="center"/>
          </w:tcPr>
          <w:p w14:paraId="1471A0E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Y016</w:t>
            </w:r>
            <w:r>
              <w:rPr>
                <w:rFonts w:hint="eastAsia" w:ascii="宋体" w:hAnsi="宋体" w:eastAsia="宋体" w:cs="宋体"/>
                <w:color w:val="auto"/>
                <w:sz w:val="24"/>
                <w:szCs w:val="24"/>
                <w:highlight w:val="none"/>
                <w:lang w:eastAsia="zh-CN"/>
              </w:rPr>
              <w:t>下闪线</w:t>
            </w:r>
          </w:p>
        </w:tc>
        <w:tc>
          <w:tcPr>
            <w:tcW w:w="2383" w:type="dxa"/>
            <w:noWrap w:val="0"/>
            <w:vAlign w:val="center"/>
          </w:tcPr>
          <w:p w14:paraId="431D7FA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267" w:type="dxa"/>
            <w:noWrap w:val="0"/>
            <w:vAlign w:val="center"/>
          </w:tcPr>
          <w:p w14:paraId="25F56D8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w:t>
            </w:r>
          </w:p>
        </w:tc>
      </w:tr>
      <w:tr w14:paraId="5239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7656C7D0">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p>
        </w:tc>
        <w:tc>
          <w:tcPr>
            <w:tcW w:w="2984" w:type="dxa"/>
            <w:noWrap w:val="0"/>
            <w:vAlign w:val="center"/>
          </w:tcPr>
          <w:p w14:paraId="4CD355B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S104郑沁线</w:t>
            </w:r>
          </w:p>
          <w:p w14:paraId="2C45BC7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许</w:t>
            </w:r>
            <w:r>
              <w:rPr>
                <w:rFonts w:hint="eastAsia" w:ascii="宋体" w:hAnsi="宋体" w:eastAsia="宋体" w:cs="宋体"/>
                <w:color w:val="auto"/>
                <w:sz w:val="24"/>
                <w:szCs w:val="24"/>
                <w:highlight w:val="none"/>
              </w:rPr>
              <w:t>丹段）</w:t>
            </w:r>
          </w:p>
        </w:tc>
        <w:tc>
          <w:tcPr>
            <w:tcW w:w="2383" w:type="dxa"/>
            <w:noWrap w:val="0"/>
            <w:vAlign w:val="center"/>
          </w:tcPr>
          <w:p w14:paraId="11EB17A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二级</w:t>
            </w:r>
          </w:p>
        </w:tc>
        <w:tc>
          <w:tcPr>
            <w:tcW w:w="2267" w:type="dxa"/>
            <w:noWrap w:val="0"/>
            <w:vAlign w:val="center"/>
          </w:tcPr>
          <w:p w14:paraId="111CF8F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1.61</w:t>
            </w:r>
          </w:p>
        </w:tc>
      </w:tr>
      <w:tr w14:paraId="11BC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60B70BCF">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p>
        </w:tc>
        <w:tc>
          <w:tcPr>
            <w:tcW w:w="2984" w:type="dxa"/>
            <w:noWrap w:val="0"/>
            <w:vAlign w:val="center"/>
          </w:tcPr>
          <w:p w14:paraId="5543944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S307卫济线</w:t>
            </w:r>
          </w:p>
          <w:p w14:paraId="0E78A2F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（柏超段）</w:t>
            </w:r>
          </w:p>
        </w:tc>
        <w:tc>
          <w:tcPr>
            <w:tcW w:w="2383" w:type="dxa"/>
            <w:noWrap w:val="0"/>
            <w:vAlign w:val="center"/>
          </w:tcPr>
          <w:p w14:paraId="1801C96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二级</w:t>
            </w:r>
          </w:p>
        </w:tc>
        <w:tc>
          <w:tcPr>
            <w:tcW w:w="2267" w:type="dxa"/>
            <w:noWrap w:val="0"/>
            <w:vAlign w:val="center"/>
          </w:tcPr>
          <w:p w14:paraId="3AE281E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3.425</w:t>
            </w:r>
          </w:p>
        </w:tc>
      </w:tr>
      <w:tr w14:paraId="2C8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1F676E32">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p>
        </w:tc>
        <w:tc>
          <w:tcPr>
            <w:tcW w:w="2984" w:type="dxa"/>
            <w:noWrap w:val="0"/>
            <w:vAlign w:val="center"/>
          </w:tcPr>
          <w:p w14:paraId="4B0AC24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S307卫济线</w:t>
            </w:r>
          </w:p>
          <w:p w14:paraId="190AC4F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（月丹段）</w:t>
            </w:r>
          </w:p>
        </w:tc>
        <w:tc>
          <w:tcPr>
            <w:tcW w:w="2383" w:type="dxa"/>
            <w:noWrap w:val="0"/>
            <w:vAlign w:val="center"/>
          </w:tcPr>
          <w:p w14:paraId="54D93D28">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一级</w:t>
            </w:r>
          </w:p>
        </w:tc>
        <w:tc>
          <w:tcPr>
            <w:tcW w:w="2267" w:type="dxa"/>
            <w:noWrap w:val="0"/>
            <w:vAlign w:val="center"/>
          </w:tcPr>
          <w:p w14:paraId="58D18FAE">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4.784</w:t>
            </w:r>
          </w:p>
        </w:tc>
      </w:tr>
      <w:tr w14:paraId="1647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16" w:type="dxa"/>
            <w:noWrap w:val="0"/>
            <w:vAlign w:val="top"/>
          </w:tcPr>
          <w:p w14:paraId="75C11B5D">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6</w:t>
            </w:r>
          </w:p>
        </w:tc>
        <w:tc>
          <w:tcPr>
            <w:tcW w:w="2984" w:type="dxa"/>
            <w:noWrap w:val="0"/>
            <w:vAlign w:val="center"/>
          </w:tcPr>
          <w:p w14:paraId="48C9CC31">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S235博许线</w:t>
            </w:r>
          </w:p>
          <w:p w14:paraId="441A26D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（柏人段</w:t>
            </w:r>
            <w:r>
              <w:rPr>
                <w:rFonts w:hint="eastAsia" w:ascii="宋体" w:hAnsi="宋体" w:eastAsia="宋体" w:cs="宋体"/>
                <w:color w:val="auto"/>
                <w:sz w:val="24"/>
                <w:szCs w:val="24"/>
                <w:highlight w:val="none"/>
                <w:lang w:eastAsia="zh-CN"/>
              </w:rPr>
              <w:t>）</w:t>
            </w:r>
          </w:p>
        </w:tc>
        <w:tc>
          <w:tcPr>
            <w:tcW w:w="2383" w:type="dxa"/>
            <w:noWrap w:val="0"/>
            <w:vAlign w:val="center"/>
          </w:tcPr>
          <w:p w14:paraId="20611E9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一级</w:t>
            </w:r>
          </w:p>
        </w:tc>
        <w:tc>
          <w:tcPr>
            <w:tcW w:w="2267" w:type="dxa"/>
            <w:noWrap w:val="0"/>
            <w:vAlign w:val="center"/>
          </w:tcPr>
          <w:p w14:paraId="0E9B193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0.937</w:t>
            </w:r>
          </w:p>
        </w:tc>
      </w:tr>
      <w:tr w14:paraId="5B35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16" w:type="dxa"/>
            <w:noWrap w:val="0"/>
            <w:vAlign w:val="top"/>
          </w:tcPr>
          <w:p w14:paraId="78AD1782">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7</w:t>
            </w:r>
          </w:p>
        </w:tc>
        <w:tc>
          <w:tcPr>
            <w:tcW w:w="2984" w:type="dxa"/>
            <w:noWrap w:val="0"/>
            <w:vAlign w:val="center"/>
          </w:tcPr>
          <w:p w14:paraId="0BF1FEB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S310长邵线</w:t>
            </w:r>
          </w:p>
          <w:p w14:paraId="1FC18E86">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（贵屯村段</w:t>
            </w:r>
            <w:r>
              <w:rPr>
                <w:rFonts w:hint="eastAsia" w:ascii="宋体" w:hAnsi="宋体" w:eastAsia="宋体" w:cs="宋体"/>
                <w:color w:val="auto"/>
                <w:sz w:val="24"/>
                <w:szCs w:val="24"/>
                <w:highlight w:val="none"/>
                <w:lang w:eastAsia="zh-CN"/>
              </w:rPr>
              <w:t>）</w:t>
            </w:r>
          </w:p>
        </w:tc>
        <w:tc>
          <w:tcPr>
            <w:tcW w:w="2383" w:type="dxa"/>
            <w:noWrap w:val="0"/>
            <w:vAlign w:val="center"/>
          </w:tcPr>
          <w:p w14:paraId="1B4A155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一级</w:t>
            </w:r>
          </w:p>
        </w:tc>
        <w:tc>
          <w:tcPr>
            <w:tcW w:w="2267" w:type="dxa"/>
            <w:noWrap w:val="0"/>
            <w:vAlign w:val="center"/>
          </w:tcPr>
          <w:p w14:paraId="26EC77DB">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3.416</w:t>
            </w:r>
          </w:p>
        </w:tc>
      </w:tr>
      <w:tr w14:paraId="44E1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16" w:type="dxa"/>
            <w:noWrap w:val="0"/>
            <w:vAlign w:val="top"/>
          </w:tcPr>
          <w:p w14:paraId="511D92D3">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18</w:t>
            </w:r>
          </w:p>
        </w:tc>
        <w:tc>
          <w:tcPr>
            <w:tcW w:w="2984" w:type="dxa"/>
            <w:noWrap w:val="0"/>
            <w:vAlign w:val="center"/>
          </w:tcPr>
          <w:p w14:paraId="6680499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S235博许线</w:t>
            </w:r>
          </w:p>
          <w:p w14:paraId="5A93A7FD">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（省界至柏山）</w:t>
            </w:r>
          </w:p>
        </w:tc>
        <w:tc>
          <w:tcPr>
            <w:tcW w:w="2383" w:type="dxa"/>
            <w:noWrap w:val="0"/>
            <w:vAlign w:val="center"/>
          </w:tcPr>
          <w:p w14:paraId="4110B2E9">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省道二级</w:t>
            </w:r>
          </w:p>
        </w:tc>
        <w:tc>
          <w:tcPr>
            <w:tcW w:w="2267" w:type="dxa"/>
            <w:noWrap w:val="0"/>
            <w:vAlign w:val="center"/>
          </w:tcPr>
          <w:p w14:paraId="1AB51822">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24.4</w:t>
            </w:r>
          </w:p>
        </w:tc>
      </w:tr>
      <w:tr w14:paraId="0A4E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1116" w:type="dxa"/>
            <w:noWrap w:val="0"/>
            <w:vAlign w:val="top"/>
          </w:tcPr>
          <w:p w14:paraId="35F889A0">
            <w:pPr>
              <w:widowControl w:val="0"/>
              <w:wordWrap/>
              <w:overflowPunct w:val="0"/>
              <w:adjustRightInd w:val="0"/>
              <w:snapToGrid w:val="0"/>
              <w:spacing w:beforeLines="2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19</w:t>
            </w:r>
          </w:p>
        </w:tc>
        <w:tc>
          <w:tcPr>
            <w:tcW w:w="2984" w:type="dxa"/>
            <w:noWrap w:val="0"/>
            <w:vAlign w:val="center"/>
          </w:tcPr>
          <w:p w14:paraId="2353601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（起点寨豁乡司窑村，止点寨豁乡馒头山村）</w:t>
            </w:r>
          </w:p>
        </w:tc>
        <w:tc>
          <w:tcPr>
            <w:tcW w:w="2383" w:type="dxa"/>
            <w:noWrap w:val="0"/>
            <w:vAlign w:val="center"/>
          </w:tcPr>
          <w:p w14:paraId="766B4A8F">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乡道</w:t>
            </w:r>
          </w:p>
        </w:tc>
        <w:tc>
          <w:tcPr>
            <w:tcW w:w="2267" w:type="dxa"/>
            <w:noWrap w:val="0"/>
            <w:vAlign w:val="center"/>
          </w:tcPr>
          <w:p w14:paraId="326B6B87">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6.7</w:t>
            </w:r>
          </w:p>
        </w:tc>
      </w:tr>
      <w:tr w14:paraId="201E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116" w:type="dxa"/>
            <w:noWrap w:val="0"/>
            <w:vAlign w:val="top"/>
          </w:tcPr>
          <w:p w14:paraId="6837EE1E">
            <w:pPr>
              <w:widowControl w:val="0"/>
              <w:wordWrap/>
              <w:overflowPunct w:val="0"/>
              <w:adjustRightInd w:val="0"/>
              <w:snapToGrid w:val="0"/>
              <w:spacing w:beforeLines="100" w:beforeAutospacing="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p>
        </w:tc>
        <w:tc>
          <w:tcPr>
            <w:tcW w:w="2984" w:type="dxa"/>
            <w:noWrap w:val="0"/>
            <w:vAlign w:val="center"/>
          </w:tcPr>
          <w:p w14:paraId="21324265">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（月寨线寨豁村至谢庄村路段）</w:t>
            </w:r>
          </w:p>
        </w:tc>
        <w:tc>
          <w:tcPr>
            <w:tcW w:w="2383" w:type="dxa"/>
            <w:noWrap w:val="0"/>
            <w:vAlign w:val="center"/>
          </w:tcPr>
          <w:p w14:paraId="76938790">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乡道</w:t>
            </w:r>
          </w:p>
        </w:tc>
        <w:tc>
          <w:tcPr>
            <w:tcW w:w="2267" w:type="dxa"/>
            <w:noWrap w:val="0"/>
            <w:vAlign w:val="center"/>
          </w:tcPr>
          <w:p w14:paraId="0AE7848C">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6.1</w:t>
            </w:r>
          </w:p>
        </w:tc>
      </w:tr>
      <w:tr w14:paraId="5FB2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6" w:type="dxa"/>
            <w:noWrap w:val="0"/>
            <w:vAlign w:val="top"/>
          </w:tcPr>
          <w:p w14:paraId="3A49C27D">
            <w:pPr>
              <w:widowControl w:val="0"/>
              <w:wordWrap/>
              <w:overflowPunct w:val="0"/>
              <w:adjustRightInd w:val="0"/>
              <w:snapToGrid w:val="0"/>
              <w:spacing w:beforeAutospacing="0" w:afterLines="40" w:afterAutospacing="0" w:line="580" w:lineRule="exact"/>
              <w:ind w:left="0" w:leftChars="0" w:right="0" w:firstLine="0" w:firstLineChars="0"/>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合计</w:t>
            </w:r>
          </w:p>
        </w:tc>
        <w:tc>
          <w:tcPr>
            <w:tcW w:w="2984" w:type="dxa"/>
            <w:noWrap w:val="0"/>
            <w:vAlign w:val="center"/>
          </w:tcPr>
          <w:p w14:paraId="192FD0F3">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p>
        </w:tc>
        <w:tc>
          <w:tcPr>
            <w:tcW w:w="2383" w:type="dxa"/>
            <w:noWrap w:val="0"/>
            <w:vAlign w:val="center"/>
          </w:tcPr>
          <w:p w14:paraId="575ACD1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rPr>
            </w:pPr>
          </w:p>
        </w:tc>
        <w:tc>
          <w:tcPr>
            <w:tcW w:w="2267" w:type="dxa"/>
            <w:noWrap w:val="0"/>
            <w:vAlign w:val="center"/>
          </w:tcPr>
          <w:p w14:paraId="6F1FA124">
            <w:pPr>
              <w:widowControl w:val="0"/>
              <w:wordWrap/>
              <w:overflowPunct w:val="0"/>
              <w:adjustRightInd w:val="0"/>
              <w:snapToGrid w:val="0"/>
              <w:spacing w:beforeAutospacing="0" w:afterAutospacing="0" w:line="58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141.372</w:t>
            </w:r>
          </w:p>
        </w:tc>
      </w:tr>
    </w:tbl>
    <w:p w14:paraId="26FA70B0">
      <w:pPr>
        <w:widowControl w:val="0"/>
        <w:wordWrap/>
        <w:overflowPunct w:val="0"/>
        <w:spacing w:beforeAutospacing="0" w:afterAutospacing="0" w:line="600" w:lineRule="exact"/>
        <w:ind w:left="0" w:leftChars="0" w:right="0" w:firstLine="640" w:firstLineChars="200"/>
        <w:rPr>
          <w:rFonts w:hint="default" w:ascii="Times New Roman" w:hAnsi="Times New Roman" w:eastAsia="仿宋" w:cs="Times New Roman"/>
          <w:color w:val="auto"/>
          <w:sz w:val="32"/>
          <w:szCs w:val="32"/>
          <w:highlight w:val="none"/>
          <w:lang w:eastAsia="zh-CN"/>
        </w:rPr>
      </w:pPr>
    </w:p>
    <w:p w14:paraId="74730413">
      <w:pPr>
        <w:widowControl w:val="0"/>
        <w:kinsoku w:val="0"/>
        <w:wordWrap/>
        <w:overflowPunct w:val="0"/>
        <w:autoSpaceDE w:val="0"/>
        <w:autoSpaceDN w:val="0"/>
        <w:adjustRightInd w:val="0"/>
        <w:snapToGrid w:val="0"/>
        <w:spacing w:beforeAutospacing="0" w:afterAutospacing="0" w:line="600" w:lineRule="exact"/>
        <w:ind w:left="0" w:leftChars="0" w:right="0" w:firstLine="0" w:firstLineChars="0"/>
        <w:jc w:val="center"/>
        <w:textAlignment w:val="baseline"/>
        <w:rPr>
          <w:rFonts w:hint="default" w:ascii="Times New Roman" w:hAnsi="Times New Roman" w:cs="Times New Roman"/>
          <w:b/>
          <w:bCs/>
          <w:color w:val="auto"/>
          <w:sz w:val="32"/>
          <w:szCs w:val="32"/>
          <w:highlight w:val="none"/>
        </w:rPr>
      </w:pPr>
      <w:r>
        <w:rPr>
          <w:rFonts w:hint="default" w:ascii="Times New Roman" w:hAnsi="Times New Roman" w:eastAsia="仿宋" w:cs="Times New Roman"/>
          <w:color w:val="auto"/>
          <w:sz w:val="32"/>
          <w:szCs w:val="32"/>
          <w:highlight w:val="none"/>
          <w:lang w:eastAsia="zh-CN"/>
        </w:rPr>
        <w:br w:type="page"/>
      </w:r>
      <w:r>
        <w:rPr>
          <w:rFonts w:hint="default" w:ascii="Times New Roman" w:hAnsi="Times New Roman" w:eastAsia="方正小标宋简体" w:cs="Times New Roman"/>
          <w:snapToGrid w:val="0"/>
          <w:color w:val="auto"/>
          <w:spacing w:val="-1"/>
          <w:sz w:val="32"/>
          <w:szCs w:val="32"/>
          <w:highlight w:val="none"/>
          <w:lang w:val="en-US" w:eastAsia="zh-CN" w:bidi="ar-SA"/>
        </w:rPr>
        <w:t>交通运输局道路保洁控尘分布安排</w:t>
      </w:r>
    </w:p>
    <w:tbl>
      <w:tblPr>
        <w:tblStyle w:val="21"/>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929"/>
        <w:gridCol w:w="2510"/>
        <w:gridCol w:w="2154"/>
      </w:tblGrid>
      <w:tr w14:paraId="72D2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8600" w:type="dxa"/>
            <w:gridSpan w:val="4"/>
            <w:noWrap w:val="0"/>
            <w:vAlign w:val="center"/>
          </w:tcPr>
          <w:p w14:paraId="3CBC182A">
            <w:pPr>
              <w:widowControl w:val="0"/>
              <w:wordWrap/>
              <w:overflowPunct w:val="0"/>
              <w:adjustRightInd w:val="0"/>
              <w:snapToGrid w:val="0"/>
              <w:spacing w:beforeAutospacing="0" w:afterAutospacing="0" w:line="500" w:lineRule="exact"/>
              <w:ind w:left="0" w:leftChars="0" w:right="0"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黑体" w:cs="Times New Roman"/>
                <w:b w:val="0"/>
                <w:bCs w:val="0"/>
                <w:color w:val="auto"/>
                <w:sz w:val="36"/>
                <w:szCs w:val="36"/>
                <w:highlight w:val="none"/>
                <w:lang w:eastAsia="zh-CN"/>
              </w:rPr>
              <w:t>二标段（中山路以南部分）</w:t>
            </w:r>
          </w:p>
        </w:tc>
      </w:tr>
      <w:tr w14:paraId="758C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646D5D4C">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929" w:type="dxa"/>
            <w:noWrap w:val="0"/>
            <w:vAlign w:val="center"/>
          </w:tcPr>
          <w:p w14:paraId="05E633BD">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道路名称</w:t>
            </w:r>
          </w:p>
        </w:tc>
        <w:tc>
          <w:tcPr>
            <w:tcW w:w="2510" w:type="dxa"/>
            <w:noWrap w:val="0"/>
            <w:vAlign w:val="center"/>
          </w:tcPr>
          <w:p w14:paraId="77965CE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道路等级</w:t>
            </w:r>
          </w:p>
        </w:tc>
        <w:tc>
          <w:tcPr>
            <w:tcW w:w="2154" w:type="dxa"/>
            <w:noWrap w:val="0"/>
            <w:vAlign w:val="center"/>
          </w:tcPr>
          <w:p w14:paraId="57F47AA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线路里程</w:t>
            </w:r>
          </w:p>
          <w:p w14:paraId="7034291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（公里）</w:t>
            </w:r>
          </w:p>
        </w:tc>
      </w:tr>
      <w:tr w14:paraId="1AF9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54C2EFC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2929" w:type="dxa"/>
            <w:noWrap w:val="0"/>
            <w:vAlign w:val="center"/>
          </w:tcPr>
          <w:p w14:paraId="5AACADE9">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X016</w:t>
            </w:r>
            <w:r>
              <w:rPr>
                <w:rFonts w:hint="eastAsia" w:ascii="宋体" w:hAnsi="宋体" w:eastAsia="宋体" w:cs="宋体"/>
                <w:color w:val="auto"/>
                <w:sz w:val="24"/>
                <w:szCs w:val="24"/>
                <w:highlight w:val="none"/>
                <w:lang w:eastAsia="zh-CN"/>
              </w:rPr>
              <w:t>焦白线</w:t>
            </w:r>
          </w:p>
        </w:tc>
        <w:tc>
          <w:tcPr>
            <w:tcW w:w="2510" w:type="dxa"/>
            <w:noWrap w:val="0"/>
            <w:vAlign w:val="center"/>
          </w:tcPr>
          <w:p w14:paraId="14B4EB8C">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154" w:type="dxa"/>
            <w:noWrap w:val="0"/>
            <w:vAlign w:val="top"/>
          </w:tcPr>
          <w:p w14:paraId="7BD102DA">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w:t>
            </w:r>
          </w:p>
        </w:tc>
      </w:tr>
      <w:tr w14:paraId="397A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6BA26F0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2929" w:type="dxa"/>
            <w:noWrap w:val="0"/>
            <w:vAlign w:val="center"/>
          </w:tcPr>
          <w:p w14:paraId="6F5C9F6C">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X020</w:t>
            </w:r>
            <w:r>
              <w:rPr>
                <w:rFonts w:hint="eastAsia" w:ascii="宋体" w:hAnsi="宋体" w:eastAsia="宋体" w:cs="宋体"/>
                <w:color w:val="auto"/>
                <w:sz w:val="24"/>
                <w:szCs w:val="24"/>
                <w:highlight w:val="none"/>
                <w:lang w:eastAsia="zh-CN"/>
              </w:rPr>
              <w:t>焦刘线</w:t>
            </w:r>
          </w:p>
        </w:tc>
        <w:tc>
          <w:tcPr>
            <w:tcW w:w="2510" w:type="dxa"/>
            <w:noWrap w:val="0"/>
            <w:vAlign w:val="center"/>
          </w:tcPr>
          <w:p w14:paraId="0230D4B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3670749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w:t>
            </w:r>
          </w:p>
        </w:tc>
      </w:tr>
      <w:tr w14:paraId="3980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0F61A34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2929" w:type="dxa"/>
            <w:noWrap w:val="0"/>
            <w:vAlign w:val="center"/>
          </w:tcPr>
          <w:p w14:paraId="3E6CF1C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X024</w:t>
            </w:r>
            <w:r>
              <w:rPr>
                <w:rFonts w:hint="eastAsia" w:ascii="宋体" w:hAnsi="宋体" w:eastAsia="宋体" w:cs="宋体"/>
                <w:color w:val="auto"/>
                <w:sz w:val="24"/>
                <w:szCs w:val="24"/>
                <w:highlight w:val="none"/>
                <w:lang w:eastAsia="zh-CN"/>
              </w:rPr>
              <w:t>北磨线</w:t>
            </w:r>
          </w:p>
        </w:tc>
        <w:tc>
          <w:tcPr>
            <w:tcW w:w="2510" w:type="dxa"/>
            <w:noWrap w:val="0"/>
            <w:vAlign w:val="center"/>
          </w:tcPr>
          <w:p w14:paraId="0B596E2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332DEADB">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r>
      <w:tr w14:paraId="6C88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6DE38142">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w:t>
            </w:r>
          </w:p>
        </w:tc>
        <w:tc>
          <w:tcPr>
            <w:tcW w:w="2929" w:type="dxa"/>
            <w:noWrap w:val="0"/>
            <w:vAlign w:val="center"/>
          </w:tcPr>
          <w:p w14:paraId="5EF3B6AA">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X026</w:t>
            </w:r>
            <w:r>
              <w:rPr>
                <w:rFonts w:hint="eastAsia" w:ascii="宋体" w:hAnsi="宋体" w:eastAsia="宋体" w:cs="宋体"/>
                <w:color w:val="auto"/>
                <w:sz w:val="24"/>
                <w:szCs w:val="24"/>
                <w:highlight w:val="none"/>
                <w:lang w:eastAsia="zh-CN"/>
              </w:rPr>
              <w:t>博王线</w:t>
            </w:r>
          </w:p>
        </w:tc>
        <w:tc>
          <w:tcPr>
            <w:tcW w:w="2510" w:type="dxa"/>
            <w:noWrap w:val="0"/>
            <w:vAlign w:val="center"/>
          </w:tcPr>
          <w:p w14:paraId="0F28D52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县道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26A47D0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w:t>
            </w:r>
          </w:p>
        </w:tc>
      </w:tr>
      <w:tr w14:paraId="49A1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07" w:type="dxa"/>
            <w:noWrap w:val="0"/>
            <w:vAlign w:val="center"/>
          </w:tcPr>
          <w:p w14:paraId="121EBF2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w:t>
            </w:r>
          </w:p>
        </w:tc>
        <w:tc>
          <w:tcPr>
            <w:tcW w:w="2929" w:type="dxa"/>
            <w:noWrap w:val="0"/>
            <w:vAlign w:val="center"/>
          </w:tcPr>
          <w:p w14:paraId="0245FF8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X022</w:t>
            </w:r>
            <w:r>
              <w:rPr>
                <w:rFonts w:hint="eastAsia" w:ascii="宋体" w:hAnsi="宋体" w:eastAsia="宋体" w:cs="宋体"/>
                <w:color w:val="auto"/>
                <w:sz w:val="24"/>
                <w:szCs w:val="24"/>
                <w:highlight w:val="none"/>
                <w:lang w:eastAsia="zh-CN"/>
              </w:rPr>
              <w:t>下金线</w:t>
            </w:r>
          </w:p>
        </w:tc>
        <w:tc>
          <w:tcPr>
            <w:tcW w:w="2510" w:type="dxa"/>
            <w:noWrap w:val="0"/>
            <w:vAlign w:val="center"/>
          </w:tcPr>
          <w:p w14:paraId="1C161CA1">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县道 </w:t>
            </w:r>
          </w:p>
        </w:tc>
        <w:tc>
          <w:tcPr>
            <w:tcW w:w="2154" w:type="dxa"/>
            <w:noWrap w:val="0"/>
            <w:vAlign w:val="center"/>
          </w:tcPr>
          <w:p w14:paraId="11E5E5A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7.3</w:t>
            </w:r>
          </w:p>
        </w:tc>
      </w:tr>
      <w:tr w14:paraId="305C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550C5FA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w:t>
            </w:r>
          </w:p>
        </w:tc>
        <w:tc>
          <w:tcPr>
            <w:tcW w:w="2929" w:type="dxa"/>
            <w:noWrap w:val="0"/>
            <w:vAlign w:val="center"/>
          </w:tcPr>
          <w:p w14:paraId="5266D99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Y003</w:t>
            </w:r>
            <w:r>
              <w:rPr>
                <w:rFonts w:hint="eastAsia" w:ascii="宋体" w:hAnsi="宋体" w:eastAsia="宋体" w:cs="宋体"/>
                <w:color w:val="auto"/>
                <w:sz w:val="24"/>
                <w:szCs w:val="24"/>
                <w:highlight w:val="none"/>
                <w:lang w:eastAsia="zh-CN"/>
              </w:rPr>
              <w:t>东留线</w:t>
            </w:r>
          </w:p>
        </w:tc>
        <w:tc>
          <w:tcPr>
            <w:tcW w:w="2510" w:type="dxa"/>
            <w:noWrap w:val="0"/>
            <w:vAlign w:val="center"/>
          </w:tcPr>
          <w:p w14:paraId="5BD3364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202AEA2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p>
        </w:tc>
      </w:tr>
      <w:tr w14:paraId="5900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365889C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p>
        </w:tc>
        <w:tc>
          <w:tcPr>
            <w:tcW w:w="2929" w:type="dxa"/>
            <w:noWrap w:val="0"/>
            <w:vAlign w:val="center"/>
          </w:tcPr>
          <w:p w14:paraId="17AD3A4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Y011</w:t>
            </w:r>
            <w:r>
              <w:rPr>
                <w:rFonts w:hint="eastAsia" w:ascii="宋体" w:hAnsi="宋体" w:eastAsia="宋体" w:cs="宋体"/>
                <w:color w:val="auto"/>
                <w:sz w:val="24"/>
                <w:szCs w:val="24"/>
                <w:highlight w:val="none"/>
                <w:lang w:eastAsia="zh-CN"/>
              </w:rPr>
              <w:t>张东线</w:t>
            </w:r>
          </w:p>
        </w:tc>
        <w:tc>
          <w:tcPr>
            <w:tcW w:w="2510" w:type="dxa"/>
            <w:noWrap w:val="0"/>
            <w:vAlign w:val="center"/>
          </w:tcPr>
          <w:p w14:paraId="1EAE2D9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4F4EAA0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w:t>
            </w:r>
          </w:p>
        </w:tc>
      </w:tr>
      <w:tr w14:paraId="5DE2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479DB08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w:t>
            </w:r>
          </w:p>
        </w:tc>
        <w:tc>
          <w:tcPr>
            <w:tcW w:w="2929" w:type="dxa"/>
            <w:noWrap w:val="0"/>
            <w:vAlign w:val="center"/>
          </w:tcPr>
          <w:p w14:paraId="7A26D7C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Y012</w:t>
            </w:r>
            <w:r>
              <w:rPr>
                <w:rFonts w:hint="eastAsia" w:ascii="宋体" w:hAnsi="宋体" w:eastAsia="宋体" w:cs="宋体"/>
                <w:color w:val="auto"/>
                <w:sz w:val="24"/>
                <w:szCs w:val="24"/>
                <w:highlight w:val="none"/>
                <w:lang w:eastAsia="zh-CN"/>
              </w:rPr>
              <w:t>高赵线</w:t>
            </w:r>
          </w:p>
        </w:tc>
        <w:tc>
          <w:tcPr>
            <w:tcW w:w="2510" w:type="dxa"/>
            <w:noWrap w:val="0"/>
            <w:vAlign w:val="center"/>
          </w:tcPr>
          <w:p w14:paraId="26B8830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1D0235D0">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w:t>
            </w:r>
          </w:p>
        </w:tc>
      </w:tr>
      <w:tr w14:paraId="1C13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758F77F9">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w:t>
            </w:r>
          </w:p>
        </w:tc>
        <w:tc>
          <w:tcPr>
            <w:tcW w:w="2929" w:type="dxa"/>
            <w:noWrap w:val="0"/>
            <w:vAlign w:val="center"/>
          </w:tcPr>
          <w:p w14:paraId="64480CEF">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Y013</w:t>
            </w:r>
            <w:r>
              <w:rPr>
                <w:rFonts w:hint="eastAsia" w:ascii="宋体" w:hAnsi="宋体" w:eastAsia="宋体" w:cs="宋体"/>
                <w:color w:val="auto"/>
                <w:sz w:val="24"/>
                <w:szCs w:val="24"/>
                <w:highlight w:val="none"/>
                <w:lang w:eastAsia="zh-CN"/>
              </w:rPr>
              <w:t>东孝线</w:t>
            </w:r>
          </w:p>
        </w:tc>
        <w:tc>
          <w:tcPr>
            <w:tcW w:w="2510" w:type="dxa"/>
            <w:noWrap w:val="0"/>
            <w:vAlign w:val="center"/>
          </w:tcPr>
          <w:p w14:paraId="2A1E54CD">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43486AB0">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r>
      <w:tr w14:paraId="2F32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393728E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w:t>
            </w:r>
          </w:p>
        </w:tc>
        <w:tc>
          <w:tcPr>
            <w:tcW w:w="2929" w:type="dxa"/>
            <w:noWrap w:val="0"/>
            <w:vAlign w:val="center"/>
          </w:tcPr>
          <w:p w14:paraId="1C85D535">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Y014</w:t>
            </w:r>
            <w:r>
              <w:rPr>
                <w:rFonts w:hint="eastAsia" w:ascii="宋体" w:hAnsi="宋体" w:eastAsia="宋体" w:cs="宋体"/>
                <w:color w:val="auto"/>
                <w:sz w:val="24"/>
                <w:szCs w:val="24"/>
                <w:highlight w:val="none"/>
                <w:lang w:eastAsia="zh-CN"/>
              </w:rPr>
              <w:t>前七线</w:t>
            </w:r>
          </w:p>
        </w:tc>
        <w:tc>
          <w:tcPr>
            <w:tcW w:w="2510" w:type="dxa"/>
            <w:noWrap w:val="0"/>
            <w:vAlign w:val="center"/>
          </w:tcPr>
          <w:p w14:paraId="69633C3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乡道</w:t>
            </w:r>
            <w:r>
              <w:rPr>
                <w:rFonts w:hint="eastAsia" w:ascii="宋体" w:hAnsi="宋体" w:eastAsia="宋体" w:cs="宋体"/>
                <w:color w:val="auto"/>
                <w:sz w:val="24"/>
                <w:szCs w:val="24"/>
                <w:highlight w:val="none"/>
                <w:lang w:eastAsia="zh-CN"/>
              </w:rPr>
              <w:t xml:space="preserve"> </w:t>
            </w:r>
          </w:p>
        </w:tc>
        <w:tc>
          <w:tcPr>
            <w:tcW w:w="2154" w:type="dxa"/>
            <w:noWrap w:val="0"/>
            <w:vAlign w:val="center"/>
          </w:tcPr>
          <w:p w14:paraId="46E9A89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w:t>
            </w:r>
          </w:p>
        </w:tc>
      </w:tr>
      <w:tr w14:paraId="26EF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2769D5C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w:t>
            </w:r>
          </w:p>
        </w:tc>
        <w:tc>
          <w:tcPr>
            <w:tcW w:w="2929" w:type="dxa"/>
            <w:noWrap w:val="0"/>
            <w:vAlign w:val="center"/>
          </w:tcPr>
          <w:p w14:paraId="4F067054">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G327连固线</w:t>
            </w:r>
          </w:p>
          <w:p w14:paraId="439446FA">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青</w:t>
            </w:r>
            <w:r>
              <w:rPr>
                <w:rFonts w:hint="eastAsia" w:ascii="宋体" w:hAnsi="宋体" w:eastAsia="宋体" w:cs="宋体"/>
                <w:color w:val="auto"/>
                <w:sz w:val="24"/>
                <w:szCs w:val="24"/>
                <w:highlight w:val="none"/>
              </w:rPr>
              <w:t>沁段）</w:t>
            </w:r>
          </w:p>
        </w:tc>
        <w:tc>
          <w:tcPr>
            <w:tcW w:w="2510" w:type="dxa"/>
            <w:noWrap w:val="0"/>
            <w:vAlign w:val="center"/>
          </w:tcPr>
          <w:p w14:paraId="016E92F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国道</w:t>
            </w:r>
            <w:r>
              <w:rPr>
                <w:rFonts w:hint="eastAsia" w:ascii="宋体" w:hAnsi="宋体" w:eastAsia="宋体" w:cs="宋体"/>
                <w:color w:val="auto"/>
                <w:sz w:val="24"/>
                <w:szCs w:val="24"/>
                <w:highlight w:val="none"/>
                <w:lang w:eastAsia="zh-CN"/>
              </w:rPr>
              <w:t>一级</w:t>
            </w:r>
          </w:p>
        </w:tc>
        <w:tc>
          <w:tcPr>
            <w:tcW w:w="2154" w:type="dxa"/>
            <w:noWrap w:val="0"/>
            <w:vAlign w:val="center"/>
          </w:tcPr>
          <w:p w14:paraId="6C86FB7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13.898</w:t>
            </w:r>
          </w:p>
        </w:tc>
      </w:tr>
      <w:tr w14:paraId="433A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4A2A091C">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w:t>
            </w:r>
          </w:p>
        </w:tc>
        <w:tc>
          <w:tcPr>
            <w:tcW w:w="2929" w:type="dxa"/>
            <w:noWrap w:val="0"/>
            <w:vAlign w:val="center"/>
          </w:tcPr>
          <w:p w14:paraId="76BF3621">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S235博许线</w:t>
            </w:r>
          </w:p>
          <w:p w14:paraId="2223D39B">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高秦段）</w:t>
            </w:r>
          </w:p>
        </w:tc>
        <w:tc>
          <w:tcPr>
            <w:tcW w:w="2510" w:type="dxa"/>
            <w:noWrap w:val="0"/>
            <w:vAlign w:val="center"/>
          </w:tcPr>
          <w:p w14:paraId="7C6B20C0">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二级</w:t>
            </w:r>
          </w:p>
        </w:tc>
        <w:tc>
          <w:tcPr>
            <w:tcW w:w="2154" w:type="dxa"/>
            <w:noWrap w:val="0"/>
            <w:vAlign w:val="center"/>
          </w:tcPr>
          <w:p w14:paraId="67AA597E">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9.385</w:t>
            </w:r>
          </w:p>
        </w:tc>
      </w:tr>
      <w:tr w14:paraId="60CA8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7" w:type="dxa"/>
            <w:noWrap w:val="0"/>
            <w:vAlign w:val="center"/>
          </w:tcPr>
          <w:p w14:paraId="4E43485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w:t>
            </w:r>
          </w:p>
        </w:tc>
        <w:tc>
          <w:tcPr>
            <w:tcW w:w="2929" w:type="dxa"/>
            <w:noWrap w:val="0"/>
            <w:vAlign w:val="center"/>
          </w:tcPr>
          <w:p w14:paraId="0A6144D2">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S310长邵线</w:t>
            </w:r>
          </w:p>
          <w:p w14:paraId="0864C93B">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（月许段）</w:t>
            </w:r>
          </w:p>
        </w:tc>
        <w:tc>
          <w:tcPr>
            <w:tcW w:w="2510" w:type="dxa"/>
            <w:noWrap w:val="0"/>
            <w:vAlign w:val="center"/>
          </w:tcPr>
          <w:p w14:paraId="601A4A19">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省道</w:t>
            </w:r>
            <w:r>
              <w:rPr>
                <w:rFonts w:hint="eastAsia" w:ascii="宋体" w:hAnsi="宋体" w:eastAsia="宋体" w:cs="宋体"/>
                <w:color w:val="auto"/>
                <w:sz w:val="24"/>
                <w:szCs w:val="24"/>
                <w:highlight w:val="none"/>
                <w:lang w:eastAsia="zh-CN"/>
              </w:rPr>
              <w:t>二级</w:t>
            </w:r>
          </w:p>
        </w:tc>
        <w:tc>
          <w:tcPr>
            <w:tcW w:w="2154" w:type="dxa"/>
            <w:noWrap w:val="0"/>
            <w:vAlign w:val="center"/>
          </w:tcPr>
          <w:p w14:paraId="00079C3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4.821</w:t>
            </w:r>
          </w:p>
        </w:tc>
      </w:tr>
      <w:tr w14:paraId="348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07" w:type="dxa"/>
            <w:noWrap w:val="0"/>
            <w:vAlign w:val="center"/>
          </w:tcPr>
          <w:p w14:paraId="5DEB47D8">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合计</w:t>
            </w:r>
          </w:p>
        </w:tc>
        <w:tc>
          <w:tcPr>
            <w:tcW w:w="2929" w:type="dxa"/>
            <w:noWrap w:val="0"/>
            <w:vAlign w:val="center"/>
          </w:tcPr>
          <w:p w14:paraId="6574FEFA">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p>
        </w:tc>
        <w:tc>
          <w:tcPr>
            <w:tcW w:w="2510" w:type="dxa"/>
            <w:noWrap w:val="0"/>
            <w:vAlign w:val="center"/>
          </w:tcPr>
          <w:p w14:paraId="01AA4567">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p>
        </w:tc>
        <w:tc>
          <w:tcPr>
            <w:tcW w:w="2154" w:type="dxa"/>
            <w:noWrap w:val="0"/>
            <w:vAlign w:val="center"/>
          </w:tcPr>
          <w:p w14:paraId="1846BA86">
            <w:pPr>
              <w:widowControl w:val="0"/>
              <w:wordWrap/>
              <w:overflowPunct w:val="0"/>
              <w:adjustRightInd w:val="0"/>
              <w:snapToGrid w:val="0"/>
              <w:spacing w:beforeAutospacing="0" w:afterAutospacing="0" w:line="50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117.904</w:t>
            </w:r>
          </w:p>
        </w:tc>
      </w:tr>
    </w:tbl>
    <w:p w14:paraId="7AFD1FB4">
      <w:pPr>
        <w:widowControl w:val="0"/>
        <w:wordWrap/>
        <w:overflowPunct w:val="0"/>
        <w:spacing w:beforeAutospacing="0" w:afterAutospacing="0" w:line="600" w:lineRule="exact"/>
        <w:ind w:right="0"/>
        <w:rPr>
          <w:rFonts w:hint="default" w:ascii="Times New Roman" w:hAnsi="Times New Roman" w:eastAsia="黑体" w:cs="Times New Roman"/>
          <w:b/>
          <w:bCs/>
          <w:color w:val="auto"/>
          <w:sz w:val="32"/>
          <w:szCs w:val="32"/>
          <w:highlight w:val="none"/>
          <w:lang w:eastAsia="zh-CN"/>
        </w:rPr>
      </w:pPr>
      <w:r>
        <w:rPr>
          <w:rFonts w:hint="default" w:ascii="Times New Roman" w:hAnsi="Times New Roman" w:eastAsia="方正小标宋简体" w:cs="Times New Roman"/>
          <w:color w:val="auto"/>
          <w:sz w:val="44"/>
          <w:szCs w:val="44"/>
          <w:highlight w:val="none"/>
        </w:rPr>
        <w:br w:type="page"/>
      </w:r>
      <w:r>
        <w:rPr>
          <w:rFonts w:hint="default" w:ascii="Times New Roman" w:hAnsi="Times New Roman" w:eastAsia="黑体" w:cs="Times New Roman"/>
          <w:b w:val="0"/>
          <w:bCs w:val="0"/>
          <w:color w:val="auto"/>
          <w:sz w:val="32"/>
          <w:szCs w:val="32"/>
          <w:highlight w:val="none"/>
          <w:lang w:eastAsia="zh-CN"/>
        </w:rPr>
        <w:t>附件8</w:t>
      </w:r>
    </w:p>
    <w:p w14:paraId="34B534F7">
      <w:pPr>
        <w:pStyle w:val="19"/>
        <w:widowControl w:val="0"/>
        <w:wordWrap/>
        <w:overflowPunct w:val="0"/>
        <w:adjustRightInd/>
        <w:snapToGrid/>
        <w:spacing w:before="0" w:beforeAutospacing="0" w:after="0" w:afterAutospacing="0" w:line="600" w:lineRule="exact"/>
        <w:ind w:left="0" w:leftChars="0" w:right="0" w:firstLine="636" w:firstLineChars="200"/>
        <w:jc w:val="center"/>
        <w:textAlignment w:val="auto"/>
        <w:rPr>
          <w:rFonts w:hint="default" w:ascii="Times New Roman" w:hAnsi="Times New Roman" w:eastAsia="方正小标宋简体" w:cs="Times New Roman"/>
          <w:snapToGrid w:val="0"/>
          <w:color w:val="auto"/>
          <w:spacing w:val="-1"/>
          <w:sz w:val="32"/>
          <w:szCs w:val="32"/>
          <w:highlight w:val="none"/>
          <w:lang w:val="en-US" w:eastAsia="zh-CN" w:bidi="ar-SA"/>
        </w:rPr>
      </w:pPr>
    </w:p>
    <w:p w14:paraId="3136725D">
      <w:pPr>
        <w:pStyle w:val="19"/>
        <w:widowControl w:val="0"/>
        <w:wordWrap/>
        <w:overflowPunct w:val="0"/>
        <w:adjustRightInd/>
        <w:snapToGrid/>
        <w:spacing w:before="0" w:beforeAutospacing="0" w:after="0" w:afterAutospacing="0" w:line="600" w:lineRule="exact"/>
        <w:ind w:left="0" w:leftChars="0" w:right="0" w:firstLine="0" w:firstLineChars="0"/>
        <w:jc w:val="center"/>
        <w:textAlignment w:val="auto"/>
        <w:rPr>
          <w:rFonts w:hint="default" w:ascii="Times New Roman" w:hAnsi="Times New Roman" w:eastAsia="方正小标宋简体" w:cs="Times New Roman"/>
          <w:snapToGrid w:val="0"/>
          <w:color w:val="auto"/>
          <w:spacing w:val="-1"/>
          <w:sz w:val="32"/>
          <w:szCs w:val="32"/>
          <w:highlight w:val="none"/>
          <w:lang w:val="en-US" w:eastAsia="zh-CN" w:bidi="ar-SA"/>
        </w:rPr>
      </w:pPr>
      <w:r>
        <w:rPr>
          <w:rFonts w:hint="default" w:ascii="Times New Roman" w:hAnsi="Times New Roman" w:eastAsia="方正小标宋简体" w:cs="Times New Roman"/>
          <w:snapToGrid w:val="0"/>
          <w:color w:val="auto"/>
          <w:spacing w:val="-1"/>
          <w:sz w:val="32"/>
          <w:szCs w:val="32"/>
          <w:highlight w:val="none"/>
          <w:lang w:val="en-US" w:eastAsia="zh-CN" w:bidi="ar-SA"/>
        </w:rPr>
        <w:t>交通道路保洁工作实施方案与细则</w:t>
      </w:r>
    </w:p>
    <w:p w14:paraId="2782CA7B">
      <w:pPr>
        <w:pStyle w:val="19"/>
        <w:widowControl w:val="0"/>
        <w:wordWrap/>
        <w:overflowPunct w:val="0"/>
        <w:adjustRightInd/>
        <w:snapToGrid/>
        <w:spacing w:before="0" w:beforeAutospacing="0" w:after="0" w:afterAutospacing="0" w:line="600" w:lineRule="exact"/>
        <w:ind w:left="0" w:leftChars="0" w:right="0" w:firstLine="480" w:firstLineChars="200"/>
        <w:jc w:val="both"/>
        <w:textAlignment w:val="auto"/>
        <w:rPr>
          <w:rFonts w:hint="default" w:ascii="Times New Roman" w:hAnsi="Times New Roman" w:eastAsia="黑体" w:cs="Times New Roman"/>
          <w:color w:val="auto"/>
          <w:sz w:val="24"/>
          <w:szCs w:val="24"/>
          <w:highlight w:val="none"/>
        </w:rPr>
      </w:pPr>
    </w:p>
    <w:p w14:paraId="2F9E089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一、总体目标</w:t>
      </w:r>
    </w:p>
    <w:p w14:paraId="709F74FF">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snapToGrid w:val="0"/>
          <w:color w:val="auto"/>
          <w:sz w:val="21"/>
          <w:szCs w:val="21"/>
          <w:highlight w:val="none"/>
          <w:lang w:val="en-US" w:eastAsia="zh-CN" w:bidi="ar-SA"/>
        </w:rPr>
      </w:pPr>
      <w:r>
        <w:rPr>
          <w:rFonts w:hint="eastAsia" w:ascii="宋体" w:hAnsi="宋体" w:eastAsia="宋体" w:cs="宋体"/>
          <w:snapToGrid w:val="0"/>
          <w:color w:val="auto"/>
          <w:sz w:val="21"/>
          <w:szCs w:val="21"/>
          <w:highlight w:val="none"/>
          <w:lang w:val="en-US" w:eastAsia="zh-CN" w:bidi="ar-SA"/>
        </w:rPr>
        <w:t>以创建“洁净、有序、美观”的道路环境为总目标，通过建立科学的管理体系、明确的作业标准和严格的考核制度，全面提升道路保洁水平，保障公共卫生，提升城市形象。</w:t>
      </w:r>
    </w:p>
    <w:p w14:paraId="7795FD88">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二、工作原则</w:t>
      </w:r>
    </w:p>
    <w:p w14:paraId="5B104E6E">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1.标准化原则：</w:t>
      </w:r>
      <w:r>
        <w:rPr>
          <w:rFonts w:hint="eastAsia" w:ascii="宋体" w:hAnsi="宋体" w:eastAsia="宋体" w:cs="宋体"/>
          <w:color w:val="auto"/>
          <w:sz w:val="21"/>
          <w:szCs w:val="21"/>
          <w:highlight w:val="none"/>
        </w:rPr>
        <w:t>统一作业流程、</w:t>
      </w:r>
      <w:r>
        <w:rPr>
          <w:rFonts w:hint="eastAsia" w:ascii="宋体" w:hAnsi="宋体" w:eastAsia="宋体" w:cs="宋体"/>
          <w:color w:val="auto"/>
          <w:sz w:val="21"/>
          <w:szCs w:val="21"/>
          <w:highlight w:val="none"/>
          <w:lang w:eastAsia="zh-CN"/>
        </w:rPr>
        <w:t>质量要求</w:t>
      </w:r>
      <w:r>
        <w:rPr>
          <w:rFonts w:hint="eastAsia" w:ascii="宋体" w:hAnsi="宋体" w:eastAsia="宋体" w:cs="宋体"/>
          <w:color w:val="auto"/>
          <w:sz w:val="21"/>
          <w:szCs w:val="21"/>
          <w:highlight w:val="none"/>
        </w:rPr>
        <w:t>和人员配置。</w:t>
      </w:r>
    </w:p>
    <w:p w14:paraId="242DE80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2.精细化原则：</w:t>
      </w:r>
      <w:r>
        <w:rPr>
          <w:rFonts w:hint="eastAsia" w:ascii="宋体" w:hAnsi="宋体" w:eastAsia="宋体" w:cs="宋体"/>
          <w:color w:val="auto"/>
          <w:sz w:val="21"/>
          <w:szCs w:val="21"/>
          <w:highlight w:val="none"/>
        </w:rPr>
        <w:t>从大面到细节，全覆盖、无死角。</w:t>
      </w:r>
    </w:p>
    <w:p w14:paraId="54E6BB88">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3.安全第一原则：</w:t>
      </w:r>
      <w:r>
        <w:rPr>
          <w:rFonts w:hint="eastAsia" w:ascii="宋体" w:hAnsi="宋体" w:eastAsia="宋体" w:cs="宋体"/>
          <w:color w:val="auto"/>
          <w:sz w:val="21"/>
          <w:szCs w:val="21"/>
          <w:highlight w:val="none"/>
        </w:rPr>
        <w:t>确保保洁人员及公众安全，规范作业。</w:t>
      </w:r>
    </w:p>
    <w:p w14:paraId="446E64D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4.环保高效原则：</w:t>
      </w:r>
      <w:r>
        <w:rPr>
          <w:rFonts w:hint="eastAsia" w:ascii="宋体" w:hAnsi="宋体" w:eastAsia="宋体" w:cs="宋体"/>
          <w:color w:val="auto"/>
          <w:sz w:val="21"/>
          <w:szCs w:val="21"/>
          <w:highlight w:val="none"/>
        </w:rPr>
        <w:t>采用环保设备与工艺，提高资源利用效率。</w:t>
      </w:r>
    </w:p>
    <w:p w14:paraId="6F444BA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5.常态化原则：</w:t>
      </w:r>
      <w:r>
        <w:rPr>
          <w:rFonts w:hint="eastAsia" w:ascii="宋体" w:hAnsi="宋体" w:eastAsia="宋体" w:cs="宋体"/>
          <w:color w:val="auto"/>
          <w:sz w:val="21"/>
          <w:szCs w:val="21"/>
          <w:highlight w:val="none"/>
        </w:rPr>
        <w:t>建立长效管理机制，避免突击整治。</w:t>
      </w:r>
    </w:p>
    <w:p w14:paraId="40C690C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三、保洁等级划分与作业频次要求</w:t>
      </w:r>
    </w:p>
    <w:p w14:paraId="3F26555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根据道路所处区域、人流量、车流量及功能重要性，将道路划分为不同保洁等级，并制定相应的作业频次。</w:t>
      </w:r>
    </w:p>
    <w:p w14:paraId="06829297">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保洁等级 区域描述 人工清扫 机械清扫 机械冲洗/洒水 垃圾收集 巡检频次</w:t>
      </w:r>
    </w:p>
    <w:p w14:paraId="257B0362">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国道G327连固线青天河路至沁阳段</w:t>
      </w:r>
      <w:r>
        <w:rPr>
          <w:rFonts w:hint="eastAsia" w:ascii="宋体" w:hAnsi="宋体" w:eastAsia="宋体" w:cs="宋体"/>
          <w:color w:val="auto"/>
          <w:sz w:val="21"/>
          <w:szCs w:val="21"/>
          <w:highlight w:val="none"/>
        </w:rPr>
        <w:t xml:space="preserve">全天候巡回保洁 </w:t>
      </w:r>
    </w:p>
    <w:p w14:paraId="0A2B0208">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00保洁</w:t>
      </w:r>
    </w:p>
    <w:p w14:paraId="7114B062">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重点路段保洁时间全天候。</w:t>
      </w:r>
    </w:p>
    <w:p w14:paraId="310E8034">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省道S104郑沁线、S235F博许线、S307卫济线、S310长邵线</w:t>
      </w:r>
    </w:p>
    <w:p w14:paraId="4B87AB79">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00保洁</w:t>
      </w:r>
    </w:p>
    <w:p w14:paraId="6233C57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重点路段夜保时间延长至4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00-22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w:t>
      </w:r>
    </w:p>
    <w:p w14:paraId="04197BE7">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县、乡道路</w:t>
      </w:r>
    </w:p>
    <w:p w14:paraId="73756A00">
      <w:pPr>
        <w:pStyle w:val="20"/>
        <w:keepNext w:val="0"/>
        <w:keepLines w:val="0"/>
        <w:pageBreakBefore w:val="0"/>
        <w:widowControl w:val="0"/>
        <w:tabs>
          <w:tab w:val="left" w:pos="945"/>
          <w:tab w:val="left" w:pos="1155"/>
        </w:tabs>
        <w:kinsoku/>
        <w:wordWrap/>
        <w:overflowPunct w:val="0"/>
        <w:topLinePunct w:val="0"/>
        <w:autoSpaceDE/>
        <w:autoSpaceDN/>
        <w:bidi w:val="0"/>
        <w:adjustRightInd/>
        <w:snapToGrid/>
        <w:spacing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作业时间：7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00-18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00保洁</w:t>
      </w:r>
    </w:p>
    <w:p w14:paraId="7A3AC46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重点路段夜保时间延长至4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00-22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00。</w:t>
      </w:r>
    </w:p>
    <w:p w14:paraId="19AD725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注：遇重大活动、沙尘、落叶季节或污染天气时，应启动应急预案，增加作业频次。</w:t>
      </w:r>
    </w:p>
    <w:p w14:paraId="46F35F1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四、具体作业细则</w:t>
      </w:r>
    </w:p>
    <w:p w14:paraId="4EF09F9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（一）人工清扫保洁细则</w:t>
      </w:r>
    </w:p>
    <w:p w14:paraId="448F8F00">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1.作业时间：</w:t>
      </w:r>
    </w:p>
    <w:p w14:paraId="044D065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实行错峰作业，避开上下班高峰期（如早6:00前完成普扫，高峰期进行巡回保洁）。</w:t>
      </w:r>
    </w:p>
    <w:p w14:paraId="300C4E8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2.作业规范：</w:t>
      </w:r>
    </w:p>
    <w:p w14:paraId="5571EF17">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普扫：全面清扫，做到“四无、</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净”（无垃圾、无杂物、无积水、无污物；路面净、路牙净、井沟净、绿化带净</w:t>
      </w:r>
      <w:r>
        <w:rPr>
          <w:rFonts w:hint="eastAsia" w:ascii="宋体" w:hAnsi="宋体" w:eastAsia="宋体" w:cs="宋体"/>
          <w:color w:val="auto"/>
          <w:sz w:val="21"/>
          <w:szCs w:val="21"/>
          <w:highlight w:val="none"/>
          <w:lang w:eastAsia="zh-CN"/>
        </w:rPr>
        <w:t>、护栏净、标志标牌净</w:t>
      </w:r>
      <w:r>
        <w:rPr>
          <w:rFonts w:hint="eastAsia" w:ascii="宋体" w:hAnsi="宋体" w:eastAsia="宋体" w:cs="宋体"/>
          <w:color w:val="auto"/>
          <w:sz w:val="21"/>
          <w:szCs w:val="21"/>
          <w:highlight w:val="none"/>
        </w:rPr>
        <w:t>）。</w:t>
      </w:r>
    </w:p>
    <w:p w14:paraId="7946E84F">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巡回保洁：以“</w:t>
      </w:r>
      <w:r>
        <w:rPr>
          <w:rFonts w:hint="eastAsia" w:ascii="宋体" w:hAnsi="宋体" w:eastAsia="宋体" w:cs="宋体"/>
          <w:color w:val="auto"/>
          <w:sz w:val="21"/>
          <w:szCs w:val="21"/>
          <w:highlight w:val="none"/>
          <w:lang w:eastAsia="zh-CN"/>
        </w:rPr>
        <w:t>巡</w:t>
      </w:r>
      <w:r>
        <w:rPr>
          <w:rFonts w:hint="eastAsia" w:ascii="宋体" w:hAnsi="宋体" w:eastAsia="宋体" w:cs="宋体"/>
          <w:color w:val="auto"/>
          <w:sz w:val="21"/>
          <w:szCs w:val="21"/>
          <w:highlight w:val="none"/>
        </w:rPr>
        <w:t>、扫、</w:t>
      </w:r>
      <w:r>
        <w:rPr>
          <w:rFonts w:hint="eastAsia" w:ascii="宋体" w:hAnsi="宋体" w:eastAsia="宋体" w:cs="宋体"/>
          <w:color w:val="auto"/>
          <w:sz w:val="21"/>
          <w:szCs w:val="21"/>
          <w:highlight w:val="none"/>
          <w:lang w:eastAsia="zh-CN"/>
        </w:rPr>
        <w:t>清、</w:t>
      </w:r>
      <w:r>
        <w:rPr>
          <w:rFonts w:hint="eastAsia" w:ascii="宋体" w:hAnsi="宋体" w:eastAsia="宋体" w:cs="宋体"/>
          <w:color w:val="auto"/>
          <w:sz w:val="21"/>
          <w:szCs w:val="21"/>
          <w:highlight w:val="none"/>
        </w:rPr>
        <w:t>擦”为主，及时清除动态垃圾。</w:t>
      </w:r>
    </w:p>
    <w:p w14:paraId="632C9B6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工具使用：使用大扫</w:t>
      </w:r>
      <w:r>
        <w:rPr>
          <w:rFonts w:hint="eastAsia" w:ascii="宋体" w:hAnsi="宋体" w:eastAsia="宋体" w:cs="宋体"/>
          <w:color w:val="auto"/>
          <w:sz w:val="21"/>
          <w:szCs w:val="21"/>
          <w:highlight w:val="none"/>
          <w:lang w:eastAsia="zh-CN"/>
        </w:rPr>
        <w:t>帚</w:t>
      </w:r>
      <w:r>
        <w:rPr>
          <w:rFonts w:hint="eastAsia" w:ascii="宋体" w:hAnsi="宋体" w:eastAsia="宋体" w:cs="宋体"/>
          <w:color w:val="auto"/>
          <w:sz w:val="21"/>
          <w:szCs w:val="21"/>
          <w:highlight w:val="none"/>
        </w:rPr>
        <w:t>、小扫</w:t>
      </w:r>
      <w:r>
        <w:rPr>
          <w:rFonts w:hint="eastAsia" w:ascii="宋体" w:hAnsi="宋体" w:eastAsia="宋体" w:cs="宋体"/>
          <w:color w:val="auto"/>
          <w:sz w:val="21"/>
          <w:szCs w:val="21"/>
          <w:highlight w:val="none"/>
          <w:lang w:eastAsia="zh-CN"/>
        </w:rPr>
        <w:t>帚</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铁铣</w:t>
      </w:r>
      <w:r>
        <w:rPr>
          <w:rFonts w:hint="eastAsia" w:ascii="宋体" w:hAnsi="宋体" w:eastAsia="宋体" w:cs="宋体"/>
          <w:color w:val="auto"/>
          <w:sz w:val="21"/>
          <w:szCs w:val="21"/>
          <w:highlight w:val="none"/>
        </w:rPr>
        <w:t>、保洁袋等，工具摆放整齐，不</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rPr>
        <w:t>碍交通。</w:t>
      </w:r>
    </w:p>
    <w:p w14:paraId="55C003B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文明作业：不将垃圾扫入下水道、绿化带，不焚烧垃圾。</w:t>
      </w:r>
    </w:p>
    <w:p w14:paraId="230B562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3.重点部位：</w:t>
      </w:r>
    </w:p>
    <w:p w14:paraId="0041DC0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1.树木养护：按时完成树木涂白作业；每年定期修剪2次，分别于春季、秋季各开展1次。</w:t>
      </w:r>
    </w:p>
    <w:p w14:paraId="19D971E9">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2.植草路肩管理：严格管控杂草高度，确保植草整体高度不超过10公分。</w:t>
      </w:r>
    </w:p>
    <w:p w14:paraId="6CBEB0D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3.土路肩管理：保持土路肩无任何杂草，需及时彻底清除杂草，保障整洁。</w:t>
      </w:r>
    </w:p>
    <w:p w14:paraId="38A5C851">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绿化带：定期清理隐藏垃圾。</w:t>
      </w:r>
    </w:p>
    <w:p w14:paraId="5DE92BAE">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树穴、墙根：细致清理，无积存垃圾。</w:t>
      </w:r>
    </w:p>
    <w:p w14:paraId="65B8EDB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6.</w:t>
      </w:r>
      <w:r>
        <w:rPr>
          <w:rFonts w:hint="eastAsia" w:ascii="宋体" w:hAnsi="宋体" w:eastAsia="宋体" w:cs="宋体"/>
          <w:color w:val="auto"/>
          <w:sz w:val="21"/>
          <w:szCs w:val="21"/>
          <w:highlight w:val="none"/>
        </w:rPr>
        <w:t>公共设施：对果皮箱、路灯杆、公交站牌等进行擦拭保洁。</w:t>
      </w:r>
    </w:p>
    <w:p w14:paraId="424A8DC8">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道路绿化和沿线设施：道路两侧的绿化苗木每年修剪2次，春秋各一次，树木涂白每年2次，春秋各一次；路肩平台的草坪不高于10厘米，杂草不高于10厘米；并及时收集、清理和运输路肩、绿化带修剪下的树枝、树叶、杂草。</w:t>
      </w:r>
    </w:p>
    <w:p w14:paraId="04AD8197">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（二）机械作业细则</w:t>
      </w:r>
    </w:p>
    <w:p w14:paraId="4C2FB63F">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1.洗扫车：</w:t>
      </w:r>
    </w:p>
    <w:p w14:paraId="32E8323F">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作业模式：采用“吸、扫、冲”结合模式，确保作业后路面见本色。</w:t>
      </w:r>
    </w:p>
    <w:p w14:paraId="2F74D2A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作业速度：清扫作业时速不超过8公里/小时，冲洗作业时速不超过15公里/小时。</w:t>
      </w:r>
    </w:p>
    <w:p w14:paraId="76DA856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避让行人：遇行人及非机动车应主动减速、避让，关闭喷水装置。</w:t>
      </w:r>
    </w:p>
    <w:p w14:paraId="0CF1D5A5">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2.洒水车/高压冲洗车：</w:t>
      </w:r>
    </w:p>
    <w:p w14:paraId="3591962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作业时间：避开早晚交通高峰，夜间作业不得扰民。</w:t>
      </w:r>
    </w:p>
    <w:p w14:paraId="440FEBF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水温控制：冬季气温低于4℃时，停止洒水作业，防止路面结冰。</w:t>
      </w:r>
    </w:p>
    <w:p w14:paraId="3B0743C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水压控制：冲洗路缘时调整水压，避免溅射行人。</w:t>
      </w:r>
    </w:p>
    <w:p w14:paraId="17A03AE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3.人行道清扫车：</w:t>
      </w:r>
      <w:r>
        <w:rPr>
          <w:rFonts w:hint="eastAsia" w:ascii="宋体" w:hAnsi="宋体" w:eastAsia="宋体" w:cs="宋体"/>
          <w:color w:val="auto"/>
          <w:sz w:val="21"/>
          <w:szCs w:val="21"/>
          <w:highlight w:val="none"/>
        </w:rPr>
        <w:t>对具备条件的人行道进行定期清扫。</w:t>
      </w:r>
    </w:p>
    <w:p w14:paraId="3864CDE8">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）特殊天气作业细则</w:t>
      </w:r>
    </w:p>
    <w:p w14:paraId="2196CE5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1.雨天：</w:t>
      </w:r>
      <w:r>
        <w:rPr>
          <w:rFonts w:hint="eastAsia" w:ascii="宋体" w:hAnsi="宋体" w:eastAsia="宋体" w:cs="宋体"/>
          <w:color w:val="auto"/>
          <w:sz w:val="21"/>
          <w:szCs w:val="21"/>
          <w:highlight w:val="none"/>
        </w:rPr>
        <w:t>及时清理下水井</w:t>
      </w:r>
      <w:r>
        <w:rPr>
          <w:rFonts w:hint="eastAsia" w:ascii="宋体" w:hAnsi="宋体" w:eastAsia="宋体" w:cs="宋体"/>
          <w:color w:val="auto"/>
          <w:sz w:val="21"/>
          <w:szCs w:val="21"/>
          <w:highlight w:val="none"/>
          <w:lang w:eastAsia="zh-CN"/>
        </w:rPr>
        <w:t>管管及</w:t>
      </w:r>
      <w:r>
        <w:rPr>
          <w:rFonts w:hint="eastAsia" w:ascii="宋体" w:hAnsi="宋体" w:eastAsia="宋体" w:cs="宋体"/>
          <w:color w:val="auto"/>
          <w:sz w:val="21"/>
          <w:szCs w:val="21"/>
          <w:highlight w:val="none"/>
        </w:rPr>
        <w:t>周围的垃圾杂物，保障排水</w:t>
      </w:r>
      <w:r>
        <w:rPr>
          <w:rFonts w:hint="eastAsia" w:ascii="宋体" w:hAnsi="宋体" w:eastAsia="宋体" w:cs="宋体"/>
          <w:color w:val="auto"/>
          <w:sz w:val="21"/>
          <w:szCs w:val="21"/>
          <w:highlight w:val="none"/>
          <w:lang w:eastAsia="zh-CN"/>
        </w:rPr>
        <w:t>系统畅通</w:t>
      </w:r>
      <w:r>
        <w:rPr>
          <w:rFonts w:hint="eastAsia" w:ascii="宋体" w:hAnsi="宋体" w:eastAsia="宋体" w:cs="宋体"/>
          <w:color w:val="auto"/>
          <w:sz w:val="21"/>
          <w:szCs w:val="21"/>
          <w:highlight w:val="none"/>
        </w:rPr>
        <w:t>。</w:t>
      </w:r>
    </w:p>
    <w:p w14:paraId="28FFB552">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2.雪天：</w:t>
      </w:r>
      <w:r>
        <w:rPr>
          <w:rFonts w:hint="eastAsia" w:ascii="宋体" w:hAnsi="宋体" w:eastAsia="宋体" w:cs="宋体"/>
          <w:color w:val="auto"/>
          <w:sz w:val="21"/>
          <w:szCs w:val="21"/>
          <w:highlight w:val="none"/>
        </w:rPr>
        <w:t>以清除积雪、保障通行为主，根据预案撒布</w:t>
      </w:r>
      <w:r>
        <w:rPr>
          <w:rFonts w:hint="eastAsia" w:ascii="宋体" w:hAnsi="宋体" w:eastAsia="宋体" w:cs="宋体"/>
          <w:color w:val="auto"/>
          <w:sz w:val="21"/>
          <w:szCs w:val="21"/>
          <w:highlight w:val="none"/>
          <w:lang w:eastAsia="zh-CN"/>
        </w:rPr>
        <w:t>融雪剂，</w:t>
      </w:r>
      <w:r>
        <w:rPr>
          <w:rFonts w:hint="eastAsia" w:ascii="宋体" w:hAnsi="宋体" w:eastAsia="宋体" w:cs="宋体"/>
          <w:color w:val="auto"/>
          <w:sz w:val="21"/>
          <w:szCs w:val="21"/>
          <w:highlight w:val="none"/>
        </w:rPr>
        <w:t>组织</w:t>
      </w:r>
      <w:r>
        <w:rPr>
          <w:rFonts w:hint="eastAsia" w:ascii="宋体" w:hAnsi="宋体" w:eastAsia="宋体" w:cs="宋体"/>
          <w:color w:val="auto"/>
          <w:sz w:val="21"/>
          <w:szCs w:val="21"/>
          <w:highlight w:val="none"/>
          <w:lang w:eastAsia="zh-CN"/>
        </w:rPr>
        <w:t>除雪车和</w:t>
      </w:r>
      <w:r>
        <w:rPr>
          <w:rFonts w:hint="eastAsia" w:ascii="宋体" w:hAnsi="宋体" w:eastAsia="宋体" w:cs="宋体"/>
          <w:color w:val="auto"/>
          <w:sz w:val="21"/>
          <w:szCs w:val="21"/>
          <w:highlight w:val="none"/>
        </w:rPr>
        <w:t>人员清扫</w:t>
      </w:r>
      <w:r>
        <w:rPr>
          <w:rFonts w:hint="eastAsia" w:ascii="宋体" w:hAnsi="宋体" w:eastAsia="宋体" w:cs="宋体"/>
          <w:color w:val="auto"/>
          <w:sz w:val="21"/>
          <w:szCs w:val="21"/>
          <w:highlight w:val="none"/>
          <w:lang w:eastAsia="zh-CN"/>
        </w:rPr>
        <w:t>路面积雪积冰</w:t>
      </w:r>
      <w:r>
        <w:rPr>
          <w:rFonts w:hint="eastAsia" w:ascii="宋体" w:hAnsi="宋体" w:eastAsia="宋体" w:cs="宋体"/>
          <w:color w:val="auto"/>
          <w:sz w:val="21"/>
          <w:szCs w:val="21"/>
          <w:highlight w:val="none"/>
        </w:rPr>
        <w:t>。</w:t>
      </w:r>
    </w:p>
    <w:p w14:paraId="7930984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3.大风/落叶季节：</w:t>
      </w:r>
      <w:r>
        <w:rPr>
          <w:rFonts w:hint="eastAsia" w:ascii="宋体" w:hAnsi="宋体" w:eastAsia="宋体" w:cs="宋体"/>
          <w:color w:val="auto"/>
          <w:sz w:val="21"/>
          <w:szCs w:val="21"/>
          <w:highlight w:val="none"/>
        </w:rPr>
        <w:t>增加巡回保洁频次，重点清理白色垃圾、断</w:t>
      </w:r>
      <w:r>
        <w:rPr>
          <w:rFonts w:hint="eastAsia" w:ascii="宋体" w:hAnsi="宋体" w:eastAsia="宋体" w:cs="宋体"/>
          <w:color w:val="auto"/>
          <w:sz w:val="21"/>
          <w:szCs w:val="21"/>
          <w:highlight w:val="none"/>
          <w:lang w:eastAsia="zh-CN"/>
        </w:rPr>
        <w:t>枝</w:t>
      </w:r>
      <w:r>
        <w:rPr>
          <w:rFonts w:hint="eastAsia" w:ascii="宋体" w:hAnsi="宋体" w:eastAsia="宋体" w:cs="宋体"/>
          <w:color w:val="auto"/>
          <w:sz w:val="21"/>
          <w:szCs w:val="21"/>
          <w:highlight w:val="none"/>
        </w:rPr>
        <w:t>和落叶，可启用吹风机等设备。</w:t>
      </w:r>
    </w:p>
    <w:p w14:paraId="5A25411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五、安全与文明作业要求</w:t>
      </w:r>
    </w:p>
    <w:p w14:paraId="05FA1A02">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1.人员安全：</w:t>
      </w:r>
    </w:p>
    <w:p w14:paraId="669F614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穿戴统一、醒目的工作服和安全反光背心。</w:t>
      </w:r>
    </w:p>
    <w:p w14:paraId="572A4CB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严格遵守交通规则，严禁在车流中冒险作业。</w:t>
      </w:r>
    </w:p>
    <w:p w14:paraId="7253E119">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机械作业车辆必须张贴反光标识，作业时开启警示灯。</w:t>
      </w:r>
    </w:p>
    <w:p w14:paraId="5D0CEA3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2.文明礼</w:t>
      </w:r>
      <w:r>
        <w:rPr>
          <w:rFonts w:hint="eastAsia" w:ascii="宋体" w:hAnsi="宋体" w:eastAsia="宋体" w:cs="宋体"/>
          <w:b/>
          <w:bCs/>
          <w:color w:val="auto"/>
          <w:sz w:val="21"/>
          <w:szCs w:val="21"/>
          <w:highlight w:val="none"/>
          <w:lang w:eastAsia="zh-CN"/>
        </w:rPr>
        <w:t>让</w:t>
      </w:r>
      <w:r>
        <w:rPr>
          <w:rFonts w:hint="eastAsia" w:ascii="宋体" w:hAnsi="宋体" w:eastAsia="宋体" w:cs="宋体"/>
          <w:b/>
          <w:bCs/>
          <w:color w:val="auto"/>
          <w:sz w:val="21"/>
          <w:szCs w:val="21"/>
          <w:highlight w:val="none"/>
        </w:rPr>
        <w:t>：</w:t>
      </w:r>
    </w:p>
    <w:p w14:paraId="4CDC6ED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礼</w:t>
      </w:r>
      <w:r>
        <w:rPr>
          <w:rFonts w:hint="eastAsia" w:ascii="宋体" w:hAnsi="宋体" w:eastAsia="宋体" w:cs="宋体"/>
          <w:color w:val="auto"/>
          <w:sz w:val="21"/>
          <w:szCs w:val="21"/>
          <w:highlight w:val="none"/>
          <w:lang w:eastAsia="zh-CN"/>
        </w:rPr>
        <w:t>让行</w:t>
      </w:r>
      <w:r>
        <w:rPr>
          <w:rFonts w:hint="eastAsia" w:ascii="宋体" w:hAnsi="宋体" w:eastAsia="宋体" w:cs="宋体"/>
          <w:color w:val="auto"/>
          <w:sz w:val="21"/>
          <w:szCs w:val="21"/>
          <w:highlight w:val="none"/>
        </w:rPr>
        <w:t>人，不与市民发生争执。</w:t>
      </w:r>
    </w:p>
    <w:p w14:paraId="56427214">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工具、车辆按规定位置停放，不影响市容和交通。</w:t>
      </w:r>
    </w:p>
    <w:p w14:paraId="549AA3A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作业时轻装轻卸，减少噪音，避免扰民。</w:t>
      </w:r>
    </w:p>
    <w:p w14:paraId="71AD113B">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六、质量监督与考核</w:t>
      </w:r>
    </w:p>
    <w:p w14:paraId="4528611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1.建立三级巡查制度：</w:t>
      </w:r>
    </w:p>
    <w:p w14:paraId="3E6F78BA">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公司/班组自查：班组长每日巡查，发现问题现场整改。</w:t>
      </w:r>
    </w:p>
    <w:p w14:paraId="39E0BC31">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管理部门督查：定期与不定期抽查，采用“明查+暗访”形式。</w:t>
      </w:r>
    </w:p>
    <w:p w14:paraId="22B98C5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公众监督：设立公开投诉电话，接受市民监督。</w:t>
      </w:r>
    </w:p>
    <w:p w14:paraId="46AA2823">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2.考核标准：</w:t>
      </w:r>
    </w:p>
    <w:p w14:paraId="5C7E83C0">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采用百分制量化考核，内容涵盖：路面洁净度、垃圾滞留时间、作业规范、安全文明、市民投诉处理等。</w:t>
      </w:r>
    </w:p>
    <w:p w14:paraId="569714E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考核结果与保洁公司/人员的绩效工资、评优评先直接挂钩。</w:t>
      </w:r>
    </w:p>
    <w:p w14:paraId="6303382D">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b w:val="0"/>
          <w:bCs w:val="0"/>
          <w:snapToGrid w:val="0"/>
          <w:color w:val="auto"/>
          <w:sz w:val="21"/>
          <w:szCs w:val="21"/>
          <w:highlight w:val="none"/>
          <w:lang w:val="en-US" w:eastAsia="zh-CN" w:bidi="ar-SA"/>
        </w:rPr>
      </w:pPr>
      <w:r>
        <w:rPr>
          <w:rFonts w:hint="eastAsia" w:ascii="宋体" w:hAnsi="宋体" w:eastAsia="宋体" w:cs="宋体"/>
          <w:b w:val="0"/>
          <w:bCs w:val="0"/>
          <w:snapToGrid w:val="0"/>
          <w:color w:val="auto"/>
          <w:sz w:val="21"/>
          <w:szCs w:val="21"/>
          <w:highlight w:val="none"/>
          <w:lang w:val="en-US" w:eastAsia="zh-CN" w:bidi="ar-SA"/>
        </w:rPr>
        <w:t>七、保洁人员、设施设备配备标准</w:t>
      </w:r>
    </w:p>
    <w:p w14:paraId="7823370C">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村街保洁人员数量按照不低于人口的2‰配备，建设满足环卫保洁工作的收集、运输设施设备。</w:t>
      </w:r>
    </w:p>
    <w:p w14:paraId="0709E4F0">
      <w:pPr>
        <w:pStyle w:val="19"/>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机械配备：国道3公里配备一辆清扫车，6公里配备一辆洒水车，需要15辆清扫车，8辆洒水车；省、县、乡道路9公里配备一辆洒水车，20公里配备一辆机扫车，需要20辆洒水车，9辆机扫车；洒水一天不低于6次，上午3次，下午3次；清扫车一天2次，上午一次，下午一次；国、省道护栏不间断清洗，每周一次。</w:t>
      </w:r>
    </w:p>
    <w:p w14:paraId="558B500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leftChars="0" w:right="0" w:firstLine="420" w:firstLineChars="200"/>
        <w:jc w:val="both"/>
        <w:textAlignment w:val="auto"/>
        <w:rPr>
          <w:rFonts w:hint="eastAsia" w:ascii="宋体" w:hAnsi="宋体" w:eastAsia="宋体" w:cs="宋体"/>
          <w:color w:val="auto"/>
          <w:sz w:val="21"/>
          <w:szCs w:val="21"/>
          <w:highlight w:val="none"/>
        </w:rPr>
      </w:pPr>
    </w:p>
    <w:p w14:paraId="203FAE29">
      <w:pPr>
        <w:widowControl w:val="0"/>
        <w:wordWrap/>
        <w:overflowPunct w:val="0"/>
        <w:spacing w:beforeAutospacing="0" w:afterAutospacing="0" w:line="600" w:lineRule="exact"/>
        <w:ind w:left="0" w:leftChars="0" w:right="0" w:firstLine="880" w:firstLineChars="200"/>
        <w:jc w:val="both"/>
        <w:rPr>
          <w:rFonts w:hint="default" w:ascii="Times New Roman" w:hAnsi="Times New Roman" w:eastAsia="方正小标宋简体" w:cs="Times New Roman"/>
          <w:color w:val="auto"/>
          <w:sz w:val="44"/>
          <w:szCs w:val="44"/>
          <w:highlight w:val="none"/>
        </w:rPr>
      </w:pPr>
    </w:p>
    <w:p w14:paraId="0E662954">
      <w:pPr>
        <w:widowControl w:val="0"/>
        <w:wordWrap/>
        <w:overflowPunct w:val="0"/>
        <w:spacing w:beforeAutospacing="0" w:afterAutospacing="0" w:line="600" w:lineRule="exact"/>
        <w:ind w:left="0" w:leftChars="0" w:right="0" w:firstLine="880" w:firstLineChars="200"/>
        <w:rPr>
          <w:rFonts w:hint="default" w:ascii="Times New Roman" w:hAnsi="Times New Roman" w:eastAsia="方正小标宋简体" w:cs="Times New Roman"/>
          <w:color w:val="auto"/>
          <w:sz w:val="44"/>
          <w:szCs w:val="44"/>
          <w:highlight w:val="none"/>
        </w:rPr>
        <w:sectPr>
          <w:pgSz w:w="11906" w:h="16839"/>
          <w:pgMar w:top="2098" w:right="1474" w:bottom="1984" w:left="1587" w:header="0" w:footer="1032" w:gutter="0"/>
          <w:pgNumType w:fmt="decimal"/>
          <w:cols w:space="720" w:num="1"/>
        </w:sectPr>
      </w:pPr>
    </w:p>
    <w:tbl>
      <w:tblPr>
        <w:tblStyle w:val="21"/>
        <w:tblW w:w="95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942"/>
        <w:gridCol w:w="2844"/>
        <w:gridCol w:w="921"/>
        <w:gridCol w:w="700"/>
        <w:gridCol w:w="1559"/>
        <w:gridCol w:w="880"/>
      </w:tblGrid>
      <w:tr w14:paraId="4BFC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9580" w:type="dxa"/>
            <w:gridSpan w:val="7"/>
            <w:tcBorders>
              <w:top w:val="nil"/>
              <w:left w:val="nil"/>
              <w:bottom w:val="nil"/>
              <w:right w:val="nil"/>
            </w:tcBorders>
            <w:noWrap w:val="0"/>
            <w:vAlign w:val="bottom"/>
          </w:tcPr>
          <w:p w14:paraId="64394D22">
            <w:pPr>
              <w:widowControl w:val="0"/>
              <w:kinsoku w:val="0"/>
              <w:wordWrap/>
              <w:overflowPunct w:val="0"/>
              <w:autoSpaceDE w:val="0"/>
              <w:autoSpaceDN w:val="0"/>
              <w:adjustRightInd w:val="0"/>
              <w:snapToGrid w:val="0"/>
              <w:spacing w:beforeAutospacing="0" w:afterAutospacing="0" w:line="600" w:lineRule="exact"/>
              <w:ind w:left="0" w:leftChars="0" w:right="0" w:firstLine="0" w:firstLineChars="0"/>
              <w:textAlignment w:val="baseline"/>
              <w:rPr>
                <w:rFonts w:hint="default" w:ascii="Times New Roman" w:hAnsi="Times New Roman" w:eastAsia="宋体" w:cs="Times New Roman"/>
                <w:color w:val="auto"/>
                <w:sz w:val="32"/>
                <w:szCs w:val="32"/>
                <w:highlight w:val="none"/>
              </w:rPr>
            </w:pPr>
            <w:r>
              <w:rPr>
                <w:rFonts w:hint="default" w:ascii="Times New Roman" w:hAnsi="Times New Roman" w:eastAsia="黑体" w:cs="Times New Roman"/>
                <w:color w:val="auto"/>
                <w:spacing w:val="-5"/>
                <w:sz w:val="32"/>
                <w:szCs w:val="32"/>
                <w:highlight w:val="none"/>
                <w:lang w:eastAsia="zh-CN"/>
              </w:rPr>
              <w:t>附件9</w:t>
            </w:r>
          </w:p>
        </w:tc>
      </w:tr>
      <w:tr w14:paraId="6D74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9580" w:type="dxa"/>
            <w:gridSpan w:val="7"/>
            <w:tcBorders>
              <w:top w:val="nil"/>
              <w:left w:val="nil"/>
              <w:bottom w:val="single" w:color="auto" w:sz="4" w:space="0"/>
              <w:right w:val="nil"/>
            </w:tcBorders>
            <w:noWrap w:val="0"/>
            <w:vAlign w:val="bottom"/>
          </w:tcPr>
          <w:p w14:paraId="78576E99">
            <w:pPr>
              <w:widowControl w:val="0"/>
              <w:kinsoku w:val="0"/>
              <w:wordWrap/>
              <w:overflowPunct w:val="0"/>
              <w:autoSpaceDE w:val="0"/>
              <w:autoSpaceDN w:val="0"/>
              <w:adjustRightInd w:val="0"/>
              <w:snapToGrid w:val="0"/>
              <w:spacing w:beforeAutospacing="0" w:afterAutospacing="0" w:line="600" w:lineRule="exact"/>
              <w:ind w:left="0" w:leftChars="0" w:right="0" w:firstLine="0" w:firstLineChars="0"/>
              <w:jc w:val="center"/>
              <w:textAlignment w:val="bottom"/>
              <w:rPr>
                <w:rFonts w:hint="default" w:ascii="Times New Roman" w:hAnsi="Times New Roman" w:eastAsia="宋体" w:cs="Times New Roman"/>
                <w:b/>
                <w:bCs/>
                <w:color w:val="auto"/>
                <w:sz w:val="32"/>
                <w:szCs w:val="32"/>
                <w:highlight w:val="none"/>
                <w:lang w:eastAsia="zh-CN"/>
              </w:rPr>
            </w:pPr>
            <w:r>
              <w:rPr>
                <w:rFonts w:hint="default" w:ascii="Times New Roman" w:hAnsi="Times New Roman" w:eastAsia="方正小标宋简体" w:cs="Times New Roman"/>
                <w:snapToGrid w:val="0"/>
                <w:color w:val="auto"/>
                <w:spacing w:val="-1"/>
                <w:sz w:val="32"/>
                <w:szCs w:val="32"/>
                <w:highlight w:val="none"/>
                <w:lang w:val="en-US" w:eastAsia="zh-CN" w:bidi="ar-SA"/>
              </w:rPr>
              <w:t>环卫车辆设备明细表</w:t>
            </w:r>
          </w:p>
        </w:tc>
      </w:tr>
      <w:tr w14:paraId="2BE0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vMerge w:val="restart"/>
            <w:tcBorders>
              <w:top w:val="single" w:color="auto" w:sz="4" w:space="0"/>
              <w:left w:val="single" w:color="auto" w:sz="4" w:space="0"/>
              <w:bottom w:val="single" w:color="auto" w:sz="4" w:space="0"/>
              <w:right w:val="single" w:color="auto" w:sz="4" w:space="0"/>
            </w:tcBorders>
            <w:noWrap w:val="0"/>
            <w:vAlign w:val="center"/>
          </w:tcPr>
          <w:p w14:paraId="52C9B9FB">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序号</w:t>
            </w:r>
          </w:p>
        </w:tc>
        <w:tc>
          <w:tcPr>
            <w:tcW w:w="1942" w:type="dxa"/>
            <w:vMerge w:val="restart"/>
            <w:tcBorders>
              <w:top w:val="single" w:color="auto" w:sz="4" w:space="0"/>
              <w:left w:val="single" w:color="auto" w:sz="4" w:space="0"/>
              <w:bottom w:val="single" w:color="auto" w:sz="4" w:space="0"/>
              <w:right w:val="single" w:color="auto" w:sz="4" w:space="0"/>
            </w:tcBorders>
            <w:noWrap w:val="0"/>
            <w:vAlign w:val="center"/>
          </w:tcPr>
          <w:p w14:paraId="2458511A">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设备名称</w:t>
            </w:r>
          </w:p>
        </w:tc>
        <w:tc>
          <w:tcPr>
            <w:tcW w:w="2844" w:type="dxa"/>
            <w:vMerge w:val="restart"/>
            <w:tcBorders>
              <w:top w:val="single" w:color="auto" w:sz="4" w:space="0"/>
              <w:left w:val="single" w:color="auto" w:sz="4" w:space="0"/>
              <w:bottom w:val="single" w:color="auto" w:sz="4" w:space="0"/>
              <w:right w:val="single" w:color="auto" w:sz="4" w:space="0"/>
            </w:tcBorders>
            <w:noWrap w:val="0"/>
            <w:vAlign w:val="center"/>
          </w:tcPr>
          <w:p w14:paraId="565057A8">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规格型号</w:t>
            </w:r>
          </w:p>
        </w:tc>
        <w:tc>
          <w:tcPr>
            <w:tcW w:w="921" w:type="dxa"/>
            <w:vMerge w:val="restart"/>
            <w:tcBorders>
              <w:top w:val="single" w:color="auto" w:sz="4" w:space="0"/>
              <w:left w:val="single" w:color="auto" w:sz="4" w:space="0"/>
              <w:bottom w:val="single" w:color="auto" w:sz="4" w:space="0"/>
              <w:right w:val="single" w:color="auto" w:sz="4" w:space="0"/>
            </w:tcBorders>
            <w:noWrap w:val="0"/>
            <w:vAlign w:val="center"/>
          </w:tcPr>
          <w:p w14:paraId="5A9D7581">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计量单位</w:t>
            </w:r>
          </w:p>
        </w:tc>
        <w:tc>
          <w:tcPr>
            <w:tcW w:w="700" w:type="dxa"/>
            <w:vMerge w:val="restart"/>
            <w:tcBorders>
              <w:top w:val="single" w:color="auto" w:sz="4" w:space="0"/>
              <w:left w:val="single" w:color="auto" w:sz="4" w:space="0"/>
              <w:bottom w:val="single" w:color="auto" w:sz="4" w:space="0"/>
              <w:right w:val="single" w:color="auto" w:sz="4" w:space="0"/>
            </w:tcBorders>
            <w:noWrap w:val="0"/>
            <w:vAlign w:val="center"/>
          </w:tcPr>
          <w:p w14:paraId="18CAD476">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数量 </w:t>
            </w:r>
          </w:p>
        </w:tc>
        <w:tc>
          <w:tcPr>
            <w:tcW w:w="1559" w:type="dxa"/>
            <w:vMerge w:val="restart"/>
            <w:tcBorders>
              <w:top w:val="single" w:color="auto" w:sz="4" w:space="0"/>
              <w:left w:val="single" w:color="auto" w:sz="4" w:space="0"/>
              <w:bottom w:val="single" w:color="auto" w:sz="4" w:space="0"/>
              <w:right w:val="single" w:color="auto" w:sz="4" w:space="0"/>
            </w:tcBorders>
            <w:noWrap w:val="0"/>
            <w:vAlign w:val="center"/>
          </w:tcPr>
          <w:p w14:paraId="2B40B1CC">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购置日期</w:t>
            </w:r>
          </w:p>
        </w:tc>
        <w:tc>
          <w:tcPr>
            <w:tcW w:w="880" w:type="dxa"/>
            <w:vMerge w:val="restart"/>
            <w:tcBorders>
              <w:top w:val="single" w:color="auto" w:sz="4" w:space="0"/>
              <w:left w:val="single" w:color="auto" w:sz="4" w:space="0"/>
              <w:bottom w:val="single" w:color="auto" w:sz="4" w:space="0"/>
              <w:right w:val="single" w:color="auto" w:sz="4" w:space="0"/>
            </w:tcBorders>
            <w:noWrap w:val="0"/>
            <w:vAlign w:val="center"/>
          </w:tcPr>
          <w:p w14:paraId="0F63BA3D">
            <w:pPr>
              <w:widowControl w:val="0"/>
              <w:wordWrap/>
              <w:overflowPunct w:val="0"/>
              <w:adjustRightInd w:val="0"/>
              <w:snapToGrid w:val="0"/>
              <w:spacing w:beforeAutospacing="0" w:afterAutospacing="0" w:line="44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状态</w:t>
            </w:r>
          </w:p>
        </w:tc>
      </w:tr>
      <w:tr w14:paraId="3BB0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34" w:type="dxa"/>
            <w:vMerge w:val="continue"/>
            <w:tcBorders>
              <w:top w:val="single" w:color="auto" w:sz="4" w:space="0"/>
              <w:left w:val="single" w:color="auto" w:sz="4" w:space="0"/>
              <w:bottom w:val="single" w:color="auto" w:sz="4" w:space="0"/>
              <w:right w:val="single" w:color="000000" w:sz="4" w:space="0"/>
            </w:tcBorders>
            <w:noWrap w:val="0"/>
            <w:vAlign w:val="center"/>
          </w:tcPr>
          <w:p w14:paraId="52259A8F">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1942" w:type="dxa"/>
            <w:vMerge w:val="continue"/>
            <w:tcBorders>
              <w:top w:val="single" w:color="auto" w:sz="4" w:space="0"/>
              <w:left w:val="single" w:color="000000" w:sz="4" w:space="0"/>
              <w:bottom w:val="single" w:color="auto" w:sz="4" w:space="0"/>
              <w:right w:val="single" w:color="000000" w:sz="4" w:space="0"/>
            </w:tcBorders>
            <w:noWrap w:val="0"/>
            <w:vAlign w:val="center"/>
          </w:tcPr>
          <w:p w14:paraId="63B4D84C">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2844" w:type="dxa"/>
            <w:vMerge w:val="continue"/>
            <w:tcBorders>
              <w:top w:val="single" w:color="auto" w:sz="4" w:space="0"/>
              <w:left w:val="single" w:color="000000" w:sz="4" w:space="0"/>
              <w:bottom w:val="single" w:color="auto" w:sz="4" w:space="0"/>
              <w:right w:val="single" w:color="000000" w:sz="4" w:space="0"/>
            </w:tcBorders>
            <w:noWrap w:val="0"/>
            <w:vAlign w:val="center"/>
          </w:tcPr>
          <w:p w14:paraId="7B971AB2">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vMerge w:val="continue"/>
            <w:tcBorders>
              <w:top w:val="single" w:color="auto" w:sz="4" w:space="0"/>
              <w:left w:val="single" w:color="000000" w:sz="4" w:space="0"/>
              <w:bottom w:val="single" w:color="auto" w:sz="4" w:space="0"/>
              <w:right w:val="single" w:color="000000" w:sz="4" w:space="0"/>
            </w:tcBorders>
            <w:noWrap w:val="0"/>
            <w:vAlign w:val="center"/>
          </w:tcPr>
          <w:p w14:paraId="73749513">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700" w:type="dxa"/>
            <w:vMerge w:val="continue"/>
            <w:tcBorders>
              <w:top w:val="single" w:color="auto" w:sz="4" w:space="0"/>
              <w:left w:val="single" w:color="000000" w:sz="4" w:space="0"/>
              <w:bottom w:val="single" w:color="auto" w:sz="4" w:space="0"/>
              <w:right w:val="single" w:color="000000" w:sz="4" w:space="0"/>
            </w:tcBorders>
            <w:noWrap w:val="0"/>
            <w:vAlign w:val="center"/>
          </w:tcPr>
          <w:p w14:paraId="6AD7628C">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vMerge w:val="continue"/>
            <w:tcBorders>
              <w:top w:val="single" w:color="auto" w:sz="4" w:space="0"/>
              <w:left w:val="single" w:color="000000" w:sz="4" w:space="0"/>
              <w:bottom w:val="single" w:color="auto" w:sz="4" w:space="0"/>
              <w:right w:val="single" w:color="000000" w:sz="4" w:space="0"/>
            </w:tcBorders>
            <w:noWrap w:val="0"/>
            <w:vAlign w:val="center"/>
          </w:tcPr>
          <w:p w14:paraId="216AAA98">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880" w:type="dxa"/>
            <w:vMerge w:val="continue"/>
            <w:tcBorders>
              <w:top w:val="single" w:color="auto" w:sz="4" w:space="0"/>
              <w:left w:val="single" w:color="000000" w:sz="4" w:space="0"/>
              <w:bottom w:val="single" w:color="auto" w:sz="4" w:space="0"/>
              <w:right w:val="single" w:color="000000" w:sz="4" w:space="0"/>
            </w:tcBorders>
            <w:noWrap w:val="0"/>
            <w:vAlign w:val="center"/>
          </w:tcPr>
          <w:p w14:paraId="12B0A65B">
            <w:pPr>
              <w:widowControl w:val="0"/>
              <w:wordWrap/>
              <w:overflowPunct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r>
      <w:tr w14:paraId="0B09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E2C395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94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409C16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摆臂式垃圾车</w:t>
            </w:r>
          </w:p>
        </w:tc>
        <w:tc>
          <w:tcPr>
            <w:tcW w:w="2844"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777461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东风牌EQ5128ZBSL</w:t>
            </w:r>
          </w:p>
        </w:tc>
        <w:tc>
          <w:tcPr>
            <w:tcW w:w="921"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198CF1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E746A2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4055399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2016-07-13</w:t>
            </w:r>
          </w:p>
        </w:tc>
        <w:tc>
          <w:tcPr>
            <w:tcW w:w="8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6B249F3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92F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075CD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AED8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摆臂式垃圾车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B1C2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东风牌EQ5128ZBSL</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E8C4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6716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A1AD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2016-06-06</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9A33B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F9F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E176B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D01D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大洗扫车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8C9A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DDC8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8845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BEE9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2016-11-30</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0B435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9736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2B516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1812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东风自卸汽车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B31C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CLW5110GSS</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574A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053B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C5C8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2011-06-21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03C2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1705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42214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3AA9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东风自卸汽车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B309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CLW5110GSS</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EBA4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64FC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6EF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2011-06-21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D50D1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4A8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235A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0DD1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多功能抑尘车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EF31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YTZ5160TDY20F</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016BB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99885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3C3F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2016-08-23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CFA0B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1E0A6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6F33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ECD99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多功能抑尘车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47EC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森源牌SMQ5182TDYEQE5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530F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810FE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B035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2019-11-21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4965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E49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90D9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4C96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多功能抑尘车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21FF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森源牌SMQ5182TDYEQE5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ABAC8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DAB1A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BDAD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2019-11-21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0102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400C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2453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FBED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多功能抑尘车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9305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YTZ5161TDY20D5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1226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2186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81ED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2018-06-27</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D50F7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1764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DA92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C33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加油车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4B27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74B2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FDB4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E571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8FB0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3B48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8CA5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AC83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绿化喷洒车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F770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DLQ5164GPSQ4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25DA5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67BE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74742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2016-08-02</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75CE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5D21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E1A6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12</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2191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绿化喷洒车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4E5C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DLQ5164GPSQ4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AE66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341A3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59CF4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2016-08-02</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4DBC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54B1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80EF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13</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132A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绿化喷洒车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BE2C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CLW5162GPSD5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0A1C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DE2F8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D0C4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2018-06-12</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6D73B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5580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7AF07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14</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B3BF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洒水车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18A15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楚胜牌CSC5160GSSD5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55D8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EE3E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7A5C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2016-06-06</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58837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E58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3238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15</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0117E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洒水消毒车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45999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4657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CB74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3495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2AF5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5AEC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71A79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DB99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扫路车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872F0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森源牌SMO5033TSLSCE5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3CC0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FA883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2A93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2019-11-21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9929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7AFF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AD25C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313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扫路机</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965F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CHD5021TSL</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E32B4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CA403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0D5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2016-04-06</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117A9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12611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97C6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B4BE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吸尘车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41D3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SGZ5100TXCZZ5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8D9D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C9ECA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C7D6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2019-01-25</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5C55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2DD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25C3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C71A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吸尘车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FFDE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SGZ5100TXCZZ5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93976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8A456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C997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2019-01-25</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9BC7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14C4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3DA0B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D4FA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2BAF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海德牌CHD5100TXSE4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54325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2646E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BACE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2016-07-13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3A8F1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6C47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EA35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2EAD1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4EDF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海德牌CHD5100TXSE4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7F03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974C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D98A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2016-07-13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DBD86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4ECA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E7EB6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22</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0947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955B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海德牌CHD5100TXSE4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B29C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28AFD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C641E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2016-04-05</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39D8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101E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CF54E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23</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582C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27E6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YTZ5180TXS20D5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7C2B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D8639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5AD1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2018-06-27</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D3FAD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C1F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EEA6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132A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4085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森源SMQ5070TXQLE5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8D2F8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81B6F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0E1B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2017-09-29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1E03D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379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1D562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25</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6B2DA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571B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森源SMQ5070TXQLE5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EF272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CB4E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F375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2017-09-29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AD08C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7C08C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17619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78FE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33C93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森源牌SMQ5070TXSQLE5</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92D92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066F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4E5B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2017-12-13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A389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BC0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EFB3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56E3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洗扫车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19943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YTZ5160TXS20E</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4B4E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6CFC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4D74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2013-07-31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9BCC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5115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9B81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BA88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压缩式垃圾车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A179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CLW5181ZYS6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4E1C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87B1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9195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2023-01-18</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028FD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BFF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B1B3E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D5A6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压缩式垃圾车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0672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CLW5181ZYS6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BC9F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BC88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FE4F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2023-01-18</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3FC31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9259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F71D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F0A3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压缩式垃圾车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B56A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CLW5181ZYS6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839F6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71801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6BCD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2023-01-18</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5BFF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AE1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0E02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A9A4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压缩式垃圾车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7D076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CLW5181ZYS6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61D15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5AAE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F9EA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2023-01-18</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4462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4E500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466B1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32</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0B90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摇臂式垃圾车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2823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摇臂式垃圾车</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2C8A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E99C7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E0B9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2008-03-31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EA40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141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DDE4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33</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7973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长安汽车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3D2B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长安SC1022BB23D</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9E91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F9E58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0966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2008-03-31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33B1A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47F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60AA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34</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8834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长头密封垃圾车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3C39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5D91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5EED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5045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A4F7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5D6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A03A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35</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18D5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真空吸污车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C676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EF6A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33518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A150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8965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7F0F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E0DC9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C4CE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4B456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东风牌EQ5128ZLJL</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93362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B1DA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5C2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2016-07-13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9329B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AAB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D0793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C537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EBF8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东风牌EQ5128ZLJL</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1224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6FC5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8EBC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2016-07-13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EEDD3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724B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6294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A367D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64B5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东风牌EQ5128ZLJL</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BC00E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2BD5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804E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2016-06-06</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F57D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45D5F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D7D2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A37A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自卸式垃圾车_拆1</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4E47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自卸东风180</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7EC8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2D2F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07A5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2013-07-31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033B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DF99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01E6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C1733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自卸式垃圾车_拆2</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1625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自卸东风180</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F916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03E21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CC97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2013-07-31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1200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B7F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F0978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083D5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自卸式垃圾车_拆3</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923C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自卸东风180</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FE3B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3C703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2E81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2013-07-31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0D8DB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626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4319F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42</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3973FE8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纯电动雾炮车</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816883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东岳牌ZTQ5180TDY26Y53B</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3F3E94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CD5071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23AF4C1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2024-07-12</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DF480D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F92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7E2A8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43</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535A155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吸尘车</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37E2C5E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无</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53CD2F3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0AC7829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4157A6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2019-01-25</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A50A1A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043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66B4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44</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749A91B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环卫装载机</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438F1E4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5吨装载机</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B41F9B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3BEC32F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BF8B33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2B29E46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DDD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BE63C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45</w:t>
            </w:r>
          </w:p>
        </w:tc>
        <w:tc>
          <w:tcPr>
            <w:tcW w:w="1942" w:type="dxa"/>
            <w:tcBorders>
              <w:top w:val="single" w:color="000000" w:sz="4" w:space="0"/>
              <w:left w:val="single" w:color="000000" w:sz="4" w:space="0"/>
              <w:bottom w:val="single" w:color="000000" w:sz="4" w:space="0"/>
              <w:right w:val="single" w:color="000000" w:sz="4" w:space="0"/>
            </w:tcBorders>
            <w:noWrap w:val="0"/>
            <w:vAlign w:val="center"/>
          </w:tcPr>
          <w:p w14:paraId="034FA51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环卫装载机</w:t>
            </w:r>
          </w:p>
        </w:tc>
        <w:tc>
          <w:tcPr>
            <w:tcW w:w="2844" w:type="dxa"/>
            <w:tcBorders>
              <w:top w:val="single" w:color="000000" w:sz="4" w:space="0"/>
              <w:left w:val="single" w:color="000000" w:sz="4" w:space="0"/>
              <w:bottom w:val="single" w:color="000000" w:sz="4" w:space="0"/>
              <w:right w:val="single" w:color="000000" w:sz="4" w:space="0"/>
            </w:tcBorders>
            <w:noWrap w:val="0"/>
            <w:vAlign w:val="center"/>
          </w:tcPr>
          <w:p w14:paraId="1E60189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5吨装载机</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8F32057">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14:paraId="142B1E2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624EA26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5CA612E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0265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E5D18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46</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FD0A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轮胎式装载机</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493F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3吨装载机</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768A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EF1E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DD33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2013-07-31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D010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4533E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448A9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47</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B0ACE">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垃圾压实机</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97D05">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垃圾压实机</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7DA18">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台</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0C072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335B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2009-11-19</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09A01">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DE5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0BEC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A13B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自卸三轮车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3767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7YPJ-1450DA14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0697FD">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9ABB8">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ABB4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2011-06-10</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A17D3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6790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EC54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F1A3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自卸三轮车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718A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7YPJ-1450DA14</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6CD2F">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2AAAB">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F316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2011-06-10</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CC453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E64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8AB0F4">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50</w:t>
            </w:r>
          </w:p>
        </w:tc>
        <w:tc>
          <w:tcPr>
            <w:tcW w:w="19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A84E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电动三轮车</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5C7BE3">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LH-BC50</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F551E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8E212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24</w:t>
            </w:r>
          </w:p>
        </w:tc>
        <w:tc>
          <w:tcPr>
            <w:tcW w:w="15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2F27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2023年01月30日</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A5E3F">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2261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87DC99">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51</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DFB0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环卫人力三轮车</w:t>
            </w:r>
          </w:p>
        </w:tc>
        <w:tc>
          <w:tcPr>
            <w:tcW w:w="28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1FA75">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18332">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EC12A">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37</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B522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2016-08-21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80BF20">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BBE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1C5F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52</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501E455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人力车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D0CE3">
            <w:pPr>
              <w:widowControl w:val="0"/>
              <w:wordWrap/>
              <w:overflowPunct w:val="0"/>
              <w:adjustRightInd w:val="0"/>
              <w:snapToGrid w:val="0"/>
              <w:spacing w:beforeAutospacing="0" w:afterAutospacing="0" w:line="56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C231DD">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17CD6">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26</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D8C2B">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2015-04-14</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59ECC">
            <w:pPr>
              <w:widowControl w:val="0"/>
              <w:wordWrap/>
              <w:overflowPunct w:val="0"/>
              <w:adjustRightInd w:val="0"/>
              <w:snapToGrid w:val="0"/>
              <w:spacing w:beforeAutospacing="0" w:afterAutospacing="0" w:line="56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5D47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147E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53</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0BC0D34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环卫人力三轮车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2A131">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DEED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FF21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B512B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2017-03-03</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6FD78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6F39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121694">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54</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7B6246E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保洁车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67E97">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2B3B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E9A3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C7AD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2015-05-12</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58A2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7536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63B5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2F0FF70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自装卸式垃圾车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4D5C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CLW5040ZZZ6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0A2B2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A038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60C0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2023.8.17</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1510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在用</w:t>
            </w:r>
          </w:p>
        </w:tc>
      </w:tr>
      <w:tr w14:paraId="6A4B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F69CF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56</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22890FF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轻型特殊结构货车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1BCC4">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CLW5040ZZZ6</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30A236">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7BE41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75DE9">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2023.9.1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BFE49">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在用</w:t>
            </w:r>
          </w:p>
        </w:tc>
      </w:tr>
      <w:tr w14:paraId="246D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8381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57</w:t>
            </w:r>
          </w:p>
        </w:tc>
        <w:tc>
          <w:tcPr>
            <w:tcW w:w="1942" w:type="dxa"/>
            <w:tcBorders>
              <w:top w:val="single" w:color="000000" w:sz="4" w:space="0"/>
              <w:left w:val="single" w:color="000000" w:sz="4" w:space="0"/>
              <w:bottom w:val="single" w:color="000000" w:sz="4" w:space="0"/>
              <w:right w:val="nil"/>
            </w:tcBorders>
            <w:shd w:val="clear" w:color="auto" w:fill="auto"/>
            <w:noWrap w:val="0"/>
            <w:vAlign w:val="center"/>
          </w:tcPr>
          <w:p w14:paraId="46A218B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自装卸式垃圾车</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A5AA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CLT5030ZZZBJ6A</w:t>
            </w: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36DD07">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辆</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693C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3F4A1">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2023.9.1</w:t>
            </w:r>
          </w:p>
        </w:tc>
        <w:tc>
          <w:tcPr>
            <w:tcW w:w="8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ECFB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在用</w:t>
            </w:r>
          </w:p>
        </w:tc>
      </w:tr>
      <w:tr w14:paraId="7B64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D239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58</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A9507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垃圾中转站设备</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A2C53">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C8A1E">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784A6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154FCC2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2015-09-09</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414BD9A3">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397BA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5874BD">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59</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A54A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垃圾中转站设备</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4EA76">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51115">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3EF8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9FFB4FB">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2016-02-25</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DD7042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r w14:paraId="52F4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2FAD0">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60</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890F4">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垃圾中转站设备_拆</w:t>
            </w:r>
          </w:p>
        </w:tc>
        <w:tc>
          <w:tcPr>
            <w:tcW w:w="284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041E0">
            <w:pPr>
              <w:widowControl w:val="0"/>
              <w:wordWrap/>
              <w:overflowPunct w:val="0"/>
              <w:adjustRightInd w:val="0"/>
              <w:snapToGrid w:val="0"/>
              <w:spacing w:beforeAutospacing="0" w:afterAutospacing="0" w:line="520" w:lineRule="exact"/>
              <w:ind w:left="0" w:leftChars="0" w:right="0" w:firstLine="0" w:firstLineChars="0"/>
              <w:jc w:val="center"/>
              <w:rPr>
                <w:rFonts w:hint="eastAsia" w:ascii="宋体" w:hAnsi="宋体" w:eastAsia="宋体" w:cs="宋体"/>
                <w:color w:val="auto"/>
                <w:sz w:val="24"/>
                <w:szCs w:val="24"/>
                <w:highlight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8F3EC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个</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A30B8C">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14:paraId="0305C7DA">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2013-10-26</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14:paraId="1831E1FF">
            <w:pPr>
              <w:widowControl w:val="0"/>
              <w:wordWrap/>
              <w:overflowPunct w:val="0"/>
              <w:adjustRightInd w:val="0"/>
              <w:snapToGrid w:val="0"/>
              <w:spacing w:beforeAutospacing="0" w:afterAutospacing="0" w:line="520" w:lineRule="exact"/>
              <w:ind w:left="0" w:leftChars="0" w:right="0" w:firstLine="0" w:firstLineChars="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在用</w:t>
            </w:r>
          </w:p>
        </w:tc>
      </w:tr>
    </w:tbl>
    <w:p w14:paraId="6C3299C1">
      <w:pPr>
        <w:rPr>
          <w:rFonts w:hint="eastAsia" w:ascii="宋体" w:hAnsi="宋体" w:eastAsia="宋体" w:cs="宋体"/>
          <w:color w:val="auto"/>
          <w:highlight w:val="none"/>
          <w:lang w:val="en-US" w:eastAsia="zh-CN"/>
        </w:rPr>
      </w:pPr>
    </w:p>
    <w:p w14:paraId="25A6B3A5">
      <w:pPr>
        <w:jc w:val="center"/>
        <w:rPr>
          <w:rFonts w:ascii="仿宋" w:hAnsi="仿宋" w:eastAsia="仿宋" w:cs="仿宋"/>
          <w:sz w:val="36"/>
          <w:szCs w:val="36"/>
          <w:highlight w:val="none"/>
        </w:rPr>
      </w:pPr>
      <w:r>
        <w:rPr>
          <w:rFonts w:hint="eastAsia"/>
          <w:lang w:val="en-US" w:eastAsia="zh-CN"/>
        </w:rPr>
        <w:br w:type="page"/>
      </w:r>
      <w:r>
        <w:rPr>
          <w:rFonts w:hint="eastAsia" w:ascii="方正小标宋简体" w:hAnsi="方正小标宋简体" w:eastAsia="方正小标宋简体" w:cs="方正小标宋简体"/>
          <w:b/>
          <w:bCs/>
          <w:sz w:val="32"/>
          <w:szCs w:val="32"/>
          <w:highlight w:val="none"/>
        </w:rPr>
        <w:t>博爱县</w:t>
      </w:r>
      <w:r>
        <w:rPr>
          <w:rFonts w:hint="eastAsia" w:ascii="方正小标宋简体" w:hAnsi="方正小标宋简体" w:eastAsia="方正小标宋简体" w:cs="方正小标宋简体"/>
          <w:b/>
          <w:bCs/>
          <w:sz w:val="32"/>
          <w:szCs w:val="32"/>
          <w:highlight w:val="none"/>
          <w:lang w:eastAsia="zh-CN"/>
        </w:rPr>
        <w:t>全域环卫市场化</w:t>
      </w:r>
      <w:r>
        <w:rPr>
          <w:rFonts w:hint="eastAsia" w:ascii="方正小标宋简体" w:hAnsi="方正小标宋简体" w:eastAsia="方正小标宋简体" w:cs="方正小标宋简体"/>
          <w:b/>
          <w:bCs/>
          <w:sz w:val="32"/>
          <w:szCs w:val="32"/>
          <w:highlight w:val="none"/>
        </w:rPr>
        <w:t>考核奖惩办法</w:t>
      </w:r>
    </w:p>
    <w:p w14:paraId="357A6BF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p>
    <w:p w14:paraId="0542A20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为进一步健全我县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管理工作机制，提升城乡环卫保洁水平，打造整洁、优美的城乡环境，依据《博爱县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采购项目工作实施方案》和《博爱县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采购项目合同》，结合我县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工作实际，特制定本考核办法。</w:t>
      </w:r>
    </w:p>
    <w:p w14:paraId="595D6F8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一、考核原则</w:t>
      </w:r>
    </w:p>
    <w:p w14:paraId="238DF82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坚持公开、公平、公正的原则，统一考核标准，采用分级管理、县乡两级考评为主的考核办法，确保</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工作实现常态化、规范化、制度化。</w:t>
      </w:r>
    </w:p>
    <w:p w14:paraId="0A03C34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二、考核对象与考核范围</w:t>
      </w:r>
    </w:p>
    <w:p w14:paraId="594EE09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（一）考核对象</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公司（以下简称保洁公司）博爱县作业区</w:t>
      </w:r>
      <w:r>
        <w:rPr>
          <w:rFonts w:hint="eastAsia" w:ascii="宋体" w:hAnsi="宋体" w:eastAsia="宋体" w:cs="宋体"/>
          <w:color w:val="auto"/>
          <w:sz w:val="21"/>
          <w:szCs w:val="21"/>
          <w:highlight w:val="none"/>
          <w:lang w:eastAsia="zh-CN"/>
        </w:rPr>
        <w:t>域</w:t>
      </w:r>
      <w:r>
        <w:rPr>
          <w:rFonts w:hint="eastAsia" w:ascii="宋体" w:hAnsi="宋体" w:eastAsia="宋体" w:cs="宋体"/>
          <w:color w:val="auto"/>
          <w:sz w:val="21"/>
          <w:szCs w:val="21"/>
          <w:highlight w:val="none"/>
        </w:rPr>
        <w:t>。</w:t>
      </w:r>
    </w:p>
    <w:p w14:paraId="4306B18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（二）考核范围：</w:t>
      </w:r>
    </w:p>
    <w:p w14:paraId="30CEB80F">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1、城区：</w:t>
      </w:r>
      <w:r>
        <w:rPr>
          <w:rFonts w:hint="eastAsia" w:ascii="宋体" w:hAnsi="宋体" w:eastAsia="宋体" w:cs="宋体"/>
          <w:sz w:val="21"/>
          <w:szCs w:val="21"/>
          <w:highlight w:val="none"/>
          <w:lang w:eastAsia="zh-CN"/>
        </w:rPr>
        <w:t>管理城区中山路、团结路等27条主次干道面积390万平方米，总长度95公里的清扫保洁、垃圾清运等工作，管理城区14座垃圾中转站、28座公厕。</w:t>
      </w:r>
    </w:p>
    <w:p w14:paraId="027197E0">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2、农村：</w:t>
      </w:r>
      <w:r>
        <w:rPr>
          <w:rFonts w:hint="eastAsia" w:ascii="宋体" w:hAnsi="宋体" w:eastAsia="宋体" w:cs="宋体"/>
          <w:sz w:val="21"/>
          <w:szCs w:val="21"/>
          <w:highlight w:val="none"/>
          <w:lang w:eastAsia="zh-CN"/>
        </w:rPr>
        <w:t>管理范围</w:t>
      </w:r>
      <w:r>
        <w:rPr>
          <w:rFonts w:hint="eastAsia" w:ascii="宋体" w:hAnsi="宋体" w:eastAsia="宋体" w:cs="宋体"/>
          <w:sz w:val="21"/>
          <w:szCs w:val="21"/>
          <w:highlight w:val="none"/>
        </w:rPr>
        <w:t>覆盖我县清化镇街道办事处、鸿昌街道办事处、许良镇、月山镇、柏山镇、磨头镇、孝敬镇、金城乡</w:t>
      </w:r>
      <w:r>
        <w:rPr>
          <w:rFonts w:hint="eastAsia" w:ascii="宋体" w:hAnsi="宋体" w:eastAsia="宋体" w:cs="宋体"/>
          <w:sz w:val="21"/>
          <w:szCs w:val="21"/>
          <w:highlight w:val="none"/>
          <w:lang w:eastAsia="zh-CN"/>
        </w:rPr>
        <w:t>、寨豁乡</w:t>
      </w:r>
      <w:r>
        <w:rPr>
          <w:rFonts w:hint="eastAsia" w:ascii="宋体" w:hAnsi="宋体" w:eastAsia="宋体" w:cs="宋体"/>
          <w:sz w:val="21"/>
          <w:szCs w:val="21"/>
          <w:highlight w:val="none"/>
        </w:rPr>
        <w:t>等</w:t>
      </w:r>
      <w:r>
        <w:rPr>
          <w:rFonts w:hint="eastAsia" w:ascii="宋体" w:hAnsi="宋体" w:eastAsia="宋体" w:cs="宋体"/>
          <w:sz w:val="21"/>
          <w:szCs w:val="21"/>
          <w:highlight w:val="none"/>
          <w:lang w:eastAsia="zh-CN"/>
        </w:rPr>
        <w:t>9</w:t>
      </w:r>
      <w:r>
        <w:rPr>
          <w:rFonts w:hint="eastAsia" w:ascii="宋体" w:hAnsi="宋体" w:eastAsia="宋体" w:cs="宋体"/>
          <w:sz w:val="21"/>
          <w:szCs w:val="21"/>
          <w:highlight w:val="none"/>
        </w:rPr>
        <w:t>个乡镇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街道</w:t>
      </w:r>
      <w:r>
        <w:rPr>
          <w:rFonts w:hint="eastAsia" w:ascii="宋体" w:hAnsi="宋体" w:eastAsia="宋体" w:cs="宋体"/>
          <w:sz w:val="21"/>
          <w:szCs w:val="21"/>
          <w:highlight w:val="none"/>
          <w:lang w:eastAsia="zh-CN"/>
        </w:rPr>
        <w:t>办全部204</w:t>
      </w:r>
      <w:r>
        <w:rPr>
          <w:rFonts w:hint="eastAsia" w:ascii="宋体" w:hAnsi="宋体" w:eastAsia="宋体" w:cs="宋体"/>
          <w:sz w:val="21"/>
          <w:szCs w:val="21"/>
          <w:highlight w:val="none"/>
        </w:rPr>
        <w:t>个农村</w:t>
      </w:r>
      <w:r>
        <w:rPr>
          <w:rFonts w:hint="eastAsia" w:ascii="宋体" w:hAnsi="宋体" w:eastAsia="宋体" w:cs="宋体"/>
          <w:sz w:val="21"/>
          <w:szCs w:val="21"/>
          <w:highlight w:val="none"/>
          <w:lang w:eastAsia="zh-CN"/>
        </w:rPr>
        <w:t>，乡镇、</w:t>
      </w:r>
      <w:r>
        <w:rPr>
          <w:rFonts w:hint="eastAsia" w:ascii="宋体" w:hAnsi="宋体" w:eastAsia="宋体" w:cs="宋体"/>
          <w:sz w:val="21"/>
          <w:szCs w:val="21"/>
          <w:highlight w:val="none"/>
        </w:rPr>
        <w:t>街道</w:t>
      </w:r>
      <w:r>
        <w:rPr>
          <w:rFonts w:hint="eastAsia" w:ascii="宋体" w:hAnsi="宋体" w:eastAsia="宋体" w:cs="宋体"/>
          <w:sz w:val="21"/>
          <w:szCs w:val="21"/>
          <w:highlight w:val="none"/>
          <w:lang w:eastAsia="zh-CN"/>
        </w:rPr>
        <w:t>办管理的公厕。</w:t>
      </w:r>
    </w:p>
    <w:p w14:paraId="0482D08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sz w:val="21"/>
          <w:szCs w:val="21"/>
          <w:highlight w:val="none"/>
          <w:lang w:eastAsia="zh-CN"/>
        </w:rPr>
        <w:t>3、国省、县、乡公路：</w:t>
      </w:r>
      <w:r>
        <w:rPr>
          <w:rFonts w:hint="eastAsia" w:ascii="宋体" w:hAnsi="宋体" w:eastAsia="宋体" w:cs="宋体"/>
          <w:color w:val="auto"/>
          <w:sz w:val="21"/>
          <w:szCs w:val="21"/>
          <w:highlight w:val="none"/>
          <w:lang w:eastAsia="zh-CN"/>
        </w:rPr>
        <w:t>管理G327连固线、S104郑沁线等国省道路5条，长度66.676公里。X013西磨线、X015高九路等县道12条，长度90.2公里。Y003东留线、Y005西际线等乡道10条，长度89.6公里。</w:t>
      </w:r>
    </w:p>
    <w:p w14:paraId="635EF34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具体内容如下:</w:t>
      </w:r>
      <w:r>
        <w:rPr>
          <w:rFonts w:hint="eastAsia" w:ascii="宋体" w:hAnsi="宋体" w:eastAsia="宋体" w:cs="宋体"/>
          <w:sz w:val="21"/>
          <w:szCs w:val="21"/>
          <w:highlight w:val="none"/>
          <w:lang w:eastAsia="zh-CN"/>
        </w:rPr>
        <w:t xml:space="preserve"> 城区道路清扫保洁、机械化清扫；垃圾清运；控尘保湿作业；按要求开展生活垃圾分类，配合餐厨垃圾收运，各类环卫设施设备的日常运行维护，</w:t>
      </w:r>
      <w:r>
        <w:rPr>
          <w:rFonts w:hint="eastAsia" w:ascii="宋体" w:hAnsi="宋体" w:eastAsia="宋体" w:cs="宋体"/>
          <w:sz w:val="21"/>
          <w:szCs w:val="21"/>
          <w:highlight w:val="none"/>
        </w:rPr>
        <w:t>冬季主干道的除雪</w:t>
      </w:r>
      <w:r>
        <w:rPr>
          <w:rFonts w:hint="eastAsia" w:ascii="宋体" w:hAnsi="宋体" w:eastAsia="宋体" w:cs="宋体"/>
          <w:sz w:val="21"/>
          <w:szCs w:val="21"/>
          <w:highlight w:val="none"/>
          <w:lang w:eastAsia="zh-CN"/>
        </w:rPr>
        <w:t>、除冰</w:t>
      </w:r>
      <w:r>
        <w:rPr>
          <w:rFonts w:hint="eastAsia" w:ascii="宋体" w:hAnsi="宋体" w:eastAsia="宋体" w:cs="宋体"/>
          <w:sz w:val="21"/>
          <w:szCs w:val="21"/>
          <w:highlight w:val="none"/>
        </w:rPr>
        <w:t>等应急保障工作</w:t>
      </w:r>
      <w:r>
        <w:rPr>
          <w:rFonts w:hint="eastAsia" w:ascii="宋体" w:hAnsi="宋体" w:eastAsia="宋体" w:cs="宋体"/>
          <w:sz w:val="21"/>
          <w:szCs w:val="21"/>
          <w:highlight w:val="none"/>
          <w:lang w:eastAsia="zh-CN"/>
        </w:rPr>
        <w:t>，以及与环卫相关的其他工作等</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合同范围内国、</w:t>
      </w:r>
      <w:r>
        <w:rPr>
          <w:rFonts w:hint="eastAsia" w:ascii="宋体" w:hAnsi="宋体" w:eastAsia="宋体" w:cs="宋体"/>
          <w:sz w:val="21"/>
          <w:szCs w:val="21"/>
          <w:highlight w:val="none"/>
        </w:rPr>
        <w:t>省、县、乡公路的机械化清扫与保洁及护栏清洗;</w:t>
      </w:r>
      <w:r>
        <w:rPr>
          <w:rFonts w:hint="eastAsia" w:ascii="宋体" w:hAnsi="宋体" w:eastAsia="宋体" w:cs="宋体"/>
          <w:sz w:val="21"/>
          <w:szCs w:val="21"/>
          <w:highlight w:val="none"/>
          <w:lang w:eastAsia="zh-CN"/>
        </w:rPr>
        <w:t xml:space="preserve"> 控尘保湿作业；</w:t>
      </w:r>
      <w:r>
        <w:rPr>
          <w:rFonts w:hint="eastAsia" w:ascii="宋体" w:hAnsi="宋体" w:eastAsia="宋体" w:cs="宋体"/>
          <w:sz w:val="21"/>
          <w:szCs w:val="21"/>
          <w:highlight w:val="none"/>
        </w:rPr>
        <w:t>农村道路两侧、广场游园、公共区域、公厕</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清扫与保洁;满足农村垃圾收集设施的建设投放;农村环卫设施、垃圾收运设施设备的日常运行维护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农村生活垃圾的收集、清理和运输;冬季镇村主干道的除雪</w:t>
      </w:r>
      <w:r>
        <w:rPr>
          <w:rFonts w:hint="eastAsia" w:ascii="宋体" w:hAnsi="宋体" w:eastAsia="宋体" w:cs="宋体"/>
          <w:sz w:val="21"/>
          <w:szCs w:val="21"/>
          <w:highlight w:val="none"/>
          <w:lang w:eastAsia="zh-CN"/>
        </w:rPr>
        <w:t>等应急保障工作。</w:t>
      </w:r>
    </w:p>
    <w:p w14:paraId="69E99F5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三、考核项目和内容</w:t>
      </w:r>
    </w:p>
    <w:p w14:paraId="3B07F9C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详见《博爱县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考核评分细则》。</w:t>
      </w:r>
    </w:p>
    <w:p w14:paraId="096BFF03">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四、考核方式</w:t>
      </w:r>
    </w:p>
    <w:p w14:paraId="199DB578">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（一）乡镇属地考核评分。</w:t>
      </w:r>
      <w:r>
        <w:rPr>
          <w:rFonts w:hint="eastAsia" w:ascii="宋体" w:hAnsi="宋体" w:eastAsia="宋体" w:cs="宋体"/>
          <w:sz w:val="21"/>
          <w:szCs w:val="21"/>
          <w:highlight w:val="none"/>
        </w:rPr>
        <w:t>各乡镇(街道)要履行辖区属地监管督导职责，成立专业队伍，每周不定时对辖区内保洁公司作业情况进行督导巡查。发现问题，随时拍照(水印)，及时向保洁公司下达整改通知，明确整改内容、整改时限(2小时内)和整改标准，并按时限要求复核整改情况;对未按要求整改的，存档备查，作为周督查的扣分依据。每月最后一周根据周督查和月考评情况计算出当月得分情况(百分制)，经乡镇(街道)分管领导、具办人签字盖章后报至县</w:t>
      </w:r>
      <w:r>
        <w:rPr>
          <w:rFonts w:hint="eastAsia" w:ascii="宋体" w:hAnsi="宋体" w:eastAsia="宋体" w:cs="宋体"/>
          <w:sz w:val="21"/>
          <w:szCs w:val="21"/>
          <w:highlight w:val="none"/>
          <w:lang w:eastAsia="zh-CN"/>
        </w:rPr>
        <w:t>全域环卫市场化工作专班</w:t>
      </w:r>
      <w:r>
        <w:rPr>
          <w:rFonts w:hint="eastAsia" w:ascii="宋体" w:hAnsi="宋体" w:eastAsia="宋体" w:cs="宋体"/>
          <w:sz w:val="21"/>
          <w:szCs w:val="21"/>
          <w:highlight w:val="none"/>
        </w:rPr>
        <w:t>，作为县级月考核的扣分依据。乡镇(街道)考评占月考核40%分值。</w:t>
      </w:r>
    </w:p>
    <w:p w14:paraId="3969090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（二）县级综合考核评分。</w:t>
      </w:r>
      <w:r>
        <w:rPr>
          <w:rFonts w:hint="eastAsia" w:ascii="宋体" w:hAnsi="宋体" w:eastAsia="宋体" w:cs="宋体"/>
          <w:sz w:val="21"/>
          <w:szCs w:val="21"/>
          <w:highlight w:val="none"/>
        </w:rPr>
        <w:t>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工作</w:t>
      </w:r>
      <w:r>
        <w:rPr>
          <w:rFonts w:hint="eastAsia" w:ascii="宋体" w:hAnsi="宋体" w:eastAsia="宋体" w:cs="宋体"/>
          <w:sz w:val="21"/>
          <w:szCs w:val="21"/>
          <w:highlight w:val="none"/>
          <w:lang w:eastAsia="zh-CN"/>
        </w:rPr>
        <w:t>专班</w:t>
      </w:r>
      <w:r>
        <w:rPr>
          <w:rFonts w:hint="eastAsia" w:ascii="宋体" w:hAnsi="宋体" w:eastAsia="宋体" w:cs="宋体"/>
          <w:sz w:val="21"/>
          <w:szCs w:val="21"/>
          <w:highlight w:val="none"/>
        </w:rPr>
        <w:t>成员单位要认真履行行业监管督导职贵，成立专门队伍，每周不定期对保洁公司人员</w:t>
      </w:r>
      <w:r>
        <w:rPr>
          <w:rFonts w:hint="eastAsia" w:ascii="宋体" w:hAnsi="宋体" w:eastAsia="宋体" w:cs="宋体"/>
          <w:sz w:val="21"/>
          <w:szCs w:val="21"/>
          <w:highlight w:val="none"/>
          <w:lang w:eastAsia="zh-CN"/>
        </w:rPr>
        <w:t>车辆</w:t>
      </w:r>
      <w:r>
        <w:rPr>
          <w:rFonts w:hint="eastAsia" w:ascii="宋体" w:hAnsi="宋体" w:eastAsia="宋体" w:cs="宋体"/>
          <w:sz w:val="21"/>
          <w:szCs w:val="21"/>
          <w:highlight w:val="none"/>
        </w:rPr>
        <w:t>配备情况、作业情况和运行情况进行督导、发现问题及时向保洁公司下达整改通知，明确整改要求和时限。对未按要求整改到位的存档备查，作为周督查的扣分依据。县</w:t>
      </w:r>
      <w:r>
        <w:rPr>
          <w:rFonts w:hint="eastAsia" w:ascii="宋体" w:hAnsi="宋体" w:eastAsia="宋体" w:cs="宋体"/>
          <w:sz w:val="21"/>
          <w:szCs w:val="21"/>
          <w:highlight w:val="none"/>
          <w:lang w:eastAsia="zh-CN"/>
        </w:rPr>
        <w:t>全域环卫市场化专班</w:t>
      </w:r>
      <w:r>
        <w:rPr>
          <w:rFonts w:hint="eastAsia" w:ascii="宋体" w:hAnsi="宋体" w:eastAsia="宋体" w:cs="宋体"/>
          <w:sz w:val="21"/>
          <w:szCs w:val="21"/>
          <w:highlight w:val="none"/>
        </w:rPr>
        <w:t>办公室牵头，抽调城管局</w:t>
      </w:r>
      <w:r>
        <w:rPr>
          <w:rFonts w:hint="eastAsia" w:ascii="宋体" w:hAnsi="宋体" w:eastAsia="宋体" w:cs="宋体"/>
          <w:sz w:val="21"/>
          <w:szCs w:val="21"/>
          <w:highlight w:val="none"/>
          <w:lang w:eastAsia="zh-CN"/>
        </w:rPr>
        <w:t>、农业农村局、</w:t>
      </w:r>
      <w:r>
        <w:rPr>
          <w:rFonts w:hint="eastAsia" w:ascii="宋体" w:hAnsi="宋体" w:eastAsia="宋体" w:cs="宋体"/>
          <w:sz w:val="21"/>
          <w:szCs w:val="21"/>
          <w:highlight w:val="none"/>
        </w:rPr>
        <w:t>爱卫中心</w:t>
      </w:r>
      <w:r>
        <w:rPr>
          <w:rFonts w:hint="eastAsia" w:ascii="宋体" w:hAnsi="宋体" w:eastAsia="宋体" w:cs="宋体"/>
          <w:sz w:val="21"/>
          <w:szCs w:val="21"/>
          <w:highlight w:val="none"/>
          <w:lang w:eastAsia="zh-CN"/>
        </w:rPr>
        <w:t>等单位人员每月对保洁公司作业情况</w:t>
      </w:r>
      <w:r>
        <w:rPr>
          <w:rFonts w:hint="eastAsia" w:ascii="宋体" w:hAnsi="宋体" w:eastAsia="宋体" w:cs="宋体"/>
          <w:sz w:val="21"/>
          <w:szCs w:val="21"/>
          <w:highlight w:val="none"/>
        </w:rPr>
        <w:t>进行百分制考核，每个乡镇考核抽查村街不少于</w:t>
      </w:r>
      <w:r>
        <w:rPr>
          <w:rFonts w:hint="eastAsia" w:ascii="宋体" w:hAnsi="宋体" w:eastAsia="宋体" w:cs="宋体"/>
          <w:sz w:val="21"/>
          <w:szCs w:val="21"/>
          <w:highlight w:val="none"/>
          <w:lang w:eastAsia="zh-CN"/>
        </w:rPr>
        <w:t>村街</w:t>
      </w:r>
      <w:r>
        <w:rPr>
          <w:rFonts w:hint="eastAsia" w:ascii="宋体" w:hAnsi="宋体" w:eastAsia="宋体" w:cs="宋体"/>
          <w:sz w:val="21"/>
          <w:szCs w:val="21"/>
          <w:highlight w:val="none"/>
        </w:rPr>
        <w:t>总数的30%，发现问题，按照评分细则扣分，然后算出该乡镇(街道)得分。县考核乡镇(街道)的平均得分占月考核的50%分值;同时乡镇(街道)的得分情况，作为乡镇监管督查的考核依据。交通局一名班子成员带队，组织本部门专业人员对国道、省道和县道进行百分制考核打分，每次道路检查不少于3条，发现问题，按照评分细则扣分，然后算出道路考核的得分。道路考核得分占月考核的 10%分值。</w:t>
      </w:r>
    </w:p>
    <w:p w14:paraId="7321EB79">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（三）满意度调查考核。</w:t>
      </w:r>
      <w:r>
        <w:rPr>
          <w:rFonts w:hint="eastAsia" w:ascii="宋体" w:hAnsi="宋体" w:eastAsia="宋体" w:cs="宋体"/>
          <w:sz w:val="21"/>
          <w:szCs w:val="21"/>
          <w:highlight w:val="none"/>
        </w:rPr>
        <w:t>为全面掌握环卫一体化工作成效。县</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办公室每年组织两次群众满意度调查，调查时间</w:t>
      </w:r>
      <w:r>
        <w:rPr>
          <w:rFonts w:hint="eastAsia" w:ascii="宋体" w:hAnsi="宋体" w:eastAsia="宋体" w:cs="宋体"/>
          <w:sz w:val="21"/>
          <w:szCs w:val="21"/>
          <w:highlight w:val="none"/>
          <w:lang w:eastAsia="zh-CN"/>
        </w:rPr>
        <w:t>为每年6月份和12月份</w:t>
      </w:r>
      <w:r>
        <w:rPr>
          <w:rFonts w:hint="eastAsia" w:ascii="宋体" w:hAnsi="宋体" w:eastAsia="宋体" w:cs="宋体"/>
          <w:sz w:val="21"/>
          <w:szCs w:val="21"/>
          <w:highlight w:val="none"/>
        </w:rPr>
        <w:t>，调查结果纳入保洁公司环卫一体化年度总成绩。</w:t>
      </w:r>
    </w:p>
    <w:p w14:paraId="03AB6FB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五、奖惩办法</w:t>
      </w:r>
    </w:p>
    <w:p w14:paraId="776619A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（一）</w:t>
      </w:r>
      <w:r>
        <w:rPr>
          <w:rFonts w:hint="eastAsia" w:ascii="宋体" w:hAnsi="宋体" w:eastAsia="宋体" w:cs="宋体"/>
          <w:sz w:val="21"/>
          <w:szCs w:val="21"/>
          <w:highlight w:val="none"/>
          <w:u w:val="single"/>
        </w:rPr>
        <w:t>季度综合考核成绩在90分以上(含90分)正常拨付本季承包费;季度综合考核成绩在85-90分(含85分)扣</w:t>
      </w:r>
      <w:r>
        <w:rPr>
          <w:rFonts w:hint="eastAsia" w:ascii="宋体" w:hAnsi="宋体" w:eastAsia="宋体" w:cs="宋体"/>
          <w:sz w:val="21"/>
          <w:szCs w:val="21"/>
          <w:highlight w:val="none"/>
          <w:u w:val="single"/>
          <w:lang w:eastAsia="zh-CN"/>
        </w:rPr>
        <w:t>25</w:t>
      </w:r>
      <w:r>
        <w:rPr>
          <w:rFonts w:hint="eastAsia" w:ascii="宋体" w:hAnsi="宋体" w:eastAsia="宋体" w:cs="宋体"/>
          <w:sz w:val="21"/>
          <w:szCs w:val="21"/>
          <w:highlight w:val="none"/>
          <w:u w:val="single"/>
        </w:rPr>
        <w:t>万元;季度综合考核成绩在80-85分(含80分)扣</w:t>
      </w:r>
      <w:r>
        <w:rPr>
          <w:rFonts w:hint="eastAsia" w:ascii="宋体" w:hAnsi="宋体" w:eastAsia="宋体" w:cs="宋体"/>
          <w:sz w:val="21"/>
          <w:szCs w:val="21"/>
          <w:highlight w:val="none"/>
          <w:u w:val="single"/>
          <w:lang w:eastAsia="zh-CN"/>
        </w:rPr>
        <w:t>50</w:t>
      </w:r>
      <w:r>
        <w:rPr>
          <w:rFonts w:hint="eastAsia" w:ascii="宋体" w:hAnsi="宋体" w:eastAsia="宋体" w:cs="宋体"/>
          <w:sz w:val="21"/>
          <w:szCs w:val="21"/>
          <w:highlight w:val="none"/>
          <w:u w:val="single"/>
        </w:rPr>
        <w:t>万元;季度综合考核成绩在75-80分(含75分)扣</w:t>
      </w:r>
      <w:r>
        <w:rPr>
          <w:rFonts w:hint="eastAsia" w:ascii="宋体" w:hAnsi="宋体" w:eastAsia="宋体" w:cs="宋体"/>
          <w:sz w:val="21"/>
          <w:szCs w:val="21"/>
          <w:highlight w:val="none"/>
          <w:u w:val="single"/>
          <w:lang w:eastAsia="zh-CN"/>
        </w:rPr>
        <w:t>1</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u w:val="single"/>
          <w:lang w:eastAsia="zh-CN"/>
        </w:rPr>
        <w:t>0</w:t>
      </w:r>
      <w:r>
        <w:rPr>
          <w:rFonts w:hint="eastAsia" w:ascii="宋体" w:hAnsi="宋体" w:eastAsia="宋体" w:cs="宋体"/>
          <w:sz w:val="21"/>
          <w:szCs w:val="21"/>
          <w:highlight w:val="none"/>
          <w:u w:val="single"/>
        </w:rPr>
        <w:t>万元;季度综合考核成绩在70-75分(含70分)扣</w:t>
      </w:r>
      <w:r>
        <w:rPr>
          <w:rFonts w:hint="eastAsia" w:ascii="宋体" w:hAnsi="宋体" w:eastAsia="宋体" w:cs="宋体"/>
          <w:sz w:val="21"/>
          <w:szCs w:val="21"/>
          <w:highlight w:val="none"/>
          <w:u w:val="single"/>
          <w:lang w:eastAsia="zh-CN"/>
        </w:rPr>
        <w:t>2</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u w:val="single"/>
          <w:lang w:eastAsia="zh-CN"/>
        </w:rPr>
        <w:t>0</w:t>
      </w:r>
      <w:r>
        <w:rPr>
          <w:rFonts w:hint="eastAsia" w:ascii="宋体" w:hAnsi="宋体" w:eastAsia="宋体" w:cs="宋体"/>
          <w:sz w:val="21"/>
          <w:szCs w:val="21"/>
          <w:highlight w:val="none"/>
          <w:u w:val="single"/>
        </w:rPr>
        <w:t>万元;季度综合考核成绩在70分以下的扣拨当季全部承包费，并对保洁公司给予警告;年度评估低</w:t>
      </w:r>
      <w:r>
        <w:rPr>
          <w:rFonts w:hint="eastAsia" w:ascii="宋体" w:hAnsi="宋体" w:eastAsia="宋体" w:cs="宋体"/>
          <w:sz w:val="21"/>
          <w:szCs w:val="21"/>
          <w:highlight w:val="none"/>
          <w:u w:val="single"/>
          <w:lang w:eastAsia="zh-CN"/>
        </w:rPr>
        <w:t>于75分以下的，或连续两次季度综合考核低于70分的，及时清</w:t>
      </w:r>
      <w:r>
        <w:rPr>
          <w:rFonts w:hint="eastAsia" w:ascii="宋体" w:hAnsi="宋体" w:eastAsia="宋体" w:cs="宋体"/>
          <w:sz w:val="21"/>
          <w:szCs w:val="21"/>
          <w:highlight w:val="none"/>
          <w:u w:val="single"/>
        </w:rPr>
        <w:t>算退出，重新招标保洁公司。</w:t>
      </w:r>
    </w:p>
    <w:p w14:paraId="775972B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工作被县级以上通报批评或媒体曝光的，一次分别扣</w:t>
      </w:r>
      <w:r>
        <w:rPr>
          <w:rFonts w:hint="eastAsia" w:ascii="宋体" w:hAnsi="宋体" w:eastAsia="宋体" w:cs="宋体"/>
          <w:sz w:val="21"/>
          <w:szCs w:val="21"/>
          <w:highlight w:val="none"/>
          <w:lang w:eastAsia="zh-CN"/>
        </w:rPr>
        <w:t>1</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eastAsia="zh-CN"/>
        </w:rPr>
        <w:t>（县级）</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3</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eastAsia="zh-CN"/>
        </w:rPr>
        <w:t>（市级）</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5</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eastAsia="zh-CN"/>
        </w:rPr>
        <w:t>（省级）</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10</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eastAsia="zh-CN"/>
        </w:rPr>
        <w:t>（国家）；保洁、控尘等工作不力，导致被市级部门问责的，除对相关责任人进行处理外，对保洁公司扣20万元；</w:t>
      </w:r>
      <w:r>
        <w:rPr>
          <w:rFonts w:hint="eastAsia" w:ascii="宋体" w:hAnsi="宋体" w:eastAsia="宋体" w:cs="宋体"/>
          <w:sz w:val="21"/>
          <w:szCs w:val="21"/>
          <w:highlight w:val="none"/>
        </w:rPr>
        <w:t>被县级以上单位或媒体通报表扬的，给予一定的奖励。</w:t>
      </w:r>
    </w:p>
    <w:p w14:paraId="5D9EA2E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（三）</w:t>
      </w:r>
      <w:r>
        <w:rPr>
          <w:rFonts w:hint="eastAsia" w:ascii="宋体" w:hAnsi="宋体" w:eastAsia="宋体" w:cs="宋体"/>
          <w:sz w:val="21"/>
          <w:szCs w:val="21"/>
          <w:highlight w:val="none"/>
        </w:rPr>
        <w:t>每半年组织成员单位对环卫一体化工作进行暗访检查。对问题比较突出、检查问题没有及时整改的直接在季度考核中扣分，同时对所在乡镇予以通报批评。</w:t>
      </w:r>
    </w:p>
    <w:p w14:paraId="7EF1BCB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（四）</w:t>
      </w:r>
      <w:r>
        <w:rPr>
          <w:rFonts w:hint="eastAsia" w:ascii="宋体" w:hAnsi="宋体" w:eastAsia="宋体" w:cs="宋体"/>
          <w:sz w:val="21"/>
          <w:szCs w:val="21"/>
          <w:highlight w:val="none"/>
        </w:rPr>
        <w:t>扣罚保洁公司的承包费，主要用于城乡环境卫生集中整治和</w:t>
      </w:r>
      <w:r>
        <w:rPr>
          <w:rFonts w:hint="eastAsia" w:ascii="宋体" w:hAnsi="宋体" w:eastAsia="宋体" w:cs="宋体"/>
          <w:sz w:val="21"/>
          <w:szCs w:val="21"/>
          <w:highlight w:val="none"/>
          <w:lang w:eastAsia="zh-CN"/>
        </w:rPr>
        <w:t>全域环卫市场化</w:t>
      </w:r>
      <w:r>
        <w:rPr>
          <w:rFonts w:hint="eastAsia" w:ascii="宋体" w:hAnsi="宋体" w:eastAsia="宋体" w:cs="宋体"/>
          <w:sz w:val="21"/>
          <w:szCs w:val="21"/>
          <w:highlight w:val="none"/>
        </w:rPr>
        <w:t>工作成绩突出的乡镇(街道)、单位的奖励。</w:t>
      </w:r>
    </w:p>
    <w:p w14:paraId="7D6EBDE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六</w:t>
      </w:r>
      <w:r>
        <w:rPr>
          <w:rFonts w:hint="eastAsia" w:ascii="宋体" w:hAnsi="宋体" w:eastAsia="宋体" w:cs="宋体"/>
          <w:b/>
          <w:bCs/>
          <w:sz w:val="21"/>
          <w:szCs w:val="21"/>
          <w:highlight w:val="none"/>
        </w:rPr>
        <w:t>、考核结果运用</w:t>
      </w:r>
    </w:p>
    <w:p w14:paraId="3B1D3459">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（一）每月考核成绩由县</w:t>
      </w:r>
      <w:r>
        <w:rPr>
          <w:rFonts w:hint="eastAsia" w:ascii="宋体" w:hAnsi="宋体" w:eastAsia="宋体" w:cs="宋体"/>
          <w:sz w:val="21"/>
          <w:szCs w:val="21"/>
          <w:highlight w:val="none"/>
          <w:lang w:eastAsia="zh-CN"/>
        </w:rPr>
        <w:t>全域环卫市场化专班</w:t>
      </w:r>
      <w:r>
        <w:rPr>
          <w:rFonts w:hint="eastAsia" w:ascii="宋体" w:hAnsi="宋体" w:eastAsia="宋体" w:cs="宋体"/>
          <w:sz w:val="21"/>
          <w:szCs w:val="21"/>
          <w:highlight w:val="none"/>
        </w:rPr>
        <w:t>办公室汇总后上报有关领导。</w:t>
      </w:r>
    </w:p>
    <w:p w14:paraId="56007D8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（二）县</w:t>
      </w:r>
      <w:r>
        <w:rPr>
          <w:rFonts w:hint="eastAsia" w:ascii="宋体" w:hAnsi="宋体" w:eastAsia="宋体" w:cs="宋体"/>
          <w:sz w:val="21"/>
          <w:szCs w:val="21"/>
          <w:highlight w:val="none"/>
          <w:lang w:eastAsia="zh-CN"/>
        </w:rPr>
        <w:t>全域环卫市场化专班</w:t>
      </w:r>
      <w:r>
        <w:rPr>
          <w:rFonts w:hint="eastAsia" w:ascii="宋体" w:hAnsi="宋体" w:eastAsia="宋体" w:cs="宋体"/>
          <w:sz w:val="21"/>
          <w:szCs w:val="21"/>
          <w:highlight w:val="none"/>
        </w:rPr>
        <w:t>办公室汇总三个月考核成绩加权平均后计算季度得分，作为承包作业费结算及奖惩依据。并及时将考核成绩、存在问题及工作重点以简报形式予以通报。</w:t>
      </w:r>
    </w:p>
    <w:p w14:paraId="2EAD8A2A">
      <w:pPr>
        <w:pStyle w:val="19"/>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ascii="仿宋" w:hAnsi="仿宋" w:eastAsia="仿宋" w:cs="仿宋"/>
          <w:sz w:val="32"/>
          <w:szCs w:val="32"/>
          <w:highlight w:val="none"/>
        </w:rPr>
      </w:pPr>
      <w:r>
        <w:rPr>
          <w:rFonts w:hint="eastAsia" w:ascii="宋体" w:hAnsi="宋体" w:eastAsia="宋体" w:cs="宋体"/>
          <w:kern w:val="2"/>
          <w:sz w:val="21"/>
          <w:szCs w:val="21"/>
          <w:highlight w:val="none"/>
          <w:lang w:eastAsia="zh-CN"/>
        </w:rPr>
        <w:t>本考核奖惩办法自印发之日起执行，原考核奖惩办法自行废除，由县全域环卫市场化专班办公室负责解释。</w:t>
      </w:r>
    </w:p>
    <w:p w14:paraId="41644258">
      <w:pPr>
        <w:jc w:val="center"/>
        <w:rPr>
          <w:rFonts w:ascii="仿宋" w:hAnsi="仿宋" w:eastAsia="仿宋" w:cs="仿宋"/>
          <w:sz w:val="36"/>
          <w:szCs w:val="36"/>
          <w:highlight w:val="none"/>
        </w:rPr>
      </w:pPr>
      <w:r>
        <w:rPr>
          <w:rFonts w:hint="eastAsia" w:ascii="仿宋" w:hAnsi="仿宋" w:eastAsia="仿宋" w:cs="仿宋"/>
          <w:sz w:val="32"/>
          <w:szCs w:val="32"/>
          <w:highlight w:val="none"/>
        </w:rPr>
        <w:br w:type="page"/>
      </w:r>
      <w:r>
        <w:rPr>
          <w:rFonts w:hint="eastAsia" w:ascii="方正小标宋简体" w:hAnsi="方正小标宋简体" w:eastAsia="方正小标宋简体" w:cs="方正小标宋简体"/>
          <w:b/>
          <w:bCs/>
          <w:sz w:val="32"/>
          <w:szCs w:val="32"/>
          <w:highlight w:val="none"/>
        </w:rPr>
        <w:t>博爱县</w:t>
      </w:r>
      <w:r>
        <w:rPr>
          <w:rFonts w:hint="eastAsia" w:ascii="方正小标宋简体" w:hAnsi="方正小标宋简体" w:eastAsia="方正小标宋简体" w:cs="方正小标宋简体"/>
          <w:b/>
          <w:bCs/>
          <w:sz w:val="32"/>
          <w:szCs w:val="32"/>
          <w:highlight w:val="none"/>
          <w:lang w:eastAsia="zh-CN"/>
        </w:rPr>
        <w:t>全域环卫市场化</w:t>
      </w:r>
      <w:r>
        <w:rPr>
          <w:rFonts w:hint="eastAsia" w:ascii="方正小标宋简体" w:hAnsi="方正小标宋简体" w:eastAsia="方正小标宋简体" w:cs="方正小标宋简体"/>
          <w:b/>
          <w:bCs/>
          <w:sz w:val="32"/>
          <w:szCs w:val="32"/>
          <w:highlight w:val="none"/>
        </w:rPr>
        <w:t>考核评分细则</w:t>
      </w:r>
    </w:p>
    <w:p w14:paraId="22DAD13C">
      <w:pPr>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1"/>
          <w:szCs w:val="21"/>
          <w:highlight w:val="none"/>
          <w:lang w:val="en-US" w:eastAsia="zh-CN"/>
        </w:rPr>
      </w:pPr>
    </w:p>
    <w:p w14:paraId="520CD4F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一、</w:t>
      </w:r>
      <w:r>
        <w:rPr>
          <w:rFonts w:hint="eastAsia" w:ascii="宋体" w:hAnsi="宋体" w:eastAsia="宋体" w:cs="宋体"/>
          <w:b/>
          <w:bCs/>
          <w:sz w:val="21"/>
          <w:szCs w:val="21"/>
          <w:highlight w:val="none"/>
          <w:lang w:eastAsia="zh-CN"/>
        </w:rPr>
        <w:t>环保攻坚</w:t>
      </w:r>
      <w:r>
        <w:rPr>
          <w:rFonts w:hint="eastAsia" w:ascii="宋体" w:hAnsi="宋体" w:eastAsia="宋体" w:cs="宋体"/>
          <w:b/>
          <w:bCs/>
          <w:sz w:val="21"/>
          <w:szCs w:val="21"/>
          <w:highlight w:val="none"/>
        </w:rPr>
        <w:t>道路机械作业（</w:t>
      </w:r>
      <w:r>
        <w:rPr>
          <w:rFonts w:hint="eastAsia" w:ascii="宋体" w:hAnsi="宋体" w:eastAsia="宋体" w:cs="宋体"/>
          <w:b/>
          <w:bCs/>
          <w:sz w:val="21"/>
          <w:szCs w:val="21"/>
          <w:highlight w:val="none"/>
          <w:lang w:eastAsia="zh-CN"/>
        </w:rPr>
        <w:t>2</w:t>
      </w:r>
      <w:r>
        <w:rPr>
          <w:rFonts w:hint="eastAsia" w:ascii="宋体" w:hAnsi="宋体" w:eastAsia="宋体" w:cs="宋体"/>
          <w:b/>
          <w:bCs/>
          <w:sz w:val="21"/>
          <w:szCs w:val="21"/>
          <w:highlight w:val="none"/>
        </w:rPr>
        <w:t>0分）</w:t>
      </w:r>
    </w:p>
    <w:p w14:paraId="627AE42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1、城区：</w:t>
      </w:r>
    </w:p>
    <w:p w14:paraId="770E290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 xml:space="preserve">主干道、重点区域每日至少进行 </w:t>
      </w:r>
      <w:r>
        <w:rPr>
          <w:rFonts w:hint="eastAsia" w:ascii="宋体" w:hAnsi="宋体" w:eastAsia="宋体" w:cs="宋体"/>
          <w:sz w:val="21"/>
          <w:szCs w:val="21"/>
          <w:highlight w:val="none"/>
          <w:lang w:eastAsia="zh-CN"/>
        </w:rPr>
        <w:t>6</w:t>
      </w:r>
      <w:r>
        <w:rPr>
          <w:rFonts w:hint="eastAsia" w:ascii="宋体" w:hAnsi="宋体" w:eastAsia="宋体" w:cs="宋体"/>
          <w:sz w:val="21"/>
          <w:szCs w:val="21"/>
          <w:highlight w:val="none"/>
        </w:rPr>
        <w:t>次 机械化洗扫、冲洗和洒水作业（如：早高峰前、中午、下午）。次干道、支路每日至少进行</w:t>
      </w:r>
      <w:r>
        <w:rPr>
          <w:rFonts w:hint="eastAsia" w:ascii="宋体" w:hAnsi="宋体" w:eastAsia="宋体" w:cs="宋体"/>
          <w:sz w:val="21"/>
          <w:szCs w:val="21"/>
          <w:highlight w:val="none"/>
          <w:lang w:eastAsia="zh-CN"/>
        </w:rPr>
        <w:t>2</w:t>
      </w:r>
      <w:r>
        <w:rPr>
          <w:rFonts w:hint="eastAsia" w:ascii="宋体" w:hAnsi="宋体" w:eastAsia="宋体" w:cs="宋体"/>
          <w:sz w:val="21"/>
          <w:szCs w:val="21"/>
          <w:highlight w:val="none"/>
        </w:rPr>
        <w:t>次 机械化洗扫和洒水作业。</w:t>
      </w:r>
      <w:r>
        <w:rPr>
          <w:rFonts w:hint="eastAsia" w:ascii="宋体" w:hAnsi="宋体" w:eastAsia="宋体" w:cs="宋体"/>
          <w:sz w:val="21"/>
          <w:szCs w:val="21"/>
          <w:highlight w:val="none"/>
          <w:lang w:eastAsia="zh-CN"/>
        </w:rPr>
        <w:t>特殊情况按照专家调度作业，并保证时间、效果双达标。详见《博爱县城区</w:t>
      </w:r>
      <w:r>
        <w:rPr>
          <w:rFonts w:hint="eastAsia" w:ascii="宋体" w:hAnsi="宋体" w:eastAsia="宋体" w:cs="宋体"/>
          <w:sz w:val="21"/>
          <w:szCs w:val="21"/>
          <w:highlight w:val="none"/>
        </w:rPr>
        <w:t>道路控尘保湿工作要求</w:t>
      </w:r>
      <w:r>
        <w:rPr>
          <w:rFonts w:hint="eastAsia" w:ascii="宋体" w:hAnsi="宋体" w:eastAsia="宋体" w:cs="宋体"/>
          <w:sz w:val="21"/>
          <w:szCs w:val="21"/>
          <w:highlight w:val="none"/>
          <w:lang w:eastAsia="zh-CN"/>
        </w:rPr>
        <w:t>》。</w:t>
      </w:r>
    </w:p>
    <w:p w14:paraId="7D1ECA2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2、农村及交通</w:t>
      </w:r>
      <w:r>
        <w:rPr>
          <w:rFonts w:hint="eastAsia" w:ascii="宋体" w:hAnsi="宋体" w:eastAsia="宋体" w:cs="宋体"/>
          <w:sz w:val="21"/>
          <w:szCs w:val="21"/>
          <w:highlight w:val="none"/>
        </w:rPr>
        <w:t>道路</w:t>
      </w:r>
      <w:r>
        <w:rPr>
          <w:rFonts w:hint="eastAsia" w:ascii="宋体" w:hAnsi="宋体" w:eastAsia="宋体" w:cs="宋体"/>
          <w:sz w:val="21"/>
          <w:szCs w:val="21"/>
          <w:highlight w:val="none"/>
          <w:lang w:eastAsia="zh-CN"/>
        </w:rPr>
        <w:t>：</w:t>
      </w:r>
    </w:p>
    <w:p w14:paraId="281E0DED">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按照环保攻坚调度要求开展相关环卫作业，并保证时间、效果双达标。</w:t>
      </w:r>
    </w:p>
    <w:p w14:paraId="58AB8C59">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1"/>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国道G327连固线青天河路至沁阳</w:t>
      </w:r>
      <w:r>
        <w:rPr>
          <w:rFonts w:hint="eastAsia" w:ascii="宋体" w:hAnsi="宋体" w:eastAsia="宋体" w:cs="宋体"/>
          <w:sz w:val="21"/>
          <w:szCs w:val="21"/>
          <w:highlight w:val="none"/>
          <w:lang w:eastAsia="zh-CN"/>
        </w:rPr>
        <w:t>段</w:t>
      </w:r>
      <w:r>
        <w:rPr>
          <w:rFonts w:hint="eastAsia" w:ascii="宋体" w:hAnsi="宋体" w:eastAsia="宋体" w:cs="宋体"/>
          <w:color w:val="auto"/>
          <w:sz w:val="21"/>
          <w:szCs w:val="21"/>
          <w:highlight w:val="none"/>
        </w:rPr>
        <w:t xml:space="preserve">全天候巡回保洁 </w:t>
      </w:r>
    </w:p>
    <w:p w14:paraId="7FDFEEBB">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作业时间：7：00-11：00、14：00-18：00保洁</w:t>
      </w:r>
    </w:p>
    <w:p w14:paraId="7C2140C0">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重点路段保洁时间全天候。</w:t>
      </w:r>
    </w:p>
    <w:p w14:paraId="2F562A04">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1"/>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省道S104郑沁线、S235F博许线、S307卫济线、S310长邵线</w:t>
      </w:r>
    </w:p>
    <w:p w14:paraId="3C514D6A">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作业时间：7：00-11：00、14：00-18：00保洁</w:t>
      </w:r>
    </w:p>
    <w:p w14:paraId="73908A0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重点路段夜保时间延长至4：00-22：00。</w:t>
      </w:r>
    </w:p>
    <w:p w14:paraId="5D6C2344">
      <w:pPr>
        <w:pStyle w:val="19"/>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县、乡道路</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 xml:space="preserve"> </w:t>
      </w:r>
    </w:p>
    <w:p w14:paraId="2261DD44">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sz w:val="21"/>
          <w:szCs w:val="21"/>
          <w:highlight w:val="none"/>
          <w:lang w:eastAsia="zh-CN"/>
        </w:rPr>
        <w:t>作业时间：7：00-11：</w:t>
      </w:r>
      <w:r>
        <w:rPr>
          <w:rFonts w:hint="eastAsia" w:ascii="宋体" w:hAnsi="宋体" w:eastAsia="宋体" w:cs="宋体"/>
          <w:color w:val="auto"/>
          <w:sz w:val="21"/>
          <w:szCs w:val="21"/>
          <w:highlight w:val="none"/>
          <w:lang w:eastAsia="zh-CN"/>
        </w:rPr>
        <w:t>00、14：00-18：00保洁</w:t>
      </w:r>
    </w:p>
    <w:p w14:paraId="3F9323F3">
      <w:pPr>
        <w:pStyle w:val="20"/>
        <w:pageBreakBefore w:val="0"/>
        <w:widowControl w:val="0"/>
        <w:tabs>
          <w:tab w:val="left" w:pos="945"/>
          <w:tab w:val="left" w:pos="1155"/>
        </w:tabs>
        <w:kinsoku/>
        <w:wordWrap/>
        <w:overflowPunct/>
        <w:topLinePunct w:val="0"/>
        <w:autoSpaceDE/>
        <w:autoSpaceDN/>
        <w:bidi w:val="0"/>
        <w:adjustRightInd/>
        <w:snapToGrid/>
        <w:spacing w:line="440" w:lineRule="exact"/>
        <w:ind w:firstLine="64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重点路段夜保时间延长至4：00-22：00。</w:t>
      </w:r>
    </w:p>
    <w:p w14:paraId="4F5AE441">
      <w:pPr>
        <w:pStyle w:val="19"/>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详见附件8《交通道路保洁工作实施方案与细则》。</w:t>
      </w:r>
    </w:p>
    <w:p w14:paraId="112138DB">
      <w:pPr>
        <w:pageBreakBefore w:val="0"/>
        <w:widowControl w:val="0"/>
        <w:numPr>
          <w:ilvl w:val="0"/>
          <w:numId w:val="6"/>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未按照要求配备车辆的每次扣10分。</w:t>
      </w:r>
    </w:p>
    <w:p w14:paraId="39E47EB6">
      <w:pPr>
        <w:pageBreakBefore w:val="0"/>
        <w:widowControl w:val="0"/>
        <w:numPr>
          <w:ilvl w:val="0"/>
          <w:numId w:val="6"/>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车辆状况不良，不能按要求正常作业的每次扣5分。</w:t>
      </w:r>
    </w:p>
    <w:p w14:paraId="40548D1F">
      <w:pPr>
        <w:pageBreakBefore w:val="0"/>
        <w:widowControl w:val="0"/>
        <w:numPr>
          <w:ilvl w:val="0"/>
          <w:numId w:val="6"/>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未按照要求配备足额驾驶员的，每次扣2分。</w:t>
      </w:r>
    </w:p>
    <w:p w14:paraId="532096AC">
      <w:pPr>
        <w:pageBreakBefore w:val="0"/>
        <w:widowControl w:val="0"/>
        <w:numPr>
          <w:ilvl w:val="0"/>
          <w:numId w:val="6"/>
        </w:numPr>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不按规定开展机械化作业的每次扣2分。</w:t>
      </w:r>
    </w:p>
    <w:p w14:paraId="52042637">
      <w:pPr>
        <w:pStyle w:val="19"/>
        <w:pageBreakBefore w:val="0"/>
        <w:widowControl w:val="0"/>
        <w:kinsoku/>
        <w:wordWrap/>
        <w:overflowPunct/>
        <w:topLinePunct w:val="0"/>
        <w:autoSpaceDE/>
        <w:autoSpaceDN/>
        <w:bidi w:val="0"/>
        <w:adjustRightInd/>
        <w:snapToGrid/>
        <w:spacing w:line="440" w:lineRule="exact"/>
        <w:ind w:firstLine="32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  7、不按照专家调度进行作业的每次扣2分。</w:t>
      </w:r>
    </w:p>
    <w:p w14:paraId="2CAAA404">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二、道路人工作业（</w:t>
      </w:r>
      <w:r>
        <w:rPr>
          <w:rFonts w:hint="eastAsia" w:ascii="宋体" w:hAnsi="宋体" w:eastAsia="宋体" w:cs="宋体"/>
          <w:b/>
          <w:bCs/>
          <w:sz w:val="21"/>
          <w:szCs w:val="21"/>
          <w:highlight w:val="none"/>
          <w:lang w:eastAsia="zh-CN"/>
        </w:rPr>
        <w:t>2</w:t>
      </w:r>
      <w:r>
        <w:rPr>
          <w:rFonts w:hint="eastAsia" w:ascii="宋体" w:hAnsi="宋体" w:eastAsia="宋体" w:cs="宋体"/>
          <w:b/>
          <w:bCs/>
          <w:sz w:val="21"/>
          <w:szCs w:val="21"/>
          <w:highlight w:val="none"/>
        </w:rPr>
        <w:t>0分）</w:t>
      </w:r>
    </w:p>
    <w:p w14:paraId="6690795A">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路面、人行道每天须进行普扫，乡镇（街道办）政府行政区域每天保持两次普扫，村内道路每天保持一次普扫，各路段全天保洁，达不到保洁频次的每天扣0.2分。</w:t>
      </w:r>
    </w:p>
    <w:p w14:paraId="783C653F">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清扫、保洁时间：夏、秋季8:00—12:00，14:00—18:00；春、冬季：8:00—12:00，13:30—17:30。村街保洁应做到一天一扫，定时保洁，达不到保洁时间的每天扣0.2分。</w:t>
      </w:r>
    </w:p>
    <w:p w14:paraId="3FC8F4E2">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所有道路必须在早晨7：00前完成普扫（随季节不同进行调整），并全天保洁，不按规定作业每次每处扣0.2分。</w:t>
      </w:r>
    </w:p>
    <w:p w14:paraId="25A4220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普扫和保洁作业时采用防扬尘扫把、密闭式搓兜巡回保洁，避免给过路行人和车辆带来不便，不按规定作业的每次每处扣0.2分。</w:t>
      </w:r>
    </w:p>
    <w:p w14:paraId="47D73DC2">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市政道路清扫保洁率达到100%，漏扫漏保范围10米以内，每处扣0.2分；漏扫漏保范围10米—50米的每处扣0.5分；漏扫漏保范围50米以上的每处扣1分。</w:t>
      </w:r>
    </w:p>
    <w:p w14:paraId="51FFB330">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、国、</w:t>
      </w:r>
      <w:r>
        <w:rPr>
          <w:rFonts w:hint="eastAsia" w:ascii="宋体" w:hAnsi="宋体" w:eastAsia="宋体" w:cs="宋体"/>
          <w:sz w:val="21"/>
          <w:szCs w:val="21"/>
          <w:highlight w:val="none"/>
        </w:rPr>
        <w:t>省、县、乡公路护栏下、路段道牙边有浮土、污泥的，10米以内的每处扣0.2分，10米以上的扣0.5分。</w:t>
      </w:r>
    </w:p>
    <w:p w14:paraId="48978B8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7</w:t>
      </w:r>
      <w:r>
        <w:rPr>
          <w:rFonts w:hint="eastAsia" w:ascii="宋体" w:hAnsi="宋体" w:eastAsia="宋体" w:cs="宋体"/>
          <w:bCs/>
          <w:sz w:val="21"/>
          <w:szCs w:val="21"/>
          <w:highlight w:val="none"/>
          <w:lang w:eastAsia="zh-CN"/>
        </w:rPr>
        <w:t>、国、</w:t>
      </w:r>
      <w:r>
        <w:rPr>
          <w:rFonts w:hint="eastAsia" w:ascii="宋体" w:hAnsi="宋体" w:eastAsia="宋体" w:cs="宋体"/>
          <w:bCs/>
          <w:sz w:val="21"/>
          <w:szCs w:val="21"/>
          <w:highlight w:val="none"/>
        </w:rPr>
        <w:t>省、县、乡公路路面无砂石泥土、无垃圾、无扬尘，路</w:t>
      </w:r>
      <w:r>
        <w:rPr>
          <w:rFonts w:hint="eastAsia" w:ascii="宋体" w:hAnsi="宋体" w:eastAsia="宋体" w:cs="宋体"/>
          <w:bCs/>
          <w:sz w:val="21"/>
          <w:szCs w:val="21"/>
          <w:highlight w:val="none"/>
          <w:lang w:val="en-US" w:eastAsia="zh-CN"/>
        </w:rPr>
        <w:t>肩</w:t>
      </w:r>
      <w:r>
        <w:rPr>
          <w:rFonts w:hint="eastAsia" w:ascii="宋体" w:hAnsi="宋体" w:eastAsia="宋体" w:cs="宋体"/>
          <w:bCs/>
          <w:sz w:val="21"/>
          <w:szCs w:val="21"/>
          <w:highlight w:val="none"/>
        </w:rPr>
        <w:t>边沟无杂草、无堆积物；护栏定期清洗，无积尘、污物，</w:t>
      </w:r>
      <w:r>
        <w:rPr>
          <w:rFonts w:hint="eastAsia" w:ascii="宋体" w:hAnsi="宋体" w:eastAsia="宋体" w:cs="宋体"/>
          <w:bCs/>
          <w:sz w:val="21"/>
          <w:szCs w:val="21"/>
          <w:highlight w:val="none"/>
          <w:lang w:eastAsia="zh-CN"/>
        </w:rPr>
        <w:t>超标</w:t>
      </w:r>
      <w:r>
        <w:rPr>
          <w:rFonts w:hint="eastAsia" w:ascii="宋体" w:hAnsi="宋体" w:eastAsia="宋体" w:cs="宋体"/>
          <w:bCs/>
          <w:sz w:val="21"/>
          <w:szCs w:val="21"/>
          <w:highlight w:val="none"/>
        </w:rPr>
        <w:t>一处扣0.1分。城区主次道路和城乡结合部路面尘土每平方米保持在10克以下，</w:t>
      </w:r>
      <w:r>
        <w:rPr>
          <w:rFonts w:hint="eastAsia" w:ascii="宋体" w:hAnsi="宋体" w:eastAsia="宋体" w:cs="宋体"/>
          <w:bCs/>
          <w:sz w:val="21"/>
          <w:szCs w:val="21"/>
          <w:highlight w:val="none"/>
          <w:lang w:eastAsia="zh-CN"/>
        </w:rPr>
        <w:t>超标</w:t>
      </w:r>
      <w:r>
        <w:rPr>
          <w:rFonts w:hint="eastAsia" w:ascii="宋体" w:hAnsi="宋体" w:eastAsia="宋体" w:cs="宋体"/>
          <w:bCs/>
          <w:sz w:val="21"/>
          <w:szCs w:val="21"/>
          <w:highlight w:val="none"/>
        </w:rPr>
        <w:t>一处扣0.2分。</w:t>
      </w:r>
      <w:r>
        <w:rPr>
          <w:rFonts w:hint="eastAsia" w:ascii="宋体" w:hAnsi="宋体" w:eastAsia="宋体" w:cs="宋体"/>
          <w:bCs/>
          <w:sz w:val="21"/>
          <w:szCs w:val="21"/>
          <w:highlight w:val="none"/>
          <w:lang w:eastAsia="zh-CN"/>
        </w:rPr>
        <w:t>未能</w:t>
      </w:r>
      <w:r>
        <w:rPr>
          <w:rFonts w:hint="eastAsia" w:ascii="宋体" w:hAnsi="宋体" w:eastAsia="宋体" w:cs="宋体"/>
          <w:bCs/>
          <w:sz w:val="21"/>
          <w:szCs w:val="21"/>
          <w:highlight w:val="none"/>
        </w:rPr>
        <w:t>在省、市检查评比中确保优秀格次</w:t>
      </w:r>
      <w:r>
        <w:rPr>
          <w:rFonts w:hint="eastAsia" w:ascii="宋体" w:hAnsi="宋体" w:eastAsia="宋体" w:cs="宋体"/>
          <w:bCs/>
          <w:sz w:val="21"/>
          <w:szCs w:val="21"/>
          <w:highlight w:val="none"/>
          <w:lang w:eastAsia="zh-CN"/>
        </w:rPr>
        <w:t>，一次扣2分</w:t>
      </w:r>
      <w:r>
        <w:rPr>
          <w:rFonts w:hint="eastAsia" w:ascii="宋体" w:hAnsi="宋体" w:eastAsia="宋体" w:cs="宋体"/>
          <w:bCs/>
          <w:sz w:val="21"/>
          <w:szCs w:val="21"/>
          <w:highlight w:val="none"/>
        </w:rPr>
        <w:t>。</w:t>
      </w:r>
    </w:p>
    <w:p w14:paraId="56CF2AF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路面、游园、广场、绿化带、电线杆、墙体、树穴内有烟头、纸屑、瓜果皮渣、塑料袋、小广告、砖瓦、石头、粪便、呕吐物、动物尸体、杂草等废弃物的，每处扣0.2分；有垃圾堆的，每处扣扣0.5分。</w:t>
      </w:r>
    </w:p>
    <w:p w14:paraId="0DD3CED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、国、</w:t>
      </w:r>
      <w:r>
        <w:rPr>
          <w:rFonts w:hint="eastAsia" w:ascii="宋体" w:hAnsi="宋体" w:eastAsia="宋体" w:cs="宋体"/>
          <w:sz w:val="21"/>
          <w:szCs w:val="21"/>
          <w:highlight w:val="none"/>
        </w:rPr>
        <w:t>省、县、乡道路5</w:t>
      </w:r>
      <w:r>
        <w:rPr>
          <w:rFonts w:hint="eastAsia" w:ascii="宋体" w:hAnsi="宋体" w:eastAsia="宋体" w:cs="宋体"/>
          <w:sz w:val="21"/>
          <w:szCs w:val="21"/>
          <w:highlight w:val="none"/>
          <w:lang w:eastAsia="zh-CN"/>
        </w:rPr>
        <w:t>米</w:t>
      </w:r>
      <w:r>
        <w:rPr>
          <w:rFonts w:hint="eastAsia" w:ascii="宋体" w:hAnsi="宋体" w:eastAsia="宋体" w:cs="宋体"/>
          <w:sz w:val="21"/>
          <w:szCs w:val="21"/>
          <w:highlight w:val="none"/>
        </w:rPr>
        <w:t>路肩绿化平台以内有漂浮物、杂草、小广告等未清除的每处扣0.5分。</w:t>
      </w:r>
    </w:p>
    <w:p w14:paraId="42DE1465">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r>
        <w:rPr>
          <w:rFonts w:hint="eastAsia" w:ascii="宋体" w:hAnsi="宋体" w:eastAsia="宋体" w:cs="宋体"/>
          <w:sz w:val="21"/>
          <w:szCs w:val="21"/>
          <w:highlight w:val="none"/>
          <w:lang w:eastAsia="zh-CN"/>
        </w:rPr>
        <w:t>、国、</w:t>
      </w:r>
      <w:r>
        <w:rPr>
          <w:rFonts w:hint="eastAsia" w:ascii="宋体" w:hAnsi="宋体" w:eastAsia="宋体" w:cs="宋体"/>
          <w:sz w:val="21"/>
          <w:szCs w:val="21"/>
          <w:highlight w:val="none"/>
        </w:rPr>
        <w:t>省、县、乡公路沿线设施（护栏、公里碑、百米桩、警示桩），沿线村庄的坑塘、沟渠、村中空白林地未定期清理行动，有垃圾、存在卫生死角的，每方扣0.5分（不足1方的按1方计算）。</w:t>
      </w:r>
    </w:p>
    <w:p w14:paraId="4F3D26A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冬季及时清理积雪，指定地点未清理的，每处扣0.5分。</w:t>
      </w:r>
    </w:p>
    <w:p w14:paraId="27C6B0E8">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三、垃圾清收清运（20分）</w:t>
      </w:r>
    </w:p>
    <w:p w14:paraId="0429CC8D">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各村（镇管居民楼院）垃圾桶内垃圾实行日产日清。清运时间保洁公司根据具体情况自行收运。清运不及时、不到位的每处每方扣0.2分（不足1方的按1方计算）。</w:t>
      </w:r>
    </w:p>
    <w:p w14:paraId="6AC4D53B">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定期对责任路段内的垃圾桶及时清洗维护，保持外观整洁、美观、完好，清理不到位的每处扣0.2分。</w:t>
      </w:r>
    </w:p>
    <w:p w14:paraId="320AE0C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bCs/>
          <w:sz w:val="21"/>
          <w:szCs w:val="21"/>
          <w:highlight w:val="none"/>
        </w:rPr>
        <w:t>垃圾桶未密闭</w:t>
      </w:r>
      <w:r>
        <w:rPr>
          <w:rFonts w:hint="eastAsia" w:ascii="宋体" w:hAnsi="宋体" w:eastAsia="宋体" w:cs="宋体"/>
          <w:sz w:val="21"/>
          <w:szCs w:val="21"/>
          <w:highlight w:val="none"/>
        </w:rPr>
        <w:t>或垃圾桶外溢的，每处扣0.2分。</w:t>
      </w:r>
    </w:p>
    <w:p w14:paraId="7FE0AABD">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垃圾收集清运不干净、造成地面污染的，每处扣0.1分。</w:t>
      </w:r>
    </w:p>
    <w:p w14:paraId="13E7833A">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垃圾收运中有遗撒、抛洒未清理的，每次扣0.2分。</w:t>
      </w:r>
    </w:p>
    <w:p w14:paraId="4F1D297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收集作业完成后，可移动收集容器没有复位、摆放不整齐的，一次扣0.1分。</w:t>
      </w:r>
    </w:p>
    <w:p w14:paraId="19462E7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垃圾箱体周边不干净，每处扣0.2分。</w:t>
      </w:r>
    </w:p>
    <w:p w14:paraId="7CDCE2C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垃圾箱破损、未及时修复或更新的，每处扣0.1分。</w:t>
      </w:r>
    </w:p>
    <w:p w14:paraId="03C2EEE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垃圾桶按所服务人口数每50人配一个桶，配置数量不足的，每少一个扣0.2分。</w:t>
      </w:r>
    </w:p>
    <w:p w14:paraId="3E601E3E">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四、环卫工人管理（5分）</w:t>
      </w:r>
    </w:p>
    <w:p w14:paraId="42FF2B65">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村街保洁人员数量按照不低于人口的2‰配备，每缺一名环卫工人的扣0.5分。</w:t>
      </w:r>
    </w:p>
    <w:p w14:paraId="2A7ED82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工作人员工作期间不在岗的一次扣0.1分。</w:t>
      </w:r>
    </w:p>
    <w:p w14:paraId="0C945508">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工作期间未穿工作服的，每人每次扣0.1分。</w:t>
      </w:r>
    </w:p>
    <w:p w14:paraId="13526FE1">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工作中因服务不到位，与他人发生争执，并造成不良影响的，每例扣0.2分。</w:t>
      </w:r>
    </w:p>
    <w:p w14:paraId="5A1B9E1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5、</w:t>
      </w:r>
      <w:r>
        <w:rPr>
          <w:rFonts w:hint="eastAsia" w:ascii="宋体" w:hAnsi="宋体" w:eastAsia="宋体" w:cs="宋体"/>
          <w:sz w:val="21"/>
          <w:szCs w:val="21"/>
          <w:highlight w:val="none"/>
        </w:rPr>
        <w:t>发现不按指定地点倾倒垃圾的，每例扣0.2分；举报并发现在坑塘、沟渠内填埋垃圾行为的，每例扣5分。</w:t>
      </w:r>
    </w:p>
    <w:p w14:paraId="04F4873E">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发现环卫工人有焚烧垃圾的，每例扣3分；被上级有关部门发现有焚烧垃圾现象并被处罚的，将依照处罚数额</w:t>
      </w:r>
      <w:r>
        <w:rPr>
          <w:rFonts w:hint="eastAsia" w:ascii="宋体" w:hAnsi="宋体" w:eastAsia="宋体" w:cs="宋体"/>
          <w:sz w:val="21"/>
          <w:szCs w:val="21"/>
          <w:highlight w:val="none"/>
          <w:lang w:eastAsia="zh-CN"/>
        </w:rPr>
        <w:t>对保洁公司</w:t>
      </w:r>
      <w:r>
        <w:rPr>
          <w:rFonts w:hint="eastAsia" w:ascii="宋体" w:hAnsi="宋体" w:eastAsia="宋体" w:cs="宋体"/>
          <w:sz w:val="21"/>
          <w:szCs w:val="21"/>
          <w:highlight w:val="none"/>
        </w:rPr>
        <w:t>进行同等额度罚款。</w:t>
      </w:r>
    </w:p>
    <w:p w14:paraId="2FAB6E60">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五、公厕管理（5分）</w:t>
      </w:r>
    </w:p>
    <w:p w14:paraId="7DD16AE5">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1、公厕内墙面、天花板、门窗、隔断和地面板不干净，有污渍、蜘蛛网的，发现一处扣0.2分。</w:t>
      </w:r>
    </w:p>
    <w:p w14:paraId="13428F64">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2、便池内有污物，小便器、便池内有垃圾，纸篓满溢的，发现一处各扣0.1分。</w:t>
      </w:r>
    </w:p>
    <w:p w14:paraId="25600144">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3、消杀不及时，造成蚊蝇滋生，每发现一次扣0.2分。</w:t>
      </w:r>
    </w:p>
    <w:p w14:paraId="65BFA30C">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六、保洁公司管理制度（5分）</w:t>
      </w:r>
    </w:p>
    <w:p w14:paraId="6443DD2D">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制定详细的工艺运行管理手册，按手册要求完成生活垃圾的进站、卸料、压缩和转运。具有完备的运行安全管理规章制度和运行安全操作规程，上墙悬挂或张贴，并严格实施；劳动安全卫生条件和劳动防护用品满足作业要求；具有完备的设备台帐、维护保养、日常运行记录和垃圾处理数量、去向的统计资料。每少一项扣0.5分。</w:t>
      </w:r>
    </w:p>
    <w:p w14:paraId="019C34E6">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配备的环卫设施设备和车辆满足环卫保洁工作要求；建立环卫设施设备和车辆使用台帐，实行运行记录制度；制定车辆维修保养制度，保持车况良好；所有车辆应保持车容整洁，不得乱停乱放，作业车辆每班作业后及时进行清洁；车辆驾驶员严格遵守交通规则，自觉服从交通指挥，严格按车辆操作规程进行操作。每少一项或发现一次扣0.5分。</w:t>
      </w:r>
    </w:p>
    <w:p w14:paraId="6C999BF4">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人员配备：项目经理应具有三年以上工作经验，不符合条件的扣0.2 分。其他管理人员及保洁员 （包括驾驶员、装卸工等）数量与合同约定的数量不一致，应及时向县</w:t>
      </w:r>
      <w:r>
        <w:rPr>
          <w:rFonts w:hint="eastAsia" w:ascii="宋体" w:hAnsi="宋体" w:eastAsia="宋体" w:cs="宋体"/>
          <w:sz w:val="21"/>
          <w:szCs w:val="21"/>
          <w:highlight w:val="none"/>
          <w:lang w:eastAsia="zh-CN"/>
        </w:rPr>
        <w:t>全域环卫市场化工作专班</w:t>
      </w:r>
      <w:r>
        <w:rPr>
          <w:rFonts w:hint="eastAsia" w:ascii="宋体" w:hAnsi="宋体" w:eastAsia="宋体" w:cs="宋体"/>
          <w:sz w:val="21"/>
          <w:szCs w:val="21"/>
          <w:highlight w:val="none"/>
        </w:rPr>
        <w:t>办公室及各乡镇（街道）进行情况说明，并在7 日内达到合同约定标准，每少 1 人扣0.5分； 存在隐瞒，擅自降低工作人员配备标准行为，每少 1 人扣1 分。每月25日前及时向县</w:t>
      </w:r>
      <w:r>
        <w:rPr>
          <w:rFonts w:hint="eastAsia" w:ascii="宋体" w:hAnsi="宋体" w:eastAsia="宋体" w:cs="宋体"/>
          <w:sz w:val="21"/>
          <w:szCs w:val="21"/>
          <w:highlight w:val="none"/>
          <w:lang w:eastAsia="zh-CN"/>
        </w:rPr>
        <w:t>全域环卫市场化工作专班</w:t>
      </w:r>
      <w:r>
        <w:rPr>
          <w:rFonts w:hint="eastAsia" w:ascii="宋体" w:hAnsi="宋体" w:eastAsia="宋体" w:cs="宋体"/>
          <w:sz w:val="21"/>
          <w:szCs w:val="21"/>
          <w:highlight w:val="none"/>
        </w:rPr>
        <w:t>办公室上报所有工作人员信息，未按要求上报工作人员信息的，每次扣 5分。 </w:t>
      </w:r>
    </w:p>
    <w:p w14:paraId="3839F52E">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收集转运车辆及布局合理：按照合同规定足额配置保洁车辆及垃圾桶（箱、池）等，垃圾桶（箱、池）布局合理，垃圾投放方便，保洁车数量每少一辆扣0.1分；垃圾桶每少1个扣0.2分。垃圾转运车辆文明作业，不得扰民，清运车辆车况良好，外观整洁，标识统一、清晰，购买车辆保险，每处未到达标扣 0.1分。垃圾安全运至规定的地点进行处理，严禁乱倒、乱卸、乱抛垃圾，出现乱倒、乱卸、乱抛垃圾的每次扣0.2 分；垃圾装运量应以车辆的额定荷载和有效容积为限，密闭运输、严禁超重、超高运输和抛、撒、滴、漏现象，未密闭运输每次扣0.2分。</w:t>
      </w:r>
    </w:p>
    <w:p w14:paraId="23E8D51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各项管理机制、考核机制不健全的，缺一项扣0.2分。智慧化平台设备建设不到位、设备损坏、无法正常监督使用的，发现一次扣0.2分。</w:t>
      </w:r>
    </w:p>
    <w:p w14:paraId="15720089">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未按工资标准足额发放工资的，每人扣0.5分。</w:t>
      </w:r>
    </w:p>
    <w:p w14:paraId="43264D27">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七、应急机制建设（5分）</w:t>
      </w:r>
    </w:p>
    <w:p w14:paraId="30B37B2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迎接各级各类视察、检查活动时，恶劣天气两小时后，保障区域环境卫生清扫清运落实不力，出现明显有碍观瞻的生活垃圾、塑料袋、纸屑、落叶、零散人畜粪便、漂浮垃圾等或垃圾清运不及时每次扣1分；对上级下达的临时任务推诿应付，或拒不接受的每次扣5分。</w:t>
      </w:r>
    </w:p>
    <w:p w14:paraId="728F3604">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八、社会评价（10分）</w:t>
      </w:r>
    </w:p>
    <w:p w14:paraId="368179C1">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群众举报、县长信箱以及其他干部群众反映环境卫生问题未限期整改，报送情况不及时的每次扣0.2分；被国家、省、市、县</w:t>
      </w:r>
      <w:r>
        <w:rPr>
          <w:rFonts w:hint="eastAsia" w:ascii="宋体" w:hAnsi="宋体" w:eastAsia="宋体" w:cs="宋体"/>
          <w:bCs/>
          <w:sz w:val="21"/>
          <w:szCs w:val="21"/>
          <w:highlight w:val="none"/>
        </w:rPr>
        <w:t>通报</w:t>
      </w:r>
      <w:r>
        <w:rPr>
          <w:rFonts w:hint="eastAsia" w:ascii="宋体" w:hAnsi="宋体" w:eastAsia="宋体" w:cs="宋体"/>
          <w:sz w:val="21"/>
          <w:szCs w:val="21"/>
          <w:highlight w:val="none"/>
        </w:rPr>
        <w:t>或各级媒体曝光的每次分别扣0.5分、0.3分、0.2分、0.1分，未在限期内整改完毕的加倍扣分；因工作职责内原因，一般性调查群众不满意的每次扣0.3分，满意度调查时，群众不满意的每次扣3分。</w:t>
      </w:r>
    </w:p>
    <w:p w14:paraId="5B57F664">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九、安全生产（5分）</w:t>
      </w:r>
    </w:p>
    <w:p w14:paraId="39566D5E">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环卫人员上岗必须穿戴环卫服装和帽子。</w:t>
      </w:r>
    </w:p>
    <w:p w14:paraId="6F372AD0">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环卫人员要根据本路段的人、车流情况，合理安排作业方法，注意观察，主动避开行人和车流高峰，以免发生意外。</w:t>
      </w:r>
    </w:p>
    <w:p w14:paraId="62EBAD90">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环卫人员在无隔离障碍道路作业时，要分两边清扫，严禁从道路一侧清扫到另一侧。</w:t>
      </w:r>
    </w:p>
    <w:p w14:paraId="1DA20EA7">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密封垃圾收集车应紧靠人行道，不能靠近行车线停放。</w:t>
      </w:r>
    </w:p>
    <w:p w14:paraId="37E9E15C">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清理主车道上成堆的垃圾或泥土时，应在清理点来车方向50米左右设置醒目路障，并做好防护措施。</w:t>
      </w:r>
    </w:p>
    <w:p w14:paraId="3680B403">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高温和低温时，应做好环卫工人的防护措施，注意防暑防寒。</w:t>
      </w:r>
    </w:p>
    <w:p w14:paraId="30CB2DF4">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保洁公司必须为环卫工人购买人身意外伤害保险、工伤、养老保险等保险。</w:t>
      </w:r>
    </w:p>
    <w:p w14:paraId="0159AF4D">
      <w:pPr>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不按规定要求的，发现一次扣0.1分，扣完为止。</w:t>
      </w:r>
    </w:p>
    <w:p w14:paraId="2308972E">
      <w:pPr>
        <w:pageBreakBefore w:val="0"/>
        <w:widowControl w:val="0"/>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十、</w:t>
      </w:r>
      <w:r>
        <w:rPr>
          <w:rFonts w:hint="eastAsia" w:ascii="宋体" w:hAnsi="宋体" w:eastAsia="宋体" w:cs="宋体"/>
          <w:b/>
          <w:bCs/>
          <w:sz w:val="21"/>
          <w:szCs w:val="21"/>
          <w:highlight w:val="none"/>
          <w:lang w:eastAsia="zh-CN"/>
        </w:rPr>
        <w:t>其他事项（5分）</w:t>
      </w:r>
    </w:p>
    <w:p w14:paraId="62056D01">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z w:val="21"/>
          <w:szCs w:val="21"/>
          <w:highlight w:val="none"/>
        </w:rPr>
        <w:t>承包公司因违反相关劳动法律法规或侵犯员工合法权益而与其员工产生纠纷，导致其员工向相关部门上访、闹事、罢工的，视情况及影响程度，每次扣5分。</w:t>
      </w:r>
    </w:p>
    <w:p w14:paraId="63C533E5">
      <w:pPr>
        <w:pStyle w:val="2"/>
        <w:pageBreakBefore w:val="0"/>
        <w:widowControl w:val="0"/>
        <w:kinsoku/>
        <w:wordWrap/>
        <w:overflowPunct/>
        <w:topLinePunct w:val="0"/>
        <w:autoSpaceDE/>
        <w:autoSpaceDN/>
        <w:bidi w:val="0"/>
        <w:adjustRightInd/>
        <w:snapToGrid/>
        <w:spacing w:before="0" w:after="0" w:line="440" w:lineRule="exact"/>
        <w:ind w:firstLine="422" w:firstLineChars="200"/>
        <w:textAlignment w:val="auto"/>
        <w:rPr>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bookmarkStart w:id="250" w:name="_Toc190"/>
      <w:r>
        <w:rPr>
          <w:rFonts w:hint="eastAsia"/>
          <w:color w:val="000000" w:themeColor="text1"/>
          <w:sz w:val="32"/>
          <w:szCs w:val="32"/>
          <w:highlight w:val="none"/>
          <w14:textFill>
            <w14:solidFill>
              <w14:schemeClr w14:val="tx1"/>
            </w14:solidFill>
          </w14:textFill>
        </w:rPr>
        <w:t>第六章 质疑与投诉</w:t>
      </w:r>
      <w:bookmarkEnd w:id="250"/>
    </w:p>
    <w:p w14:paraId="64D741B3">
      <w:pPr>
        <w:rPr>
          <w:color w:val="000000" w:themeColor="text1"/>
          <w:highlight w:val="none"/>
          <w14:textFill>
            <w14:solidFill>
              <w14:schemeClr w14:val="tx1"/>
            </w14:solidFill>
          </w14:textFill>
        </w:rPr>
      </w:pPr>
    </w:p>
    <w:p w14:paraId="20124B68">
      <w:pPr>
        <w:pStyle w:val="3"/>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、质疑与答复</w:t>
      </w:r>
    </w:p>
    <w:p w14:paraId="148780C1">
      <w:pPr>
        <w:pStyle w:val="19"/>
        <w:pageBreakBefore w:val="0"/>
        <w:widowControl w:val="0"/>
        <w:kinsoku/>
        <w:wordWrap/>
        <w:overflowPunct/>
        <w:topLinePunct w:val="0"/>
        <w:autoSpaceDE/>
        <w:autoSpaceDN/>
        <w:bidi w:val="0"/>
        <w:adjustRightInd/>
        <w:snapToGrid/>
        <w:spacing w:line="440" w:lineRule="exact"/>
        <w:ind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参与政府采购活动的供应商认为采购文件、采购过程、中标或者成交结果使自己的权益受到损害的，可以在知道或者应知其权益受到损害之日起7个工作日内，以书面形式向采购人、采购代理机构提出质疑。</w:t>
      </w:r>
    </w:p>
    <w:p w14:paraId="6E686C0D">
      <w:pPr>
        <w:pStyle w:val="2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供应商提出质疑应当提交质疑函和必要的证明材料。政府采购供应商质疑函范本下载地址：</w:t>
      </w:r>
    </w:p>
    <w:p w14:paraId="31DD69D8">
      <w:pPr>
        <w:pStyle w:val="20"/>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"http://download.ccgp.gov.cn/2018/zhiyihanfanben.zip；"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25"/>
          <w:rFonts w:hint="eastAsia" w:ascii="宋体" w:hAnsi="宋体" w:eastAsia="宋体" w:cs="宋体"/>
          <w:color w:val="000000" w:themeColor="text1"/>
          <w:sz w:val="21"/>
          <w:szCs w:val="21"/>
          <w:highlight w:val="none"/>
          <w14:textFill>
            <w14:solidFill>
              <w14:schemeClr w14:val="tx1"/>
            </w14:solidFill>
          </w14:textFill>
        </w:rPr>
        <w:t>http://download.ccgp.gov.cn/2018/zhiyihanfanben.zip；</w:t>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6ABF7AA5">
      <w:pPr>
        <w:pageBreakBefore w:val="0"/>
        <w:widowControl w:val="0"/>
        <w:numPr>
          <w:ilvl w:val="0"/>
          <w:numId w:val="7"/>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采购人、采购代理机构不得拒收质疑供应商在法定质疑期内发出的质疑函，应当在收到质疑函后7个工作日内作出答复，并以书面形式通知质疑供应商和其他有关供应商。</w:t>
      </w:r>
    </w:p>
    <w:p w14:paraId="477D0F3E">
      <w:pPr>
        <w:pageBreakBefore w:val="0"/>
        <w:widowControl w:val="0"/>
        <w:numPr>
          <w:ilvl w:val="0"/>
          <w:numId w:val="7"/>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供应商提出质疑应当提交质疑函和必要的证明材料。质疑函应当包括下列内容：</w:t>
      </w:r>
    </w:p>
    <w:p w14:paraId="4481F2E8">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供应商的姓名或者名称、地址、邮编、联系人及联系电话；</w:t>
      </w:r>
    </w:p>
    <w:p w14:paraId="4811F290">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质疑项目的名称、编号；</w:t>
      </w:r>
    </w:p>
    <w:p w14:paraId="6E809875">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具体、明确的质疑事项和与质疑事项相关的请求；</w:t>
      </w:r>
    </w:p>
    <w:p w14:paraId="5AFAE096">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事实依据；</w:t>
      </w:r>
    </w:p>
    <w:p w14:paraId="3255F47C">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必要的法律依据；</w:t>
      </w:r>
    </w:p>
    <w:p w14:paraId="67023E6D">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提出质疑的日期；</w:t>
      </w:r>
    </w:p>
    <w:p w14:paraId="2F90DE35">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获取招标文件的凭证；</w:t>
      </w:r>
    </w:p>
    <w:p w14:paraId="764EE15D">
      <w:pPr>
        <w:pageBreakBefore w:val="0"/>
        <w:widowControl w:val="0"/>
        <w:numPr>
          <w:ilvl w:val="1"/>
          <w:numId w:val="7"/>
        </w:numPr>
        <w:kinsoku/>
        <w:wordWrap/>
        <w:overflowPunct/>
        <w:topLinePunct w:val="0"/>
        <w:autoSpaceDE/>
        <w:autoSpaceDN/>
        <w:bidi w:val="0"/>
        <w:adjustRightInd/>
        <w:snapToGrid/>
        <w:spacing w:line="440" w:lineRule="exact"/>
        <w:ind w:left="420" w:left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以上资料一式二份（采购人、采购代理机构各执一份）。</w:t>
      </w:r>
    </w:p>
    <w:p w14:paraId="36AC8620">
      <w:pPr>
        <w:pageBreakBefore w:val="0"/>
        <w:widowControl w:val="0"/>
        <w:numPr>
          <w:ilvl w:val="0"/>
          <w:numId w:val="7"/>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供应商不得虚假质疑和恶意质疑，并对质疑内容的真实性承担责任。</w:t>
      </w:r>
    </w:p>
    <w:p w14:paraId="0B4CC187">
      <w:pPr>
        <w:pStyle w:val="3"/>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二、投诉与处理</w:t>
      </w:r>
    </w:p>
    <w:p w14:paraId="26A96CA9">
      <w:pPr>
        <w:pStyle w:val="19"/>
        <w:pageBreakBefore w:val="0"/>
        <w:widowControl w:val="0"/>
        <w:kinsoku/>
        <w:wordWrap/>
        <w:overflowPunct/>
        <w:topLinePunct w:val="0"/>
        <w:autoSpaceDE/>
        <w:autoSpaceDN/>
        <w:bidi w:val="0"/>
        <w:adjustRightInd/>
        <w:snapToGrid/>
        <w:spacing w:line="440" w:lineRule="exact"/>
        <w:ind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1、质疑供应商对采购人、采购代理机构的答复不满意，或者采购人、采购代理机构未在规定时间内作出答复的，可以在答复期满后15个工作日内向本办法第六条规定的财政部门提起投诉。</w:t>
      </w:r>
    </w:p>
    <w:p w14:paraId="525C47D1">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2、质疑供应商对采购人、采购代理机构的答复不满意，或者采购人、采购代理机构未在规定时间内作出答复的，可以在答复期满后15个工作日内向财政部门提起投诉。</w:t>
      </w:r>
    </w:p>
    <w:p w14:paraId="5B34FAEE">
      <w:pPr>
        <w:pStyle w:val="19"/>
        <w:pageBreakBefore w:val="0"/>
        <w:widowControl w:val="0"/>
        <w:kinsoku/>
        <w:wordWrap/>
        <w:overflowPunct/>
        <w:topLinePunct w:val="0"/>
        <w:autoSpaceDE/>
        <w:autoSpaceDN/>
        <w:bidi w:val="0"/>
        <w:adjustRightInd/>
        <w:snapToGrid/>
        <w:spacing w:line="440" w:lineRule="exact"/>
        <w:ind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3、投诉人投诉时,应当提交投诉书和必要的证明材料，并按照被投诉采购人、采购代理机构（以下简称被投诉人）和与投诉事项有关的供应商数量提供投诉书的副本。政府采购供应商投诉书范本下载地址：</w:t>
      </w:r>
    </w:p>
    <w:p w14:paraId="283DF62B">
      <w:pPr>
        <w:pStyle w:val="19"/>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"http://download.ccgp.gov.cn/2018/tousushufanben.zip"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25"/>
          <w:rFonts w:hint="eastAsia" w:ascii="宋体" w:hAnsi="宋体" w:eastAsia="宋体" w:cs="宋体"/>
          <w:color w:val="000000" w:themeColor="text1"/>
          <w:sz w:val="21"/>
          <w:szCs w:val="21"/>
          <w:highlight w:val="none"/>
          <w14:textFill>
            <w14:solidFill>
              <w14:schemeClr w14:val="tx1"/>
            </w14:solidFill>
          </w14:textFill>
        </w:rPr>
        <w:t>http://download.ccgp.gov.cn/2018/tousushufanben.zip</w:t>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15E038FC">
      <w:pPr>
        <w:pageBreakBefore w:val="0"/>
        <w:widowControl w:val="0"/>
        <w:numPr>
          <w:ilvl w:val="0"/>
          <w:numId w:val="1"/>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财政部门自收到投诉之日起30个工作日内，对投诉事项作出处理决定并公示。</w:t>
      </w:r>
    </w:p>
    <w:p w14:paraId="08E9133D">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投诉人在全国范围12个月内三次以上投诉查无实据的，由财政部门列入不良行为记录名单。</w:t>
      </w:r>
    </w:p>
    <w:p w14:paraId="7B3F2F3B">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投诉人有财政部94号令第三十七条情形的，属于虚假、恶意投诉，由财政部门列入不良行为记录名单，禁止其1至3年内参加政府采购活动。</w:t>
      </w:r>
    </w:p>
    <w:p w14:paraId="0D1D150A">
      <w:pPr>
        <w:pStyle w:val="2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0A033C1">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投诉联系电话：0391-8683273  地址：博爱县机关综合办公楼主楼1213室 </w:t>
      </w:r>
    </w:p>
    <w:p w14:paraId="1D5B270C">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C54FAD2">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6546DA0">
      <w:pPr>
        <w:rPr>
          <w:color w:val="000000" w:themeColor="text1"/>
          <w:szCs w:val="21"/>
          <w:highlight w:val="none"/>
          <w14:textFill>
            <w14:solidFill>
              <w14:schemeClr w14:val="tx1"/>
            </w14:solidFill>
          </w14:textFill>
        </w:rPr>
      </w:pPr>
    </w:p>
    <w:p w14:paraId="135FC86D">
      <w:pPr>
        <w:rPr>
          <w:color w:val="000000" w:themeColor="text1"/>
          <w:szCs w:val="21"/>
          <w:highlight w:val="none"/>
          <w14:textFill>
            <w14:solidFill>
              <w14:schemeClr w14:val="tx1"/>
            </w14:solidFill>
          </w14:textFill>
        </w:rPr>
      </w:pPr>
    </w:p>
    <w:p w14:paraId="6389C793">
      <w:pPr>
        <w:rPr>
          <w:color w:val="000000" w:themeColor="text1"/>
          <w:szCs w:val="21"/>
          <w:highlight w:val="none"/>
          <w14:textFill>
            <w14:solidFill>
              <w14:schemeClr w14:val="tx1"/>
            </w14:solidFill>
          </w14:textFill>
        </w:rPr>
      </w:pPr>
    </w:p>
    <w:p w14:paraId="7C0A8FD5">
      <w:pPr>
        <w:rPr>
          <w:color w:val="000000" w:themeColor="text1"/>
          <w:szCs w:val="21"/>
          <w:highlight w:val="none"/>
          <w14:textFill>
            <w14:solidFill>
              <w14:schemeClr w14:val="tx1"/>
            </w14:solidFill>
          </w14:textFill>
        </w:rPr>
      </w:pPr>
    </w:p>
    <w:p w14:paraId="0936C0EC">
      <w:pPr>
        <w:rPr>
          <w:color w:val="000000" w:themeColor="text1"/>
          <w:highlight w:val="none"/>
          <w14:textFill>
            <w14:solidFill>
              <w14:schemeClr w14:val="tx1"/>
            </w14:solidFill>
          </w14:textFill>
        </w:rPr>
      </w:pPr>
    </w:p>
    <w:p w14:paraId="6AFEF544">
      <w:pPr>
        <w:rPr>
          <w:color w:val="000000" w:themeColor="text1"/>
          <w:highlight w:val="none"/>
          <w14:textFill>
            <w14:solidFill>
              <w14:schemeClr w14:val="tx1"/>
            </w14:solidFill>
          </w14:textFill>
        </w:rPr>
      </w:pPr>
    </w:p>
    <w:p w14:paraId="67E03EDE">
      <w:pPr>
        <w:pStyle w:val="8"/>
        <w:rPr>
          <w:color w:val="000000" w:themeColor="text1"/>
          <w:highlight w:val="none"/>
          <w14:textFill>
            <w14:solidFill>
              <w14:schemeClr w14:val="tx1"/>
            </w14:solidFill>
          </w14:textFill>
        </w:rPr>
      </w:pPr>
    </w:p>
    <w:p w14:paraId="2DECE9EA">
      <w:pPr>
        <w:pStyle w:val="16"/>
        <w:rPr>
          <w:color w:val="000000" w:themeColor="text1"/>
          <w:highlight w:val="none"/>
          <w14:textFill>
            <w14:solidFill>
              <w14:schemeClr w14:val="tx1"/>
            </w14:solidFill>
          </w14:textFill>
        </w:rPr>
      </w:pPr>
    </w:p>
    <w:p w14:paraId="4AC38891">
      <w:pPr>
        <w:pStyle w:val="8"/>
        <w:rPr>
          <w:color w:val="000000" w:themeColor="text1"/>
          <w:highlight w:val="none"/>
          <w14:textFill>
            <w14:solidFill>
              <w14:schemeClr w14:val="tx1"/>
            </w14:solidFill>
          </w14:textFill>
        </w:rPr>
      </w:pPr>
    </w:p>
    <w:p w14:paraId="46E7F80D">
      <w:pPr>
        <w:pStyle w:val="16"/>
        <w:rPr>
          <w:color w:val="000000" w:themeColor="text1"/>
          <w:highlight w:val="none"/>
          <w14:textFill>
            <w14:solidFill>
              <w14:schemeClr w14:val="tx1"/>
            </w14:solidFill>
          </w14:textFill>
        </w:rPr>
      </w:pPr>
    </w:p>
    <w:p w14:paraId="42BC8940">
      <w:pPr>
        <w:pStyle w:val="8"/>
        <w:rPr>
          <w:color w:val="000000" w:themeColor="text1"/>
          <w:highlight w:val="none"/>
          <w14:textFill>
            <w14:solidFill>
              <w14:schemeClr w14:val="tx1"/>
            </w14:solidFill>
          </w14:textFill>
        </w:rPr>
      </w:pPr>
    </w:p>
    <w:p w14:paraId="108FCFDB">
      <w:pPr>
        <w:pStyle w:val="16"/>
        <w:rPr>
          <w:color w:val="000000" w:themeColor="text1"/>
          <w:highlight w:val="none"/>
          <w14:textFill>
            <w14:solidFill>
              <w14:schemeClr w14:val="tx1"/>
            </w14:solidFill>
          </w14:textFill>
        </w:rPr>
      </w:pPr>
    </w:p>
    <w:p w14:paraId="20ADC867">
      <w:pPr>
        <w:pStyle w:val="16"/>
        <w:rPr>
          <w:color w:val="000000" w:themeColor="text1"/>
          <w:highlight w:val="none"/>
          <w14:textFill>
            <w14:solidFill>
              <w14:schemeClr w14:val="tx1"/>
            </w14:solidFill>
          </w14:textFill>
        </w:rPr>
      </w:pPr>
    </w:p>
    <w:p w14:paraId="1C43E2A8">
      <w:pPr>
        <w:pStyle w:val="19"/>
        <w:spacing w:line="360" w:lineRule="auto"/>
        <w:ind w:firstLine="643" w:firstLineChars="200"/>
        <w:jc w:val="center"/>
        <w:outlineLvl w:val="0"/>
        <w:rPr>
          <w:rFonts w:hint="default" w:ascii="宋体" w:hAnsi="宋体" w:eastAsia="宋体" w:cs="宋体"/>
          <w:b/>
          <w:bCs/>
          <w:color w:val="000000" w:themeColor="text1"/>
          <w:szCs w:val="32"/>
          <w:highlight w:val="none"/>
          <w14:textFill>
            <w14:solidFill>
              <w14:schemeClr w14:val="tx1"/>
            </w14:solidFill>
          </w14:textFill>
        </w:rPr>
      </w:pPr>
      <w:r>
        <w:rPr>
          <w:rFonts w:ascii="宋体" w:hAnsi="宋体" w:eastAsia="宋体" w:cs="宋体"/>
          <w:b/>
          <w:bCs/>
          <w:color w:val="000000" w:themeColor="text1"/>
          <w:szCs w:val="32"/>
          <w:highlight w:val="none"/>
          <w14:textFill>
            <w14:solidFill>
              <w14:schemeClr w14:val="tx1"/>
            </w14:solidFill>
          </w14:textFill>
        </w:rPr>
        <w:br w:type="page"/>
      </w:r>
      <w:bookmarkStart w:id="251" w:name="_Toc21002"/>
      <w:r>
        <w:rPr>
          <w:rFonts w:ascii="宋体" w:hAnsi="宋体" w:eastAsia="宋体" w:cs="宋体"/>
          <w:b/>
          <w:bCs/>
          <w:color w:val="000000" w:themeColor="text1"/>
          <w:szCs w:val="32"/>
          <w:highlight w:val="none"/>
          <w14:textFill>
            <w14:solidFill>
              <w14:schemeClr w14:val="tx1"/>
            </w14:solidFill>
          </w14:textFill>
        </w:rPr>
        <w:t>第七章 履约验收</w:t>
      </w:r>
      <w:bookmarkEnd w:id="251"/>
    </w:p>
    <w:p w14:paraId="53F01B60">
      <w:pPr>
        <w:pStyle w:val="20"/>
        <w:rPr>
          <w:color w:val="000000" w:themeColor="text1"/>
          <w:highlight w:val="none"/>
          <w14:textFill>
            <w14:solidFill>
              <w14:schemeClr w14:val="tx1"/>
            </w14:solidFill>
          </w14:textFill>
        </w:rPr>
      </w:pPr>
    </w:p>
    <w:p w14:paraId="783AE1B2">
      <w:pPr>
        <w:pStyle w:val="19"/>
        <w:keepNext w:val="0"/>
        <w:keepLines w:val="0"/>
        <w:pageBreakBefore w:val="0"/>
        <w:widowControl w:val="0"/>
        <w:kinsoku/>
        <w:wordWrap/>
        <w:overflowPunct/>
        <w:topLinePunct w:val="0"/>
        <w:autoSpaceDE/>
        <w:autoSpaceDN/>
        <w:bidi w:val="0"/>
        <w:adjustRightInd/>
        <w:snapToGrid/>
        <w:spacing w:line="440" w:lineRule="exact"/>
        <w:ind w:firstLineChars="20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供应商履约完成后，向采购人提出验收建议，采购人自收到验收建议之日起五个工作日内，采购人组织供应商参与，共同完成验收。技术复杂、专业性强等项目可适当延长验收时间。验收流程如下：</w:t>
      </w:r>
    </w:p>
    <w:p w14:paraId="083306E1">
      <w:pPr>
        <w:pStyle w:val="19"/>
        <w:keepNext w:val="0"/>
        <w:keepLines w:val="0"/>
        <w:pageBreakBefore w:val="0"/>
        <w:widowControl w:val="0"/>
        <w:numPr>
          <w:ilvl w:val="0"/>
          <w:numId w:val="8"/>
        </w:numPr>
        <w:kinsoku/>
        <w:wordWrap/>
        <w:overflowPunct/>
        <w:topLinePunct w:val="0"/>
        <w:autoSpaceDE/>
        <w:autoSpaceDN/>
        <w:bidi w:val="0"/>
        <w:adjustRightInd/>
        <w:snapToGrid/>
        <w:spacing w:line="440" w:lineRule="exact"/>
        <w:ind w:firstLineChars="20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编制验收方案。明确验收时间、方式、程序等内容。技术复杂、社会影响较大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和内容进行验收。</w:t>
      </w:r>
    </w:p>
    <w:p w14:paraId="5A0799E7">
      <w:pPr>
        <w:pStyle w:val="19"/>
        <w:keepNext w:val="0"/>
        <w:keepLines w:val="0"/>
        <w:pageBreakBefore w:val="0"/>
        <w:widowControl w:val="0"/>
        <w:numPr>
          <w:ilvl w:val="0"/>
          <w:numId w:val="8"/>
        </w:numPr>
        <w:kinsoku/>
        <w:wordWrap/>
        <w:overflowPunct/>
        <w:topLinePunct w:val="0"/>
        <w:autoSpaceDE/>
        <w:autoSpaceDN/>
        <w:bidi w:val="0"/>
        <w:adjustRightInd/>
        <w:snapToGrid/>
        <w:spacing w:line="440" w:lineRule="exact"/>
        <w:ind w:firstLineChars="20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完善验收方式。对于采购人和使用人分离的采购项目，应邀请使用人参与验收。采购人可邀请参与本项目的其他供应商或第三方机构及专家参与验收。相关验收意见作为验收书的参考资料。政府向社会公众提供的公共服务项目，验收时应邀请服务对象参与并出具意见，验收结果应在焦作市政府采购网公示。</w:t>
      </w:r>
    </w:p>
    <w:p w14:paraId="63C72007">
      <w:pPr>
        <w:pStyle w:val="19"/>
        <w:keepNext w:val="0"/>
        <w:keepLines w:val="0"/>
        <w:pageBreakBefore w:val="0"/>
        <w:widowControl w:val="0"/>
        <w:numPr>
          <w:ilvl w:val="0"/>
          <w:numId w:val="8"/>
        </w:numPr>
        <w:kinsoku/>
        <w:wordWrap/>
        <w:overflowPunct/>
        <w:topLinePunct w:val="0"/>
        <w:autoSpaceDE/>
        <w:autoSpaceDN/>
        <w:bidi w:val="0"/>
        <w:adjustRightInd/>
        <w:snapToGrid/>
        <w:spacing w:line="440" w:lineRule="exact"/>
        <w:ind w:firstLineChars="20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按照合同履约验收。验收时，应当按照采购合同的约定对每一项技术、服务、安全标准的履约情况进行确认。验收后，应当出具验收书，列明各项标准的验收情况及项目的总体评价，由验收双方共同签署。采购人将履约验收情况在焦作市政府采购网公示，履约验收各项资料采购人应当存档备查。</w:t>
      </w:r>
    </w:p>
    <w:p w14:paraId="7B608F33">
      <w:pPr>
        <w:pStyle w:val="19"/>
        <w:keepNext w:val="0"/>
        <w:keepLines w:val="0"/>
        <w:pageBreakBefore w:val="0"/>
        <w:widowControl w:val="0"/>
        <w:numPr>
          <w:ilvl w:val="0"/>
          <w:numId w:val="8"/>
        </w:numPr>
        <w:kinsoku/>
        <w:wordWrap/>
        <w:overflowPunct/>
        <w:topLinePunct w:val="0"/>
        <w:autoSpaceDE/>
        <w:autoSpaceDN/>
        <w:bidi w:val="0"/>
        <w:adjustRightInd/>
        <w:snapToGrid/>
        <w:spacing w:line="440" w:lineRule="exact"/>
        <w:ind w:firstLineChars="200"/>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落实履约验收责任。验收合格的项目，采购人应当按照合同约定及时支付资金。验收不合格的项目，采购人应当依法及时处理。合同履行、违约责任和解决争议的方式使用《中华人民共和国民法典》。供应商在履约过程中有政府采购法律法规规定的违法情形，采购人应及时报财政部门。</w:t>
      </w:r>
    </w:p>
    <w:p w14:paraId="65DF8E7D">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Cs w:val="21"/>
          <w:highlight w:val="none"/>
          <w14:textFill>
            <w14:solidFill>
              <w14:schemeClr w14:val="tx1"/>
            </w14:solidFill>
          </w14:textFill>
        </w:rPr>
      </w:pPr>
    </w:p>
    <w:p w14:paraId="3C7AAB32">
      <w:r>
        <w:br w:type="page"/>
      </w:r>
    </w:p>
    <w:p w14:paraId="178E9E00">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Cs w:val="21"/>
          <w:highlight w:val="none"/>
          <w14:textFill>
            <w14:solidFill>
              <w14:schemeClr w14:val="tx1"/>
            </w14:solidFill>
          </w14:textFill>
        </w:rPr>
      </w:pPr>
    </w:p>
    <w:p w14:paraId="095CEDC4">
      <w:pPr>
        <w:pStyle w:val="8"/>
        <w:rPr>
          <w:rFonts w:ascii="宋体" w:hAnsi="宋体" w:eastAsia="宋体" w:cs="宋体"/>
          <w:color w:val="000000" w:themeColor="text1"/>
          <w:szCs w:val="21"/>
          <w:highlight w:val="none"/>
          <w14:textFill>
            <w14:solidFill>
              <w14:schemeClr w14:val="tx1"/>
            </w14:solidFill>
          </w14:textFill>
        </w:rPr>
      </w:pPr>
    </w:p>
    <w:p w14:paraId="1921FF45">
      <w:pPr>
        <w:pStyle w:val="16"/>
        <w:rPr>
          <w:rFonts w:ascii="宋体" w:hAnsi="宋体" w:eastAsia="宋体" w:cs="宋体"/>
          <w:color w:val="000000" w:themeColor="text1"/>
          <w:szCs w:val="21"/>
          <w:highlight w:val="none"/>
          <w14:textFill>
            <w14:solidFill>
              <w14:schemeClr w14:val="tx1"/>
            </w14:solidFill>
          </w14:textFill>
        </w:rPr>
      </w:pPr>
    </w:p>
    <w:p w14:paraId="59D6F705">
      <w:pPr>
        <w:pStyle w:val="8"/>
        <w:rPr>
          <w:rFonts w:ascii="宋体" w:hAnsi="宋体" w:eastAsia="宋体" w:cs="宋体"/>
          <w:color w:val="000000" w:themeColor="text1"/>
          <w:szCs w:val="21"/>
          <w:highlight w:val="none"/>
          <w14:textFill>
            <w14:solidFill>
              <w14:schemeClr w14:val="tx1"/>
            </w14:solidFill>
          </w14:textFill>
        </w:rPr>
      </w:pPr>
    </w:p>
    <w:p w14:paraId="534E607D">
      <w:pPr>
        <w:pStyle w:val="16"/>
        <w:rPr>
          <w:rFonts w:ascii="宋体" w:hAnsi="宋体" w:eastAsia="宋体" w:cs="宋体"/>
          <w:color w:val="000000" w:themeColor="text1"/>
          <w:szCs w:val="21"/>
          <w:highlight w:val="none"/>
          <w14:textFill>
            <w14:solidFill>
              <w14:schemeClr w14:val="tx1"/>
            </w14:solidFill>
          </w14:textFill>
        </w:rPr>
      </w:pPr>
    </w:p>
    <w:p w14:paraId="78C9F2C9">
      <w:pPr>
        <w:pStyle w:val="8"/>
        <w:rPr>
          <w:color w:val="000000" w:themeColor="text1"/>
          <w:highlight w:val="none"/>
          <w14:textFill>
            <w14:solidFill>
              <w14:schemeClr w14:val="tx1"/>
            </w14:solidFill>
          </w14:textFill>
        </w:rPr>
      </w:pPr>
    </w:p>
    <w:p w14:paraId="3C2A6DB5">
      <w:pPr>
        <w:pStyle w:val="8"/>
        <w:rPr>
          <w:color w:val="000000" w:themeColor="text1"/>
          <w:highlight w:val="none"/>
          <w14:textFill>
            <w14:solidFill>
              <w14:schemeClr w14:val="tx1"/>
            </w14:solidFill>
          </w14:textFill>
        </w:rPr>
      </w:pPr>
    </w:p>
    <w:p w14:paraId="7890191F">
      <w:pPr>
        <w:pStyle w:val="18"/>
        <w:numPr>
          <w:ilvl w:val="0"/>
          <w:numId w:val="9"/>
        </w:numPr>
        <w:spacing w:line="600" w:lineRule="exact"/>
        <w:ind w:right="-63" w:rightChars="-30"/>
        <w:rPr>
          <w:rFonts w:hint="eastAsia" w:ascii="宋体" w:hAnsi="宋体" w:eastAsia="宋体" w:cs="宋体"/>
          <w:color w:val="000000" w:themeColor="text1"/>
          <w:sz w:val="36"/>
          <w:szCs w:val="36"/>
          <w:highlight w:val="none"/>
          <w14:textFill>
            <w14:solidFill>
              <w14:schemeClr w14:val="tx1"/>
            </w14:solidFill>
          </w14:textFill>
        </w:rPr>
      </w:pPr>
      <w:bookmarkStart w:id="252" w:name="_Toc12999"/>
      <w:r>
        <w:rPr>
          <w:rFonts w:hint="eastAsia" w:ascii="宋体" w:hAnsi="宋体" w:eastAsia="宋体" w:cs="宋体"/>
          <w:color w:val="000000" w:themeColor="text1"/>
          <w:sz w:val="36"/>
          <w:szCs w:val="36"/>
          <w:highlight w:val="none"/>
          <w14:textFill>
            <w14:solidFill>
              <w14:schemeClr w14:val="tx1"/>
            </w14:solidFill>
          </w14:textFill>
        </w:rPr>
        <w:t xml:space="preserve"> </w:t>
      </w:r>
      <w:bookmarkStart w:id="253" w:name="_Toc14637"/>
      <w:r>
        <w:rPr>
          <w:rFonts w:hint="eastAsia" w:ascii="宋体" w:hAnsi="宋体" w:eastAsia="宋体" w:cs="宋体"/>
          <w:color w:val="000000" w:themeColor="text1"/>
          <w:sz w:val="36"/>
          <w:szCs w:val="36"/>
          <w:highlight w:val="none"/>
          <w14:textFill>
            <w14:solidFill>
              <w14:schemeClr w14:val="tx1"/>
            </w14:solidFill>
          </w14:textFill>
        </w:rPr>
        <w:t>投标文件格式</w:t>
      </w:r>
      <w:bookmarkEnd w:id="247"/>
      <w:bookmarkEnd w:id="248"/>
      <w:bookmarkEnd w:id="249"/>
      <w:bookmarkEnd w:id="252"/>
      <w:bookmarkEnd w:id="253"/>
    </w:p>
    <w:p w14:paraId="448022D4">
      <w:pPr>
        <w:numPr>
          <w:ilvl w:val="0"/>
          <w:numId w:val="0"/>
        </w:num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74D4973">
      <w:pPr>
        <w:numPr>
          <w:ilvl w:val="0"/>
          <w:numId w:val="0"/>
        </w:numPr>
        <w:rPr>
          <w:color w:val="000000" w:themeColor="text1"/>
          <w:highlight w:val="none"/>
          <w14:textFill>
            <w14:solidFill>
              <w14:schemeClr w14:val="tx1"/>
            </w14:solidFill>
          </w14:textFill>
        </w:rPr>
      </w:pPr>
    </w:p>
    <w:p w14:paraId="5F414B87">
      <w:pPr>
        <w:numPr>
          <w:ilvl w:val="0"/>
          <w:numId w:val="0"/>
        </w:numPr>
        <w:rPr>
          <w:color w:val="000000" w:themeColor="text1"/>
          <w:highlight w:val="none"/>
          <w14:textFill>
            <w14:solidFill>
              <w14:schemeClr w14:val="tx1"/>
            </w14:solidFill>
          </w14:textFill>
        </w:rPr>
      </w:pPr>
    </w:p>
    <w:p w14:paraId="246551EA">
      <w:pPr>
        <w:numPr>
          <w:ilvl w:val="0"/>
          <w:numId w:val="0"/>
        </w:numPr>
        <w:rPr>
          <w:color w:val="000000" w:themeColor="text1"/>
          <w:highlight w:val="none"/>
          <w14:textFill>
            <w14:solidFill>
              <w14:schemeClr w14:val="tx1"/>
            </w14:solidFill>
          </w14:textFill>
        </w:rPr>
      </w:pPr>
    </w:p>
    <w:p w14:paraId="07F51CDD">
      <w:pPr>
        <w:numPr>
          <w:ilvl w:val="0"/>
          <w:numId w:val="0"/>
        </w:numPr>
        <w:rPr>
          <w:color w:val="000000" w:themeColor="text1"/>
          <w:highlight w:val="none"/>
          <w14:textFill>
            <w14:solidFill>
              <w14:schemeClr w14:val="tx1"/>
            </w14:solidFill>
          </w14:textFill>
        </w:rPr>
      </w:pPr>
    </w:p>
    <w:p w14:paraId="2925623E">
      <w:pPr>
        <w:ind w:firstLine="2530" w:firstLineChars="7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（项目名称）</w:t>
      </w:r>
      <w:r>
        <w:rPr>
          <w:rFonts w:hint="eastAsia" w:ascii="宋体" w:hAnsi="宋体" w:eastAsia="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b/>
          <w:color w:val="000000" w:themeColor="text1"/>
          <w:sz w:val="36"/>
          <w:szCs w:val="36"/>
          <w:highlight w:val="none"/>
          <w:lang w:val="en-US" w:eastAsia="zh-CN"/>
          <w14:textFill>
            <w14:solidFill>
              <w14:schemeClr w14:val="tx1"/>
            </w14:solidFill>
          </w14:textFill>
        </w:rPr>
        <w:t xml:space="preserve">  标段</w:t>
      </w:r>
    </w:p>
    <w:p w14:paraId="1D8078B6">
      <w:pPr>
        <w:ind w:firstLine="2891" w:firstLineChars="8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 xml:space="preserve">            </w:t>
      </w:r>
      <w:r>
        <w:rPr>
          <w:rFonts w:hint="eastAsia" w:ascii="宋体" w:hAnsi="宋体" w:eastAsia="宋体" w:cs="宋体"/>
          <w:b/>
          <w:color w:val="000000" w:themeColor="text1"/>
          <w:sz w:val="36"/>
          <w:szCs w:val="36"/>
          <w:highlight w:val="none"/>
          <w:lang w:val="en-US" w:eastAsia="zh-CN"/>
          <w14:textFill>
            <w14:solidFill>
              <w14:schemeClr w14:val="tx1"/>
            </w14:solidFill>
          </w14:textFill>
        </w:rPr>
        <w:t xml:space="preserve"> </w:t>
      </w:r>
    </w:p>
    <w:p w14:paraId="59F14056">
      <w:pPr>
        <w:spacing w:line="360" w:lineRule="auto"/>
        <w:jc w:val="center"/>
        <w:rPr>
          <w:rFonts w:ascii="宋体" w:hAnsi="宋体" w:eastAsia="宋体" w:cs="宋体"/>
          <w:b/>
          <w:color w:val="000000" w:themeColor="text1"/>
          <w:sz w:val="32"/>
          <w:szCs w:val="32"/>
          <w:highlight w:val="none"/>
          <w14:textFill>
            <w14:solidFill>
              <w14:schemeClr w14:val="tx1"/>
            </w14:solidFill>
          </w14:textFill>
        </w:rPr>
      </w:pPr>
    </w:p>
    <w:p w14:paraId="5E9557E8">
      <w:pPr>
        <w:pStyle w:val="20"/>
        <w:rPr>
          <w:color w:val="000000" w:themeColor="text1"/>
          <w:highlight w:val="none"/>
          <w14:textFill>
            <w14:solidFill>
              <w14:schemeClr w14:val="tx1"/>
            </w14:solidFill>
          </w14:textFill>
        </w:rPr>
      </w:pPr>
    </w:p>
    <w:p w14:paraId="13E697AD">
      <w:pPr>
        <w:pStyle w:val="20"/>
        <w:rPr>
          <w:color w:val="000000" w:themeColor="text1"/>
          <w:highlight w:val="none"/>
          <w14:textFill>
            <w14:solidFill>
              <w14:schemeClr w14:val="tx1"/>
            </w14:solidFill>
          </w14:textFill>
        </w:rPr>
      </w:pPr>
    </w:p>
    <w:p w14:paraId="560DC56C">
      <w:pPr>
        <w:pStyle w:val="20"/>
        <w:rPr>
          <w:color w:val="000000" w:themeColor="text1"/>
          <w:highlight w:val="none"/>
          <w14:textFill>
            <w14:solidFill>
              <w14:schemeClr w14:val="tx1"/>
            </w14:solidFill>
          </w14:textFill>
        </w:rPr>
      </w:pPr>
    </w:p>
    <w:p w14:paraId="71465CF7">
      <w:pPr>
        <w:spacing w:line="360" w:lineRule="auto"/>
        <w:jc w:val="center"/>
        <w:rPr>
          <w:rFonts w:ascii="宋体" w:hAnsi="宋体" w:eastAsia="宋体" w:cs="宋体"/>
          <w:b/>
          <w:color w:val="000000" w:themeColor="text1"/>
          <w:spacing w:val="24"/>
          <w:kern w:val="10"/>
          <w:sz w:val="52"/>
          <w:szCs w:val="52"/>
          <w:highlight w:val="none"/>
          <w14:textFill>
            <w14:solidFill>
              <w14:schemeClr w14:val="tx1"/>
            </w14:solidFill>
          </w14:textFill>
        </w:rPr>
      </w:pPr>
      <w:r>
        <w:rPr>
          <w:rFonts w:hint="eastAsia" w:ascii="宋体" w:hAnsi="宋体" w:eastAsia="宋体" w:cs="宋体"/>
          <w:b/>
          <w:color w:val="000000" w:themeColor="text1"/>
          <w:spacing w:val="24"/>
          <w:kern w:val="10"/>
          <w:sz w:val="52"/>
          <w:szCs w:val="52"/>
          <w:highlight w:val="none"/>
          <w14:textFill>
            <w14:solidFill>
              <w14:schemeClr w14:val="tx1"/>
            </w14:solidFill>
          </w14:textFill>
        </w:rPr>
        <w:t>投  标  文  件</w:t>
      </w:r>
    </w:p>
    <w:p w14:paraId="12F1F194">
      <w:pPr>
        <w:jc w:val="center"/>
        <w:rPr>
          <w:rFonts w:ascii="宋体" w:hAnsi="宋体" w:eastAsia="宋体" w:cs="宋体"/>
          <w:color w:val="000000" w:themeColor="text1"/>
          <w:sz w:val="24"/>
          <w:highlight w:val="none"/>
          <w14:textFill>
            <w14:solidFill>
              <w14:schemeClr w14:val="tx1"/>
            </w14:solidFill>
          </w14:textFill>
        </w:rPr>
      </w:pPr>
    </w:p>
    <w:p w14:paraId="54A7D874">
      <w:pPr>
        <w:pStyle w:val="5"/>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p>
    <w:p w14:paraId="46CD57AD">
      <w:pPr>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（封面）</w:t>
      </w:r>
    </w:p>
    <w:p w14:paraId="6B64753C">
      <w:pPr>
        <w:jc w:val="center"/>
        <w:rPr>
          <w:rFonts w:ascii="宋体" w:hAnsi="宋体" w:eastAsia="宋体" w:cs="宋体"/>
          <w:color w:val="000000" w:themeColor="text1"/>
          <w:sz w:val="24"/>
          <w:highlight w:val="none"/>
          <w14:textFill>
            <w14:solidFill>
              <w14:schemeClr w14:val="tx1"/>
            </w14:solidFill>
          </w14:textFill>
        </w:rPr>
      </w:pPr>
    </w:p>
    <w:p w14:paraId="74B847A1">
      <w:pPr>
        <w:jc w:val="center"/>
        <w:rPr>
          <w:rFonts w:ascii="宋体" w:hAnsi="宋体" w:eastAsia="宋体" w:cs="宋体"/>
          <w:color w:val="000000" w:themeColor="text1"/>
          <w:sz w:val="24"/>
          <w:highlight w:val="none"/>
          <w14:textFill>
            <w14:solidFill>
              <w14:schemeClr w14:val="tx1"/>
            </w14:solidFill>
          </w14:textFill>
        </w:rPr>
      </w:pPr>
    </w:p>
    <w:p w14:paraId="44266F4E">
      <w:pPr>
        <w:jc w:val="center"/>
        <w:rPr>
          <w:rFonts w:ascii="宋体" w:hAnsi="宋体" w:eastAsia="宋体" w:cs="宋体"/>
          <w:color w:val="000000" w:themeColor="text1"/>
          <w:sz w:val="24"/>
          <w:highlight w:val="none"/>
          <w14:textFill>
            <w14:solidFill>
              <w14:schemeClr w14:val="tx1"/>
            </w14:solidFill>
          </w14:textFill>
        </w:rPr>
      </w:pPr>
    </w:p>
    <w:p w14:paraId="72CCBC38">
      <w:pPr>
        <w:rPr>
          <w:rFonts w:ascii="宋体" w:hAnsi="宋体" w:eastAsia="宋体" w:cs="宋体"/>
          <w:color w:val="000000" w:themeColor="text1"/>
          <w:sz w:val="24"/>
          <w:highlight w:val="none"/>
          <w14:textFill>
            <w14:solidFill>
              <w14:schemeClr w14:val="tx1"/>
            </w14:solidFill>
          </w14:textFill>
        </w:rPr>
      </w:pPr>
    </w:p>
    <w:p w14:paraId="30E15D87">
      <w:pPr>
        <w:jc w:val="center"/>
        <w:rPr>
          <w:rFonts w:ascii="宋体" w:hAnsi="宋体" w:eastAsia="宋体" w:cs="宋体"/>
          <w:color w:val="000000" w:themeColor="text1"/>
          <w:sz w:val="24"/>
          <w:highlight w:val="none"/>
          <w14:textFill>
            <w14:solidFill>
              <w14:schemeClr w14:val="tx1"/>
            </w14:solidFill>
          </w14:textFill>
        </w:rPr>
      </w:pPr>
    </w:p>
    <w:p w14:paraId="10F13D48">
      <w:pPr>
        <w:jc w:val="center"/>
        <w:rPr>
          <w:rFonts w:ascii="宋体" w:hAnsi="宋体" w:eastAsia="宋体" w:cs="宋体"/>
          <w:color w:val="000000" w:themeColor="text1"/>
          <w:sz w:val="24"/>
          <w:highlight w:val="none"/>
          <w14:textFill>
            <w14:solidFill>
              <w14:schemeClr w14:val="tx1"/>
            </w14:solidFill>
          </w14:textFill>
        </w:rPr>
      </w:pPr>
    </w:p>
    <w:p w14:paraId="75798C43">
      <w:pPr>
        <w:jc w:val="center"/>
        <w:rPr>
          <w:rFonts w:ascii="宋体" w:hAnsi="宋体" w:eastAsia="宋体" w:cs="宋体"/>
          <w:color w:val="000000" w:themeColor="text1"/>
          <w:sz w:val="24"/>
          <w:highlight w:val="none"/>
          <w14:textFill>
            <w14:solidFill>
              <w14:schemeClr w14:val="tx1"/>
            </w14:solidFill>
          </w14:textFill>
        </w:rPr>
      </w:pPr>
    </w:p>
    <w:p w14:paraId="4E2A30FF">
      <w:pPr>
        <w:jc w:val="center"/>
        <w:rPr>
          <w:rFonts w:ascii="宋体" w:hAnsi="宋体" w:eastAsia="宋体" w:cs="宋体"/>
          <w:b/>
          <w:color w:val="000000" w:themeColor="text1"/>
          <w:sz w:val="24"/>
          <w:highlight w:val="none"/>
          <w14:textFill>
            <w14:solidFill>
              <w14:schemeClr w14:val="tx1"/>
            </w14:solidFill>
          </w14:textFill>
        </w:rPr>
      </w:pPr>
    </w:p>
    <w:p w14:paraId="6E9DC359">
      <w:pPr>
        <w:pStyle w:val="10"/>
        <w:spacing w:line="600" w:lineRule="exact"/>
        <w:ind w:left="1050" w:leftChars="500" w:firstLine="1152" w:firstLineChars="450"/>
        <w:rPr>
          <w:rFonts w:hint="default"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pacing w:val="8"/>
          <w:sz w:val="24"/>
          <w:highlight w:val="none"/>
          <w14:textFill>
            <w14:solidFill>
              <w14:schemeClr w14:val="tx1"/>
            </w14:solidFill>
          </w14:textFill>
        </w:rPr>
        <w:t>供  应  商：</w:t>
      </w:r>
      <w:r>
        <w:rPr>
          <w:rFonts w:ascii="宋体" w:hAnsi="宋体" w:eastAsia="宋体" w:cs="宋体"/>
          <w:color w:val="000000" w:themeColor="text1"/>
          <w:sz w:val="24"/>
          <w:highlight w:val="none"/>
          <w14:textFill>
            <w14:solidFill>
              <w14:schemeClr w14:val="tx1"/>
            </w14:solidFill>
          </w14:textFill>
        </w:rPr>
        <w:t>（单位公章）</w:t>
      </w:r>
    </w:p>
    <w:p w14:paraId="0D973F6D">
      <w:pPr>
        <w:pStyle w:val="10"/>
        <w:spacing w:line="600" w:lineRule="exact"/>
        <w:ind w:left="1050" w:leftChars="500" w:firstLine="1200" w:firstLineChars="500"/>
        <w:rPr>
          <w:rFonts w:hint="default"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法定代表人或</w:t>
      </w:r>
      <w:r>
        <w:rPr>
          <w:rFonts w:ascii="宋体" w:hAnsi="宋体" w:eastAsia="宋体" w:cs="宋体"/>
          <w:color w:val="000000" w:themeColor="text1"/>
          <w:spacing w:val="12"/>
          <w:sz w:val="24"/>
          <w:highlight w:val="none"/>
          <w14:textFill>
            <w14:solidFill>
              <w14:schemeClr w14:val="tx1"/>
            </w14:solidFill>
          </w14:textFill>
        </w:rPr>
        <w:t>委托代理人：</w:t>
      </w:r>
      <w:r>
        <w:rPr>
          <w:rFonts w:ascii="宋体" w:hAnsi="宋体" w:eastAsia="宋体" w:cs="宋体"/>
          <w:color w:val="000000" w:themeColor="text1"/>
          <w:sz w:val="24"/>
          <w:highlight w:val="none"/>
          <w14:textFill>
            <w14:solidFill>
              <w14:schemeClr w14:val="tx1"/>
            </w14:solidFill>
          </w14:textFill>
        </w:rPr>
        <w:t xml:space="preserve">（签字或盖章）  </w:t>
      </w:r>
    </w:p>
    <w:p w14:paraId="1C061210">
      <w:pPr>
        <w:pStyle w:val="10"/>
        <w:spacing w:line="600" w:lineRule="exact"/>
        <w:ind w:left="1050" w:leftChars="500" w:firstLine="1200" w:firstLineChars="500"/>
        <w:rPr>
          <w:rFonts w:hint="default" w:ascii="宋体" w:hAnsi="宋体" w:eastAsia="宋体" w:cs="宋体"/>
          <w:b/>
          <w:bCs/>
          <w:color w:val="000000" w:themeColor="text1"/>
          <w:sz w:val="28"/>
          <w:szCs w:val="28"/>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日       期：       年    月    日</w:t>
      </w:r>
    </w:p>
    <w:p w14:paraId="662F15CE">
      <w:pPr>
        <w:ind w:firstLine="540" w:firstLineChars="192"/>
        <w:jc w:val="center"/>
        <w:rPr>
          <w:rFonts w:ascii="宋体" w:hAnsi="宋体" w:eastAsia="宋体" w:cs="宋体"/>
          <w:b/>
          <w:bCs/>
          <w:color w:val="000000" w:themeColor="text1"/>
          <w:sz w:val="28"/>
          <w:szCs w:val="28"/>
          <w:highlight w:val="none"/>
          <w14:textFill>
            <w14:solidFill>
              <w14:schemeClr w14:val="tx1"/>
            </w14:solidFill>
          </w14:textFill>
        </w:rPr>
      </w:pPr>
    </w:p>
    <w:p w14:paraId="6FAEF062">
      <w:pPr>
        <w:ind w:firstLine="848" w:firstLineChars="192"/>
        <w:jc w:val="center"/>
        <w:rPr>
          <w:rFonts w:ascii="宋体" w:hAnsi="宋体" w:eastAsia="宋体" w:cs="宋体"/>
          <w:b/>
          <w:bCs/>
          <w:color w:val="000000" w:themeColor="text1"/>
          <w:sz w:val="44"/>
          <w:szCs w:val="44"/>
          <w:highlight w:val="none"/>
          <w14:textFill>
            <w14:solidFill>
              <w14:schemeClr w14:val="tx1"/>
            </w14:solidFill>
          </w14:textFill>
        </w:rPr>
      </w:pPr>
    </w:p>
    <w:p w14:paraId="686102F8">
      <w:pPr>
        <w:pStyle w:val="20"/>
        <w:ind w:firstLine="883"/>
        <w:rPr>
          <w:rFonts w:ascii="宋体" w:hAnsi="宋体" w:eastAsia="宋体" w:cs="宋体"/>
          <w:b/>
          <w:bCs/>
          <w:color w:val="000000" w:themeColor="text1"/>
          <w:sz w:val="44"/>
          <w:szCs w:val="44"/>
          <w:highlight w:val="none"/>
          <w14:textFill>
            <w14:solidFill>
              <w14:schemeClr w14:val="tx1"/>
            </w14:solidFill>
          </w14:textFill>
        </w:rPr>
      </w:pPr>
    </w:p>
    <w:p w14:paraId="319F5ACA">
      <w:pPr>
        <w:rPr>
          <w:rFonts w:ascii="宋体" w:hAnsi="宋体" w:eastAsia="宋体" w:cs="宋体"/>
          <w:b/>
          <w:bCs/>
          <w:color w:val="000000" w:themeColor="text1"/>
          <w:sz w:val="44"/>
          <w:szCs w:val="44"/>
          <w:highlight w:val="none"/>
          <w14:textFill>
            <w14:solidFill>
              <w14:schemeClr w14:val="tx1"/>
            </w14:solidFill>
          </w14:textFill>
        </w:rPr>
      </w:pPr>
    </w:p>
    <w:p w14:paraId="573819E8">
      <w:pPr>
        <w:jc w:val="both"/>
        <w:rPr>
          <w:rFonts w:ascii="宋体" w:hAnsi="宋体" w:eastAsia="宋体" w:cs="宋体"/>
          <w:b/>
          <w:bCs/>
          <w:color w:val="000000" w:themeColor="text1"/>
          <w:sz w:val="44"/>
          <w:szCs w:val="44"/>
          <w:highlight w:val="none"/>
          <w14:textFill>
            <w14:solidFill>
              <w14:schemeClr w14:val="tx1"/>
            </w14:solidFill>
          </w14:textFill>
        </w:rPr>
      </w:pPr>
    </w:p>
    <w:p w14:paraId="3D97D3EB">
      <w:pPr>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44"/>
          <w:szCs w:val="44"/>
          <w:highlight w:val="none"/>
          <w14:textFill>
            <w14:solidFill>
              <w14:schemeClr w14:val="tx1"/>
            </w14:solidFill>
          </w14:textFill>
        </w:rPr>
        <w:t>目    录</w:t>
      </w:r>
    </w:p>
    <w:p w14:paraId="36F45626">
      <w:pPr>
        <w:spacing w:line="600" w:lineRule="exact"/>
        <w:jc w:val="center"/>
        <w:outlineLvl w:val="1"/>
        <w:rPr>
          <w:rFonts w:ascii="宋体" w:hAnsi="宋体" w:eastAsia="宋体" w:cs="宋体"/>
          <w:b/>
          <w:bCs/>
          <w:color w:val="000000" w:themeColor="text1"/>
          <w:sz w:val="28"/>
          <w:szCs w:val="28"/>
          <w:highlight w:val="none"/>
          <w14:textFill>
            <w14:solidFill>
              <w14:schemeClr w14:val="tx1"/>
            </w14:solidFill>
          </w14:textFill>
        </w:rPr>
      </w:pPr>
      <w:bookmarkStart w:id="254" w:name="_Toc31547"/>
      <w:bookmarkStart w:id="255" w:name="_Toc2130"/>
      <w:r>
        <w:rPr>
          <w:rFonts w:ascii="宋体" w:hAnsi="宋体" w:eastAsia="宋体" w:cs="宋体"/>
          <w:color w:val="000000" w:themeColor="text1"/>
          <w:szCs w:val="21"/>
          <w:highlight w:val="none"/>
          <w14:textFill>
            <w14:solidFill>
              <w14:schemeClr w14:val="tx1"/>
            </w14:solidFill>
          </w14:textFill>
        </w:rPr>
        <w:t>（自拟）</w:t>
      </w:r>
      <w:r>
        <w:rPr>
          <w:rFonts w:hint="eastAsia" w:ascii="宋体" w:hAnsi="宋体" w:eastAsia="宋体" w:cs="宋体"/>
          <w:color w:val="000000" w:themeColor="text1"/>
          <w:szCs w:val="21"/>
          <w:highlight w:val="none"/>
          <w14:textFill>
            <w14:solidFill>
              <w14:schemeClr w14:val="tx1"/>
            </w14:solidFill>
          </w14:textFill>
        </w:rPr>
        <w:br w:type="page"/>
      </w:r>
      <w:bookmarkStart w:id="256" w:name="_Toc1921"/>
      <w:r>
        <w:rPr>
          <w:rFonts w:hint="eastAsia" w:ascii="宋体" w:hAnsi="宋体" w:eastAsia="宋体" w:cs="宋体"/>
          <w:b/>
          <w:bCs/>
          <w:color w:val="000000" w:themeColor="text1"/>
          <w:sz w:val="30"/>
          <w:szCs w:val="30"/>
          <w:highlight w:val="none"/>
          <w14:textFill>
            <w14:solidFill>
              <w14:schemeClr w14:val="tx1"/>
            </w14:solidFill>
          </w14:textFill>
        </w:rPr>
        <w:t>一、投标函</w:t>
      </w:r>
      <w:bookmarkEnd w:id="254"/>
      <w:r>
        <w:rPr>
          <w:rFonts w:hint="eastAsia" w:ascii="宋体" w:hAnsi="宋体" w:eastAsia="宋体" w:cs="宋体"/>
          <w:b/>
          <w:bCs/>
          <w:color w:val="000000" w:themeColor="text1"/>
          <w:sz w:val="30"/>
          <w:szCs w:val="30"/>
          <w:highlight w:val="none"/>
          <w14:textFill>
            <w14:solidFill>
              <w14:schemeClr w14:val="tx1"/>
            </w14:solidFill>
          </w14:textFill>
        </w:rPr>
        <w:t>及开标一览表</w:t>
      </w:r>
      <w:bookmarkEnd w:id="255"/>
      <w:bookmarkEnd w:id="256"/>
    </w:p>
    <w:p w14:paraId="77510BCC">
      <w:pPr>
        <w:numPr>
          <w:ilvl w:val="0"/>
          <w:numId w:val="10"/>
        </w:numPr>
        <w:spacing w:line="600" w:lineRule="exact"/>
        <w:jc w:val="center"/>
        <w:outlineLvl w:val="2"/>
        <w:rPr>
          <w:rFonts w:ascii="宋体" w:hAnsi="宋体" w:eastAsia="宋体" w:cs="宋体"/>
          <w:b/>
          <w:color w:val="000000" w:themeColor="text1"/>
          <w:sz w:val="28"/>
          <w:szCs w:val="28"/>
          <w:highlight w:val="none"/>
          <w14:textFill>
            <w14:solidFill>
              <w14:schemeClr w14:val="tx1"/>
            </w14:solidFill>
          </w14:textFill>
        </w:rPr>
      </w:pPr>
      <w:bookmarkStart w:id="257" w:name="_Toc600"/>
      <w:bookmarkStart w:id="258" w:name="_Toc27218"/>
      <w:bookmarkStart w:id="259" w:name="_Toc12044"/>
      <w:bookmarkStart w:id="260" w:name="_Toc28684"/>
      <w:r>
        <w:rPr>
          <w:rFonts w:hint="eastAsia" w:ascii="宋体" w:hAnsi="宋体" w:eastAsia="宋体" w:cs="宋体"/>
          <w:b/>
          <w:color w:val="000000" w:themeColor="text1"/>
          <w:sz w:val="28"/>
          <w:szCs w:val="28"/>
          <w:highlight w:val="none"/>
          <w14:textFill>
            <w14:solidFill>
              <w14:schemeClr w14:val="tx1"/>
            </w14:solidFill>
          </w14:textFill>
        </w:rPr>
        <w:t>投标函</w:t>
      </w:r>
      <w:bookmarkEnd w:id="257"/>
      <w:bookmarkEnd w:id="258"/>
      <w:bookmarkEnd w:id="259"/>
      <w:bookmarkEnd w:id="260"/>
    </w:p>
    <w:p w14:paraId="542B8C38">
      <w:pPr>
        <w:pStyle w:val="20"/>
        <w:ind w:firstLine="0" w:firstLineChars="0"/>
        <w:rPr>
          <w:color w:val="000000" w:themeColor="text1"/>
          <w:highlight w:val="none"/>
          <w14:textFill>
            <w14:solidFill>
              <w14:schemeClr w14:val="tx1"/>
            </w14:solidFill>
          </w14:textFill>
        </w:rPr>
      </w:pPr>
    </w:p>
    <w:p w14:paraId="5673569A">
      <w:pPr>
        <w:widowControl/>
        <w:spacing w:line="360" w:lineRule="auto"/>
        <w:ind w:firstLine="562" w:firstLineChars="200"/>
        <w:rPr>
          <w:rFonts w:ascii="宋体" w:hAnsi="宋体"/>
          <w:b/>
          <w:bCs/>
          <w:color w:val="000000" w:themeColor="text1"/>
          <w:kern w:val="0"/>
          <w:sz w:val="28"/>
          <w:szCs w:val="28"/>
          <w:highlight w:val="none"/>
          <w:u w:val="single"/>
          <w14:textFill>
            <w14:solidFill>
              <w14:schemeClr w14:val="tx1"/>
            </w14:solidFill>
          </w14:textFill>
        </w:rPr>
      </w:pPr>
      <w:r>
        <w:rPr>
          <w:rFonts w:hint="eastAsia" w:ascii="宋体" w:hAnsi="宋体"/>
          <w:b/>
          <w:bCs/>
          <w:color w:val="000000" w:themeColor="text1"/>
          <w:kern w:val="0"/>
          <w:sz w:val="28"/>
          <w:szCs w:val="28"/>
          <w:highlight w:val="none"/>
          <w14:textFill>
            <w14:solidFill>
              <w14:schemeClr w14:val="tx1"/>
            </w14:solidFill>
          </w14:textFill>
        </w:rPr>
        <w:t>致：</w:t>
      </w:r>
      <w:r>
        <w:rPr>
          <w:rFonts w:hint="eastAsia" w:ascii="宋体" w:hAnsi="宋体"/>
          <w:b/>
          <w:bCs/>
          <w:color w:val="000000" w:themeColor="text1"/>
          <w:kern w:val="0"/>
          <w:sz w:val="28"/>
          <w:szCs w:val="28"/>
          <w:highlight w:val="none"/>
          <w:u w:val="single"/>
          <w14:textFill>
            <w14:solidFill>
              <w14:schemeClr w14:val="tx1"/>
            </w14:solidFill>
          </w14:textFill>
        </w:rPr>
        <w:t xml:space="preserve">                    （采购人名称） </w:t>
      </w:r>
    </w:p>
    <w:p w14:paraId="58E4EE1F">
      <w:pPr>
        <w:pStyle w:val="19"/>
        <w:spacing w:line="360" w:lineRule="auto"/>
        <w:ind w:firstLine="480" w:firstLineChars="200"/>
        <w:rPr>
          <w:rFonts w:hint="default" w:ascii="宋体" w:hAnsi="宋体" w:eastAsia="宋体"/>
          <w:color w:val="000000" w:themeColor="text1"/>
          <w:sz w:val="24"/>
          <w:highlight w:val="none"/>
          <w14:textFill>
            <w14:solidFill>
              <w14:schemeClr w14:val="tx1"/>
            </w14:solidFill>
          </w14:textFill>
        </w:rPr>
      </w:pPr>
      <w:r>
        <w:rPr>
          <w:rFonts w:ascii="宋体" w:hAnsi="宋体" w:eastAsia="宋体"/>
          <w:color w:val="000000" w:themeColor="text1"/>
          <w:sz w:val="24"/>
          <w:highlight w:val="none"/>
          <w14:textFill>
            <w14:solidFill>
              <w14:schemeClr w14:val="tx1"/>
            </w14:solidFill>
          </w14:textFill>
        </w:rPr>
        <w:t>我单位已收到的</w:t>
      </w:r>
      <w:r>
        <w:rPr>
          <w:rFonts w:ascii="宋体" w:hAnsi="宋体" w:eastAsia="宋体"/>
          <w:color w:val="000000" w:themeColor="text1"/>
          <w:sz w:val="24"/>
          <w:highlight w:val="none"/>
          <w:u w:val="single"/>
          <w14:textFill>
            <w14:solidFill>
              <w14:schemeClr w14:val="tx1"/>
            </w14:solidFill>
          </w14:textFill>
        </w:rPr>
        <w:t xml:space="preserve">                           </w:t>
      </w:r>
      <w:r>
        <w:rPr>
          <w:rFonts w:ascii="宋体" w:hAnsi="宋体" w:eastAsia="宋体"/>
          <w:color w:val="000000" w:themeColor="text1"/>
          <w:sz w:val="24"/>
          <w:highlight w:val="none"/>
          <w14:textFill>
            <w14:solidFill>
              <w14:schemeClr w14:val="tx1"/>
            </w14:solidFill>
          </w14:textFill>
        </w:rPr>
        <w:t xml:space="preserve"> </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14:textFill>
            <w14:solidFill>
              <w14:schemeClr w14:val="tx1"/>
            </w14:solidFill>
          </w14:textFill>
        </w:rPr>
        <w:t>项目名称</w:t>
      </w:r>
      <w:r>
        <w:rPr>
          <w:rFonts w:hint="eastAsia" w:ascii="宋体" w:hAnsi="宋体" w:eastAsia="宋体"/>
          <w:color w:val="000000" w:themeColor="text1"/>
          <w:sz w:val="24"/>
          <w:highlight w:val="none"/>
          <w:lang w:eastAsia="zh-CN"/>
          <w14:textFill>
            <w14:solidFill>
              <w14:schemeClr w14:val="tx1"/>
            </w14:solidFill>
          </w14:textFill>
        </w:rPr>
        <w:t>）</w:t>
      </w:r>
      <w:r>
        <w:rPr>
          <w:rFonts w:hint="eastAsia" w:ascii="宋体" w:hAnsi="宋体" w:eastAsia="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olor w:val="000000" w:themeColor="text1"/>
          <w:sz w:val="24"/>
          <w:highlight w:val="none"/>
          <w14:textFill>
            <w14:solidFill>
              <w14:schemeClr w14:val="tx1"/>
            </w14:solidFill>
          </w14:textFill>
        </w:rPr>
        <w:t>标段</w:t>
      </w:r>
      <w:r>
        <w:rPr>
          <w:rFonts w:ascii="宋体" w:hAnsi="宋体" w:eastAsia="宋体"/>
          <w:color w:val="000000" w:themeColor="text1"/>
          <w:sz w:val="24"/>
          <w:highlight w:val="none"/>
          <w14:textFill>
            <w14:solidFill>
              <w14:schemeClr w14:val="tx1"/>
            </w14:solidFill>
          </w14:textFill>
        </w:rPr>
        <w:t>采购文件及有关纪要通知，现对参与投标及中标后工作，做出如下郑重承诺：</w:t>
      </w:r>
    </w:p>
    <w:p w14:paraId="3505E9FE">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1、我方愿以</w:t>
      </w:r>
      <w:r>
        <w:rPr>
          <w:rFonts w:hint="eastAsia" w:ascii="宋体" w:hAnsi="宋体"/>
          <w:color w:val="000000" w:themeColor="text1"/>
          <w:sz w:val="24"/>
          <w:highlight w:val="none"/>
          <w:lang w:val="en-US" w:eastAsia="zh-CN"/>
          <w14:textFill>
            <w14:solidFill>
              <w14:schemeClr w14:val="tx1"/>
            </w14:solidFill>
          </w14:textFill>
        </w:rPr>
        <w:t>投标单价</w:t>
      </w:r>
      <w:r>
        <w:rPr>
          <w:rFonts w:hint="eastAsia" w:ascii="宋体" w:hAnsi="宋体"/>
          <w:color w:val="000000" w:themeColor="text1"/>
          <w:sz w:val="24"/>
          <w:highlight w:val="none"/>
          <w14:textFill>
            <w14:solidFill>
              <w14:schemeClr w14:val="tx1"/>
            </w14:solidFill>
          </w14:textFill>
        </w:rPr>
        <w:t>为人民币（大写）</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元/年</w:t>
      </w:r>
      <w:r>
        <w:rPr>
          <w:rFonts w:hint="eastAsia" w:ascii="宋体" w:hAnsi="宋体"/>
          <w:color w:val="000000" w:themeColor="text1"/>
          <w:sz w:val="24"/>
          <w:highlight w:val="none"/>
          <w14:textFill>
            <w14:solidFill>
              <w14:schemeClr w14:val="tx1"/>
            </w14:solidFill>
          </w14:textFill>
        </w:rPr>
        <w:t xml:space="preserve">（小写）￥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lang w:val="en-US" w:eastAsia="zh-CN"/>
          <w14:textFill>
            <w14:solidFill>
              <w14:schemeClr w14:val="tx1"/>
            </w14:solidFill>
          </w14:textFill>
        </w:rPr>
        <w:t>元/年</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服务期</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，按合同约定实施和完成本项目。 </w:t>
      </w:r>
    </w:p>
    <w:p w14:paraId="18BD3647">
      <w:pPr>
        <w:widowControl/>
        <w:spacing w:line="360" w:lineRule="auto"/>
        <w:ind w:firstLine="480" w:firstLineChars="200"/>
        <w:rPr>
          <w:rFonts w:ascii="宋体" w:hAnsi="宋体" w:cs="宋体"/>
          <w:strike/>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在响应性文件递交截止时间后至确定成交人的</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"https://baike.so.com/doc/5394983-5632135.html" \t "https://baike.so.com/doc/_blank" </w:instrText>
      </w:r>
      <w:r>
        <w:rPr>
          <w:color w:val="000000" w:themeColor="text1"/>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t>投标有效期</w:t>
      </w:r>
      <w:r>
        <w:rPr>
          <w:rFonts w:ascii="宋体" w:hAnsi="宋体"/>
          <w:color w:val="000000" w:themeColor="text1"/>
          <w:sz w:val="24"/>
          <w:highlight w:val="none"/>
          <w14:textFill>
            <w14:solidFill>
              <w14:schemeClr w14:val="tx1"/>
            </w14:solidFill>
          </w14:textFill>
        </w:rPr>
        <w:fldChar w:fldCharType="end"/>
      </w:r>
      <w:r>
        <w:rPr>
          <w:rFonts w:ascii="宋体" w:hAnsi="宋体"/>
          <w:color w:val="000000" w:themeColor="text1"/>
          <w:sz w:val="24"/>
          <w:highlight w:val="none"/>
          <w14:textFill>
            <w14:solidFill>
              <w14:schemeClr w14:val="tx1"/>
            </w14:solidFill>
          </w14:textFill>
        </w:rPr>
        <w:t>内</w:t>
      </w:r>
      <w:r>
        <w:rPr>
          <w:rFonts w:hint="eastAsia" w:ascii="宋体" w:hAnsi="宋体"/>
          <w:color w:val="000000" w:themeColor="text1"/>
          <w:sz w:val="24"/>
          <w:highlight w:val="none"/>
          <w14:textFill>
            <w14:solidFill>
              <w14:schemeClr w14:val="tx1"/>
            </w14:solidFill>
          </w14:textFill>
        </w:rPr>
        <w:t>，我单位不得要求退出竞标或者修改响应性文件。</w:t>
      </w:r>
    </w:p>
    <w:p w14:paraId="1F1823C2">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3、我方明白采购人不一定接纳最低投标报价的采购，也不需要采购人解释选择或否决任何供应商的原因和理由。</w:t>
      </w:r>
    </w:p>
    <w:p w14:paraId="281CE914">
      <w:pPr>
        <w:widowControl/>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参与本项目投标的所有资料真实有效，未在投标文件中提供虚假材料，无陪标、串标等违法行为。若相关部门查实或被不见面开标系统提示为“投标文件制作机器码一致”的，同意被视为投标无效，接受报监管部门依法作出的处理。</w:t>
      </w:r>
    </w:p>
    <w:p w14:paraId="42C36CC3">
      <w:pPr>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我方中标，我方在收到中标通知书后15日内，依据采购文件、投标文件与采购人签订合同。若由于我方原因在15日内因非不可抗力拒绝与采购人签订合同的，愿意接受相关部门依法作出的处罚。合同签订后严格按照合同履约，并配合采购人完成履约验收。</w:t>
      </w:r>
    </w:p>
    <w:p w14:paraId="6852129F">
      <w:pPr>
        <w:widowControl/>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供应商：（盖章）</w:t>
      </w:r>
    </w:p>
    <w:p w14:paraId="741803AC">
      <w:pPr>
        <w:widowControl/>
        <w:spacing w:line="360" w:lineRule="auto"/>
        <w:ind w:firstLine="480" w:firstLineChars="2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法定代表人或授权委托代理人：（签字或盖章）</w:t>
      </w:r>
    </w:p>
    <w:p w14:paraId="4CD8CAD7">
      <w:pPr>
        <w:widowControl/>
        <w:spacing w:line="360" w:lineRule="auto"/>
        <w:ind w:firstLine="480" w:firstLineChars="200"/>
        <w:rPr>
          <w:rFonts w:ascii="宋体" w:hAnsi="宋体"/>
          <w:b/>
          <w:bCs/>
          <w:color w:val="000000" w:themeColor="text1"/>
          <w:kern w:val="0"/>
          <w:sz w:val="32"/>
          <w:szCs w:val="32"/>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年      月      日</w:t>
      </w:r>
    </w:p>
    <w:p w14:paraId="29087E39">
      <w:pPr>
        <w:spacing w:line="500" w:lineRule="exact"/>
        <w:jc w:val="center"/>
        <w:outlineLvl w:val="2"/>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br w:type="page"/>
      </w:r>
      <w:bookmarkStart w:id="261" w:name="_Toc14778"/>
      <w:bookmarkStart w:id="262" w:name="_Toc208"/>
      <w:bookmarkStart w:id="263" w:name="_Toc9543"/>
      <w:bookmarkStart w:id="264" w:name="_Toc31291"/>
      <w:r>
        <w:rPr>
          <w:rFonts w:hint="eastAsia" w:ascii="宋体" w:hAnsi="宋体" w:eastAsia="宋体" w:cs="宋体"/>
          <w:b/>
          <w:bCs/>
          <w:color w:val="000000" w:themeColor="text1"/>
          <w:sz w:val="28"/>
          <w:szCs w:val="28"/>
          <w:highlight w:val="none"/>
          <w14:textFill>
            <w14:solidFill>
              <w14:schemeClr w14:val="tx1"/>
            </w14:solidFill>
          </w14:textFill>
        </w:rPr>
        <w:t>（二） 开标一览表</w:t>
      </w:r>
      <w:bookmarkEnd w:id="261"/>
      <w:bookmarkEnd w:id="262"/>
      <w:bookmarkEnd w:id="263"/>
      <w:bookmarkEnd w:id="264"/>
    </w:p>
    <w:p w14:paraId="15A0E964">
      <w:pPr>
        <w:jc w:val="center"/>
        <w:rPr>
          <w:rFonts w:ascii="宋体" w:hAnsi="宋体" w:eastAsia="宋体" w:cs="宋体"/>
          <w:b/>
          <w:bCs/>
          <w:color w:val="000000" w:themeColor="text1"/>
          <w:sz w:val="28"/>
          <w:highlight w:val="none"/>
          <w14:textFill>
            <w14:solidFill>
              <w14:schemeClr w14:val="tx1"/>
            </w14:solidFill>
          </w14:textFill>
        </w:rPr>
      </w:pPr>
    </w:p>
    <w:tbl>
      <w:tblPr>
        <w:tblStyle w:val="21"/>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3"/>
        <w:gridCol w:w="5906"/>
      </w:tblGrid>
      <w:tr w14:paraId="6FE1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613" w:type="dxa"/>
            <w:vAlign w:val="center"/>
          </w:tcPr>
          <w:p w14:paraId="1B79B74A">
            <w:pPr>
              <w:spacing w:line="300" w:lineRule="exact"/>
              <w:jc w:val="center"/>
              <w:rPr>
                <w:rFonts w:ascii="宋体" w:hAnsi="宋体" w:eastAsia="宋体" w:cs="宋体"/>
                <w:color w:val="auto"/>
                <w:sz w:val="24"/>
                <w:szCs w:val="24"/>
                <w:highlight w:val="none"/>
              </w:rPr>
            </w:pPr>
            <w:r>
              <w:rPr>
                <w:rFonts w:hint="eastAsia" w:ascii="宋体" w:hAnsi="宋体"/>
                <w:color w:val="auto"/>
                <w:sz w:val="24"/>
                <w:szCs w:val="24"/>
                <w:highlight w:val="none"/>
                <w:lang w:val="en-US" w:eastAsia="zh-CN"/>
              </w:rPr>
              <w:t>项目名称</w:t>
            </w:r>
          </w:p>
        </w:tc>
        <w:tc>
          <w:tcPr>
            <w:tcW w:w="5906" w:type="dxa"/>
            <w:vAlign w:val="center"/>
          </w:tcPr>
          <w:p w14:paraId="455FF9AD">
            <w:pPr>
              <w:pStyle w:val="9"/>
              <w:spacing w:line="400" w:lineRule="exact"/>
              <w:ind w:left="0" w:leftChars="0" w:firstLine="0" w:firstLineChars="0"/>
              <w:rPr>
                <w:rFonts w:ascii="宋体" w:hAnsi="宋体" w:eastAsia="宋体" w:cs="宋体"/>
                <w:color w:val="auto"/>
                <w:sz w:val="24"/>
                <w:szCs w:val="24"/>
                <w:highlight w:val="none"/>
              </w:rPr>
            </w:pPr>
          </w:p>
        </w:tc>
      </w:tr>
      <w:tr w14:paraId="16F9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2613" w:type="dxa"/>
            <w:vAlign w:val="center"/>
          </w:tcPr>
          <w:p w14:paraId="565F38D2">
            <w:pPr>
              <w:spacing w:line="300" w:lineRule="exact"/>
              <w:jc w:val="center"/>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所投标段</w:t>
            </w:r>
          </w:p>
        </w:tc>
        <w:tc>
          <w:tcPr>
            <w:tcW w:w="5906" w:type="dxa"/>
            <w:vAlign w:val="center"/>
          </w:tcPr>
          <w:p w14:paraId="1E31A02A">
            <w:pPr>
              <w:pStyle w:val="9"/>
              <w:spacing w:line="400" w:lineRule="exact"/>
              <w:ind w:left="0" w:leftChars="0" w:firstLine="0" w:firstLineChars="0"/>
              <w:jc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标段</w:t>
            </w:r>
          </w:p>
        </w:tc>
      </w:tr>
      <w:tr w14:paraId="2971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2613" w:type="dxa"/>
            <w:vAlign w:val="center"/>
          </w:tcPr>
          <w:p w14:paraId="4E47EE8E">
            <w:pPr>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 标 人</w:t>
            </w:r>
          </w:p>
        </w:tc>
        <w:tc>
          <w:tcPr>
            <w:tcW w:w="5906" w:type="dxa"/>
            <w:vAlign w:val="center"/>
          </w:tcPr>
          <w:p w14:paraId="6951A40B">
            <w:pPr>
              <w:pStyle w:val="9"/>
              <w:spacing w:line="400" w:lineRule="exact"/>
              <w:ind w:left="0" w:leftChars="0" w:firstLine="0" w:firstLineChars="0"/>
              <w:rPr>
                <w:rFonts w:ascii="宋体" w:hAnsi="宋体" w:eastAsia="宋体" w:cs="宋体"/>
                <w:color w:val="auto"/>
                <w:sz w:val="24"/>
                <w:szCs w:val="24"/>
                <w:highlight w:val="none"/>
              </w:rPr>
            </w:pPr>
          </w:p>
        </w:tc>
      </w:tr>
      <w:tr w14:paraId="024F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613" w:type="dxa"/>
            <w:vAlign w:val="center"/>
          </w:tcPr>
          <w:p w14:paraId="4AC79A47">
            <w:pPr>
              <w:spacing w:line="3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报价</w:t>
            </w:r>
          </w:p>
        </w:tc>
        <w:tc>
          <w:tcPr>
            <w:tcW w:w="5906" w:type="dxa"/>
            <w:vAlign w:val="center"/>
          </w:tcPr>
          <w:p w14:paraId="6D629078">
            <w:pPr>
              <w:pStyle w:val="9"/>
              <w:spacing w:line="400" w:lineRule="exact"/>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cs="宋体"/>
                <w:color w:val="auto"/>
                <w:sz w:val="24"/>
                <w:szCs w:val="24"/>
                <w:highlight w:val="none"/>
                <w:u w:val="none"/>
                <w:lang w:val="en-US" w:eastAsia="zh-CN"/>
              </w:rPr>
              <w:t>年</w:t>
            </w:r>
            <w:r>
              <w:rPr>
                <w:rFonts w:hint="eastAsia" w:ascii="宋体" w:hAnsi="宋体" w:eastAsia="宋体" w:cs="宋体"/>
                <w:color w:val="auto"/>
                <w:sz w:val="24"/>
                <w:szCs w:val="24"/>
                <w:highlight w:val="none"/>
              </w:rPr>
              <w:t xml:space="preserve"> </w:t>
            </w:r>
          </w:p>
          <w:p w14:paraId="56362D96">
            <w:pPr>
              <w:pStyle w:val="9"/>
              <w:spacing w:line="400" w:lineRule="exact"/>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cs="宋体"/>
                <w:color w:val="auto"/>
                <w:sz w:val="24"/>
                <w:szCs w:val="24"/>
                <w:highlight w:val="none"/>
                <w:u w:val="none"/>
                <w:lang w:val="en-US" w:eastAsia="zh-CN"/>
              </w:rPr>
              <w:t>年</w:t>
            </w:r>
            <w:r>
              <w:rPr>
                <w:rFonts w:hint="eastAsia" w:ascii="宋体" w:hAnsi="宋体" w:eastAsia="宋体" w:cs="宋体"/>
                <w:color w:val="auto"/>
                <w:sz w:val="24"/>
                <w:szCs w:val="24"/>
                <w:highlight w:val="none"/>
              </w:rPr>
              <w:t xml:space="preserve"> </w:t>
            </w:r>
          </w:p>
        </w:tc>
      </w:tr>
      <w:tr w14:paraId="4647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2613" w:type="dxa"/>
            <w:vAlign w:val="center"/>
          </w:tcPr>
          <w:p w14:paraId="0AFA2902">
            <w:pPr>
              <w:spacing w:line="3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质量要求</w:t>
            </w:r>
          </w:p>
        </w:tc>
        <w:tc>
          <w:tcPr>
            <w:tcW w:w="5906" w:type="dxa"/>
            <w:vAlign w:val="center"/>
          </w:tcPr>
          <w:p w14:paraId="70948F99">
            <w:pPr>
              <w:pStyle w:val="9"/>
              <w:spacing w:line="400" w:lineRule="exact"/>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合格，符合国家及行业规范标准。</w:t>
            </w:r>
          </w:p>
        </w:tc>
      </w:tr>
      <w:tr w14:paraId="1A7A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2613" w:type="dxa"/>
            <w:vAlign w:val="center"/>
          </w:tcPr>
          <w:p w14:paraId="3B675A94">
            <w:pPr>
              <w:spacing w:line="3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w:t>
            </w:r>
          </w:p>
        </w:tc>
        <w:tc>
          <w:tcPr>
            <w:tcW w:w="5906" w:type="dxa"/>
            <w:vAlign w:val="center"/>
          </w:tcPr>
          <w:p w14:paraId="5F77E1EB">
            <w:pPr>
              <w:pStyle w:val="9"/>
              <w:spacing w:line="40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3年。第一年结束考核合格后，续签剩余两年合同。</w:t>
            </w:r>
          </w:p>
        </w:tc>
      </w:tr>
      <w:tr w14:paraId="4B7A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2613" w:type="dxa"/>
            <w:vAlign w:val="center"/>
          </w:tcPr>
          <w:p w14:paraId="751E3595">
            <w:pPr>
              <w:spacing w:line="300" w:lineRule="exact"/>
              <w:jc w:val="center"/>
              <w:rPr>
                <w:rFonts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投标有效期</w:t>
            </w:r>
          </w:p>
        </w:tc>
        <w:tc>
          <w:tcPr>
            <w:tcW w:w="5906" w:type="dxa"/>
            <w:vAlign w:val="center"/>
          </w:tcPr>
          <w:p w14:paraId="085D11DB">
            <w:pPr>
              <w:pStyle w:val="9"/>
              <w:spacing w:line="400" w:lineRule="exact"/>
              <w:ind w:left="0" w:leftChars="0"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60日历天（从投标截止之日算起）</w:t>
            </w:r>
          </w:p>
        </w:tc>
      </w:tr>
      <w:tr w14:paraId="3493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2613" w:type="dxa"/>
            <w:vAlign w:val="center"/>
          </w:tcPr>
          <w:p w14:paraId="28C92114">
            <w:pPr>
              <w:pStyle w:val="9"/>
              <w:spacing w:line="400" w:lineRule="exact"/>
              <w:ind w:left="0" w:leftChars="0" w:firstLine="0" w:firstLineChars="0"/>
              <w:jc w:val="center"/>
              <w:rPr>
                <w:rFonts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备注：</w:t>
            </w:r>
          </w:p>
        </w:tc>
        <w:tc>
          <w:tcPr>
            <w:tcW w:w="5906" w:type="dxa"/>
            <w:vAlign w:val="center"/>
          </w:tcPr>
          <w:p w14:paraId="260CF7CC">
            <w:pPr>
              <w:pStyle w:val="9"/>
              <w:spacing w:line="400" w:lineRule="exact"/>
              <w:rPr>
                <w:rFonts w:ascii="宋体" w:hAnsi="宋体" w:eastAsia="宋体" w:cs="宋体"/>
                <w:color w:val="auto"/>
                <w:sz w:val="24"/>
                <w:szCs w:val="24"/>
                <w:highlight w:val="none"/>
              </w:rPr>
            </w:pPr>
          </w:p>
        </w:tc>
      </w:tr>
      <w:tr w14:paraId="78C0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8519" w:type="dxa"/>
            <w:gridSpan w:val="2"/>
            <w:vAlign w:val="center"/>
          </w:tcPr>
          <w:p w14:paraId="697F0059">
            <w:pPr>
              <w:pStyle w:val="9"/>
              <w:spacing w:line="400" w:lineRule="exact"/>
              <w:ind w:firstLine="480"/>
              <w:rPr>
                <w:rFonts w:ascii="宋体" w:hAnsi="宋体" w:eastAsia="宋体" w:cs="宋体"/>
                <w:color w:val="auto"/>
                <w:sz w:val="24"/>
                <w:szCs w:val="24"/>
                <w:highlight w:val="none"/>
              </w:rPr>
            </w:pPr>
          </w:p>
        </w:tc>
      </w:tr>
    </w:tbl>
    <w:p w14:paraId="44CF4763">
      <w:pPr>
        <w:rPr>
          <w:rFonts w:ascii="宋体" w:hAnsi="宋体" w:eastAsia="宋体" w:cs="宋体"/>
          <w:color w:val="000000" w:themeColor="text1"/>
          <w:sz w:val="24"/>
          <w:highlight w:val="none"/>
          <w14:textFill>
            <w14:solidFill>
              <w14:schemeClr w14:val="tx1"/>
            </w14:solidFill>
          </w14:textFill>
        </w:rPr>
      </w:pPr>
    </w:p>
    <w:p w14:paraId="79EC2B88">
      <w:pPr>
        <w:rPr>
          <w:rFonts w:ascii="宋体" w:hAnsi="宋体" w:eastAsia="宋体" w:cs="宋体"/>
          <w:color w:val="000000" w:themeColor="text1"/>
          <w:sz w:val="24"/>
          <w:highlight w:val="none"/>
          <w14:textFill>
            <w14:solidFill>
              <w14:schemeClr w14:val="tx1"/>
            </w14:solidFill>
          </w14:textFill>
        </w:rPr>
      </w:pPr>
    </w:p>
    <w:p w14:paraId="19ED6BCF">
      <w:pPr>
        <w:ind w:firstLine="3240" w:firstLineChars="1350"/>
        <w:rPr>
          <w:rFonts w:ascii="宋体" w:hAnsi="宋体" w:eastAsia="宋体" w:cs="宋体"/>
          <w:color w:val="000000" w:themeColor="text1"/>
          <w:sz w:val="24"/>
          <w:highlight w:val="none"/>
          <w14:textFill>
            <w14:solidFill>
              <w14:schemeClr w14:val="tx1"/>
            </w14:solidFill>
          </w14:textFill>
        </w:rPr>
      </w:pPr>
    </w:p>
    <w:p w14:paraId="4797BB87">
      <w:pPr>
        <w:ind w:firstLine="3240" w:firstLineChars="1350"/>
        <w:rPr>
          <w:rFonts w:ascii="宋体" w:hAnsi="宋体" w:eastAsia="宋体" w:cs="宋体"/>
          <w:color w:val="000000" w:themeColor="text1"/>
          <w:sz w:val="24"/>
          <w:highlight w:val="none"/>
          <w14:textFill>
            <w14:solidFill>
              <w14:schemeClr w14:val="tx1"/>
            </w14:solidFill>
          </w14:textFill>
        </w:rPr>
      </w:pPr>
    </w:p>
    <w:p w14:paraId="01B95E1A">
      <w:pPr>
        <w:ind w:firstLine="3240" w:firstLineChars="135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供应商：（单位公章）</w:t>
      </w:r>
    </w:p>
    <w:p w14:paraId="45D330A0">
      <w:pPr>
        <w:ind w:left="1050" w:leftChars="500"/>
        <w:jc w:val="center"/>
        <w:rPr>
          <w:rFonts w:ascii="宋体" w:hAnsi="宋体" w:eastAsia="宋体" w:cs="宋体"/>
          <w:color w:val="000000" w:themeColor="text1"/>
          <w:sz w:val="24"/>
          <w:highlight w:val="none"/>
          <w14:textFill>
            <w14:solidFill>
              <w14:schemeClr w14:val="tx1"/>
            </w14:solidFill>
          </w14:textFill>
        </w:rPr>
      </w:pPr>
    </w:p>
    <w:p w14:paraId="5C7BD58F">
      <w:pPr>
        <w:ind w:left="1050" w:leftChars="500"/>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法定代表人</w:t>
      </w:r>
      <w:r>
        <w:rPr>
          <w:rFonts w:hint="eastAsia" w:ascii="宋体" w:hAnsi="宋体" w:eastAsia="宋体" w:cs="宋体"/>
          <w:color w:val="000000" w:themeColor="text1"/>
          <w:sz w:val="24"/>
          <w:szCs w:val="20"/>
          <w:highlight w:val="none"/>
          <w14:textFill>
            <w14:solidFill>
              <w14:schemeClr w14:val="tx1"/>
            </w14:solidFill>
          </w14:textFill>
        </w:rPr>
        <w:t>或其委托代理人</w:t>
      </w:r>
      <w:r>
        <w:rPr>
          <w:rFonts w:hint="eastAsia" w:ascii="宋体" w:hAnsi="宋体" w:eastAsia="宋体" w:cs="宋体"/>
          <w:color w:val="000000" w:themeColor="text1"/>
          <w:sz w:val="24"/>
          <w:highlight w:val="none"/>
          <w14:textFill>
            <w14:solidFill>
              <w14:schemeClr w14:val="tx1"/>
            </w14:solidFill>
          </w14:textFill>
        </w:rPr>
        <w:t>：（签字或盖章）</w:t>
      </w:r>
    </w:p>
    <w:p w14:paraId="4EB9968B">
      <w:pPr>
        <w:ind w:left="1050" w:leftChars="500"/>
        <w:jc w:val="center"/>
        <w:rPr>
          <w:rFonts w:ascii="宋体" w:hAnsi="宋体" w:eastAsia="宋体" w:cs="宋体"/>
          <w:color w:val="000000" w:themeColor="text1"/>
          <w:sz w:val="24"/>
          <w:highlight w:val="none"/>
          <w14:textFill>
            <w14:solidFill>
              <w14:schemeClr w14:val="tx1"/>
            </w14:solidFill>
          </w14:textFill>
        </w:rPr>
      </w:pPr>
    </w:p>
    <w:p w14:paraId="20EEAC41">
      <w:pPr>
        <w:ind w:left="1050" w:leftChars="500"/>
        <w:jc w:val="center"/>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日  期：     年   月   日</w:t>
      </w:r>
    </w:p>
    <w:p w14:paraId="0EEB22B6">
      <w:pPr>
        <w:rPr>
          <w:rFonts w:ascii="宋体" w:hAnsi="宋体" w:eastAsia="宋体" w:cs="宋体"/>
          <w:color w:val="000000" w:themeColor="text1"/>
          <w:highlight w:val="none"/>
          <w14:textFill>
            <w14:solidFill>
              <w14:schemeClr w14:val="tx1"/>
            </w14:solidFill>
          </w14:textFill>
        </w:rPr>
      </w:pPr>
    </w:p>
    <w:p w14:paraId="47A8FACA">
      <w:pPr>
        <w:pStyle w:val="8"/>
        <w:rPr>
          <w:rFonts w:ascii="宋体" w:hAnsi="宋体" w:eastAsia="宋体" w:cs="宋体"/>
          <w:color w:val="000000" w:themeColor="text1"/>
          <w:sz w:val="24"/>
          <w:highlight w:val="none"/>
          <w14:textFill>
            <w14:solidFill>
              <w14:schemeClr w14:val="tx1"/>
            </w14:solidFill>
          </w14:textFill>
        </w:rPr>
      </w:pPr>
    </w:p>
    <w:p w14:paraId="04AAB2D0">
      <w:pPr>
        <w:pStyle w:val="18"/>
        <w:spacing w:before="120" w:after="120" w:line="500" w:lineRule="exact"/>
        <w:ind w:right="29" w:rightChars="14"/>
        <w:outlineLvl w:val="9"/>
        <w:rPr>
          <w:rFonts w:ascii="宋体" w:hAnsi="宋体" w:eastAsia="宋体" w:cs="宋体"/>
          <w:color w:val="000000" w:themeColor="text1"/>
          <w:sz w:val="24"/>
          <w:highlight w:val="none"/>
          <w14:textFill>
            <w14:solidFill>
              <w14:schemeClr w14:val="tx1"/>
            </w14:solidFill>
          </w14:textFill>
        </w:rPr>
        <w:sectPr>
          <w:headerReference r:id="rId6" w:type="default"/>
          <w:footerReference r:id="rId7" w:type="default"/>
          <w:pgSz w:w="11907" w:h="16840"/>
          <w:pgMar w:top="1276" w:right="1116" w:bottom="1417" w:left="911" w:header="850" w:footer="998" w:gutter="0"/>
          <w:pgNumType w:fmt="decimal"/>
          <w:cols w:space="720" w:num="1"/>
          <w:docGrid w:type="lines" w:linePitch="380" w:charSpace="0"/>
        </w:sectPr>
      </w:pPr>
    </w:p>
    <w:p w14:paraId="403B017C">
      <w:pPr>
        <w:pStyle w:val="20"/>
        <w:ind w:left="0" w:leftChars="0" w:firstLine="0" w:firstLineChars="0"/>
        <w:rPr>
          <w:rFonts w:ascii="宋体" w:hAnsi="宋体" w:eastAsia="宋体" w:cs="宋体"/>
          <w:color w:val="000000" w:themeColor="text1"/>
          <w:sz w:val="24"/>
          <w:highlight w:val="none"/>
          <w14:textFill>
            <w14:solidFill>
              <w14:schemeClr w14:val="tx1"/>
            </w14:solidFill>
          </w14:textFill>
        </w:rPr>
      </w:pPr>
    </w:p>
    <w:p w14:paraId="58C204C8">
      <w:pPr>
        <w:pStyle w:val="18"/>
        <w:numPr>
          <w:ilvl w:val="0"/>
          <w:numId w:val="11"/>
        </w:numPr>
        <w:spacing w:before="120" w:after="120" w:line="500" w:lineRule="exact"/>
        <w:ind w:right="29" w:rightChars="14"/>
        <w:outlineLvl w:val="1"/>
        <w:rPr>
          <w:rFonts w:ascii="宋体" w:hAnsi="宋体" w:eastAsia="宋体" w:cs="宋体"/>
          <w:color w:val="000000" w:themeColor="text1"/>
          <w:sz w:val="30"/>
          <w:szCs w:val="30"/>
          <w:highlight w:val="none"/>
          <w14:textFill>
            <w14:solidFill>
              <w14:schemeClr w14:val="tx1"/>
            </w14:solidFill>
          </w14:textFill>
        </w:rPr>
      </w:pPr>
      <w:bookmarkStart w:id="265" w:name="_Toc5614"/>
      <w:bookmarkStart w:id="266" w:name="_Toc2213"/>
      <w:bookmarkStart w:id="267" w:name="_Toc26698"/>
      <w:bookmarkStart w:id="268" w:name="_Toc17935"/>
      <w:r>
        <w:rPr>
          <w:rFonts w:hint="eastAsia" w:ascii="宋体" w:hAnsi="宋体" w:eastAsia="宋体" w:cs="宋体"/>
          <w:color w:val="000000" w:themeColor="text1"/>
          <w:sz w:val="30"/>
          <w:szCs w:val="30"/>
          <w:highlight w:val="none"/>
          <w14:textFill>
            <w14:solidFill>
              <w14:schemeClr w14:val="tx1"/>
            </w14:solidFill>
          </w14:textFill>
        </w:rPr>
        <w:t>法定代表人身份证明书</w:t>
      </w:r>
      <w:bookmarkEnd w:id="265"/>
      <w:bookmarkEnd w:id="266"/>
      <w:bookmarkEnd w:id="267"/>
      <w:bookmarkEnd w:id="268"/>
    </w:p>
    <w:p w14:paraId="7E82061F">
      <w:pPr>
        <w:rPr>
          <w:color w:val="000000" w:themeColor="text1"/>
          <w:highlight w:val="none"/>
          <w14:textFill>
            <w14:solidFill>
              <w14:schemeClr w14:val="tx1"/>
            </w14:solidFill>
          </w14:textFill>
        </w:rPr>
      </w:pPr>
    </w:p>
    <w:p w14:paraId="308D291C">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18"/>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75211178">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1F49354F">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2F0B1C9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CEA602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59766A8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性别：</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职务：</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_</w:t>
      </w:r>
    </w:p>
    <w:p w14:paraId="40E2ACC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w:t>
      </w:r>
    </w:p>
    <w:p w14:paraId="71B851D9">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480CB865">
      <w:pPr>
        <w:rPr>
          <w:rFonts w:ascii="宋体" w:hAnsi="宋体"/>
          <w:color w:val="000000" w:themeColor="text1"/>
          <w:sz w:val="24"/>
          <w:highlight w:val="none"/>
          <w14:textFill>
            <w14:solidFill>
              <w14:schemeClr w14:val="tx1"/>
            </w14:solidFill>
          </w14:textFill>
        </w:rPr>
      </w:pPr>
    </w:p>
    <w:p w14:paraId="0D93FA35">
      <w:pPr>
        <w:rPr>
          <w:rFonts w:ascii="宋体" w:hAnsi="宋体"/>
          <w:color w:val="000000" w:themeColor="text1"/>
          <w:sz w:val="24"/>
          <w:highlight w:val="none"/>
          <w14:textFill>
            <w14:solidFill>
              <w14:schemeClr w14:val="tx1"/>
            </w14:solidFill>
          </w14:textFill>
        </w:rPr>
      </w:pPr>
    </w:p>
    <w:p w14:paraId="7E028100">
      <w:pPr>
        <w:ind w:firstLine="480" w:firstLineChars="200"/>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附：法定代表人身份证复印件（正反面）</w:t>
      </w:r>
    </w:p>
    <w:p w14:paraId="36B229C3">
      <w:pPr>
        <w:rPr>
          <w:rFonts w:ascii="宋体" w:hAnsi="宋体"/>
          <w:color w:val="000000" w:themeColor="text1"/>
          <w:sz w:val="24"/>
          <w:highlight w:val="none"/>
          <w14:textFill>
            <w14:solidFill>
              <w14:schemeClr w14:val="tx1"/>
            </w14:solidFill>
          </w14:textFill>
        </w:rPr>
      </w:pPr>
    </w:p>
    <w:p w14:paraId="476F4F42">
      <w:pPr>
        <w:rPr>
          <w:color w:val="000000" w:themeColor="text1"/>
          <w:highlight w:val="none"/>
          <w14:textFill>
            <w14:solidFill>
              <w14:schemeClr w14:val="tx1"/>
            </w14:solidFill>
          </w14:textFill>
        </w:rPr>
      </w:pPr>
    </w:p>
    <w:p w14:paraId="5AA6C826">
      <w:pPr>
        <w:spacing w:line="360" w:lineRule="auto"/>
        <w:ind w:firstLine="480" w:firstLineChars="200"/>
        <w:rPr>
          <w:rFonts w:ascii="宋体" w:hAnsi="宋体"/>
          <w:color w:val="000000" w:themeColor="text1"/>
          <w:sz w:val="24"/>
          <w:highlight w:val="none"/>
          <w14:textFill>
            <w14:solidFill>
              <w14:schemeClr w14:val="tx1"/>
            </w14:solidFill>
          </w14:textFill>
        </w:rPr>
      </w:pPr>
    </w:p>
    <w:p w14:paraId="066BBC8B">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5C0BBE3">
      <w:pPr>
        <w:spacing w:line="360" w:lineRule="auto"/>
        <w:ind w:firstLine="480" w:firstLineChars="200"/>
        <w:rPr>
          <w:rFonts w:ascii="宋体" w:hAnsi="宋体"/>
          <w:color w:val="000000" w:themeColor="text1"/>
          <w:sz w:val="24"/>
          <w:highlight w:val="none"/>
          <w14:textFill>
            <w14:solidFill>
              <w14:schemeClr w14:val="tx1"/>
            </w14:solidFill>
          </w14:textFill>
        </w:rPr>
      </w:pPr>
    </w:p>
    <w:p w14:paraId="4ABB7917">
      <w:pPr>
        <w:spacing w:line="360" w:lineRule="auto"/>
        <w:ind w:firstLine="5760" w:firstLineChars="2400"/>
        <w:rPr>
          <w:rFonts w:ascii="宋体" w:hAnsi="宋体"/>
          <w:color w:val="000000" w:themeColor="text1"/>
          <w:sz w:val="24"/>
          <w:highlight w:val="none"/>
          <w14:textFill>
            <w14:solidFill>
              <w14:schemeClr w14:val="tx1"/>
            </w14:solidFill>
          </w14:textFill>
        </w:rPr>
      </w:pPr>
    </w:p>
    <w:p w14:paraId="66D8E81E">
      <w:pPr>
        <w:spacing w:line="360" w:lineRule="auto"/>
        <w:ind w:firstLine="5760" w:firstLineChars="2400"/>
        <w:rPr>
          <w:rFonts w:ascii="宋体" w:hAnsi="宋体"/>
          <w:color w:val="000000" w:themeColor="text1"/>
          <w:sz w:val="24"/>
          <w:highlight w:val="none"/>
          <w14:textFill>
            <w14:solidFill>
              <w14:schemeClr w14:val="tx1"/>
            </w14:solidFill>
          </w14:textFill>
        </w:rPr>
      </w:pPr>
    </w:p>
    <w:p w14:paraId="2C747A1E">
      <w:pPr>
        <w:spacing w:line="360" w:lineRule="auto"/>
        <w:ind w:firstLine="5760" w:firstLineChars="2400"/>
        <w:rPr>
          <w:rFonts w:ascii="宋体" w:hAnsi="宋体"/>
          <w:color w:val="000000" w:themeColor="text1"/>
          <w:sz w:val="24"/>
          <w:highlight w:val="none"/>
          <w14:textFill>
            <w14:solidFill>
              <w14:schemeClr w14:val="tx1"/>
            </w14:solidFill>
          </w14:textFill>
        </w:rPr>
      </w:pPr>
    </w:p>
    <w:p w14:paraId="6F451D23">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3734DC09">
      <w:pPr>
        <w:spacing w:line="360" w:lineRule="auto"/>
        <w:ind w:firstLine="5760" w:firstLineChars="2400"/>
        <w:jc w:val="right"/>
        <w:rPr>
          <w:rFonts w:ascii="宋体" w:hAnsi="宋体"/>
          <w:color w:val="000000" w:themeColor="text1"/>
          <w:sz w:val="24"/>
          <w:highlight w:val="none"/>
          <w14:textFill>
            <w14:solidFill>
              <w14:schemeClr w14:val="tx1"/>
            </w14:solidFill>
          </w14:textFill>
        </w:rPr>
      </w:pPr>
    </w:p>
    <w:p w14:paraId="7BE3D777">
      <w:pPr>
        <w:spacing w:line="360" w:lineRule="auto"/>
        <w:ind w:firstLine="5760" w:firstLineChars="2400"/>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44566F73">
      <w:pPr>
        <w:spacing w:line="440" w:lineRule="exact"/>
        <w:rPr>
          <w:rFonts w:ascii="宋体" w:hAnsi="宋体" w:eastAsia="宋体" w:cs="宋体"/>
          <w:color w:val="000000" w:themeColor="text1"/>
          <w:highlight w:val="none"/>
          <w14:textFill>
            <w14:solidFill>
              <w14:schemeClr w14:val="tx1"/>
            </w14:solidFill>
          </w14:textFill>
        </w:rPr>
      </w:pPr>
    </w:p>
    <w:p w14:paraId="7B8D0D51">
      <w:pPr>
        <w:jc w:val="center"/>
        <w:rPr>
          <w:rFonts w:ascii="宋体" w:hAnsi="宋体" w:eastAsia="宋体" w:cs="宋体"/>
          <w:b/>
          <w:bCs/>
          <w:color w:val="000000" w:themeColor="text1"/>
          <w:sz w:val="30"/>
          <w:szCs w:val="30"/>
          <w:highlight w:val="none"/>
          <w14:textFill>
            <w14:solidFill>
              <w14:schemeClr w14:val="tx1"/>
            </w14:solidFill>
          </w14:textFill>
        </w:rPr>
      </w:pPr>
      <w:bookmarkStart w:id="269" w:name="_Toc6009"/>
      <w:bookmarkStart w:id="270" w:name="_Toc5815"/>
      <w:bookmarkStart w:id="271" w:name="_Toc15395"/>
      <w:bookmarkStart w:id="272" w:name="_Toc17980"/>
      <w:r>
        <w:rPr>
          <w:rFonts w:hint="eastAsia" w:ascii="宋体" w:hAnsi="宋体" w:eastAsia="宋体" w:cs="宋体"/>
          <w:b/>
          <w:bCs/>
          <w:color w:val="000000" w:themeColor="text1"/>
          <w:sz w:val="30"/>
          <w:szCs w:val="30"/>
          <w:highlight w:val="none"/>
          <w14:textFill>
            <w14:solidFill>
              <w14:schemeClr w14:val="tx1"/>
            </w14:solidFill>
          </w14:textFill>
        </w:rPr>
        <w:br w:type="page"/>
      </w:r>
      <w:r>
        <w:rPr>
          <w:rFonts w:hint="eastAsia" w:ascii="宋体" w:hAnsi="宋体" w:eastAsia="宋体" w:cs="宋体"/>
          <w:b/>
          <w:bCs/>
          <w:color w:val="000000" w:themeColor="text1"/>
          <w:sz w:val="30"/>
          <w:szCs w:val="30"/>
          <w:highlight w:val="none"/>
          <w14:textFill>
            <w14:solidFill>
              <w14:schemeClr w14:val="tx1"/>
            </w14:solidFill>
          </w14:textFill>
        </w:rPr>
        <w:t>三、授权委托书</w:t>
      </w:r>
      <w:bookmarkEnd w:id="269"/>
      <w:bookmarkEnd w:id="270"/>
      <w:bookmarkEnd w:id="271"/>
      <w:bookmarkEnd w:id="272"/>
    </w:p>
    <w:p w14:paraId="30884969">
      <w:pPr>
        <w:rPr>
          <w:color w:val="000000" w:themeColor="text1"/>
          <w:highlight w:val="none"/>
          <w14:textFill>
            <w14:solidFill>
              <w14:schemeClr w14:val="tx1"/>
            </w14:solidFill>
          </w14:textFill>
        </w:rPr>
      </w:pPr>
    </w:p>
    <w:p w14:paraId="486C03AA">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（供应商名称）的法定代表人，现委托</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（姓名）为我方代理人。代理人根据授权，以我方</w:t>
      </w:r>
      <w:r>
        <w:rPr>
          <w:rFonts w:hint="eastAsia" w:ascii="宋体" w:hAnsi="宋体"/>
          <w:color w:val="auto"/>
          <w:sz w:val="24"/>
          <w:highlight w:val="none"/>
        </w:rPr>
        <w:t>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val="en-US" w:eastAsia="zh-CN"/>
        </w:rPr>
        <w:t>项目名称</w:t>
      </w:r>
      <w:r>
        <w:rPr>
          <w:rFonts w:hint="eastAsia" w:ascii="宋体" w:hAnsi="宋体"/>
          <w:color w:val="auto"/>
          <w:sz w:val="24"/>
          <w:highlight w:val="non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标段的</w:t>
      </w:r>
      <w:r>
        <w:rPr>
          <w:rFonts w:hint="eastAsia" w:ascii="宋体" w:hAnsi="宋体"/>
          <w:color w:val="auto"/>
          <w:sz w:val="24"/>
          <w:highlight w:val="none"/>
        </w:rPr>
        <w:t>投标文件、签订合同和处理有关事宜，其法律后果由我方承担。</w:t>
      </w:r>
    </w:p>
    <w:p w14:paraId="128F173D">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委托期限：</w:t>
      </w:r>
      <w:r>
        <w:rPr>
          <w:rFonts w:hint="eastAsia" w:ascii="宋体" w:hAnsi="宋体"/>
          <w:color w:val="000000" w:themeColor="text1"/>
          <w:sz w:val="24"/>
          <w:highlight w:val="none"/>
          <w:u w:val="single"/>
          <w14:textFill>
            <w14:solidFill>
              <w14:schemeClr w14:val="tx1"/>
            </w14:solidFill>
          </w14:textFill>
        </w:rPr>
        <w:t xml:space="preserve">                                </w:t>
      </w:r>
    </w:p>
    <w:p w14:paraId="4CA74806">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480E3EA9">
      <w:pPr>
        <w:spacing w:line="360" w:lineRule="auto"/>
        <w:ind w:firstLine="480" w:firstLineChars="200"/>
        <w:rPr>
          <w:rFonts w:ascii="宋体" w:hAnsi="宋体"/>
          <w:color w:val="000000" w:themeColor="text1"/>
          <w:sz w:val="24"/>
          <w:highlight w:val="none"/>
          <w14:textFill>
            <w14:solidFill>
              <w14:schemeClr w14:val="tx1"/>
            </w14:solidFill>
          </w14:textFill>
        </w:rPr>
      </w:pPr>
    </w:p>
    <w:p w14:paraId="72BC886E">
      <w:pPr>
        <w:rPr>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附：委托代理人身份证复印件正反面</w:t>
      </w:r>
    </w:p>
    <w:p w14:paraId="33EA5FBB">
      <w:pPr>
        <w:spacing w:line="360" w:lineRule="auto"/>
        <w:jc w:val="left"/>
        <w:rPr>
          <w:rFonts w:ascii="宋体" w:hAnsi="宋体"/>
          <w:color w:val="000000" w:themeColor="text1"/>
          <w:sz w:val="24"/>
          <w:highlight w:val="none"/>
          <w14:textFill>
            <w14:solidFill>
              <w14:schemeClr w14:val="tx1"/>
            </w14:solidFill>
          </w14:textFill>
        </w:rPr>
      </w:pPr>
    </w:p>
    <w:p w14:paraId="4B75A67F">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14:paraId="102EB67E">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14:paraId="0CFC737B">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14:paraId="2B272219">
      <w:pPr>
        <w:spacing w:line="360" w:lineRule="auto"/>
        <w:ind w:firstLine="480" w:firstLineChars="200"/>
        <w:jc w:val="left"/>
        <w:rPr>
          <w:rFonts w:ascii="宋体" w:hAnsi="宋体"/>
          <w:color w:val="000000" w:themeColor="text1"/>
          <w:sz w:val="24"/>
          <w:highlight w:val="none"/>
          <w14:textFill>
            <w14:solidFill>
              <w14:schemeClr w14:val="tx1"/>
            </w14:solidFill>
          </w14:textFill>
        </w:rPr>
      </w:pPr>
    </w:p>
    <w:p w14:paraId="4A56345F">
      <w:pPr>
        <w:spacing w:line="360" w:lineRule="auto"/>
        <w:jc w:val="left"/>
        <w:rPr>
          <w:rFonts w:ascii="宋体" w:hAnsi="宋体"/>
          <w:color w:val="000000" w:themeColor="text1"/>
          <w:sz w:val="24"/>
          <w:highlight w:val="none"/>
          <w14:textFill>
            <w14:solidFill>
              <w14:schemeClr w14:val="tx1"/>
            </w14:solidFill>
          </w14:textFill>
        </w:rPr>
      </w:pPr>
    </w:p>
    <w:p w14:paraId="1140B230">
      <w:pPr>
        <w:spacing w:line="360" w:lineRule="auto"/>
        <w:ind w:firstLine="4560" w:firstLineChars="19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（盖单位公章） </w:t>
      </w:r>
    </w:p>
    <w:p w14:paraId="10C459E5">
      <w:pPr>
        <w:spacing w:line="360" w:lineRule="auto"/>
        <w:ind w:firstLine="4560" w:firstLineChars="19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451C4DEA">
      <w:pPr>
        <w:spacing w:line="360" w:lineRule="auto"/>
        <w:ind w:firstLine="4560" w:firstLineChars="19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14:paraId="567A3D03">
      <w:pPr>
        <w:spacing w:line="360" w:lineRule="auto"/>
        <w:ind w:firstLine="5040" w:firstLineChars="2100"/>
        <w:rPr>
          <w:rFonts w:ascii="宋体" w:hAnsi="宋体"/>
          <w:color w:val="000000" w:themeColor="text1"/>
          <w:sz w:val="24"/>
          <w:highlight w:val="none"/>
          <w14:textFill>
            <w14:solidFill>
              <w14:schemeClr w14:val="tx1"/>
            </w14:solidFill>
          </w14:textFill>
        </w:rPr>
      </w:pPr>
    </w:p>
    <w:p w14:paraId="4052C71F">
      <w:pPr>
        <w:spacing w:line="360" w:lineRule="auto"/>
        <w:ind w:firstLine="5040" w:firstLineChars="2100"/>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bookmarkEnd w:id="238"/>
    </w:p>
    <w:p w14:paraId="46D24BAC">
      <w:pPr>
        <w:pStyle w:val="17"/>
        <w:widowControl w:val="0"/>
        <w:spacing w:before="120" w:beforeAutospacing="0" w:after="120" w:afterAutospacing="0" w:line="500" w:lineRule="exact"/>
        <w:ind w:right="29" w:rightChars="14"/>
        <w:jc w:val="center"/>
        <w:rPr>
          <w:rFonts w:ascii="宋体" w:hAnsi="宋体" w:eastAsia="宋体" w:cs="宋体"/>
          <w:color w:val="000000" w:themeColor="text1"/>
          <w:kern w:val="2"/>
          <w:sz w:val="30"/>
          <w:szCs w:val="30"/>
          <w:highlight w:val="none"/>
          <w14:textFill>
            <w14:solidFill>
              <w14:schemeClr w14:val="tx1"/>
            </w14:solidFill>
          </w14:textFill>
        </w:rPr>
      </w:pPr>
    </w:p>
    <w:p w14:paraId="40BE3324">
      <w:pPr>
        <w:pStyle w:val="17"/>
        <w:widowControl w:val="0"/>
        <w:spacing w:before="120" w:beforeAutospacing="0" w:after="120" w:afterAutospacing="0" w:line="500" w:lineRule="exact"/>
        <w:ind w:right="29" w:rightChars="14"/>
        <w:jc w:val="both"/>
        <w:rPr>
          <w:rFonts w:ascii="宋体" w:hAnsi="宋体" w:eastAsia="宋体" w:cs="宋体"/>
          <w:b/>
          <w:bCs/>
          <w:color w:val="000000" w:themeColor="text1"/>
          <w:kern w:val="2"/>
          <w:sz w:val="30"/>
          <w:szCs w:val="30"/>
          <w:highlight w:val="none"/>
          <w14:textFill>
            <w14:solidFill>
              <w14:schemeClr w14:val="tx1"/>
            </w14:solidFill>
          </w14:textFill>
        </w:rPr>
      </w:pPr>
    </w:p>
    <w:p w14:paraId="4EB58ED6">
      <w:pPr>
        <w:pStyle w:val="17"/>
        <w:widowControl w:val="0"/>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bookmarkStart w:id="273" w:name="_Toc8304"/>
      <w:bookmarkStart w:id="274" w:name="_Toc25161"/>
    </w:p>
    <w:p w14:paraId="7C7E1F40">
      <w:pPr>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br w:type="page"/>
      </w:r>
    </w:p>
    <w:p w14:paraId="5586882A">
      <w:pPr>
        <w:pStyle w:val="17"/>
        <w:widowControl w:val="0"/>
        <w:spacing w:before="120" w:beforeAutospacing="0" w:after="120" w:afterAutospacing="0" w:line="500" w:lineRule="exact"/>
        <w:ind w:right="29" w:rightChars="14"/>
        <w:jc w:val="center"/>
        <w:outlineLvl w:val="1"/>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2"/>
          <w:sz w:val="30"/>
          <w:szCs w:val="30"/>
          <w:highlight w:val="none"/>
          <w14:textFill>
            <w14:solidFill>
              <w14:schemeClr w14:val="tx1"/>
            </w14:solidFill>
          </w14:textFill>
        </w:rPr>
        <w:t>四、</w:t>
      </w:r>
      <w:bookmarkEnd w:id="273"/>
      <w:bookmarkEnd w:id="274"/>
      <w:r>
        <w:rPr>
          <w:rFonts w:hint="eastAsia" w:cs="宋体"/>
          <w:b/>
          <w:color w:val="000000" w:themeColor="text1"/>
          <w:kern w:val="2"/>
          <w:sz w:val="30"/>
          <w:szCs w:val="30"/>
          <w:highlight w:val="none"/>
          <w:lang w:val="en-US" w:eastAsia="zh-CN"/>
          <w14:textFill>
            <w14:solidFill>
              <w14:schemeClr w14:val="tx1"/>
            </w14:solidFill>
          </w14:textFill>
        </w:rPr>
        <w:t>技术标部分</w:t>
      </w:r>
    </w:p>
    <w:p w14:paraId="6B4DA0A6">
      <w:pPr>
        <w:ind w:left="420"/>
        <w:rPr>
          <w:rFonts w:ascii="宋体" w:hAnsi="宋体" w:eastAsia="宋体" w:cs="宋体"/>
          <w:b/>
          <w:color w:val="000000" w:themeColor="text1"/>
          <w:sz w:val="30"/>
          <w:szCs w:val="30"/>
          <w:highlight w:val="none"/>
          <w14:textFill>
            <w14:solidFill>
              <w14:schemeClr w14:val="tx1"/>
            </w14:solidFill>
          </w14:textFill>
        </w:rPr>
      </w:pPr>
    </w:p>
    <w:p w14:paraId="1EC12FE2">
      <w:pPr>
        <w:keepNext w:val="0"/>
        <w:keepLines w:val="0"/>
        <w:pageBreakBefore w:val="0"/>
        <w:widowControl w:val="0"/>
        <w:kinsoku/>
        <w:wordWrap/>
        <w:overflowPunct/>
        <w:topLinePunct w:val="0"/>
        <w:autoSpaceDE/>
        <w:autoSpaceDN/>
        <w:bidi w:val="0"/>
        <w:adjustRightInd/>
        <w:snapToGrid/>
        <w:ind w:left="420" w:firstLine="420" w:firstLineChars="200"/>
        <w:textAlignment w:val="auto"/>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1.服务方案</w:t>
      </w:r>
    </w:p>
    <w:p w14:paraId="120D1DC2">
      <w:pPr>
        <w:keepNext w:val="0"/>
        <w:keepLines w:val="0"/>
        <w:pageBreakBefore w:val="0"/>
        <w:widowControl w:val="0"/>
        <w:kinsoku/>
        <w:wordWrap/>
        <w:overflowPunct/>
        <w:topLinePunct w:val="0"/>
        <w:autoSpaceDE/>
        <w:autoSpaceDN/>
        <w:bidi w:val="0"/>
        <w:adjustRightInd/>
        <w:snapToGrid/>
        <w:ind w:left="420" w:firstLine="420" w:firstLineChars="200"/>
        <w:textAlignment w:val="auto"/>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2.安全管理方案</w:t>
      </w:r>
    </w:p>
    <w:p w14:paraId="632A2701">
      <w:pPr>
        <w:keepNext w:val="0"/>
        <w:keepLines w:val="0"/>
        <w:pageBreakBefore w:val="0"/>
        <w:widowControl w:val="0"/>
        <w:kinsoku/>
        <w:wordWrap/>
        <w:overflowPunct/>
        <w:topLinePunct w:val="0"/>
        <w:autoSpaceDE/>
        <w:autoSpaceDN/>
        <w:bidi w:val="0"/>
        <w:adjustRightInd/>
        <w:snapToGrid/>
        <w:ind w:left="420" w:firstLine="420" w:firstLineChars="200"/>
        <w:textAlignment w:val="auto"/>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3.质量保证措施</w:t>
      </w:r>
    </w:p>
    <w:p w14:paraId="03367DA1">
      <w:pPr>
        <w:keepNext w:val="0"/>
        <w:keepLines w:val="0"/>
        <w:pageBreakBefore w:val="0"/>
        <w:widowControl w:val="0"/>
        <w:kinsoku/>
        <w:wordWrap/>
        <w:overflowPunct/>
        <w:topLinePunct w:val="0"/>
        <w:autoSpaceDE/>
        <w:autoSpaceDN/>
        <w:bidi w:val="0"/>
        <w:adjustRightInd/>
        <w:snapToGrid/>
        <w:ind w:left="420" w:firstLine="420" w:firstLineChars="200"/>
        <w:textAlignment w:val="auto"/>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4.资产接管方案</w:t>
      </w:r>
    </w:p>
    <w:p w14:paraId="4C99D689">
      <w:pPr>
        <w:keepNext w:val="0"/>
        <w:keepLines w:val="0"/>
        <w:pageBreakBefore w:val="0"/>
        <w:widowControl w:val="0"/>
        <w:kinsoku/>
        <w:wordWrap/>
        <w:overflowPunct/>
        <w:topLinePunct w:val="0"/>
        <w:autoSpaceDE/>
        <w:autoSpaceDN/>
        <w:bidi w:val="0"/>
        <w:adjustRightInd/>
        <w:snapToGrid/>
        <w:ind w:left="420" w:firstLine="420" w:firstLineChars="200"/>
        <w:textAlignment w:val="auto"/>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5.应急处置方案</w:t>
      </w:r>
    </w:p>
    <w:p w14:paraId="312D3A92">
      <w:pPr>
        <w:keepNext w:val="0"/>
        <w:keepLines w:val="0"/>
        <w:pageBreakBefore w:val="0"/>
        <w:widowControl w:val="0"/>
        <w:kinsoku/>
        <w:wordWrap/>
        <w:overflowPunct/>
        <w:topLinePunct w:val="0"/>
        <w:autoSpaceDE/>
        <w:autoSpaceDN/>
        <w:bidi w:val="0"/>
        <w:adjustRightInd/>
        <w:snapToGrid/>
        <w:ind w:left="420" w:firstLine="602" w:firstLineChars="200"/>
        <w:textAlignment w:val="auto"/>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包含但不限于以上内容</w:t>
      </w:r>
    </w:p>
    <w:p w14:paraId="534683A6">
      <w:pPr>
        <w:ind w:left="420"/>
        <w:rPr>
          <w:rFonts w:ascii="宋体" w:hAnsi="宋体" w:eastAsia="宋体" w:cs="宋体"/>
          <w:b/>
          <w:color w:val="000000" w:themeColor="text1"/>
          <w:sz w:val="30"/>
          <w:szCs w:val="30"/>
          <w:highlight w:val="none"/>
          <w14:textFill>
            <w14:solidFill>
              <w14:schemeClr w14:val="tx1"/>
            </w14:solidFill>
          </w14:textFill>
        </w:rPr>
      </w:pPr>
    </w:p>
    <w:p w14:paraId="69F0A5E1">
      <w:pPr>
        <w:ind w:left="420"/>
        <w:rPr>
          <w:rFonts w:ascii="宋体" w:hAnsi="宋体" w:eastAsia="宋体" w:cs="宋体"/>
          <w:b/>
          <w:color w:val="000000" w:themeColor="text1"/>
          <w:sz w:val="30"/>
          <w:szCs w:val="30"/>
          <w:highlight w:val="none"/>
          <w14:textFill>
            <w14:solidFill>
              <w14:schemeClr w14:val="tx1"/>
            </w14:solidFill>
          </w14:textFill>
        </w:rPr>
      </w:pPr>
    </w:p>
    <w:p w14:paraId="32092F7F">
      <w:pPr>
        <w:ind w:left="420"/>
        <w:rPr>
          <w:rFonts w:ascii="宋体" w:hAnsi="宋体" w:eastAsia="宋体" w:cs="宋体"/>
          <w:b/>
          <w:color w:val="000000" w:themeColor="text1"/>
          <w:sz w:val="30"/>
          <w:szCs w:val="30"/>
          <w:highlight w:val="none"/>
          <w14:textFill>
            <w14:solidFill>
              <w14:schemeClr w14:val="tx1"/>
            </w14:solidFill>
          </w14:textFill>
        </w:rPr>
      </w:pPr>
    </w:p>
    <w:p w14:paraId="0EDFDEFA">
      <w:pPr>
        <w:ind w:left="420"/>
        <w:rPr>
          <w:rFonts w:ascii="宋体" w:hAnsi="宋体" w:eastAsia="宋体" w:cs="宋体"/>
          <w:b/>
          <w:color w:val="000000" w:themeColor="text1"/>
          <w:sz w:val="30"/>
          <w:szCs w:val="30"/>
          <w:highlight w:val="none"/>
          <w14:textFill>
            <w14:solidFill>
              <w14:schemeClr w14:val="tx1"/>
            </w14:solidFill>
          </w14:textFill>
        </w:rPr>
      </w:pPr>
    </w:p>
    <w:p w14:paraId="14E3BE59">
      <w:pPr>
        <w:ind w:left="420"/>
        <w:rPr>
          <w:rFonts w:ascii="宋体" w:hAnsi="宋体" w:eastAsia="宋体" w:cs="宋体"/>
          <w:b/>
          <w:color w:val="000000" w:themeColor="text1"/>
          <w:sz w:val="30"/>
          <w:szCs w:val="30"/>
          <w:highlight w:val="none"/>
          <w14:textFill>
            <w14:solidFill>
              <w14:schemeClr w14:val="tx1"/>
            </w14:solidFill>
          </w14:textFill>
        </w:rPr>
      </w:pPr>
    </w:p>
    <w:p w14:paraId="1C01C792">
      <w:pPr>
        <w:ind w:left="420"/>
        <w:rPr>
          <w:rFonts w:ascii="宋体" w:hAnsi="宋体" w:eastAsia="宋体" w:cs="宋体"/>
          <w:b/>
          <w:color w:val="000000" w:themeColor="text1"/>
          <w:sz w:val="30"/>
          <w:szCs w:val="30"/>
          <w:highlight w:val="none"/>
          <w14:textFill>
            <w14:solidFill>
              <w14:schemeClr w14:val="tx1"/>
            </w14:solidFill>
          </w14:textFill>
        </w:rPr>
      </w:pPr>
    </w:p>
    <w:p w14:paraId="0196857A">
      <w:pPr>
        <w:ind w:left="420"/>
        <w:rPr>
          <w:rFonts w:ascii="宋体" w:hAnsi="宋体" w:eastAsia="宋体" w:cs="宋体"/>
          <w:b/>
          <w:color w:val="000000" w:themeColor="text1"/>
          <w:sz w:val="30"/>
          <w:szCs w:val="30"/>
          <w:highlight w:val="none"/>
          <w14:textFill>
            <w14:solidFill>
              <w14:schemeClr w14:val="tx1"/>
            </w14:solidFill>
          </w14:textFill>
        </w:rPr>
      </w:pPr>
    </w:p>
    <w:p w14:paraId="76A40BBC">
      <w:pPr>
        <w:rPr>
          <w:rFonts w:ascii="宋体" w:hAnsi="宋体" w:eastAsia="宋体" w:cs="宋体"/>
          <w:b/>
          <w:color w:val="000000" w:themeColor="text1"/>
          <w:sz w:val="30"/>
          <w:szCs w:val="30"/>
          <w:highlight w:val="none"/>
          <w14:textFill>
            <w14:solidFill>
              <w14:schemeClr w14:val="tx1"/>
            </w14:solidFill>
          </w14:textFill>
        </w:rPr>
      </w:pPr>
    </w:p>
    <w:p w14:paraId="0E46890D">
      <w:pPr>
        <w:rPr>
          <w:rFonts w:ascii="宋体" w:hAnsi="宋体" w:eastAsia="宋体" w:cs="宋体"/>
          <w:b/>
          <w:color w:val="000000" w:themeColor="text1"/>
          <w:sz w:val="30"/>
          <w:szCs w:val="30"/>
          <w:highlight w:val="none"/>
          <w14:textFill>
            <w14:solidFill>
              <w14:schemeClr w14:val="tx1"/>
            </w14:solidFill>
          </w14:textFill>
        </w:rPr>
      </w:pPr>
    </w:p>
    <w:p w14:paraId="797610E8">
      <w:pPr>
        <w:ind w:left="420"/>
        <w:rPr>
          <w:rFonts w:ascii="宋体" w:hAnsi="宋体" w:eastAsia="宋体" w:cs="宋体"/>
          <w:b/>
          <w:color w:val="000000" w:themeColor="text1"/>
          <w:sz w:val="30"/>
          <w:szCs w:val="30"/>
          <w:highlight w:val="none"/>
          <w14:textFill>
            <w14:solidFill>
              <w14:schemeClr w14:val="tx1"/>
            </w14:solidFill>
          </w14:textFill>
        </w:rPr>
      </w:pPr>
    </w:p>
    <w:p w14:paraId="6B6B2C0C">
      <w:pPr>
        <w:pStyle w:val="17"/>
        <w:widowControl w:val="0"/>
        <w:spacing w:before="120" w:beforeAutospacing="0" w:after="120" w:afterAutospacing="0" w:line="500" w:lineRule="exact"/>
        <w:ind w:right="29" w:rightChars="14"/>
        <w:jc w:val="center"/>
        <w:rPr>
          <w:rFonts w:ascii="宋体" w:hAnsi="宋体" w:eastAsia="宋体" w:cs="宋体"/>
          <w:color w:val="000000" w:themeColor="text1"/>
          <w:sz w:val="30"/>
          <w:szCs w:val="30"/>
          <w:highlight w:val="none"/>
          <w14:textFill>
            <w14:solidFill>
              <w14:schemeClr w14:val="tx1"/>
            </w14:solidFill>
          </w14:textFill>
        </w:rPr>
      </w:pPr>
      <w:bookmarkStart w:id="275" w:name="_Toc10043"/>
    </w:p>
    <w:p w14:paraId="5596EDE1">
      <w:pPr>
        <w:overflowPunct w:val="0"/>
        <w:adjustRightInd w:val="0"/>
        <w:snapToGrid w:val="0"/>
        <w:spacing w:line="574" w:lineRule="exact"/>
        <w:jc w:val="center"/>
        <w:rPr>
          <w:rFonts w:ascii="宋体" w:hAnsi="宋体" w:cs="宋体"/>
          <w:b/>
          <w:bCs/>
          <w:color w:val="000000" w:themeColor="text1"/>
          <w:sz w:val="32"/>
          <w:szCs w:val="32"/>
          <w:highlight w:val="none"/>
          <w14:textFill>
            <w14:solidFill>
              <w14:schemeClr w14:val="tx1"/>
            </w14:solidFill>
          </w14:textFill>
        </w:rPr>
      </w:pPr>
      <w:bookmarkStart w:id="276" w:name="_Toc20650"/>
      <w:bookmarkStart w:id="277" w:name="_Toc30146"/>
      <w:bookmarkStart w:id="278" w:name="_Toc29492"/>
      <w:r>
        <w:rPr>
          <w:rFonts w:hint="eastAsia" w:ascii="宋体" w:hAnsi="宋体" w:eastAsia="宋体" w:cs="宋体"/>
          <w:b/>
          <w:color w:val="000000" w:themeColor="text1"/>
          <w:sz w:val="30"/>
          <w:szCs w:val="30"/>
          <w:highlight w:val="none"/>
          <w14:textFill>
            <w14:solidFill>
              <w14:schemeClr w14:val="tx1"/>
            </w14:solidFill>
          </w14:textFill>
        </w:rPr>
        <w:br w:type="page"/>
      </w:r>
      <w:r>
        <w:rPr>
          <w:rFonts w:hint="eastAsia" w:ascii="宋体" w:hAnsi="宋体" w:eastAsia="宋体" w:cs="宋体"/>
          <w:b/>
          <w:color w:val="000000" w:themeColor="text1"/>
          <w:sz w:val="30"/>
          <w:szCs w:val="30"/>
          <w:highlight w:val="none"/>
          <w14:textFill>
            <w14:solidFill>
              <w14:schemeClr w14:val="tx1"/>
            </w14:solidFill>
          </w14:textFill>
        </w:rPr>
        <w:t>五、</w:t>
      </w:r>
      <w:bookmarkEnd w:id="275"/>
      <w:bookmarkEnd w:id="276"/>
      <w:bookmarkEnd w:id="277"/>
      <w:bookmarkEnd w:id="278"/>
      <w:r>
        <w:rPr>
          <w:rFonts w:hint="eastAsia" w:ascii="宋体" w:hAnsi="宋体" w:cs="宋体"/>
          <w:b/>
          <w:bCs/>
          <w:color w:val="000000" w:themeColor="text1"/>
          <w:sz w:val="32"/>
          <w:szCs w:val="32"/>
          <w:highlight w:val="none"/>
          <w14:textFill>
            <w14:solidFill>
              <w14:schemeClr w14:val="tx1"/>
            </w14:solidFill>
          </w14:textFill>
        </w:rPr>
        <w:t>政府采购供应商资格信用承诺函</w:t>
      </w:r>
    </w:p>
    <w:p w14:paraId="7A30CC86">
      <w:pPr>
        <w:spacing w:line="400" w:lineRule="exact"/>
        <w:jc w:val="left"/>
        <w:rPr>
          <w:color w:val="000000" w:themeColor="text1"/>
          <w:sz w:val="24"/>
          <w:highlight w:val="none"/>
          <w14:textFill>
            <w14:solidFill>
              <w14:schemeClr w14:val="tx1"/>
            </w14:solidFill>
          </w14:textFill>
        </w:rPr>
      </w:pPr>
    </w:p>
    <w:p w14:paraId="5511D746">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致</w:t>
      </w:r>
      <w:r>
        <w:rPr>
          <w:rFonts w:hint="eastAsia" w:ascii="仿宋_GB2312" w:hAnsi="仿宋_GB2312" w:cs="仿宋_GB2312"/>
          <w:color w:val="000000" w:themeColor="text1"/>
          <w:sz w:val="24"/>
          <w:highlight w:val="none"/>
          <w:u w:val="single"/>
          <w14:textFill>
            <w14:solidFill>
              <w14:schemeClr w14:val="tx1"/>
            </w14:solidFill>
          </w14:textFill>
        </w:rPr>
        <w:t xml:space="preserve">（采购人）     </w:t>
      </w:r>
      <w:r>
        <w:rPr>
          <w:rFonts w:hint="eastAsia" w:ascii="仿宋_GB2312" w:hAnsi="仿宋_GB2312" w:cs="仿宋_GB2312"/>
          <w:color w:val="000000" w:themeColor="text1"/>
          <w:sz w:val="24"/>
          <w:highlight w:val="none"/>
          <w14:textFill>
            <w14:solidFill>
              <w14:schemeClr w14:val="tx1"/>
            </w14:solidFill>
          </w14:textFill>
        </w:rPr>
        <w:t>：</w:t>
      </w:r>
    </w:p>
    <w:p w14:paraId="37E3ABC1">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供应商名称：</w:t>
      </w:r>
      <w:r>
        <w:rPr>
          <w:rFonts w:hint="eastAsia" w:ascii="仿宋_GB2312" w:hAnsi="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cs="仿宋_GB2312"/>
          <w:color w:val="000000" w:themeColor="text1"/>
          <w:sz w:val="24"/>
          <w:highlight w:val="none"/>
          <w14:textFill>
            <w14:solidFill>
              <w14:schemeClr w14:val="tx1"/>
            </w14:solidFill>
          </w14:textFill>
        </w:rPr>
        <w:t xml:space="preserve">                                  </w:t>
      </w:r>
    </w:p>
    <w:p w14:paraId="4E4A7394">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统一社会信用代码：</w:t>
      </w:r>
      <w:r>
        <w:rPr>
          <w:rFonts w:hint="eastAsia" w:ascii="仿宋_GB2312" w:hAnsi="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cs="仿宋_GB2312"/>
          <w:color w:val="000000" w:themeColor="text1"/>
          <w:sz w:val="24"/>
          <w:highlight w:val="none"/>
          <w14:textFill>
            <w14:solidFill>
              <w14:schemeClr w14:val="tx1"/>
            </w14:solidFill>
          </w14:textFill>
        </w:rPr>
        <w:t xml:space="preserve">                            </w:t>
      </w:r>
    </w:p>
    <w:p w14:paraId="65616D71">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供应商地址：</w:t>
      </w:r>
      <w:r>
        <w:rPr>
          <w:rFonts w:hint="eastAsia" w:ascii="仿宋_GB2312" w:hAnsi="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cs="仿宋_GB2312"/>
          <w:color w:val="000000" w:themeColor="text1"/>
          <w:sz w:val="24"/>
          <w:highlight w:val="none"/>
          <w14:textFill>
            <w14:solidFill>
              <w14:schemeClr w14:val="tx1"/>
            </w14:solidFill>
          </w14:textFill>
        </w:rPr>
        <w:t xml:space="preserve">                              </w:t>
      </w:r>
    </w:p>
    <w:p w14:paraId="6F35920F">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376FFC8">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一、我单位具有有效的营业执照（三证合一），并具有实施完成本项目的经营实力和完善的售后服务体系；</w:t>
      </w:r>
    </w:p>
    <w:p w14:paraId="7726A400">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二、我单位符合《中华人民共和国政府采购法》第二十二条规定的条件：</w:t>
      </w:r>
    </w:p>
    <w:p w14:paraId="5A1AD443">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1.我单位具有符合采购文件资格要求的独立承担民事责任的能力。</w:t>
      </w:r>
    </w:p>
    <w:p w14:paraId="6DC96DBE">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2.我单位具有符合采购文件资格要求的财务状况报告。</w:t>
      </w:r>
    </w:p>
    <w:p w14:paraId="39CD4B6A">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3.我单位具有符合采购文件资格要求的依法缴纳税收和社会保障记录的良好记录。</w:t>
      </w:r>
    </w:p>
    <w:p w14:paraId="25EC1A07">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4.我单位具有符合采购文件资格要求的履行合同所必需的设备和专业技术能力。</w:t>
      </w:r>
    </w:p>
    <w:p w14:paraId="16095D05">
      <w:pPr>
        <w:overflowPunct w:val="0"/>
        <w:adjustRightInd w:val="0"/>
        <w:snapToGrid w:val="0"/>
        <w:spacing w:line="574" w:lineRule="exact"/>
        <w:ind w:firstLine="480" w:firstLineChars="200"/>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5.我单位参加政府采购活动前三年内，在经营活动中没有重大违法记录。</w:t>
      </w:r>
    </w:p>
    <w:p w14:paraId="42BB00B5">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若我单位承诺不实，自愿承担提供虚假材料谋取中标、成交的法律责任。</w:t>
      </w:r>
    </w:p>
    <w:p w14:paraId="56363412">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承诺供应商（全称并加盖公章）：</w:t>
      </w:r>
      <w:r>
        <w:rPr>
          <w:rFonts w:hint="eastAsia" w:ascii="仿宋_GB2312" w:hAnsi="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cs="仿宋_GB2312"/>
          <w:color w:val="000000" w:themeColor="text1"/>
          <w:sz w:val="24"/>
          <w:highlight w:val="none"/>
          <w14:textFill>
            <w14:solidFill>
              <w14:schemeClr w14:val="tx1"/>
            </w14:solidFill>
          </w14:textFill>
        </w:rPr>
        <w:t xml:space="preserve"> </w:t>
      </w:r>
    </w:p>
    <w:p w14:paraId="18FF00DB">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法定代表人或授权代表(签字或签章)：</w:t>
      </w:r>
      <w:r>
        <w:rPr>
          <w:rFonts w:hint="eastAsia" w:ascii="仿宋_GB2312" w:hAnsi="仿宋_GB2312" w:cs="仿宋_GB2312"/>
          <w:color w:val="000000" w:themeColor="text1"/>
          <w:sz w:val="24"/>
          <w:highlight w:val="none"/>
          <w:u w:val="single"/>
          <w14:textFill>
            <w14:solidFill>
              <w14:schemeClr w14:val="tx1"/>
            </w14:solidFill>
          </w14:textFill>
        </w:rPr>
        <w:t xml:space="preserve">                                           </w:t>
      </w:r>
      <w:r>
        <w:rPr>
          <w:rFonts w:hint="eastAsia" w:ascii="仿宋_GB2312" w:hAnsi="仿宋_GB2312" w:cs="仿宋_GB2312"/>
          <w:color w:val="000000" w:themeColor="text1"/>
          <w:sz w:val="24"/>
          <w:highlight w:val="none"/>
          <w14:textFill>
            <w14:solidFill>
              <w14:schemeClr w14:val="tx1"/>
            </w14:solidFill>
          </w14:textFill>
        </w:rPr>
        <w:t xml:space="preserve">  </w:t>
      </w:r>
    </w:p>
    <w:p w14:paraId="1B72225D">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日期：    年  月  日 </w:t>
      </w:r>
    </w:p>
    <w:p w14:paraId="141AF9DA">
      <w:pPr>
        <w:overflowPunct w:val="0"/>
        <w:adjustRightInd w:val="0"/>
        <w:snapToGrid w:val="0"/>
        <w:spacing w:line="574" w:lineRule="exact"/>
        <w:rPr>
          <w:rFonts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w:t>
      </w:r>
      <w:r>
        <w:rPr>
          <w:rFonts w:hint="eastAsia" w:ascii="仿宋_GB2312" w:hAnsi="仿宋_GB2312" w:cs="仿宋_GB2312"/>
          <w:b/>
          <w:bCs/>
          <w:color w:val="000000" w:themeColor="text1"/>
          <w:sz w:val="24"/>
          <w:highlight w:val="none"/>
          <w14:textFill>
            <w14:solidFill>
              <w14:schemeClr w14:val="tx1"/>
            </w14:solidFill>
          </w14:textFill>
        </w:rPr>
        <w:t>注：</w:t>
      </w:r>
      <w:r>
        <w:rPr>
          <w:rFonts w:hint="eastAsia" w:ascii="Times New Roman" w:hAnsi="Times New Roman" w:cs="仿宋_GB2312"/>
          <w:color w:val="000000" w:themeColor="text1"/>
          <w:sz w:val="24"/>
          <w:highlight w:val="none"/>
          <w14:textFill>
            <w14:solidFill>
              <w14:schemeClr w14:val="tx1"/>
            </w14:solidFill>
          </w14:textFill>
        </w:rPr>
        <w:t>1</w:t>
      </w:r>
      <w:r>
        <w:rPr>
          <w:rFonts w:hint="eastAsia" w:ascii="仿宋_GB2312" w:hAnsi="仿宋_GB2312" w:cs="仿宋_GB2312"/>
          <w:color w:val="000000" w:themeColor="text1"/>
          <w:sz w:val="24"/>
          <w:highlight w:val="none"/>
          <w14:textFill>
            <w14:solidFill>
              <w14:schemeClr w14:val="tx1"/>
            </w14:solidFill>
          </w14:textFill>
        </w:rPr>
        <w:t>.供应商须在投标文件中按此模板提供承诺函，未提供视为未实质性响应招标文件要求，按无效投标处理。</w:t>
      </w:r>
    </w:p>
    <w:p w14:paraId="07CFE16C">
      <w:pPr>
        <w:pStyle w:val="17"/>
        <w:widowControl w:val="0"/>
        <w:tabs>
          <w:tab w:val="left" w:pos="0"/>
        </w:tabs>
        <w:spacing w:before="120" w:beforeAutospacing="0" w:after="120" w:afterAutospacing="0" w:line="500" w:lineRule="exact"/>
        <w:ind w:right="29" w:rightChars="14" w:firstLine="2640" w:firstLineChars="1100"/>
        <w:outlineLvl w:val="1"/>
        <w:rPr>
          <w:rFonts w:hint="eastAsia" w:ascii="仿宋_GB2312" w:hAnsi="仿宋_GB2312" w:cs="仿宋_GB2312"/>
          <w:color w:val="000000" w:themeColor="text1"/>
          <w:sz w:val="24"/>
          <w:highlight w:val="none"/>
          <w14:textFill>
            <w14:solidFill>
              <w14:schemeClr w14:val="tx1"/>
            </w14:solidFill>
          </w14:textFill>
        </w:rPr>
      </w:pPr>
      <w:r>
        <w:rPr>
          <w:rFonts w:hint="eastAsia" w:ascii="仿宋_GB2312" w:hAnsi="仿宋_GB2312" w:cs="仿宋_GB2312"/>
          <w:color w:val="000000" w:themeColor="text1"/>
          <w:sz w:val="24"/>
          <w:highlight w:val="none"/>
          <w14:textFill>
            <w14:solidFill>
              <w14:schemeClr w14:val="tx1"/>
            </w14:solidFill>
          </w14:textFill>
        </w:rPr>
        <w:t xml:space="preserve">     </w:t>
      </w:r>
      <w:bookmarkStart w:id="279" w:name="_Toc4390"/>
      <w:bookmarkStart w:id="280" w:name="_Toc6465"/>
      <w:bookmarkStart w:id="281" w:name="_Toc8330"/>
      <w:bookmarkStart w:id="282" w:name="_Toc31553"/>
    </w:p>
    <w:p w14:paraId="440E2E67">
      <w:pPr>
        <w:pStyle w:val="17"/>
        <w:widowControl w:val="0"/>
        <w:tabs>
          <w:tab w:val="left" w:pos="0"/>
        </w:tabs>
        <w:spacing w:before="120" w:beforeAutospacing="0" w:after="120" w:afterAutospacing="0" w:line="500" w:lineRule="exact"/>
        <w:ind w:right="29" w:rightChars="14" w:firstLine="3313" w:firstLineChars="1100"/>
        <w:outlineLvl w:val="1"/>
        <w:rPr>
          <w:rFonts w:hint="default" w:ascii="宋体" w:hAnsi="宋体" w:eastAsia="宋体" w:cs="宋体"/>
          <w:b/>
          <w:color w:val="000000" w:themeColor="text1"/>
          <w:kern w:val="2"/>
          <w:sz w:val="30"/>
          <w:szCs w:val="30"/>
          <w:highlight w:val="none"/>
          <w:lang w:val="en-US"/>
          <w14:textFill>
            <w14:solidFill>
              <w14:schemeClr w14:val="tx1"/>
            </w14:solidFill>
          </w14:textFill>
        </w:rPr>
      </w:pPr>
      <w:r>
        <w:rPr>
          <w:rFonts w:hint="eastAsia" w:ascii="宋体" w:hAnsi="宋体" w:eastAsia="宋体" w:cs="宋体"/>
          <w:b/>
          <w:color w:val="000000" w:themeColor="text1"/>
          <w:kern w:val="2"/>
          <w:sz w:val="30"/>
          <w:szCs w:val="30"/>
          <w:highlight w:val="none"/>
          <w14:textFill>
            <w14:solidFill>
              <w14:schemeClr w14:val="tx1"/>
            </w14:solidFill>
          </w14:textFill>
        </w:rPr>
        <w:t>六、</w:t>
      </w:r>
      <w:bookmarkEnd w:id="279"/>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综合标</w:t>
      </w:r>
      <w:r>
        <w:rPr>
          <w:rFonts w:hint="eastAsia" w:cs="宋体"/>
          <w:b/>
          <w:color w:val="000000" w:themeColor="text1"/>
          <w:kern w:val="2"/>
          <w:sz w:val="30"/>
          <w:szCs w:val="30"/>
          <w:highlight w:val="none"/>
          <w:lang w:val="en-US" w:eastAsia="zh-CN"/>
          <w14:textFill>
            <w14:solidFill>
              <w14:schemeClr w14:val="tx1"/>
            </w14:solidFill>
          </w14:textFill>
        </w:rPr>
        <w:t>部分</w:t>
      </w:r>
    </w:p>
    <w:p w14:paraId="115D60D1">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6DF404F5">
      <w:pPr>
        <w:pStyle w:val="17"/>
        <w:keepNext w:val="0"/>
        <w:keepLines w:val="0"/>
        <w:pageBreakBefore w:val="0"/>
        <w:widowControl w:val="0"/>
        <w:tabs>
          <w:tab w:val="left" w:pos="0"/>
        </w:tabs>
        <w:kinsoku/>
        <w:wordWrap/>
        <w:overflowPunct/>
        <w:topLinePunct w:val="0"/>
        <w:autoSpaceDE/>
        <w:autoSpaceDN/>
        <w:bidi w:val="0"/>
        <w:adjustRightInd/>
        <w:snapToGrid/>
        <w:spacing w:before="120" w:beforeAutospacing="0" w:after="120" w:afterAutospacing="0" w:line="500" w:lineRule="exact"/>
        <w:ind w:right="29" w:rightChars="14"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1.人员配置</w:t>
      </w:r>
    </w:p>
    <w:p w14:paraId="245CF34E">
      <w:pPr>
        <w:pStyle w:val="17"/>
        <w:keepNext w:val="0"/>
        <w:keepLines w:val="0"/>
        <w:pageBreakBefore w:val="0"/>
        <w:widowControl w:val="0"/>
        <w:tabs>
          <w:tab w:val="left" w:pos="0"/>
        </w:tabs>
        <w:kinsoku/>
        <w:wordWrap/>
        <w:overflowPunct/>
        <w:topLinePunct w:val="0"/>
        <w:autoSpaceDE/>
        <w:autoSpaceDN/>
        <w:bidi w:val="0"/>
        <w:adjustRightInd/>
        <w:snapToGrid/>
        <w:spacing w:before="120" w:beforeAutospacing="0" w:after="120" w:afterAutospacing="0" w:line="500" w:lineRule="exact"/>
        <w:ind w:right="29" w:rightChars="14"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企业业绩</w:t>
      </w:r>
    </w:p>
    <w:p w14:paraId="5887B173">
      <w:pPr>
        <w:pStyle w:val="17"/>
        <w:keepNext w:val="0"/>
        <w:keepLines w:val="0"/>
        <w:pageBreakBefore w:val="0"/>
        <w:widowControl w:val="0"/>
        <w:tabs>
          <w:tab w:val="left" w:pos="0"/>
        </w:tabs>
        <w:kinsoku/>
        <w:wordWrap/>
        <w:overflowPunct/>
        <w:topLinePunct w:val="0"/>
        <w:autoSpaceDE/>
        <w:autoSpaceDN/>
        <w:bidi w:val="0"/>
        <w:adjustRightInd/>
        <w:snapToGrid/>
        <w:spacing w:before="120" w:beforeAutospacing="0" w:after="120" w:afterAutospacing="0" w:line="500" w:lineRule="exact"/>
        <w:ind w:right="29" w:rightChars="14"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服务承诺</w:t>
      </w:r>
    </w:p>
    <w:p w14:paraId="71E15F19">
      <w:pPr>
        <w:ind w:left="420"/>
        <w:rPr>
          <w:rFonts w:hint="default"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t>包含但不限于以上内容</w:t>
      </w:r>
    </w:p>
    <w:p w14:paraId="6B057935">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1BD4B3D2">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65E3A244">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67FE72E3">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D8051BF">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E188372">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C2EF493">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68662759">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516413CD">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089D81B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3AB28608">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DFAF6E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5BEFFAD">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77BA995A">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p w14:paraId="271F266E">
      <w:pPr>
        <w:pStyle w:val="17"/>
        <w:widowControl w:val="0"/>
        <w:tabs>
          <w:tab w:val="left" w:pos="0"/>
        </w:tabs>
        <w:spacing w:before="120" w:beforeAutospacing="0" w:after="120" w:afterAutospacing="0" w:line="500" w:lineRule="exact"/>
        <w:ind w:right="29" w:rightChars="14"/>
        <w:jc w:val="center"/>
        <w:rPr>
          <w:rFonts w:ascii="宋体" w:hAnsi="宋体" w:eastAsia="宋体" w:cs="宋体"/>
          <w:b/>
          <w:color w:val="000000" w:themeColor="text1"/>
          <w:kern w:val="2"/>
          <w:sz w:val="30"/>
          <w:szCs w:val="30"/>
          <w:highlight w:val="none"/>
          <w14:textFill>
            <w14:solidFill>
              <w14:schemeClr w14:val="tx1"/>
            </w14:solidFill>
          </w14:textFill>
        </w:rPr>
      </w:pPr>
    </w:p>
    <w:bookmarkEnd w:id="280"/>
    <w:bookmarkEnd w:id="281"/>
    <w:p w14:paraId="4B0DC2DC">
      <w:pPr>
        <w:pStyle w:val="17"/>
        <w:widowControl w:val="0"/>
        <w:numPr>
          <w:ilvl w:val="0"/>
          <w:numId w:val="0"/>
        </w:numPr>
        <w:spacing w:before="120" w:beforeAutospacing="0" w:after="120" w:afterAutospacing="0" w:line="500" w:lineRule="exact"/>
        <w:ind w:right="29" w:rightChars="14"/>
        <w:jc w:val="both"/>
        <w:outlineLvl w:val="1"/>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pPr>
      <w:bookmarkStart w:id="283" w:name="_Toc23227"/>
      <w:bookmarkStart w:id="284" w:name="_Toc10717"/>
      <w:bookmarkStart w:id="285" w:name="_Toc24850"/>
    </w:p>
    <w:p w14:paraId="4CE3335C">
      <w:pPr>
        <w:pStyle w:val="17"/>
        <w:widowControl w:val="0"/>
        <w:numPr>
          <w:ilvl w:val="0"/>
          <w:numId w:val="0"/>
        </w:numPr>
        <w:spacing w:before="120" w:beforeAutospacing="0" w:after="120" w:afterAutospacing="0" w:line="500" w:lineRule="exact"/>
        <w:ind w:left="420" w:leftChars="0" w:right="29" w:rightChars="14"/>
        <w:jc w:val="center"/>
        <w:outlineLvl w:val="1"/>
        <w:rPr>
          <w:rFonts w:hint="eastAsia" w:ascii="宋体" w:hAnsi="宋体" w:eastAsia="宋体" w:cs="宋体"/>
          <w:b/>
          <w:color w:val="000000" w:themeColor="text1"/>
          <w:kern w:val="2"/>
          <w:sz w:val="30"/>
          <w:szCs w:val="30"/>
          <w:highlight w:val="none"/>
          <w14:textFill>
            <w14:solidFill>
              <w14:schemeClr w14:val="tx1"/>
            </w14:solidFill>
          </w14:textFill>
        </w:rPr>
      </w:pPr>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七、</w:t>
      </w:r>
      <w:r>
        <w:rPr>
          <w:rFonts w:hint="eastAsia" w:ascii="宋体" w:hAnsi="宋体" w:eastAsia="宋体" w:cs="宋体"/>
          <w:b/>
          <w:color w:val="000000" w:themeColor="text1"/>
          <w:kern w:val="2"/>
          <w:sz w:val="30"/>
          <w:szCs w:val="30"/>
          <w:highlight w:val="none"/>
          <w14:textFill>
            <w14:solidFill>
              <w14:schemeClr w14:val="tx1"/>
            </w14:solidFill>
          </w14:textFill>
        </w:rPr>
        <w:t>中小企业声明函</w:t>
      </w:r>
      <w:bookmarkEnd w:id="283"/>
      <w:bookmarkEnd w:id="284"/>
      <w:bookmarkEnd w:id="285"/>
    </w:p>
    <w:p w14:paraId="3A045FFB">
      <w:pPr>
        <w:pStyle w:val="17"/>
        <w:widowControl w:val="0"/>
        <w:numPr>
          <w:ilvl w:val="0"/>
          <w:numId w:val="0"/>
        </w:numPr>
        <w:spacing w:before="120" w:beforeAutospacing="0" w:after="120" w:afterAutospacing="0" w:line="500" w:lineRule="exact"/>
        <w:ind w:left="420" w:leftChars="0" w:right="29" w:rightChars="14"/>
        <w:jc w:val="both"/>
        <w:outlineLvl w:val="1"/>
        <w:rPr>
          <w:rFonts w:hint="eastAsia" w:ascii="宋体" w:hAnsi="宋体" w:eastAsia="宋体" w:cs="宋体"/>
          <w:b/>
          <w:color w:val="000000" w:themeColor="text1"/>
          <w:kern w:val="2"/>
          <w:sz w:val="30"/>
          <w:szCs w:val="30"/>
          <w:highlight w:val="none"/>
          <w14:textFill>
            <w14:solidFill>
              <w14:schemeClr w14:val="tx1"/>
            </w14:solidFill>
          </w14:textFill>
        </w:rPr>
      </w:pPr>
    </w:p>
    <w:p w14:paraId="5D6D599C">
      <w:pPr>
        <w:spacing w:line="360" w:lineRule="auto"/>
        <w:ind w:firstLine="960" w:firstLineChars="4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w:t>
      </w:r>
      <w:r>
        <w:rPr>
          <w:rFonts w:hint="eastAsia" w:ascii="宋体" w:hAnsi="宋体" w:cs="宋体"/>
          <w:color w:val="auto"/>
          <w:sz w:val="24"/>
          <w:highlight w:val="none"/>
        </w:rPr>
        <w:t>《政府采购促进中小企业发展管理办法》（财库﹝2020﹞46 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r>
        <w:rPr>
          <w:rFonts w:hint="eastAsia" w:ascii="宋体" w:hAnsi="宋体"/>
          <w:color w:val="auto"/>
          <w:sz w:val="24"/>
          <w:highlight w:val="none"/>
          <w:u w:val="single"/>
          <w:lang w:val="en-US" w:eastAsia="zh-CN"/>
        </w:rPr>
        <w:t>项目名称</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color w:val="auto"/>
          <w:sz w:val="24"/>
          <w:highlight w:val="none"/>
          <w:u w:val="single"/>
          <w:lang w:val="en-US" w:eastAsia="zh-CN"/>
        </w:rPr>
        <w:t>标段</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采购活动，工程的施工单位全部为符合政策要求的中小企业（或者：服务全部由符合政策要求的</w:t>
      </w:r>
      <w:r>
        <w:rPr>
          <w:rFonts w:hint="eastAsia" w:ascii="宋体" w:hAnsi="宋体" w:cs="宋体"/>
          <w:color w:val="000000" w:themeColor="text1"/>
          <w:sz w:val="24"/>
          <w:highlight w:val="none"/>
          <w14:textFill>
            <w14:solidFill>
              <w14:schemeClr w14:val="tx1"/>
            </w14:solidFill>
          </w14:textFill>
        </w:rPr>
        <w:t>中小企业承接）。相关企业（含联合体中的中小企业、签订分包意向协议的中小企业）的具体情况如下：</w:t>
      </w:r>
    </w:p>
    <w:p w14:paraId="20BE497E">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single"/>
          <w14:textFill>
            <w14:solidFill>
              <w14:schemeClr w14:val="tx1"/>
            </w14:solidFill>
          </w14:textFill>
        </w:rPr>
        <w:t>（标的名称）</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（采购文件中明确的所属行业）</w:t>
      </w:r>
      <w:r>
        <w:rPr>
          <w:rFonts w:hint="eastAsia" w:ascii="宋体" w:hAnsi="宋体" w:cs="宋体"/>
          <w:color w:val="000000" w:themeColor="text1"/>
          <w:sz w:val="24"/>
          <w:highlight w:val="none"/>
          <w14:textFill>
            <w14:solidFill>
              <w14:schemeClr w14:val="tx1"/>
            </w14:solidFill>
          </w14:textFill>
        </w:rPr>
        <w:t>；承建（承接）企业为</w:t>
      </w:r>
      <w:r>
        <w:rPr>
          <w:rFonts w:hint="eastAsia" w:ascii="宋体" w:hAnsi="宋体" w:cs="宋体"/>
          <w:color w:val="000000" w:themeColor="text1"/>
          <w:sz w:val="24"/>
          <w:highlight w:val="none"/>
          <w:u w:val="single"/>
          <w14:textFill>
            <w14:solidFill>
              <w14:schemeClr w14:val="tx1"/>
            </w14:solidFill>
          </w14:textFill>
        </w:rPr>
        <w:t>（企业名称）</w:t>
      </w:r>
      <w:r>
        <w:rPr>
          <w:rFonts w:hint="eastAsia" w:ascii="宋体" w:hAnsi="宋体" w:cs="宋体"/>
          <w:color w:val="000000" w:themeColor="text1"/>
          <w:sz w:val="24"/>
          <w:highlight w:val="none"/>
          <w14:textFill>
            <w14:solidFill>
              <w14:schemeClr w14:val="tx1"/>
            </w14:solidFill>
          </w14:textFill>
        </w:rPr>
        <w:t>，从业人员</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人，营业收入为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万元，资产总额为</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none"/>
          <w14:textFill>
            <w14:solidFill>
              <w14:schemeClr w14:val="tx1"/>
            </w14:solidFill>
          </w14:textFill>
        </w:rPr>
        <w:t>万元</w:t>
      </w:r>
      <w:r>
        <w:rPr>
          <w:rFonts w:hint="eastAsia" w:ascii="宋体" w:hAnsi="宋体" w:cs="宋体"/>
          <w:color w:val="000000" w:themeColor="text1"/>
          <w:sz w:val="24"/>
          <w:highlight w:val="none"/>
          <w14:textFill>
            <w14:solidFill>
              <w14:schemeClr w14:val="tx1"/>
            </w14:solidFill>
          </w14:textFill>
        </w:rPr>
        <w:t>，属于</w:t>
      </w:r>
      <w:r>
        <w:rPr>
          <w:rFonts w:hint="eastAsia" w:ascii="宋体" w:hAnsi="宋体" w:cs="宋体"/>
          <w:color w:val="000000" w:themeColor="text1"/>
          <w:sz w:val="24"/>
          <w:highlight w:val="none"/>
          <w:u w:val="single"/>
          <w14:textFill>
            <w14:solidFill>
              <w14:schemeClr w14:val="tx1"/>
            </w14:solidFill>
          </w14:textFill>
        </w:rPr>
        <w:t>（中型企业、小型企业、微型企业）</w:t>
      </w:r>
      <w:r>
        <w:rPr>
          <w:rFonts w:hint="eastAsia" w:ascii="宋体" w:hAnsi="宋体" w:cs="宋体"/>
          <w:color w:val="000000" w:themeColor="text1"/>
          <w:sz w:val="24"/>
          <w:highlight w:val="none"/>
          <w14:textFill>
            <w14:solidFill>
              <w14:schemeClr w14:val="tx1"/>
            </w14:solidFill>
          </w14:textFill>
        </w:rPr>
        <w:t>；</w:t>
      </w:r>
    </w:p>
    <w:p w14:paraId="279412F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4997DE0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以上企业，不属于大企业的分支机构，不存在控股股东为大企业的情形，也不存在与大企业的负责人为同一人的情形。本企业对上述声明内容的真实性负责。如有虚假，将依法承担相应责任。</w:t>
      </w:r>
    </w:p>
    <w:p w14:paraId="0C42AD41">
      <w:pPr>
        <w:spacing w:line="360" w:lineRule="auto"/>
        <w:ind w:firstLine="6240" w:firstLineChars="2600"/>
        <w:rPr>
          <w:rFonts w:ascii="宋体" w:hAnsi="宋体" w:cs="宋体"/>
          <w:color w:val="000000" w:themeColor="text1"/>
          <w:sz w:val="24"/>
          <w:highlight w:val="none"/>
          <w14:textFill>
            <w14:solidFill>
              <w14:schemeClr w14:val="tx1"/>
            </w14:solidFill>
          </w14:textFill>
        </w:rPr>
      </w:pPr>
    </w:p>
    <w:p w14:paraId="16AD63D6">
      <w:pPr>
        <w:spacing w:line="360" w:lineRule="auto"/>
        <w:ind w:firstLine="6240" w:firstLineChars="26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企业名称（电子公章）：</w:t>
      </w:r>
    </w:p>
    <w:p w14:paraId="19C7A401">
      <w:pPr>
        <w:spacing w:line="360" w:lineRule="auto"/>
        <w:ind w:firstLine="7440" w:firstLineChars="3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日期：</w:t>
      </w:r>
    </w:p>
    <w:p w14:paraId="4E6ABA5B">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w:t>
      </w:r>
    </w:p>
    <w:p w14:paraId="690F2D57">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1.从业人员、营业收入、资产总额填报上一年度数据，无上一年度数据的新成立企业可不填报。</w:t>
      </w:r>
    </w:p>
    <w:p w14:paraId="4E34EC8C">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2.填写前请认真阅读《关于印发中小企业划型标准规定的通知》（工信部联企业[2011]300 号）和《关于 印发＜政府采购促进中小企业发展管理办法＞的通知》(财库﹝2020﹞46号)相关规定。</w:t>
      </w:r>
    </w:p>
    <w:p w14:paraId="198C5155">
      <w:pPr>
        <w:widowControl/>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3.未按上述要求提供、填写的，评审时不予以考虑。</w:t>
      </w:r>
    </w:p>
    <w:p w14:paraId="4D8F59EE">
      <w:pPr>
        <w:pStyle w:val="17"/>
        <w:widowControl w:val="0"/>
        <w:spacing w:before="120" w:beforeAutospacing="0" w:after="120" w:afterAutospacing="0" w:line="500" w:lineRule="exact"/>
        <w:ind w:right="29" w:rightChars="14"/>
        <w:jc w:val="center"/>
        <w:outlineLvl w:val="1"/>
        <w:rPr>
          <w:rFonts w:ascii="宋体" w:hAnsi="宋体" w:eastAsia="宋体" w:cs="宋体"/>
          <w:b/>
          <w:color w:val="000000" w:themeColor="text1"/>
          <w:kern w:val="2"/>
          <w:sz w:val="30"/>
          <w:szCs w:val="30"/>
          <w:highlight w:val="none"/>
          <w14:textFill>
            <w14:solidFill>
              <w14:schemeClr w14:val="tx1"/>
            </w14:solidFill>
          </w14:textFill>
        </w:rPr>
      </w:pPr>
      <w:r>
        <w:rPr>
          <w:rFonts w:hint="eastAsia" w:ascii="宋体" w:hAnsi="宋体" w:eastAsia="宋体" w:cs="宋体"/>
          <w:b/>
          <w:color w:val="000000" w:themeColor="text1"/>
          <w:kern w:val="2"/>
          <w:sz w:val="30"/>
          <w:szCs w:val="30"/>
          <w:highlight w:val="none"/>
          <w14:textFill>
            <w14:solidFill>
              <w14:schemeClr w14:val="tx1"/>
            </w14:solidFill>
          </w14:textFill>
        </w:rPr>
        <w:br w:type="page"/>
      </w:r>
      <w:bookmarkStart w:id="286" w:name="_Toc20881"/>
      <w:bookmarkStart w:id="287" w:name="_Toc11708"/>
      <w:bookmarkStart w:id="288" w:name="_Toc30170"/>
      <w:bookmarkStart w:id="289" w:name="_Toc14292"/>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八</w:t>
      </w:r>
      <w:r>
        <w:rPr>
          <w:rFonts w:hint="eastAsia" w:ascii="宋体" w:hAnsi="宋体" w:eastAsia="宋体" w:cs="宋体"/>
          <w:b/>
          <w:color w:val="000000" w:themeColor="text1"/>
          <w:kern w:val="2"/>
          <w:sz w:val="30"/>
          <w:szCs w:val="30"/>
          <w:highlight w:val="none"/>
          <w14:textFill>
            <w14:solidFill>
              <w14:schemeClr w14:val="tx1"/>
            </w14:solidFill>
          </w14:textFill>
        </w:rPr>
        <w:t>、残疾人福利性单位声明函（如有）</w:t>
      </w:r>
      <w:bookmarkEnd w:id="286"/>
      <w:bookmarkEnd w:id="287"/>
    </w:p>
    <w:p w14:paraId="1DEEEB48">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65694583">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5139F9C9">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0F64D505">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1668ACA6">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6C133EB1">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45A28F05">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0028BABF">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p w14:paraId="514730DC">
      <w:pPr>
        <w:spacing w:afterLines="200"/>
        <w:ind w:firstLine="2259" w:firstLineChars="750"/>
        <w:rPr>
          <w:rFonts w:ascii="宋体" w:hAnsi="宋体" w:eastAsia="宋体" w:cs="宋体"/>
          <w:b/>
          <w:color w:val="000000" w:themeColor="text1"/>
          <w:sz w:val="30"/>
          <w:szCs w:val="30"/>
          <w:highlight w:val="none"/>
          <w14:textFill>
            <w14:solidFill>
              <w14:schemeClr w14:val="tx1"/>
            </w14:solidFill>
          </w14:textFill>
        </w:rPr>
      </w:pPr>
    </w:p>
    <w:bookmarkEnd w:id="282"/>
    <w:bookmarkEnd w:id="288"/>
    <w:bookmarkEnd w:id="289"/>
    <w:p w14:paraId="74DF9308">
      <w:pPr>
        <w:rPr>
          <w:rFonts w:ascii="Times New Roman" w:hAnsi="Times New Roman" w:eastAsia="仿宋"/>
          <w:color w:val="000000" w:themeColor="text1"/>
          <w:sz w:val="32"/>
          <w:szCs w:val="32"/>
          <w:highlight w:val="none"/>
          <w:shd w:val="clear" w:color="FFFFFF" w:fill="D9D9D9"/>
          <w14:textFill>
            <w14:solidFill>
              <w14:schemeClr w14:val="tx1"/>
            </w14:solidFill>
          </w14:textFill>
        </w:rPr>
      </w:pPr>
    </w:p>
    <w:p w14:paraId="7A4A605E">
      <w:pPr>
        <w:pStyle w:val="17"/>
        <w:widowControl w:val="0"/>
        <w:spacing w:before="120" w:beforeAutospacing="0" w:after="120" w:afterAutospacing="0" w:line="500" w:lineRule="exact"/>
        <w:ind w:right="29" w:rightChars="14" w:firstLine="602" w:firstLineChars="200"/>
        <w:jc w:val="center"/>
        <w:outlineLvl w:val="1"/>
        <w:rPr>
          <w:rFonts w:ascii="宋体" w:hAnsi="宋体" w:eastAsia="宋体" w:cs="宋体"/>
          <w:b/>
          <w:color w:val="000000" w:themeColor="text1"/>
          <w:kern w:val="2"/>
          <w:sz w:val="30"/>
          <w:szCs w:val="30"/>
          <w:highlight w:val="none"/>
          <w14:textFill>
            <w14:solidFill>
              <w14:schemeClr w14:val="tx1"/>
            </w14:solidFill>
          </w14:textFill>
        </w:rPr>
      </w:pPr>
      <w:bookmarkStart w:id="290" w:name="_Toc16608"/>
      <w:bookmarkStart w:id="291" w:name="_Toc18605"/>
      <w:r>
        <w:rPr>
          <w:rFonts w:hint="eastAsia" w:ascii="宋体" w:hAnsi="宋体" w:eastAsia="宋体" w:cs="宋体"/>
          <w:b/>
          <w:color w:val="000000" w:themeColor="text1"/>
          <w:kern w:val="2"/>
          <w:sz w:val="30"/>
          <w:szCs w:val="30"/>
          <w:highlight w:val="none"/>
          <w:lang w:val="en-US" w:eastAsia="zh-CN"/>
          <w14:textFill>
            <w14:solidFill>
              <w14:schemeClr w14:val="tx1"/>
            </w14:solidFill>
          </w14:textFill>
        </w:rPr>
        <w:t>九</w:t>
      </w:r>
      <w:r>
        <w:rPr>
          <w:rFonts w:hint="eastAsia" w:ascii="宋体" w:hAnsi="宋体" w:eastAsia="宋体" w:cs="宋体"/>
          <w:b/>
          <w:color w:val="000000" w:themeColor="text1"/>
          <w:kern w:val="2"/>
          <w:sz w:val="30"/>
          <w:szCs w:val="30"/>
          <w:highlight w:val="none"/>
          <w14:textFill>
            <w14:solidFill>
              <w14:schemeClr w14:val="tx1"/>
            </w14:solidFill>
          </w14:textFill>
        </w:rPr>
        <w:t>、招标文件要求的或供应商认为须提交的其他材料</w:t>
      </w:r>
      <w:bookmarkEnd w:id="290"/>
      <w:bookmarkEnd w:id="291"/>
    </w:p>
    <w:p w14:paraId="1A87C16E">
      <w:pPr>
        <w:spacing w:line="360" w:lineRule="auto"/>
        <w:rPr>
          <w:rFonts w:ascii="宋体" w:hAnsi="宋体" w:eastAsia="宋体" w:cs="宋体"/>
          <w:color w:val="000000" w:themeColor="text1"/>
          <w:sz w:val="24"/>
          <w:highlight w:val="none"/>
          <w:shd w:val="clear" w:color="FFFFFF" w:fill="D9D9D9"/>
          <w14:textFill>
            <w14:solidFill>
              <w14:schemeClr w14:val="tx1"/>
            </w14:solidFill>
          </w14:textFill>
        </w:rPr>
      </w:pPr>
    </w:p>
    <w:p w14:paraId="29E4DBD1">
      <w:pPr>
        <w:spacing w:line="600" w:lineRule="exact"/>
        <w:ind w:firstLine="600" w:firstLineChars="200"/>
        <w:rPr>
          <w:rFonts w:ascii="仿宋" w:hAnsi="仿宋" w:eastAsia="仿宋" w:cs="仿宋"/>
          <w:color w:val="000000" w:themeColor="text1"/>
          <w:sz w:val="30"/>
          <w:szCs w:val="30"/>
          <w:highlight w:val="none"/>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招标文件规定的其他资料及供应商认为需要提交的其他材料。</w:t>
      </w:r>
    </w:p>
    <w:p w14:paraId="310B28B8">
      <w:pPr>
        <w:spacing w:line="600" w:lineRule="exact"/>
        <w:ind w:firstLine="600" w:firstLineChars="200"/>
        <w:rPr>
          <w:rFonts w:ascii="仿宋" w:hAnsi="仿宋" w:eastAsia="仿宋" w:cs="仿宋"/>
          <w:color w:val="000000" w:themeColor="text1"/>
          <w:sz w:val="30"/>
          <w:szCs w:val="30"/>
          <w:highlight w:val="none"/>
          <w14:textFill>
            <w14:solidFill>
              <w14:schemeClr w14:val="tx1"/>
            </w14:solidFill>
          </w14:textFill>
        </w:rPr>
      </w:pPr>
    </w:p>
    <w:p w14:paraId="031E72C0">
      <w:pPr>
        <w:widowControl/>
        <w:spacing w:line="580" w:lineRule="atLeast"/>
        <w:jc w:val="center"/>
        <w:rPr>
          <w:rFonts w:ascii="宋体" w:hAnsi="宋体" w:eastAsia="宋体" w:cs="宋体"/>
          <w:b/>
          <w:color w:val="000000" w:themeColor="text1"/>
          <w:kern w:val="0"/>
          <w:sz w:val="32"/>
          <w:szCs w:val="32"/>
          <w:highlight w:val="none"/>
          <w14:textFill>
            <w14:solidFill>
              <w14:schemeClr w14:val="tx1"/>
            </w14:solidFill>
          </w14:textFill>
        </w:rPr>
      </w:pPr>
    </w:p>
    <w:p w14:paraId="7583E55D">
      <w:pPr>
        <w:pStyle w:val="39"/>
        <w:rPr>
          <w:rFonts w:ascii="宋体" w:hAnsi="宋体" w:eastAsia="宋体" w:cs="宋体"/>
          <w:b/>
          <w:bCs/>
          <w:color w:val="000000" w:themeColor="text1"/>
          <w:kern w:val="0"/>
          <w:sz w:val="32"/>
          <w:szCs w:val="32"/>
          <w:highlight w:val="none"/>
          <w14:textFill>
            <w14:solidFill>
              <w14:schemeClr w14:val="tx1"/>
            </w14:solidFill>
          </w14:textFill>
        </w:rPr>
      </w:pPr>
    </w:p>
    <w:p w14:paraId="3A74F00F">
      <w:pPr>
        <w:rPr>
          <w:rFonts w:ascii="宋体" w:hAnsi="宋体" w:eastAsia="宋体" w:cs="宋体"/>
          <w:b/>
          <w:bCs/>
          <w:color w:val="000000" w:themeColor="text1"/>
          <w:kern w:val="0"/>
          <w:sz w:val="32"/>
          <w:szCs w:val="32"/>
          <w:highlight w:val="none"/>
          <w14:textFill>
            <w14:solidFill>
              <w14:schemeClr w14:val="tx1"/>
            </w14:solidFill>
          </w14:textFill>
        </w:rPr>
      </w:pPr>
    </w:p>
    <w:p w14:paraId="28B8D345">
      <w:pPr>
        <w:pStyle w:val="39"/>
        <w:rPr>
          <w:rFonts w:ascii="宋体" w:hAnsi="宋体" w:eastAsia="宋体" w:cs="宋体"/>
          <w:b/>
          <w:bCs/>
          <w:color w:val="000000" w:themeColor="text1"/>
          <w:kern w:val="0"/>
          <w:sz w:val="32"/>
          <w:szCs w:val="32"/>
          <w:highlight w:val="none"/>
          <w14:textFill>
            <w14:solidFill>
              <w14:schemeClr w14:val="tx1"/>
            </w14:solidFill>
          </w14:textFill>
        </w:rPr>
      </w:pPr>
    </w:p>
    <w:p w14:paraId="40686303">
      <w:pPr>
        <w:rPr>
          <w:rFonts w:ascii="宋体" w:hAnsi="宋体" w:eastAsia="宋体" w:cs="宋体"/>
          <w:b/>
          <w:bCs/>
          <w:color w:val="000000" w:themeColor="text1"/>
          <w:kern w:val="0"/>
          <w:sz w:val="32"/>
          <w:szCs w:val="32"/>
          <w:highlight w:val="none"/>
          <w14:textFill>
            <w14:solidFill>
              <w14:schemeClr w14:val="tx1"/>
            </w14:solidFill>
          </w14:textFill>
        </w:rPr>
      </w:pPr>
    </w:p>
    <w:p w14:paraId="6B96F961">
      <w:pPr>
        <w:pStyle w:val="39"/>
        <w:rPr>
          <w:rFonts w:ascii="宋体" w:hAnsi="宋体" w:eastAsia="宋体" w:cs="宋体"/>
          <w:b/>
          <w:bCs/>
          <w:color w:val="000000" w:themeColor="text1"/>
          <w:kern w:val="0"/>
          <w:sz w:val="32"/>
          <w:szCs w:val="32"/>
          <w:highlight w:val="none"/>
          <w14:textFill>
            <w14:solidFill>
              <w14:schemeClr w14:val="tx1"/>
            </w14:solidFill>
          </w14:textFill>
        </w:rPr>
      </w:pPr>
    </w:p>
    <w:p w14:paraId="129CECF7">
      <w:pPr>
        <w:spacing w:line="440" w:lineRule="exact"/>
        <w:jc w:val="center"/>
        <w:rPr>
          <w:rFonts w:ascii="宋体" w:hAnsi="宋体" w:cs="宋体"/>
          <w:b/>
          <w:color w:val="000000" w:themeColor="text1"/>
          <w:sz w:val="36"/>
          <w:szCs w:val="36"/>
          <w:highlight w:val="none"/>
          <w14:textFill>
            <w14:solidFill>
              <w14:schemeClr w14:val="tx1"/>
            </w14:solidFill>
          </w14:textFill>
        </w:rPr>
      </w:pPr>
    </w:p>
    <w:p w14:paraId="25DBB732">
      <w:pPr>
        <w:spacing w:line="440" w:lineRule="exact"/>
        <w:jc w:val="center"/>
        <w:rPr>
          <w:rFonts w:ascii="宋体" w:hAnsi="宋体" w:cs="宋体"/>
          <w:b/>
          <w:color w:val="000000" w:themeColor="text1"/>
          <w:sz w:val="36"/>
          <w:szCs w:val="36"/>
          <w:highlight w:val="none"/>
          <w14:textFill>
            <w14:solidFill>
              <w14:schemeClr w14:val="tx1"/>
            </w14:solidFill>
          </w14:textFill>
        </w:rPr>
      </w:pPr>
      <w:r>
        <w:rPr>
          <w:rFonts w:ascii="宋体" w:hAnsi="宋体" w:cs="宋体"/>
          <w:color w:val="000000" w:themeColor="text1"/>
          <w:kern w:val="0"/>
          <w:sz w:val="24"/>
          <w:highlight w:val="none"/>
          <w14:textFill>
            <w14:solidFill>
              <w14:schemeClr w14:val="tx1"/>
            </w14:solidFill>
          </w14:textFill>
        </w:rPr>
        <w:br w:type="page"/>
      </w:r>
    </w:p>
    <w:p w14:paraId="3FEB680B">
      <w:pPr>
        <w:spacing w:line="360" w:lineRule="auto"/>
        <w:jc w:val="center"/>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优化和提升政府采购政策</w:t>
      </w:r>
    </w:p>
    <w:p w14:paraId="25CC7D0A">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一、全面取消采购文件费用和投标保证金费用。</w:t>
      </w:r>
    </w:p>
    <w:p w14:paraId="7F598535">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二、免收履约保证金。确因项目需要的，应以保函等非现金形式收取，比例不得超过合同金额的</w:t>
      </w:r>
      <w:r>
        <w:rPr>
          <w:rFonts w:hint="eastAsia" w:ascii="宋体" w:hAnsi="宋体" w:eastAsia="宋体" w:cs="宋体"/>
          <w:color w:val="000000" w:themeColor="text1"/>
          <w:sz w:val="24"/>
          <w:highlight w:val="none"/>
          <w:u w:val="single"/>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，并按约定的时间和条件退还。</w:t>
      </w:r>
    </w:p>
    <w:p w14:paraId="6C428EF7">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三、评标结果确认时限。自评标（评审）结束后应2个工作日内确定中标供应商，5个工作日内公告结果，同时发送中标通知书。</w:t>
      </w:r>
    </w:p>
    <w:p w14:paraId="5694EE89">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四、合同签订时限。自中标通知书发出之日起</w:t>
      </w:r>
      <w:r>
        <w:rPr>
          <w:rFonts w:hint="eastAsia" w:ascii="宋体" w:hAnsi="宋体" w:eastAsia="宋体" w:cs="宋体"/>
          <w:color w:val="000000" w:themeColor="text1"/>
          <w:sz w:val="24"/>
          <w:highlight w:val="none"/>
          <w:u w:val="single"/>
          <w14:textFill>
            <w14:solidFill>
              <w14:schemeClr w14:val="tx1"/>
            </w14:solidFill>
          </w14:textFill>
        </w:rPr>
        <w:t>15</w:t>
      </w:r>
      <w:r>
        <w:rPr>
          <w:rFonts w:hint="eastAsia" w:ascii="宋体" w:hAnsi="宋体" w:eastAsia="宋体" w:cs="宋体"/>
          <w:color w:val="000000" w:themeColor="text1"/>
          <w:sz w:val="24"/>
          <w:highlight w:val="none"/>
          <w14:textFill>
            <w14:solidFill>
              <w14:schemeClr w14:val="tx1"/>
            </w14:solidFill>
          </w14:textFill>
        </w:rPr>
        <w:t xml:space="preserve">日内，按照采购文件和投标文件确定的事项签订政府采购合同。 </w:t>
      </w:r>
    </w:p>
    <w:p w14:paraId="7A477D23">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五、合同公告和备案时限。自合同签订之日起2个工作日内。</w:t>
      </w:r>
    </w:p>
    <w:p w14:paraId="0FB63E07">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六、项目验收。自收到供应商项目验收建议之日起5个工作日内组织验收；验收结束后2个工作日内出具《验收报告》，并在焦作市政府采购网公告验收结果。</w:t>
      </w:r>
    </w:p>
    <w:p w14:paraId="220C277A">
      <w:pPr>
        <w:shd w:val="clear" w:color="auto" w:fill="FFFFFF"/>
        <w:spacing w:line="360" w:lineRule="auto"/>
        <w:ind w:firstLine="480"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七、资金支付。按照合同约定的条件及时支付资金，不得因机构变更、人员更替、政策调整等原因拒绝或延迟资金支付。</w:t>
      </w:r>
    </w:p>
    <w:p w14:paraId="368BD8CD">
      <w:pPr>
        <w:shd w:val="clear" w:color="auto" w:fill="FFFFFF"/>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在政府采购活动中，若发现采购人或采购代理机构未按以上政策执行的，可向监督部门举报反映。</w:t>
      </w:r>
    </w:p>
    <w:p w14:paraId="323D9604">
      <w:pPr>
        <w:shd w:val="clear" w:color="auto" w:fill="FFFFFF"/>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监督单位：博爱县财政局政府采购监督管理办公室</w:t>
      </w:r>
    </w:p>
    <w:p w14:paraId="56DDFBF0">
      <w:pPr>
        <w:shd w:val="clear" w:color="auto" w:fill="FFFFFF"/>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监督电话：0391-8683273</w:t>
      </w:r>
    </w:p>
    <w:p w14:paraId="3026069C">
      <w:pPr>
        <w:shd w:val="clear" w:color="auto" w:fill="FFFFFF"/>
        <w:spacing w:line="360" w:lineRule="auto"/>
        <w:ind w:firstLine="480" w:firstLineChars="200"/>
        <w:rPr>
          <w:rFonts w:ascii="宋体" w:hAnsi="宋体" w:eastAsia="宋体" w:cs="宋体"/>
          <w:color w:val="000000" w:themeColor="text1"/>
          <w:sz w:val="24"/>
          <w:highlight w:val="none"/>
          <w:shd w:val="clear" w:color="auto" w:fill="FFFFFF"/>
          <w14:textFill>
            <w14:solidFill>
              <w14:schemeClr w14:val="tx1"/>
            </w14:solidFill>
          </w14:textFill>
        </w:rPr>
      </w:pPr>
      <w:r>
        <w:rPr>
          <w:rFonts w:hint="eastAsia" w:ascii="宋体" w:hAnsi="宋体" w:eastAsia="宋体" w:cs="宋体"/>
          <w:color w:val="000000" w:themeColor="text1"/>
          <w:sz w:val="24"/>
          <w:highlight w:val="none"/>
          <w:shd w:val="clear" w:color="auto" w:fill="FFFFFF"/>
          <w14:textFill>
            <w14:solidFill>
              <w14:schemeClr w14:val="tx1"/>
            </w14:solidFill>
          </w14:textFill>
        </w:rPr>
        <w:t>地址：博爱县发展大道188号机关综合办公楼主楼1213室</w:t>
      </w:r>
    </w:p>
    <w:p w14:paraId="7E94A24F">
      <w:pPr>
        <w:spacing w:line="440" w:lineRule="exact"/>
        <w:jc w:val="center"/>
        <w:rPr>
          <w:rFonts w:ascii="宋体" w:hAnsi="宋体" w:cs="宋体"/>
          <w:b/>
          <w:color w:val="000000" w:themeColor="text1"/>
          <w:sz w:val="36"/>
          <w:szCs w:val="36"/>
          <w:highlight w:val="none"/>
          <w14:textFill>
            <w14:solidFill>
              <w14:schemeClr w14:val="tx1"/>
            </w14:solidFill>
          </w14:textFill>
        </w:rPr>
      </w:pPr>
    </w:p>
    <w:p w14:paraId="1477B31C">
      <w:pPr>
        <w:spacing w:line="440" w:lineRule="exact"/>
        <w:jc w:val="center"/>
        <w:rPr>
          <w:rFonts w:ascii="宋体" w:hAnsi="宋体" w:cs="宋体"/>
          <w:b/>
          <w:color w:val="000000" w:themeColor="text1"/>
          <w:sz w:val="36"/>
          <w:szCs w:val="36"/>
          <w:highlight w:val="none"/>
          <w14:textFill>
            <w14:solidFill>
              <w14:schemeClr w14:val="tx1"/>
            </w14:solidFill>
          </w14:textFill>
        </w:rPr>
      </w:pPr>
    </w:p>
    <w:p w14:paraId="5F8ED878">
      <w:pPr>
        <w:rPr>
          <w:rFonts w:ascii="宋体" w:hAnsi="宋体" w:cs="宋体"/>
          <w:color w:val="000000" w:themeColor="text1"/>
          <w:sz w:val="36"/>
          <w:szCs w:val="36"/>
          <w:highlight w:val="none"/>
          <w14:textFill>
            <w14:solidFill>
              <w14:schemeClr w14:val="tx1"/>
            </w14:solidFill>
          </w14:textFill>
        </w:rPr>
      </w:pPr>
    </w:p>
    <w:p w14:paraId="38B6C8B5">
      <w:pPr>
        <w:rPr>
          <w:rFonts w:ascii="宋体" w:hAnsi="宋体" w:cs="宋体"/>
          <w:b/>
          <w:color w:val="000000" w:themeColor="text1"/>
          <w:sz w:val="36"/>
          <w:szCs w:val="36"/>
          <w:highlight w:val="none"/>
          <w14:textFill>
            <w14:solidFill>
              <w14:schemeClr w14:val="tx1"/>
            </w14:solidFill>
          </w14:textFill>
        </w:rPr>
      </w:pPr>
    </w:p>
    <w:p w14:paraId="0ADE01AE">
      <w:pPr>
        <w:spacing w:line="440" w:lineRule="exact"/>
        <w:jc w:val="center"/>
        <w:rPr>
          <w:rFonts w:ascii="宋体" w:hAnsi="宋体" w:cs="宋体"/>
          <w:b/>
          <w:color w:val="000000" w:themeColor="text1"/>
          <w:sz w:val="36"/>
          <w:szCs w:val="36"/>
          <w:highlight w:val="none"/>
          <w14:textFill>
            <w14:solidFill>
              <w14:schemeClr w14:val="tx1"/>
            </w14:solidFill>
          </w14:textFill>
        </w:rPr>
      </w:pPr>
    </w:p>
    <w:p w14:paraId="2C0362DE">
      <w:pPr>
        <w:pStyle w:val="2"/>
        <w:spacing w:line="480" w:lineRule="exact"/>
        <w:rPr>
          <w:rFonts w:ascii="宋体" w:hAnsi="宋体" w:cs="宋体"/>
          <w:color w:val="000000" w:themeColor="text1"/>
          <w:sz w:val="36"/>
          <w:szCs w:val="36"/>
          <w:highlight w:val="none"/>
          <w14:textFill>
            <w14:solidFill>
              <w14:schemeClr w14:val="tx1"/>
            </w14:solidFill>
          </w14:textFill>
        </w:rPr>
      </w:pPr>
      <w:bookmarkStart w:id="292" w:name="_Toc26789"/>
      <w:r>
        <w:rPr>
          <w:rFonts w:hint="eastAsia" w:ascii="宋体" w:hAnsi="宋体" w:cs="宋体"/>
          <w:color w:val="000000" w:themeColor="text1"/>
          <w:sz w:val="36"/>
          <w:szCs w:val="36"/>
          <w:highlight w:val="none"/>
          <w14:textFill>
            <w14:solidFill>
              <w14:schemeClr w14:val="tx1"/>
            </w14:solidFill>
          </w14:textFill>
        </w:rPr>
        <w:t>河南省政府采购合同融资政策告知函</w:t>
      </w:r>
      <w:bookmarkEnd w:id="292"/>
    </w:p>
    <w:p w14:paraId="7C0CDA41">
      <w:pPr>
        <w:pStyle w:val="2"/>
        <w:spacing w:line="400" w:lineRule="exact"/>
        <w:jc w:val="both"/>
        <w:rPr>
          <w:rFonts w:ascii="宋体" w:hAnsi="宋体" w:cs="宋体"/>
          <w:color w:val="000000" w:themeColor="text1"/>
          <w:sz w:val="24"/>
          <w:highlight w:val="none"/>
          <w14:textFill>
            <w14:solidFill>
              <w14:schemeClr w14:val="tx1"/>
            </w14:solidFill>
          </w14:textFill>
        </w:rPr>
      </w:pPr>
      <w:bookmarkStart w:id="293" w:name="_Toc2504"/>
      <w:bookmarkStart w:id="294" w:name="_Toc4905"/>
      <w:r>
        <w:rPr>
          <w:rFonts w:hint="eastAsia" w:ascii="宋体" w:hAnsi="宋体" w:cs="宋体"/>
          <w:color w:val="000000" w:themeColor="text1"/>
          <w:sz w:val="24"/>
          <w:highlight w:val="none"/>
          <w14:textFill>
            <w14:solidFill>
              <w14:schemeClr w14:val="tx1"/>
            </w14:solidFill>
          </w14:textFill>
        </w:rPr>
        <w:t>各供应商：</w:t>
      </w:r>
      <w:bookmarkEnd w:id="293"/>
      <w:bookmarkEnd w:id="294"/>
    </w:p>
    <w:p w14:paraId="51B7EA8D">
      <w:pPr>
        <w:pStyle w:val="2"/>
        <w:spacing w:line="400" w:lineRule="exact"/>
        <w:jc w:val="both"/>
        <w:rPr>
          <w:rFonts w:ascii="宋体" w:hAnsi="宋体" w:cs="宋体"/>
          <w:color w:val="000000" w:themeColor="text1"/>
          <w:sz w:val="24"/>
          <w:highlight w:val="none"/>
          <w14:textFill>
            <w14:solidFill>
              <w14:schemeClr w14:val="tx1"/>
            </w14:solidFill>
          </w14:textFill>
        </w:rPr>
      </w:pPr>
      <w:bookmarkStart w:id="295" w:name="_Toc15662"/>
      <w:r>
        <w:rPr>
          <w:rFonts w:hint="eastAsia" w:ascii="宋体" w:hAnsi="宋体" w:cs="宋体"/>
          <w:color w:val="000000" w:themeColor="text1"/>
          <w:sz w:val="24"/>
          <w:highlight w:val="none"/>
          <w14:textFill>
            <w14:solidFill>
              <w14:schemeClr w14:val="tx1"/>
            </w14:solidFill>
          </w14:textFill>
        </w:rPr>
        <w:t>欢迎贵公司参与河南省政府采购活动！</w:t>
      </w:r>
      <w:bookmarkEnd w:id="295"/>
    </w:p>
    <w:p w14:paraId="52B89D76">
      <w:pPr>
        <w:spacing w:line="400" w:lineRule="exact"/>
        <w:ind w:firstLine="420" w:firstLineChars="17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45865801">
      <w:pPr>
        <w:spacing w:line="400" w:lineRule="exact"/>
        <w:ind w:firstLine="420" w:firstLineChars="175"/>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贷款渠道和提供贷款的金融机构，可在河南省政府采购网“河南省政府采购合同融资平台”查询联系。</w:t>
      </w:r>
    </w:p>
    <w:p w14:paraId="5611DDA8">
      <w:pPr>
        <w:spacing w:line="420" w:lineRule="exact"/>
        <w:ind w:firstLine="2168" w:firstLineChars="675"/>
        <w:outlineLvl w:val="0"/>
        <w:rPr>
          <w:rFonts w:ascii="宋体" w:hAnsi="宋体"/>
          <w:b/>
          <w:color w:val="000000" w:themeColor="text1"/>
          <w:sz w:val="32"/>
          <w:szCs w:val="32"/>
          <w:highlight w:val="none"/>
          <w14:textFill>
            <w14:solidFill>
              <w14:schemeClr w14:val="tx1"/>
            </w14:solidFill>
          </w14:textFill>
        </w:rPr>
      </w:pPr>
      <w:bookmarkStart w:id="296" w:name="_Toc11834"/>
      <w:r>
        <w:rPr>
          <w:rFonts w:hint="eastAsia" w:ascii="宋体" w:hAnsi="宋体"/>
          <w:b/>
          <w:color w:val="000000" w:themeColor="text1"/>
          <w:sz w:val="32"/>
          <w:szCs w:val="32"/>
          <w:highlight w:val="none"/>
          <w14:textFill>
            <w14:solidFill>
              <w14:schemeClr w14:val="tx1"/>
            </w14:solidFill>
          </w14:textFill>
        </w:rPr>
        <w:t>焦作市政府采购合同融资合作企业</w:t>
      </w:r>
      <w:bookmarkEnd w:id="296"/>
    </w:p>
    <w:tbl>
      <w:tblPr>
        <w:tblStyle w:val="21"/>
        <w:tblW w:w="9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6"/>
        <w:gridCol w:w="1280"/>
        <w:gridCol w:w="1933"/>
        <w:gridCol w:w="2689"/>
      </w:tblGrid>
      <w:tr w14:paraId="124D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4096" w:type="dxa"/>
            <w:vAlign w:val="center"/>
          </w:tcPr>
          <w:p w14:paraId="7A54AEBD">
            <w:pPr>
              <w:widowControl/>
              <w:tabs>
                <w:tab w:val="left" w:pos="0"/>
              </w:tabs>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名称</w:t>
            </w:r>
          </w:p>
        </w:tc>
        <w:tc>
          <w:tcPr>
            <w:tcW w:w="1280" w:type="dxa"/>
            <w:vAlign w:val="center"/>
          </w:tcPr>
          <w:p w14:paraId="6179ED13">
            <w:pPr>
              <w:widowControl/>
              <w:tabs>
                <w:tab w:val="left" w:pos="0"/>
              </w:tabs>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联系人</w:t>
            </w:r>
          </w:p>
        </w:tc>
        <w:tc>
          <w:tcPr>
            <w:tcW w:w="1933" w:type="dxa"/>
            <w:vAlign w:val="center"/>
          </w:tcPr>
          <w:p w14:paraId="62C4D037">
            <w:pPr>
              <w:widowControl/>
              <w:tabs>
                <w:tab w:val="left" w:pos="0"/>
              </w:tabs>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联系电话</w:t>
            </w:r>
          </w:p>
        </w:tc>
        <w:tc>
          <w:tcPr>
            <w:tcW w:w="2689" w:type="dxa"/>
            <w:vAlign w:val="center"/>
          </w:tcPr>
          <w:p w14:paraId="39F0EEDD">
            <w:pPr>
              <w:widowControl/>
              <w:tabs>
                <w:tab w:val="left" w:pos="0"/>
              </w:tabs>
              <w:jc w:val="center"/>
              <w:rPr>
                <w:rFonts w:ascii="黑体" w:hAnsi="黑体" w:eastAsia="黑体"/>
                <w:color w:val="000000" w:themeColor="text1"/>
                <w:sz w:val="30"/>
                <w:szCs w:val="30"/>
                <w:highlight w:val="none"/>
                <w14:textFill>
                  <w14:solidFill>
                    <w14:schemeClr w14:val="tx1"/>
                  </w14:solidFill>
                </w14:textFill>
              </w:rPr>
            </w:pPr>
            <w:r>
              <w:rPr>
                <w:rFonts w:hint="eastAsia" w:ascii="黑体" w:hAnsi="黑体" w:eastAsia="黑体"/>
                <w:color w:val="000000" w:themeColor="text1"/>
                <w:sz w:val="30"/>
                <w:szCs w:val="30"/>
                <w:highlight w:val="none"/>
                <w14:textFill>
                  <w14:solidFill>
                    <w14:schemeClr w14:val="tx1"/>
                  </w14:solidFill>
                </w14:textFill>
              </w:rPr>
              <w:t>地址</w:t>
            </w:r>
          </w:p>
        </w:tc>
      </w:tr>
      <w:tr w14:paraId="151B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4096" w:type="dxa"/>
            <w:shd w:val="clear" w:color="auto" w:fill="auto"/>
            <w:vAlign w:val="center"/>
          </w:tcPr>
          <w:p w14:paraId="36C83A2F">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中国农业银行股份有限公司焦作分行</w:t>
            </w:r>
          </w:p>
        </w:tc>
        <w:tc>
          <w:tcPr>
            <w:tcW w:w="1280" w:type="dxa"/>
            <w:shd w:val="solid" w:color="FFFFFF" w:fill="auto"/>
            <w:vAlign w:val="center"/>
          </w:tcPr>
          <w:p w14:paraId="09CCB234">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薛国战</w:t>
            </w:r>
          </w:p>
        </w:tc>
        <w:tc>
          <w:tcPr>
            <w:tcW w:w="1933" w:type="dxa"/>
            <w:shd w:val="solid" w:color="FFFFFF" w:fill="auto"/>
            <w:vAlign w:val="center"/>
          </w:tcPr>
          <w:p w14:paraId="4B233F25">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0391-2878039       13839109026</w:t>
            </w:r>
          </w:p>
        </w:tc>
        <w:tc>
          <w:tcPr>
            <w:tcW w:w="2689" w:type="dxa"/>
            <w:shd w:val="solid" w:color="FFFFFF" w:fill="auto"/>
            <w:vAlign w:val="center"/>
          </w:tcPr>
          <w:p w14:paraId="15CC6141">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焦作市民主南路88号</w:t>
            </w:r>
          </w:p>
        </w:tc>
      </w:tr>
      <w:tr w14:paraId="4873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14:paraId="619E81E1">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中国银行股份有限公司焦作分行</w:t>
            </w:r>
          </w:p>
        </w:tc>
        <w:tc>
          <w:tcPr>
            <w:tcW w:w="1280" w:type="dxa"/>
            <w:shd w:val="solid" w:color="FFFFFF" w:fill="auto"/>
            <w:vAlign w:val="center"/>
          </w:tcPr>
          <w:p w14:paraId="641632A1">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曹阳</w:t>
            </w:r>
          </w:p>
        </w:tc>
        <w:tc>
          <w:tcPr>
            <w:tcW w:w="1933" w:type="dxa"/>
            <w:shd w:val="solid" w:color="FFFFFF" w:fill="auto"/>
            <w:vAlign w:val="center"/>
          </w:tcPr>
          <w:p w14:paraId="53AE146E">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0391-8825171  13839118160</w:t>
            </w:r>
          </w:p>
        </w:tc>
        <w:tc>
          <w:tcPr>
            <w:tcW w:w="2689" w:type="dxa"/>
            <w:shd w:val="solid" w:color="FFFFFF" w:fill="auto"/>
            <w:vAlign w:val="center"/>
          </w:tcPr>
          <w:p w14:paraId="73690722">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焦作市丰收路159号</w:t>
            </w:r>
          </w:p>
        </w:tc>
      </w:tr>
      <w:tr w14:paraId="5D7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96" w:type="dxa"/>
            <w:shd w:val="clear" w:color="auto" w:fill="auto"/>
            <w:vAlign w:val="center"/>
          </w:tcPr>
          <w:p w14:paraId="2ABC93DC">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中国建设银行股份有限公司焦作分行</w:t>
            </w:r>
          </w:p>
        </w:tc>
        <w:tc>
          <w:tcPr>
            <w:tcW w:w="1280" w:type="dxa"/>
            <w:shd w:val="clear" w:color="auto" w:fill="auto"/>
            <w:vAlign w:val="center"/>
          </w:tcPr>
          <w:p w14:paraId="6E5A2833">
            <w:pPr>
              <w:widowControl/>
              <w:tabs>
                <w:tab w:val="left" w:pos="0"/>
              </w:tabs>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李华莹</w:t>
            </w:r>
          </w:p>
        </w:tc>
        <w:tc>
          <w:tcPr>
            <w:tcW w:w="1933" w:type="dxa"/>
            <w:shd w:val="clear" w:color="auto" w:fill="auto"/>
            <w:vAlign w:val="center"/>
          </w:tcPr>
          <w:p w14:paraId="1C517244">
            <w:pPr>
              <w:widowControl/>
              <w:tabs>
                <w:tab w:val="left" w:pos="0"/>
              </w:tabs>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0391-3918471</w:t>
            </w:r>
          </w:p>
        </w:tc>
        <w:tc>
          <w:tcPr>
            <w:tcW w:w="2689" w:type="dxa"/>
            <w:shd w:val="solid" w:color="FFFFFF" w:fill="auto"/>
            <w:vAlign w:val="center"/>
          </w:tcPr>
          <w:p w14:paraId="11B59DA9">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焦作市建设东路152号</w:t>
            </w:r>
          </w:p>
        </w:tc>
      </w:tr>
      <w:tr w14:paraId="4138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6" w:type="dxa"/>
            <w:shd w:val="clear" w:color="auto" w:fill="auto"/>
            <w:vAlign w:val="center"/>
          </w:tcPr>
          <w:p w14:paraId="08894ADD">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中国邮政储蓄银行股份有限公司焦作市分行</w:t>
            </w:r>
          </w:p>
        </w:tc>
        <w:tc>
          <w:tcPr>
            <w:tcW w:w="1280" w:type="dxa"/>
            <w:shd w:val="solid" w:color="FFFFFF" w:fill="auto"/>
            <w:vAlign w:val="center"/>
          </w:tcPr>
          <w:p w14:paraId="10D79F26">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李天祥</w:t>
            </w:r>
          </w:p>
        </w:tc>
        <w:tc>
          <w:tcPr>
            <w:tcW w:w="1933" w:type="dxa"/>
            <w:shd w:val="solid" w:color="FFFFFF" w:fill="auto"/>
            <w:vAlign w:val="center"/>
          </w:tcPr>
          <w:p w14:paraId="44C56E6B">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0391-2981968 13523359082</w:t>
            </w:r>
          </w:p>
        </w:tc>
        <w:tc>
          <w:tcPr>
            <w:tcW w:w="2689" w:type="dxa"/>
            <w:shd w:val="solid" w:color="FFFFFF" w:fill="auto"/>
            <w:vAlign w:val="center"/>
          </w:tcPr>
          <w:p w14:paraId="1AC8D704">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焦作市丰收中路2233号</w:t>
            </w:r>
          </w:p>
        </w:tc>
      </w:tr>
      <w:tr w14:paraId="26C8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096" w:type="dxa"/>
            <w:shd w:val="clear" w:color="auto" w:fill="auto"/>
            <w:vAlign w:val="center"/>
          </w:tcPr>
          <w:p w14:paraId="5DCCA3BD">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焦作中旅银行股份有限公司</w:t>
            </w:r>
          </w:p>
        </w:tc>
        <w:tc>
          <w:tcPr>
            <w:tcW w:w="1280" w:type="dxa"/>
            <w:shd w:val="solid" w:color="FFFFFF" w:fill="auto"/>
            <w:vAlign w:val="center"/>
          </w:tcPr>
          <w:p w14:paraId="78A79EC3">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周建林</w:t>
            </w:r>
          </w:p>
        </w:tc>
        <w:tc>
          <w:tcPr>
            <w:tcW w:w="1933" w:type="dxa"/>
            <w:shd w:val="solid" w:color="FFFFFF" w:fill="auto"/>
            <w:vAlign w:val="center"/>
          </w:tcPr>
          <w:p w14:paraId="67F94143">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 xml:space="preserve">0391-2116963 15893053027 </w:t>
            </w:r>
          </w:p>
        </w:tc>
        <w:tc>
          <w:tcPr>
            <w:tcW w:w="2689" w:type="dxa"/>
            <w:shd w:val="solid" w:color="FFFFFF" w:fill="auto"/>
            <w:vAlign w:val="center"/>
          </w:tcPr>
          <w:p w14:paraId="3C317AE0">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焦作市山阳区迎宾路1号</w:t>
            </w:r>
          </w:p>
        </w:tc>
      </w:tr>
      <w:tr w14:paraId="2A21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096" w:type="dxa"/>
            <w:shd w:val="clear" w:color="auto" w:fill="auto"/>
            <w:vAlign w:val="center"/>
          </w:tcPr>
          <w:p w14:paraId="7C0BFC04">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中信银行股份有限公司焦作分行</w:t>
            </w:r>
          </w:p>
        </w:tc>
        <w:tc>
          <w:tcPr>
            <w:tcW w:w="1280" w:type="dxa"/>
            <w:shd w:val="clear" w:color="auto" w:fill="auto"/>
            <w:vAlign w:val="center"/>
          </w:tcPr>
          <w:p w14:paraId="0F22610D">
            <w:pPr>
              <w:widowControl/>
              <w:tabs>
                <w:tab w:val="left" w:pos="0"/>
              </w:tabs>
              <w:spacing w:line="36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周江江</w:t>
            </w:r>
          </w:p>
        </w:tc>
        <w:tc>
          <w:tcPr>
            <w:tcW w:w="1933" w:type="dxa"/>
            <w:shd w:val="clear" w:color="auto" w:fill="auto"/>
            <w:vAlign w:val="center"/>
          </w:tcPr>
          <w:p w14:paraId="3D9CF103">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17639185001</w:t>
            </w:r>
          </w:p>
        </w:tc>
        <w:tc>
          <w:tcPr>
            <w:tcW w:w="2689" w:type="dxa"/>
            <w:shd w:val="solid" w:color="FFFFFF" w:fill="auto"/>
            <w:vAlign w:val="center"/>
          </w:tcPr>
          <w:p w14:paraId="5FDB5D5F">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焦作市塔南路1736号嘉隆国际中心</w:t>
            </w:r>
          </w:p>
        </w:tc>
      </w:tr>
      <w:tr w14:paraId="78CD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096" w:type="dxa"/>
            <w:shd w:val="clear" w:color="auto" w:fill="auto"/>
            <w:vAlign w:val="center"/>
          </w:tcPr>
          <w:p w14:paraId="6F67FFF4">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中国光大银行股份有限公司焦作分行</w:t>
            </w:r>
          </w:p>
        </w:tc>
        <w:tc>
          <w:tcPr>
            <w:tcW w:w="1280" w:type="dxa"/>
            <w:shd w:val="solid" w:color="FFFFFF" w:fill="auto"/>
            <w:vAlign w:val="center"/>
          </w:tcPr>
          <w:p w14:paraId="2AAEF6A4">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王海宾</w:t>
            </w:r>
          </w:p>
        </w:tc>
        <w:tc>
          <w:tcPr>
            <w:tcW w:w="1933" w:type="dxa"/>
            <w:shd w:val="solid" w:color="FFFFFF" w:fill="auto"/>
            <w:vAlign w:val="center"/>
          </w:tcPr>
          <w:p w14:paraId="29092E34">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0391-8787996 13598534626</w:t>
            </w:r>
          </w:p>
        </w:tc>
        <w:tc>
          <w:tcPr>
            <w:tcW w:w="2689" w:type="dxa"/>
            <w:shd w:val="solid" w:color="FFFFFF" w:fill="auto"/>
            <w:vAlign w:val="center"/>
          </w:tcPr>
          <w:p w14:paraId="6C23506E">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焦作市塔南路1736号</w:t>
            </w:r>
          </w:p>
        </w:tc>
      </w:tr>
      <w:tr w14:paraId="01D9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4096" w:type="dxa"/>
            <w:shd w:val="clear" w:color="auto" w:fill="auto"/>
            <w:vAlign w:val="center"/>
          </w:tcPr>
          <w:p w14:paraId="13A99985">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中原银行股份有限公司焦作分行</w:t>
            </w:r>
          </w:p>
        </w:tc>
        <w:tc>
          <w:tcPr>
            <w:tcW w:w="1280" w:type="dxa"/>
            <w:shd w:val="solid" w:color="FFFFFF" w:fill="auto"/>
            <w:vAlign w:val="center"/>
          </w:tcPr>
          <w:p w14:paraId="5D63AB65">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赵伟</w:t>
            </w:r>
          </w:p>
        </w:tc>
        <w:tc>
          <w:tcPr>
            <w:tcW w:w="1933" w:type="dxa"/>
            <w:shd w:val="solid" w:color="FFFFFF" w:fill="auto"/>
            <w:vAlign w:val="center"/>
          </w:tcPr>
          <w:p w14:paraId="2F6DBD93">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0391-8796520 15738533033</w:t>
            </w:r>
          </w:p>
        </w:tc>
        <w:tc>
          <w:tcPr>
            <w:tcW w:w="2689" w:type="dxa"/>
            <w:shd w:val="solid" w:color="FFFFFF" w:fill="auto"/>
            <w:vAlign w:val="center"/>
          </w:tcPr>
          <w:p w14:paraId="5F243BD7">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焦作市解放区人民路479号</w:t>
            </w:r>
          </w:p>
        </w:tc>
      </w:tr>
      <w:tr w14:paraId="467C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096" w:type="dxa"/>
            <w:shd w:val="clear" w:color="auto" w:fill="auto"/>
            <w:vAlign w:val="center"/>
          </w:tcPr>
          <w:p w14:paraId="0645AFBB">
            <w:pPr>
              <w:widowControl/>
              <w:tabs>
                <w:tab w:val="left" w:pos="0"/>
              </w:tabs>
              <w:spacing w:line="3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广发银行股份有限公司焦作分行</w:t>
            </w:r>
          </w:p>
        </w:tc>
        <w:tc>
          <w:tcPr>
            <w:tcW w:w="1280" w:type="dxa"/>
            <w:shd w:val="solid" w:color="FFFFFF" w:fill="auto"/>
            <w:vAlign w:val="center"/>
          </w:tcPr>
          <w:p w14:paraId="063D0A54">
            <w:pPr>
              <w:shd w:val="solid" w:color="FFFFFF" w:fill="auto"/>
              <w:autoSpaceDN w:val="0"/>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张嘉强</w:t>
            </w:r>
          </w:p>
        </w:tc>
        <w:tc>
          <w:tcPr>
            <w:tcW w:w="1933" w:type="dxa"/>
            <w:shd w:val="solid" w:color="FFFFFF" w:fill="auto"/>
            <w:vAlign w:val="center"/>
          </w:tcPr>
          <w:p w14:paraId="0554ED8E">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0391-653785 13203910032</w:t>
            </w:r>
          </w:p>
        </w:tc>
        <w:tc>
          <w:tcPr>
            <w:tcW w:w="2689" w:type="dxa"/>
            <w:shd w:val="solid" w:color="FFFFFF" w:fill="auto"/>
            <w:vAlign w:val="center"/>
          </w:tcPr>
          <w:p w14:paraId="30E2A1BA">
            <w:pPr>
              <w:shd w:val="solid" w:color="FFFFFF" w:fill="auto"/>
              <w:autoSpaceDN w:val="0"/>
              <w:jc w:val="center"/>
              <w:textAlignment w:val="center"/>
              <w:rPr>
                <w:rFonts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焦作市塔南路1736号嘉隆金融中心</w:t>
            </w:r>
          </w:p>
        </w:tc>
      </w:tr>
    </w:tbl>
    <w:p w14:paraId="55A160BF">
      <w:pP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备注：融资服务机构名单和人员联系方式会随时变化。具体情况可登录“焦作市政府采购网”政府采购合同融资平台查询</w:t>
      </w:r>
    </w:p>
    <w:sectPr>
      <w:pgSz w:w="11907" w:h="16840"/>
      <w:pgMar w:top="1276" w:right="1117" w:bottom="1417" w:left="913" w:header="850" w:footer="998" w:gutter="0"/>
      <w:pgNumType w:fmt="decimal"/>
      <w:cols w:space="720" w:num="1"/>
      <w:docGrid w:type="lines" w:linePitch="3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C1B1B7-8BA0-4231-99DD-9BC3752A976C}"/>
  </w:font>
  <w:font w:name="黑体">
    <w:altName w:val="黑体"/>
    <w:panose1 w:val="02010609060101010101"/>
    <w:charset w:val="86"/>
    <w:family w:val="auto"/>
    <w:pitch w:val="default"/>
    <w:sig w:usb0="800002BF" w:usb1="38CF7CFA" w:usb2="00000016" w:usb3="00000000" w:csb0="00040001" w:csb1="00000000"/>
    <w:embedRegular r:id="rId2" w:fontKey="{DA61777B-C100-4C1C-BF44-F2A73F045B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auto"/>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altName w:val="Arial"/>
    <w:panose1 w:val="020B0604020202020204"/>
    <w:charset w:val="80"/>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3" w:fontKey="{17C9A7E9-8ED4-4D4D-A1F5-211455E0BDCE}"/>
  </w:font>
  <w:font w:name="仿宋_GB2312">
    <w:panose1 w:val="02010609030101010101"/>
    <w:charset w:val="86"/>
    <w:family w:val="auto"/>
    <w:pitch w:val="default"/>
    <w:sig w:usb0="00000001" w:usb1="080E0000" w:usb2="00000000" w:usb3="00000000" w:csb0="00040000" w:csb1="00000000"/>
    <w:embedRegular r:id="rId4" w:fontKey="{0161AE5A-945E-49D1-98C0-82AD7ACEC3DB}"/>
  </w:font>
  <w:font w:name="国标黑体">
    <w:altName w:val="宋体"/>
    <w:panose1 w:val="02000500000000000000"/>
    <w:charset w:val="86"/>
    <w:family w:val="auto"/>
    <w:pitch w:val="default"/>
    <w:sig w:usb0="00000000" w:usb1="00000000" w:usb2="00000000" w:usb3="00000000" w:csb0="00040000" w:csb1="00000000"/>
    <w:embedRegular r:id="rId5" w:fontKey="{8608EC48-AC3C-4A97-8CF0-661CD57CF932}"/>
  </w:font>
  <w:font w:name="方正仿宋_GB18030">
    <w:panose1 w:val="02000000000000000000"/>
    <w:charset w:val="86"/>
    <w:family w:val="auto"/>
    <w:pitch w:val="default"/>
    <w:sig w:usb0="00000001" w:usb1="08000000" w:usb2="00000000" w:usb3="00000000" w:csb0="00040000" w:csb1="00000000"/>
    <w:embedRegular r:id="rId6" w:fontKey="{26D841DB-41D1-48DF-A526-BB63A9E19364}"/>
  </w:font>
  <w:font w:name="仿宋">
    <w:panose1 w:val="02010609060101010101"/>
    <w:charset w:val="86"/>
    <w:family w:val="auto"/>
    <w:pitch w:val="default"/>
    <w:sig w:usb0="800002BF" w:usb1="38CF7CFA" w:usb2="00000016" w:usb3="00000000" w:csb0="00040001" w:csb1="00000000"/>
    <w:embedRegular r:id="rId7" w:fontKey="{097AE852-A0B4-45F6-9C04-044D69A47465}"/>
  </w:font>
  <w:font w:name="WPSEMBED1">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PSEMBED2">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16B84">
    <w:pPr>
      <w:pStyle w:val="11"/>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12296">
    <w:pPr>
      <w:pStyle w:val="11"/>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C005CE1">
                          <w:pPr>
                            <w:pStyle w:val="11"/>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BKurCFxQEAAJADAAAOAAAAAAAAAAEAIAAAAB8BAABkcnMvZTJvRG9jLnht&#10;bFBLBQYAAAAABgAGAFkBAABWBQAAAAA=&#10;">
              <v:fill on="f" focussize="0,0"/>
              <v:stroke on="f"/>
              <v:imagedata o:title=""/>
              <o:lock v:ext="edit" aspectratio="f"/>
              <v:textbox inset="0mm,0mm,0mm,0mm" style="mso-fit-shape-to-text:t;">
                <w:txbxContent>
                  <w:p w14:paraId="6C005CE1">
                    <w:pPr>
                      <w:pStyle w:val="11"/>
                    </w:pPr>
                    <w:r>
                      <w:fldChar w:fldCharType="begin"/>
                    </w:r>
                    <w:r>
                      <w:instrText xml:space="preserve"> PAGE  \* MERGEFORMAT </w:instrText>
                    </w:r>
                    <w:r>
                      <w:fldChar w:fldCharType="separate"/>
                    </w:r>
                    <w:r>
                      <w:t>30</w:t>
                    </w:r>
                    <w: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47D659">
                          <w:pPr>
                            <w:pStyle w:val="11"/>
                          </w:pPr>
                        </w:p>
                        <w:p w14:paraId="1704549A">
                          <w:pPr>
                            <w:pStyle w:val="11"/>
                          </w:pPr>
                        </w:p>
                      </w:txbxContent>
                    </wps:txbx>
                    <wps:bodyPr wrap="none" lIns="0" tIns="0" rIns="0" bIns="0" upright="1">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ZK72SxQEAAJADAAAOAAAAAAAAAAEAIAAAAB8BAABkcnMvZTJvRG9jLnht&#10;bFBLBQYAAAAABgAGAFkBAABWBQAAAAA=&#10;">
              <v:fill on="f" focussize="0,0"/>
              <v:stroke on="f"/>
              <v:imagedata o:title=""/>
              <o:lock v:ext="edit" aspectratio="f"/>
              <v:textbox inset="0mm,0mm,0mm,0mm" style="mso-fit-shape-to-text:t;">
                <w:txbxContent>
                  <w:p w14:paraId="6547D659">
                    <w:pPr>
                      <w:pStyle w:val="11"/>
                    </w:pPr>
                  </w:p>
                  <w:p w14:paraId="1704549A">
                    <w:pPr>
                      <w:pStyle w:val="1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F5731">
    <w:pPr>
      <w:pStyle w:val="11"/>
      <w:tabs>
        <w:tab w:val="left" w:pos="1189"/>
        <w:tab w:val="clear" w:pos="4153"/>
      </w:tabs>
      <w:jc w:val="both"/>
    </w:pPr>
    <w:r>
      <w:rPr>
        <w:rFonts w:ascii="Arial" w:hAnsi="Arial" w:eastAsia="Arial" w:cs="Arial"/>
        <w:snapToGrid w:val="0"/>
        <w:color w:val="000000"/>
        <w:sz w:val="18"/>
        <w:szCs w:val="21"/>
        <w:lang w:val="en-US" w:eastAsia="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4FB412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14:paraId="04FB412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64B6">
    <w:pPr>
      <w:pStyle w:val="11"/>
      <w:rPr>
        <w:sz w:val="16"/>
        <w:szCs w:val="22"/>
      </w:rPr>
    </w:pPr>
    <w:r>
      <w:rPr>
        <w:rFonts w:ascii="Times New Roman" w:hAnsi="Times New Roman" w:eastAsia="宋体" w:cs="Times New Roman"/>
        <w:kern w:val="2"/>
        <w:sz w:val="20"/>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3" name="文本框 3"/>
              <wp:cNvGraphicFramePr/>
              <a:graphic xmlns:a="http://schemas.openxmlformats.org/drawingml/2006/main">
                <a:graphicData uri="http://schemas.microsoft.com/office/word/2010/wordprocessingShape">
                  <wps:wsp>
                    <wps:cNvSpPr/>
                    <wps:spPr>
                      <a:xfrm>
                        <a:off x="0" y="0"/>
                        <a:ext cx="190500" cy="131445"/>
                      </a:xfrm>
                      <a:prstGeom prst="rect">
                        <a:avLst/>
                      </a:prstGeom>
                      <a:noFill/>
                      <a:ln>
                        <a:noFill/>
                      </a:ln>
                    </wps:spPr>
                    <wps:txbx>
                      <w:txbxContent>
                        <w:p w14:paraId="339493DE">
                          <w:pPr>
                            <w:pStyle w:val="11"/>
                          </w:pPr>
                          <w:r>
                            <w:fldChar w:fldCharType="begin"/>
                          </w:r>
                          <w:r>
                            <w:instrText xml:space="preserve"> PAGE  \* MERGEFORMAT </w:instrText>
                          </w:r>
                          <w:r>
                            <w:fldChar w:fldCharType="separate"/>
                          </w:r>
                          <w:r>
                            <w:t>- 23 -</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V/v5n0QAAAAMBAAAPAAAAAAAAAAEAIAAAACIAAABkcnMvZG93bnJldi54&#10;bWxQSwECFAAUAAAACACHTuJALzxjpMgBAACNAwAADgAAAAAAAAABACAAAAAgAQAAZHJzL2Uyb0Rv&#10;Yy54bWxQSwUGAAAAAAYABgBZAQAAWgUAAAAA&#10;">
              <v:fill on="f" focussize="0,0"/>
              <v:stroke on="f"/>
              <v:imagedata o:title=""/>
              <o:lock v:ext="edit" aspectratio="f"/>
              <v:textbox inset="0mm,0mm,0mm,0mm" style="mso-fit-shape-to-text:t;">
                <w:txbxContent>
                  <w:p w14:paraId="339493DE">
                    <w:pPr>
                      <w:pStyle w:val="11"/>
                    </w:pPr>
                    <w:r>
                      <w:fldChar w:fldCharType="begin"/>
                    </w:r>
                    <w:r>
                      <w:instrText xml:space="preserve"> PAGE  \* MERGEFORMAT </w:instrText>
                    </w:r>
                    <w:r>
                      <w:fldChar w:fldCharType="separate"/>
                    </w:r>
                    <w:r>
                      <w:t>- 23 -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0A6FC">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039FA"/>
    <w:multiLevelType w:val="singleLevel"/>
    <w:tmpl w:val="9FB039FA"/>
    <w:lvl w:ilvl="0" w:tentative="0">
      <w:start w:val="2"/>
      <w:numFmt w:val="chineseCounting"/>
      <w:suff w:val="nothing"/>
      <w:lvlText w:val="%1、"/>
      <w:lvlJc w:val="left"/>
      <w:rPr>
        <w:rFonts w:hint="eastAsia"/>
      </w:rPr>
    </w:lvl>
  </w:abstractNum>
  <w:abstractNum w:abstractNumId="1">
    <w:nsid w:val="A2C6ACF8"/>
    <w:multiLevelType w:val="singleLevel"/>
    <w:tmpl w:val="A2C6ACF8"/>
    <w:lvl w:ilvl="0" w:tentative="0">
      <w:start w:val="1"/>
      <w:numFmt w:val="decimal"/>
      <w:suff w:val="nothing"/>
      <w:lvlText w:val="（%1）"/>
      <w:lvlJc w:val="left"/>
      <w:pPr>
        <w:ind w:left="420" w:firstLine="0"/>
      </w:pPr>
      <w:rPr>
        <w:rFonts w:hint="default"/>
        <w:b w:val="0"/>
        <w:bCs w:val="0"/>
      </w:rPr>
    </w:lvl>
  </w:abstractNum>
  <w:abstractNum w:abstractNumId="2">
    <w:nsid w:val="A58974FB"/>
    <w:multiLevelType w:val="singleLevel"/>
    <w:tmpl w:val="A58974FB"/>
    <w:lvl w:ilvl="0" w:tentative="0">
      <w:start w:val="1"/>
      <w:numFmt w:val="decimal"/>
      <w:suff w:val="space"/>
      <w:lvlText w:val="%1."/>
      <w:lvlJc w:val="left"/>
    </w:lvl>
  </w:abstractNum>
  <w:abstractNum w:abstractNumId="3">
    <w:nsid w:val="B940B7CB"/>
    <w:multiLevelType w:val="singleLevel"/>
    <w:tmpl w:val="B940B7CB"/>
    <w:lvl w:ilvl="0" w:tentative="0">
      <w:start w:val="3"/>
      <w:numFmt w:val="decimal"/>
      <w:suff w:val="nothing"/>
      <w:lvlText w:val="%1、"/>
      <w:lvlJc w:val="left"/>
    </w:lvl>
  </w:abstractNum>
  <w:abstractNum w:abstractNumId="4">
    <w:nsid w:val="C8A1EB61"/>
    <w:multiLevelType w:val="singleLevel"/>
    <w:tmpl w:val="C8A1EB61"/>
    <w:lvl w:ilvl="0" w:tentative="0">
      <w:start w:val="8"/>
      <w:numFmt w:val="chineseCounting"/>
      <w:suff w:val="space"/>
      <w:lvlText w:val="第%1章"/>
      <w:lvlJc w:val="left"/>
      <w:rPr>
        <w:rFonts w:hint="eastAsia"/>
      </w:rPr>
    </w:lvl>
  </w:abstractNum>
  <w:abstractNum w:abstractNumId="5">
    <w:nsid w:val="00000002"/>
    <w:multiLevelType w:val="multilevel"/>
    <w:tmpl w:val="00000002"/>
    <w:lvl w:ilvl="0" w:tentative="0">
      <w:start w:val="1"/>
      <w:numFmt w:val="decimal"/>
      <w:lvlText w:val="（%1）"/>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D491617"/>
    <w:multiLevelType w:val="multilevel"/>
    <w:tmpl w:val="1D491617"/>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2E675402"/>
    <w:multiLevelType w:val="singleLevel"/>
    <w:tmpl w:val="2E675402"/>
    <w:lvl w:ilvl="0" w:tentative="0">
      <w:start w:val="1"/>
      <w:numFmt w:val="chineseCounting"/>
      <w:suff w:val="nothing"/>
      <w:lvlText w:val="（%1）"/>
      <w:lvlJc w:val="left"/>
      <w:rPr>
        <w:rFonts w:hint="eastAsia"/>
      </w:rPr>
    </w:lvl>
  </w:abstractNum>
  <w:abstractNum w:abstractNumId="8">
    <w:nsid w:val="5A693C2F"/>
    <w:multiLevelType w:val="singleLevel"/>
    <w:tmpl w:val="5A693C2F"/>
    <w:lvl w:ilvl="0" w:tentative="0">
      <w:start w:val="3"/>
      <w:numFmt w:val="chineseCounting"/>
      <w:suff w:val="space"/>
      <w:lvlText w:val="第%1章"/>
      <w:lvlJc w:val="left"/>
    </w:lvl>
  </w:abstractNum>
  <w:abstractNum w:abstractNumId="9">
    <w:nsid w:val="69B9637D"/>
    <w:multiLevelType w:val="singleLevel"/>
    <w:tmpl w:val="69B9637D"/>
    <w:lvl w:ilvl="0" w:tentative="0">
      <w:start w:val="3"/>
      <w:numFmt w:val="decimal"/>
      <w:suff w:val="nothing"/>
      <w:lvlText w:val="%1、"/>
      <w:lvlJc w:val="left"/>
    </w:lvl>
  </w:abstractNum>
  <w:abstractNum w:abstractNumId="10">
    <w:nsid w:val="75324FB0"/>
    <w:multiLevelType w:val="singleLevel"/>
    <w:tmpl w:val="75324FB0"/>
    <w:lvl w:ilvl="0" w:tentative="0">
      <w:start w:val="1"/>
      <w:numFmt w:val="chineseCounting"/>
      <w:suff w:val="space"/>
      <w:lvlText w:val="第%1章"/>
      <w:lvlJc w:val="left"/>
      <w:pPr>
        <w:ind w:left="630"/>
      </w:pPr>
      <w:rPr>
        <w:rFonts w:hint="eastAsia"/>
      </w:rPr>
    </w:lvl>
  </w:abstractNum>
  <w:num w:numId="1">
    <w:abstractNumId w:val="3"/>
  </w:num>
  <w:num w:numId="2">
    <w:abstractNumId w:val="1"/>
  </w:num>
  <w:num w:numId="3">
    <w:abstractNumId w:val="10"/>
  </w:num>
  <w:num w:numId="4">
    <w:abstractNumId w:val="5"/>
  </w:num>
  <w:num w:numId="5">
    <w:abstractNumId w:val="8"/>
  </w:num>
  <w:num w:numId="6">
    <w:abstractNumId w:val="9"/>
  </w:num>
  <w:num w:numId="7">
    <w:abstractNumId w:val="6"/>
  </w:num>
  <w:num w:numId="8">
    <w:abstractNumId w:val="2"/>
  </w:num>
  <w:num w:numId="9">
    <w:abstractNumId w:val="4"/>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80EF8"/>
    <w:rsid w:val="050C7F23"/>
    <w:rsid w:val="05AE724D"/>
    <w:rsid w:val="07056484"/>
    <w:rsid w:val="075B283B"/>
    <w:rsid w:val="077A591B"/>
    <w:rsid w:val="0A6462CF"/>
    <w:rsid w:val="11A55E09"/>
    <w:rsid w:val="127F41CB"/>
    <w:rsid w:val="15CC5D0C"/>
    <w:rsid w:val="16A533C3"/>
    <w:rsid w:val="16F80AB8"/>
    <w:rsid w:val="172F064F"/>
    <w:rsid w:val="17996925"/>
    <w:rsid w:val="198F7ACB"/>
    <w:rsid w:val="19C179EB"/>
    <w:rsid w:val="1DAD6A22"/>
    <w:rsid w:val="1E69474C"/>
    <w:rsid w:val="1FED6CF6"/>
    <w:rsid w:val="22160D89"/>
    <w:rsid w:val="24A36BE8"/>
    <w:rsid w:val="24F2482F"/>
    <w:rsid w:val="255B38D9"/>
    <w:rsid w:val="269A360B"/>
    <w:rsid w:val="281126A6"/>
    <w:rsid w:val="299B1B74"/>
    <w:rsid w:val="29C15A7E"/>
    <w:rsid w:val="2C3951D5"/>
    <w:rsid w:val="2E237CC3"/>
    <w:rsid w:val="30F5383E"/>
    <w:rsid w:val="32475CBA"/>
    <w:rsid w:val="362058DB"/>
    <w:rsid w:val="36733BBB"/>
    <w:rsid w:val="3C530CB6"/>
    <w:rsid w:val="3D9D3932"/>
    <w:rsid w:val="404765B9"/>
    <w:rsid w:val="41B95096"/>
    <w:rsid w:val="41E7318A"/>
    <w:rsid w:val="428B4A24"/>
    <w:rsid w:val="42BF551F"/>
    <w:rsid w:val="45621508"/>
    <w:rsid w:val="45782AFB"/>
    <w:rsid w:val="472955DD"/>
    <w:rsid w:val="4883053F"/>
    <w:rsid w:val="48B16866"/>
    <w:rsid w:val="4C420036"/>
    <w:rsid w:val="4CB73664"/>
    <w:rsid w:val="50F9524E"/>
    <w:rsid w:val="531445C2"/>
    <w:rsid w:val="56B06503"/>
    <w:rsid w:val="58331046"/>
    <w:rsid w:val="5BF7437E"/>
    <w:rsid w:val="61406582"/>
    <w:rsid w:val="68D772EA"/>
    <w:rsid w:val="6A9F256B"/>
    <w:rsid w:val="6C7F492C"/>
    <w:rsid w:val="6F221450"/>
    <w:rsid w:val="731C46D5"/>
    <w:rsid w:val="73CD68E4"/>
    <w:rsid w:val="73F505DC"/>
    <w:rsid w:val="751B4EE4"/>
    <w:rsid w:val="770B16B4"/>
    <w:rsid w:val="7A561865"/>
    <w:rsid w:val="7B0069F9"/>
    <w:rsid w:val="7E60070F"/>
    <w:rsid w:val="7EFE7B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ascii="Calibri Light" w:hAnsi="Calibri Light"/>
      <w:b/>
      <w:bCs/>
      <w:sz w:val="32"/>
      <w:szCs w:val="32"/>
    </w:rPr>
  </w:style>
  <w:style w:type="character" w:default="1" w:styleId="23">
    <w:name w:val="Default Paragraph Font"/>
    <w:semiHidden/>
    <w:qFormat/>
    <w:uiPriority w:val="0"/>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ascii="Calibri" w:hAnsi="Calibri"/>
      <w:szCs w:val="20"/>
    </w:rPr>
  </w:style>
  <w:style w:type="paragraph" w:styleId="5">
    <w:name w:val="toa heading"/>
    <w:basedOn w:val="1"/>
    <w:next w:val="1"/>
    <w:unhideWhenUsed/>
    <w:qFormat/>
    <w:uiPriority w:val="99"/>
    <w:pPr>
      <w:spacing w:before="120"/>
    </w:pPr>
    <w:rPr>
      <w:rFonts w:ascii="Arial" w:hAnsi="Arial" w:cs="Arial"/>
      <w:sz w:val="24"/>
    </w:rPr>
  </w:style>
  <w:style w:type="paragraph" w:styleId="6">
    <w:name w:val="annotation text"/>
    <w:basedOn w:val="1"/>
    <w:qFormat/>
    <w:uiPriority w:val="0"/>
    <w:pPr>
      <w:jc w:val="left"/>
    </w:pPr>
  </w:style>
  <w:style w:type="paragraph" w:styleId="7">
    <w:name w:val="Body Text 3"/>
    <w:basedOn w:val="1"/>
    <w:unhideWhenUsed/>
    <w:qFormat/>
    <w:uiPriority w:val="0"/>
    <w:pPr>
      <w:spacing w:after="120"/>
    </w:pPr>
    <w:rPr>
      <w:rFonts w:ascii="Times New Roman" w:hAnsi="Times New Roman"/>
      <w:sz w:val="16"/>
      <w:szCs w:val="16"/>
    </w:rPr>
  </w:style>
  <w:style w:type="paragraph" w:styleId="8">
    <w:name w:val="Body Text"/>
    <w:basedOn w:val="1"/>
    <w:next w:val="1"/>
    <w:qFormat/>
    <w:uiPriority w:val="0"/>
    <w:rPr>
      <w:rFonts w:ascii="Times New Roman" w:hAnsi="Times New Roman"/>
    </w:rPr>
  </w:style>
  <w:style w:type="paragraph" w:styleId="9">
    <w:name w:val="Body Text Indent"/>
    <w:basedOn w:val="1"/>
    <w:next w:val="1"/>
    <w:qFormat/>
    <w:uiPriority w:val="0"/>
    <w:pPr>
      <w:ind w:firstLine="560" w:firstLineChars="200"/>
    </w:pPr>
    <w:rPr>
      <w:rFonts w:ascii="Times New Roman" w:hAnsi="Times New Roman"/>
    </w:rPr>
  </w:style>
  <w:style w:type="paragraph" w:styleId="10">
    <w:name w:val="Plain Text"/>
    <w:basedOn w:val="1"/>
    <w:next w:val="8"/>
    <w:qFormat/>
    <w:uiPriority w:val="0"/>
    <w:rPr>
      <w:rFonts w:hint="eastAsia" w:ascii="宋体" w:hAnsi="Courier New"/>
      <w:szCs w:val="21"/>
    </w:rPr>
  </w:style>
  <w:style w:type="paragraph" w:styleId="11">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2">
    <w:name w:val="envelope return"/>
    <w:basedOn w:val="1"/>
    <w:qFormat/>
    <w:uiPriority w:val="99"/>
    <w:pPr>
      <w:snapToGrid w:val="0"/>
    </w:pPr>
    <w:rPr>
      <w:rFonts w:ascii="Arial" w:hAnsi="Arial" w:cs="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szCs w:val="18"/>
    </w:rPr>
  </w:style>
  <w:style w:type="paragraph" w:styleId="14">
    <w:name w:val="toc 1"/>
    <w:basedOn w:val="1"/>
    <w:next w:val="1"/>
    <w:qFormat/>
    <w:uiPriority w:val="0"/>
  </w:style>
  <w:style w:type="paragraph" w:styleId="15">
    <w:name w:val="footnote text"/>
    <w:basedOn w:val="1"/>
    <w:unhideWhenUsed/>
    <w:qFormat/>
    <w:uiPriority w:val="99"/>
    <w:pPr>
      <w:tabs>
        <w:tab w:val="left" w:pos="420"/>
      </w:tabs>
      <w:snapToGrid w:val="0"/>
    </w:pPr>
    <w:rPr>
      <w:sz w:val="18"/>
      <w:szCs w:val="18"/>
    </w:rPr>
  </w:style>
  <w:style w:type="paragraph" w:styleId="16">
    <w:name w:val="Body Text 2"/>
    <w:basedOn w:val="1"/>
    <w:next w:val="8"/>
    <w:unhideWhenUsed/>
    <w:qFormat/>
    <w:uiPriority w:val="0"/>
    <w:pPr>
      <w:spacing w:after="120" w:line="480" w:lineRule="auto"/>
    </w:pPr>
    <w:rPr>
      <w:rFonts w:ascii="Times New Roman" w:hAnsi="Times New Roman"/>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240" w:after="60"/>
      <w:jc w:val="center"/>
      <w:outlineLvl w:val="0"/>
    </w:pPr>
    <w:rPr>
      <w:rFonts w:ascii="Calibri Light" w:hAnsi="Calibri Light" w:eastAsia="Calibri Light"/>
      <w:b/>
      <w:sz w:val="32"/>
      <w:szCs w:val="32"/>
    </w:rPr>
  </w:style>
  <w:style w:type="paragraph" w:styleId="19">
    <w:name w:val="Body Text First Indent"/>
    <w:basedOn w:val="8"/>
    <w:next w:val="20"/>
    <w:unhideWhenUsed/>
    <w:qFormat/>
    <w:uiPriority w:val="0"/>
    <w:pPr>
      <w:ind w:firstLine="420" w:firstLineChars="100"/>
    </w:pPr>
    <w:rPr>
      <w:rFonts w:hint="eastAsia" w:ascii="楷体_GB2312" w:eastAsia="楷体_GB2312"/>
      <w:sz w:val="32"/>
    </w:rPr>
  </w:style>
  <w:style w:type="paragraph" w:styleId="20">
    <w:name w:val="Body Text First Indent 2"/>
    <w:basedOn w:val="9"/>
    <w:next w:val="1"/>
    <w:qFormat/>
    <w:uiPriority w:val="0"/>
    <w:pPr>
      <w:ind w:firstLine="420"/>
    </w:pPr>
  </w:style>
  <w:style w:type="table" w:styleId="22">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qFormat/>
    <w:uiPriority w:val="99"/>
    <w:rPr>
      <w:rFonts w:cs="Times New Roman"/>
      <w:color w:val="0000FF"/>
      <w:u w:val="single"/>
    </w:rPr>
  </w:style>
  <w:style w:type="paragraph" w:customStyle="1" w:styleId="26">
    <w:name w:val="Default"/>
    <w:basedOn w:val="10"/>
    <w:next w:val="15"/>
    <w:qFormat/>
    <w:uiPriority w:val="0"/>
    <w:pPr>
      <w:autoSpaceDE w:val="0"/>
      <w:autoSpaceDN w:val="0"/>
      <w:adjustRightInd w:val="0"/>
      <w:jc w:val="left"/>
    </w:pPr>
    <w:rPr>
      <w:rFonts w:hint="eastAsia" w:ascii="宋体" w:hAnsi="Calibri"/>
      <w:color w:val="000000"/>
      <w:kern w:val="0"/>
      <w:sz w:val="24"/>
    </w:rPr>
  </w:style>
  <w:style w:type="paragraph" w:customStyle="1" w:styleId="27">
    <w:name w:val="正文 A"/>
    <w:next w:val="26"/>
    <w:qFormat/>
    <w:uiPriority w:val="0"/>
    <w:pPr>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列出段落2"/>
    <w:basedOn w:val="1"/>
    <w:qFormat/>
    <w:uiPriority w:val="34"/>
    <w:pPr>
      <w:autoSpaceDE w:val="0"/>
      <w:autoSpaceDN w:val="0"/>
      <w:ind w:left="111" w:firstLine="420"/>
      <w:jc w:val="left"/>
    </w:pPr>
    <w:rPr>
      <w:rFonts w:ascii="宋体" w:hAnsi="宋体" w:cs="宋体"/>
      <w:kern w:val="0"/>
      <w:sz w:val="22"/>
      <w:szCs w:val="22"/>
      <w:lang w:eastAsia="en-US"/>
    </w:rPr>
  </w:style>
  <w:style w:type="paragraph" w:customStyle="1" w:styleId="30">
    <w:name w:val="2"/>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表格文字"/>
    <w:basedOn w:val="1"/>
    <w:next w:val="1"/>
    <w:qFormat/>
    <w:uiPriority w:val="0"/>
    <w:pPr>
      <w:adjustRightInd w:val="0"/>
      <w:spacing w:line="420" w:lineRule="atLeast"/>
      <w:jc w:val="left"/>
      <w:textAlignment w:val="baseline"/>
    </w:pPr>
    <w:rPr>
      <w:kern w:val="0"/>
    </w:rPr>
  </w:style>
  <w:style w:type="paragraph" w:customStyle="1" w:styleId="32">
    <w:name w:val="p0"/>
    <w:basedOn w:val="33"/>
    <w:qFormat/>
    <w:uiPriority w:val="0"/>
    <w:pPr>
      <w:widowControl/>
    </w:pPr>
    <w:rPr>
      <w:kern w:val="0"/>
      <w:szCs w:val="21"/>
    </w:rPr>
  </w:style>
  <w:style w:type="paragraph" w:customStyle="1" w:styleId="33">
    <w:name w:val="正文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正文文本1"/>
    <w:basedOn w:val="33"/>
    <w:qFormat/>
    <w:uiPriority w:val="99"/>
    <w:rPr>
      <w:rFonts w:eastAsia="楷体_GB2312"/>
      <w:sz w:val="28"/>
    </w:rPr>
  </w:style>
  <w:style w:type="paragraph" w:customStyle="1" w:styleId="35">
    <w:name w:val="Table Paragraph"/>
    <w:basedOn w:val="33"/>
    <w:qFormat/>
    <w:uiPriority w:val="1"/>
    <w:rPr>
      <w:rFonts w:ascii="宋体" w:hAnsi="宋体" w:cs="宋体"/>
      <w:lang w:val="zh-CN" w:bidi="zh-CN"/>
    </w:rPr>
  </w:style>
  <w:style w:type="paragraph" w:customStyle="1" w:styleId="36">
    <w:name w:val="无间隔1"/>
    <w:basedOn w:val="1"/>
    <w:next w:val="37"/>
    <w:qFormat/>
    <w:uiPriority w:val="0"/>
    <w:pPr>
      <w:spacing w:line="400" w:lineRule="exact"/>
    </w:pPr>
    <w:rPr>
      <w:sz w:val="24"/>
    </w:rPr>
  </w:style>
  <w:style w:type="paragraph" w:customStyle="1" w:styleId="37">
    <w:name w:val="正文（首行缩进） Char"/>
    <w:basedOn w:val="1"/>
    <w:next w:val="38"/>
    <w:qFormat/>
    <w:uiPriority w:val="0"/>
    <w:pPr>
      <w:spacing w:line="360" w:lineRule="auto"/>
      <w:ind w:firstLine="480"/>
    </w:pPr>
    <w:rPr>
      <w:rFonts w:ascii="Arial"/>
      <w:color w:val="000000"/>
      <w:sz w:val="24"/>
    </w:rPr>
  </w:style>
  <w:style w:type="paragraph" w:customStyle="1" w:styleId="38">
    <w:name w:val="2号黑体加粗"/>
    <w:basedOn w:val="1"/>
    <w:next w:val="31"/>
    <w:qFormat/>
    <w:uiPriority w:val="0"/>
    <w:pPr>
      <w:jc w:val="center"/>
    </w:pPr>
    <w:rPr>
      <w:rFonts w:ascii="Calibri" w:eastAsia="黑体"/>
      <w:b/>
      <w:sz w:val="44"/>
    </w:rPr>
  </w:style>
  <w:style w:type="paragraph" w:customStyle="1" w:styleId="39">
    <w:name w:val="TOAHeading"/>
    <w:basedOn w:val="1"/>
    <w:next w:val="1"/>
    <w:qFormat/>
    <w:uiPriority w:val="0"/>
    <w:pPr>
      <w:spacing w:before="120"/>
      <w:textAlignment w:val="baseline"/>
    </w:pPr>
    <w:rPr>
      <w:rFonts w:ascii="Arial" w:hAnsi="Arial"/>
      <w:sz w:val="24"/>
      <w:szCs w:val="22"/>
    </w:rPr>
  </w:style>
  <w:style w:type="paragraph" w:customStyle="1" w:styleId="4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17844</Words>
  <Characters>19523</Characters>
  <Lines>0</Lines>
  <Paragraphs>0</Paragraphs>
  <TotalTime>0</TotalTime>
  <ScaleCrop>false</ScaleCrop>
  <LinksUpToDate>false</LinksUpToDate>
  <CharactersWithSpaces>19823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2024-02-05T12:31:00Z</dcterms:created>
  <dc:creator>张琰</dc:creator>
  <cp:lastModifiedBy>白小白</cp:lastModifiedBy>
  <cp:lastPrinted>2025-08-11T03:18:00Z</cp:lastPrinted>
  <dcterms:modified xsi:type="dcterms:W3CDTF">2025-12-30T12:58:59Z</dcterms:modified>
  <dc:title>博爱县农业农村局2025年农业社会化服务采购项目（一标段）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6DAFD77778954778B5C53CE31A3C6E33_13</vt:lpwstr>
  </property>
  <property fmtid="{D5CDD505-2E9C-101B-9397-08002B2CF9AE}" pid="4" name="KSOTemplateDocerSaveRecord">
    <vt:lpwstr>eyJoZGlkIjoiZjVhNGJiMWVmZTg4ZjFhYWZhYWFiMzBkODkwYWRkZmUiLCJ1c2VySWQiOiIzMzc4MDY4MzcifQ==</vt:lpwstr>
  </property>
</Properties>
</file>