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76115">
      <w:pPr>
        <w:spacing w:line="360" w:lineRule="auto"/>
        <w:jc w:val="center"/>
        <w:rPr>
          <w:rFonts w:hint="eastAsia" w:asciiTheme="minorEastAsia" w:hAnsiTheme="minorEastAsia" w:eastAsiaTheme="minorEastAsia" w:cstheme="minorEastAsia"/>
          <w:b/>
          <w:bCs/>
          <w:sz w:val="40"/>
          <w:szCs w:val="44"/>
        </w:rPr>
      </w:pPr>
      <w:bookmarkStart w:id="0" w:name="_Toc281574833"/>
    </w:p>
    <w:p w14:paraId="0981DCB4">
      <w:pPr>
        <w:spacing w:line="360" w:lineRule="auto"/>
        <w:jc w:val="center"/>
        <w:rPr>
          <w:rFonts w:hint="eastAsia" w:asciiTheme="minorEastAsia" w:hAnsiTheme="minorEastAsia" w:eastAsiaTheme="minorEastAsia" w:cstheme="minorEastAsia"/>
          <w:b/>
          <w:bCs/>
          <w:sz w:val="44"/>
          <w:szCs w:val="44"/>
        </w:rPr>
      </w:pPr>
      <w:r>
        <w:rPr>
          <w:rFonts w:hint="eastAsia" w:asciiTheme="minorEastAsia" w:hAnsiTheme="minorEastAsia" w:eastAsiaTheme="minorEastAsia" w:cstheme="minorEastAsia"/>
          <w:b/>
          <w:bCs/>
          <w:sz w:val="44"/>
          <w:szCs w:val="44"/>
        </w:rPr>
        <w:t>博爱县城市生命线系统暨运行管理服务</w:t>
      </w:r>
    </w:p>
    <w:p w14:paraId="6BCB8110">
      <w:pPr>
        <w:spacing w:line="360" w:lineRule="auto"/>
        <w:jc w:val="center"/>
        <w:rPr>
          <w:rFonts w:asciiTheme="minorEastAsia" w:hAnsiTheme="minorEastAsia" w:eastAsiaTheme="minorEastAsia" w:cstheme="minorEastAsia"/>
          <w:b/>
          <w:bCs/>
          <w:sz w:val="44"/>
          <w:szCs w:val="44"/>
        </w:rPr>
      </w:pPr>
      <w:r>
        <w:rPr>
          <w:rFonts w:hint="eastAsia" w:asciiTheme="minorEastAsia" w:hAnsiTheme="minorEastAsia" w:eastAsiaTheme="minorEastAsia" w:cstheme="minorEastAsia"/>
          <w:b/>
          <w:bCs/>
          <w:sz w:val="44"/>
          <w:szCs w:val="44"/>
          <w:highlight w:val="none"/>
        </w:rPr>
        <w:t>平台项目（</w:t>
      </w:r>
      <w:r>
        <w:rPr>
          <w:rFonts w:hint="eastAsia" w:asciiTheme="minorEastAsia" w:hAnsiTheme="minorEastAsia" w:eastAsiaTheme="minorEastAsia" w:cstheme="minorEastAsia"/>
          <w:b/>
          <w:bCs/>
          <w:sz w:val="44"/>
          <w:szCs w:val="44"/>
        </w:rPr>
        <w:t>一期）</w:t>
      </w:r>
    </w:p>
    <w:p w14:paraId="2496A936">
      <w:pPr>
        <w:snapToGrid w:val="0"/>
        <w:spacing w:line="360" w:lineRule="auto"/>
        <w:rPr>
          <w:rFonts w:hint="eastAsia" w:asciiTheme="minorEastAsia" w:hAnsiTheme="minorEastAsia" w:eastAsiaTheme="minorEastAsia" w:cstheme="minorEastAsia"/>
          <w:b/>
          <w:bCs/>
          <w:sz w:val="32"/>
          <w:szCs w:val="32"/>
        </w:rPr>
      </w:pPr>
    </w:p>
    <w:p w14:paraId="20BE61AF">
      <w:pPr>
        <w:spacing w:line="360" w:lineRule="auto"/>
        <w:jc w:val="center"/>
        <w:rPr>
          <w:rFonts w:asciiTheme="minorEastAsia" w:hAnsiTheme="minorEastAsia" w:eastAsiaTheme="minorEastAsia" w:cstheme="minorEastAsia"/>
          <w:b/>
          <w:sz w:val="84"/>
          <w:szCs w:val="84"/>
        </w:rPr>
      </w:pPr>
      <w:r>
        <w:rPr>
          <w:rFonts w:hint="eastAsia" w:asciiTheme="minorEastAsia" w:hAnsiTheme="minorEastAsia" w:eastAsiaTheme="minorEastAsia" w:cstheme="minorEastAsia"/>
          <w:b/>
          <w:sz w:val="84"/>
          <w:szCs w:val="84"/>
        </w:rPr>
        <w:t>招 标 文 件</w:t>
      </w:r>
    </w:p>
    <w:p w14:paraId="08CF9366">
      <w:pPr>
        <w:snapToGrid w:val="0"/>
        <w:spacing w:line="360" w:lineRule="auto"/>
        <w:ind w:firstLine="1807" w:firstLineChars="500"/>
        <w:rPr>
          <w:rFonts w:asciiTheme="minorEastAsia" w:hAnsiTheme="minorEastAsia" w:eastAsiaTheme="minorEastAsia" w:cstheme="minorEastAsia"/>
          <w:b/>
          <w:bCs/>
          <w:sz w:val="36"/>
          <w:szCs w:val="36"/>
          <w:highlight w:val="none"/>
        </w:rPr>
      </w:pPr>
    </w:p>
    <w:p w14:paraId="347805A6">
      <w:pPr>
        <w:snapToGrid w:val="0"/>
        <w:spacing w:line="360" w:lineRule="auto"/>
        <w:ind w:firstLine="0" w:firstLineChars="0"/>
        <w:jc w:val="center"/>
        <w:rPr>
          <w:rFonts w:asciiTheme="minorEastAsia" w:hAnsiTheme="minorEastAsia" w:eastAsiaTheme="minorEastAsia" w:cstheme="minorEastAsia"/>
          <w:b/>
          <w:bCs/>
          <w:sz w:val="30"/>
          <w:szCs w:val="30"/>
          <w:highlight w:val="none"/>
        </w:rPr>
      </w:pPr>
      <w:r>
        <w:rPr>
          <w:rFonts w:hint="eastAsia" w:asciiTheme="minorEastAsia" w:hAnsiTheme="minorEastAsia" w:eastAsiaTheme="minorEastAsia" w:cstheme="minorEastAsia"/>
          <w:b/>
          <w:bCs/>
          <w:sz w:val="30"/>
          <w:szCs w:val="30"/>
          <w:highlight w:val="none"/>
        </w:rPr>
        <w:t>项目编号：博财招标采购-2026-1</w:t>
      </w:r>
    </w:p>
    <w:p w14:paraId="652C4892">
      <w:pPr>
        <w:snapToGrid w:val="0"/>
        <w:spacing w:line="360" w:lineRule="auto"/>
        <w:jc w:val="center"/>
        <w:rPr>
          <w:rFonts w:hint="default" w:asciiTheme="minorEastAsia" w:hAnsiTheme="minorEastAsia" w:eastAsiaTheme="minorEastAsia" w:cstheme="minorEastAsia"/>
          <w:b/>
          <w:bCs/>
          <w:sz w:val="30"/>
          <w:szCs w:val="30"/>
          <w:highlight w:val="none"/>
          <w:lang w:val="en-US" w:eastAsia="zh-CN"/>
        </w:rPr>
      </w:pPr>
      <w:r>
        <w:rPr>
          <w:rFonts w:hint="eastAsia" w:asciiTheme="minorEastAsia" w:hAnsiTheme="minorEastAsia" w:eastAsiaTheme="minorEastAsia" w:cstheme="minorEastAsia"/>
          <w:b/>
          <w:bCs/>
          <w:sz w:val="30"/>
          <w:szCs w:val="30"/>
          <w:highlight w:val="none"/>
        </w:rPr>
        <w:t>采购编号：</w:t>
      </w:r>
      <w:r>
        <w:rPr>
          <w:rFonts w:hint="eastAsia" w:asciiTheme="minorEastAsia" w:hAnsiTheme="minorEastAsia" w:eastAsiaTheme="minorEastAsia" w:cstheme="minorEastAsia"/>
          <w:b/>
          <w:bCs/>
          <w:sz w:val="30"/>
          <w:szCs w:val="30"/>
          <w:highlight w:val="none"/>
          <w:lang w:val="en-US" w:eastAsia="zh-CN"/>
        </w:rPr>
        <w:t>博政采购（2025）142号</w:t>
      </w:r>
    </w:p>
    <w:p w14:paraId="78533135">
      <w:pPr>
        <w:snapToGrid w:val="0"/>
        <w:spacing w:line="360" w:lineRule="auto"/>
        <w:jc w:val="center"/>
        <w:rPr>
          <w:rFonts w:hint="eastAsia" w:asciiTheme="minorEastAsia" w:hAnsiTheme="minorEastAsia" w:eastAsiaTheme="minorEastAsia" w:cstheme="minorEastAsia"/>
          <w:b/>
          <w:bCs/>
          <w:sz w:val="32"/>
          <w:szCs w:val="32"/>
          <w:highlight w:val="none"/>
        </w:rPr>
      </w:pPr>
    </w:p>
    <w:p w14:paraId="5D41CA20">
      <w:pPr>
        <w:spacing w:line="360" w:lineRule="auto"/>
        <w:ind w:firstLine="600"/>
        <w:jc w:val="center"/>
        <w:rPr>
          <w:rFonts w:ascii="宋体" w:hAnsi="宋体" w:cs="宋体"/>
          <w:b/>
          <w:sz w:val="32"/>
          <w:szCs w:val="32"/>
          <w:highlight w:val="none"/>
          <w:u w:val="double"/>
        </w:rPr>
      </w:pPr>
      <w:r>
        <w:rPr>
          <w:highlight w:val="none"/>
        </w:rPr>
        <w:drawing>
          <wp:inline distT="0" distB="0" distL="114300" distR="114300">
            <wp:extent cx="1948815" cy="1800860"/>
            <wp:effectExtent l="0" t="0" r="3810" b="8890"/>
            <wp:docPr id="1" name="图片 1" descr="C:\Users\Administrator\Desktop\QQ图片20190413145940.pngQQ图片2019041314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QQ图片20190413145940.pngQQ图片20190413145940"/>
                    <pic:cNvPicPr>
                      <a:picLocks noChangeAspect="1"/>
                    </pic:cNvPicPr>
                  </pic:nvPicPr>
                  <pic:blipFill>
                    <a:blip r:embed="rId9"/>
                    <a:stretch>
                      <a:fillRect/>
                    </a:stretch>
                  </pic:blipFill>
                  <pic:spPr>
                    <a:xfrm>
                      <a:off x="0" y="0"/>
                      <a:ext cx="1948815" cy="1800860"/>
                    </a:xfrm>
                    <a:prstGeom prst="rect">
                      <a:avLst/>
                    </a:prstGeom>
                    <a:noFill/>
                    <a:ln>
                      <a:noFill/>
                    </a:ln>
                  </pic:spPr>
                </pic:pic>
              </a:graphicData>
            </a:graphic>
          </wp:inline>
        </w:drawing>
      </w:r>
    </w:p>
    <w:p w14:paraId="0DCACA83">
      <w:pPr>
        <w:spacing w:line="360" w:lineRule="auto"/>
        <w:ind w:firstLine="600"/>
        <w:rPr>
          <w:rFonts w:asciiTheme="minorEastAsia" w:hAnsiTheme="minorEastAsia" w:eastAsiaTheme="minorEastAsia" w:cstheme="minorEastAsia"/>
          <w:sz w:val="30"/>
          <w:highlight w:val="none"/>
        </w:rPr>
      </w:pPr>
    </w:p>
    <w:p w14:paraId="5136E69D">
      <w:pPr>
        <w:spacing w:line="360" w:lineRule="auto"/>
        <w:ind w:firstLine="600"/>
        <w:rPr>
          <w:rFonts w:asciiTheme="minorEastAsia" w:hAnsiTheme="minorEastAsia" w:eastAsiaTheme="minorEastAsia" w:cstheme="minorEastAsia"/>
          <w:sz w:val="30"/>
          <w:highlight w:val="none"/>
        </w:rPr>
      </w:pPr>
    </w:p>
    <w:p w14:paraId="3E490AF7">
      <w:pPr>
        <w:spacing w:line="360" w:lineRule="auto"/>
        <w:rPr>
          <w:highlight w:val="none"/>
        </w:rPr>
      </w:pPr>
    </w:p>
    <w:tbl>
      <w:tblPr>
        <w:tblStyle w:val="33"/>
        <w:tblW w:w="0" w:type="auto"/>
        <w:jc w:val="center"/>
        <w:tblLayout w:type="fixed"/>
        <w:tblCellMar>
          <w:top w:w="0" w:type="dxa"/>
          <w:left w:w="108" w:type="dxa"/>
          <w:bottom w:w="0" w:type="dxa"/>
          <w:right w:w="108" w:type="dxa"/>
        </w:tblCellMar>
      </w:tblPr>
      <w:tblGrid>
        <w:gridCol w:w="2367"/>
        <w:gridCol w:w="5087"/>
      </w:tblGrid>
      <w:tr w14:paraId="511CA6AA">
        <w:tblPrEx>
          <w:tblCellMar>
            <w:top w:w="0" w:type="dxa"/>
            <w:left w:w="108" w:type="dxa"/>
            <w:bottom w:w="0" w:type="dxa"/>
            <w:right w:w="108" w:type="dxa"/>
          </w:tblCellMar>
        </w:tblPrEx>
        <w:trPr>
          <w:trHeight w:val="567" w:hRule="atLeast"/>
          <w:jc w:val="center"/>
        </w:trPr>
        <w:tc>
          <w:tcPr>
            <w:tcW w:w="2367" w:type="dxa"/>
            <w:noWrap w:val="0"/>
            <w:vAlign w:val="center"/>
          </w:tcPr>
          <w:p w14:paraId="0677C015">
            <w:pPr>
              <w:pStyle w:val="42"/>
              <w:snapToGrid w:val="0"/>
              <w:spacing w:line="360" w:lineRule="auto"/>
              <w:jc w:val="center"/>
              <w:rPr>
                <w:rFonts w:hint="eastAsia" w:hAnsi="宋体" w:cs="宋体"/>
                <w:color w:val="auto"/>
                <w:sz w:val="30"/>
                <w:szCs w:val="30"/>
                <w:highlight w:val="none"/>
              </w:rPr>
            </w:pPr>
            <w:r>
              <w:rPr>
                <w:rFonts w:hint="eastAsia" w:hAnsi="宋体" w:cs="宋体"/>
                <w:b/>
                <w:color w:val="auto"/>
                <w:sz w:val="30"/>
                <w:szCs w:val="30"/>
                <w:highlight w:val="none"/>
              </w:rPr>
              <w:t>采   购   人：</w:t>
            </w:r>
          </w:p>
        </w:tc>
        <w:tc>
          <w:tcPr>
            <w:tcW w:w="5087" w:type="dxa"/>
            <w:noWrap w:val="0"/>
            <w:vAlign w:val="center"/>
          </w:tcPr>
          <w:p w14:paraId="65201DC1">
            <w:pPr>
              <w:pStyle w:val="42"/>
              <w:snapToGrid w:val="0"/>
              <w:spacing w:line="360" w:lineRule="auto"/>
              <w:rPr>
                <w:rFonts w:hint="eastAsia" w:hAnsi="宋体" w:cs="宋体"/>
                <w:b/>
                <w:color w:val="auto"/>
                <w:sz w:val="30"/>
                <w:szCs w:val="30"/>
                <w:highlight w:val="none"/>
              </w:rPr>
            </w:pPr>
            <w:r>
              <w:rPr>
                <w:rFonts w:hint="eastAsia" w:hAnsi="宋体" w:cs="宋体"/>
                <w:b/>
                <w:color w:val="auto"/>
                <w:sz w:val="30"/>
                <w:szCs w:val="30"/>
                <w:highlight w:val="none"/>
              </w:rPr>
              <w:t>博爱县城市管理局</w:t>
            </w:r>
          </w:p>
        </w:tc>
      </w:tr>
      <w:tr w14:paraId="6F6B053B">
        <w:tblPrEx>
          <w:tblCellMar>
            <w:top w:w="0" w:type="dxa"/>
            <w:left w:w="108" w:type="dxa"/>
            <w:bottom w:w="0" w:type="dxa"/>
            <w:right w:w="108" w:type="dxa"/>
          </w:tblCellMar>
        </w:tblPrEx>
        <w:trPr>
          <w:trHeight w:val="567" w:hRule="atLeast"/>
          <w:jc w:val="center"/>
        </w:trPr>
        <w:tc>
          <w:tcPr>
            <w:tcW w:w="2367" w:type="dxa"/>
            <w:noWrap w:val="0"/>
            <w:vAlign w:val="center"/>
          </w:tcPr>
          <w:p w14:paraId="7629E3C9">
            <w:pPr>
              <w:pStyle w:val="42"/>
              <w:snapToGrid w:val="0"/>
              <w:spacing w:line="360" w:lineRule="auto"/>
              <w:jc w:val="center"/>
              <w:rPr>
                <w:rFonts w:hint="eastAsia" w:hAnsi="宋体" w:cs="宋体"/>
                <w:color w:val="auto"/>
                <w:sz w:val="30"/>
                <w:szCs w:val="30"/>
                <w:highlight w:val="none"/>
              </w:rPr>
            </w:pPr>
            <w:r>
              <w:rPr>
                <w:rFonts w:hint="eastAsia" w:hAnsi="宋体" w:cs="宋体"/>
                <w:b/>
                <w:color w:val="auto"/>
                <w:sz w:val="30"/>
                <w:szCs w:val="30"/>
                <w:highlight w:val="none"/>
              </w:rPr>
              <w:t>采购代理机构：</w:t>
            </w:r>
          </w:p>
        </w:tc>
        <w:tc>
          <w:tcPr>
            <w:tcW w:w="5087" w:type="dxa"/>
            <w:noWrap w:val="0"/>
            <w:vAlign w:val="center"/>
          </w:tcPr>
          <w:p w14:paraId="5C54B965">
            <w:pPr>
              <w:pStyle w:val="42"/>
              <w:snapToGrid w:val="0"/>
              <w:spacing w:line="360" w:lineRule="auto"/>
              <w:rPr>
                <w:rFonts w:hint="eastAsia" w:hAnsi="宋体" w:cs="宋体"/>
                <w:b/>
                <w:color w:val="auto"/>
                <w:sz w:val="30"/>
                <w:szCs w:val="30"/>
                <w:highlight w:val="none"/>
              </w:rPr>
            </w:pPr>
            <w:r>
              <w:rPr>
                <w:rFonts w:hint="eastAsia" w:hAnsi="宋体" w:cs="宋体"/>
                <w:b/>
                <w:color w:val="auto"/>
                <w:sz w:val="30"/>
                <w:szCs w:val="30"/>
                <w:highlight w:val="none"/>
              </w:rPr>
              <w:t>河南领秀工程造价咨询有限公司</w:t>
            </w:r>
          </w:p>
        </w:tc>
      </w:tr>
      <w:tr w14:paraId="223E4B5A">
        <w:tblPrEx>
          <w:tblCellMar>
            <w:top w:w="0" w:type="dxa"/>
            <w:left w:w="108" w:type="dxa"/>
            <w:bottom w:w="0" w:type="dxa"/>
            <w:right w:w="108" w:type="dxa"/>
          </w:tblCellMar>
        </w:tblPrEx>
        <w:trPr>
          <w:trHeight w:val="567" w:hRule="atLeast"/>
          <w:jc w:val="center"/>
        </w:trPr>
        <w:tc>
          <w:tcPr>
            <w:tcW w:w="2367" w:type="dxa"/>
            <w:noWrap w:val="0"/>
            <w:vAlign w:val="center"/>
          </w:tcPr>
          <w:p w14:paraId="09982451">
            <w:pPr>
              <w:tabs>
                <w:tab w:val="left" w:pos="420"/>
              </w:tabs>
              <w:snapToGrid w:val="0"/>
              <w:spacing w:line="360" w:lineRule="auto"/>
              <w:rPr>
                <w:rFonts w:hint="eastAsia" w:ascii="宋体" w:hAnsi="宋体" w:cs="宋体"/>
                <w:sz w:val="30"/>
                <w:szCs w:val="30"/>
                <w:highlight w:val="none"/>
              </w:rPr>
            </w:pPr>
            <w:r>
              <w:rPr>
                <w:rFonts w:hint="eastAsia" w:ascii="宋体" w:hAnsi="宋体" w:cs="宋体"/>
                <w:b/>
                <w:sz w:val="30"/>
                <w:szCs w:val="30"/>
                <w:highlight w:val="none"/>
              </w:rPr>
              <w:t>日        期：</w:t>
            </w:r>
          </w:p>
        </w:tc>
        <w:tc>
          <w:tcPr>
            <w:tcW w:w="5087" w:type="dxa"/>
            <w:noWrap w:val="0"/>
            <w:vAlign w:val="center"/>
          </w:tcPr>
          <w:p w14:paraId="572F2E9E">
            <w:pPr>
              <w:pStyle w:val="42"/>
              <w:snapToGrid w:val="0"/>
              <w:spacing w:line="360" w:lineRule="auto"/>
              <w:rPr>
                <w:rFonts w:hint="eastAsia" w:hAnsi="宋体" w:cs="宋体"/>
                <w:b/>
                <w:color w:val="auto"/>
                <w:sz w:val="30"/>
                <w:szCs w:val="30"/>
                <w:highlight w:val="none"/>
              </w:rPr>
            </w:pPr>
            <w:r>
              <w:rPr>
                <w:rFonts w:hint="eastAsia" w:hAnsi="宋体" w:cs="宋体"/>
                <w:b/>
                <w:color w:val="auto"/>
                <w:sz w:val="30"/>
                <w:szCs w:val="30"/>
                <w:highlight w:val="none"/>
              </w:rPr>
              <w:t>二〇二</w:t>
            </w:r>
            <w:r>
              <w:rPr>
                <w:rFonts w:hint="eastAsia" w:hAnsi="宋体" w:cs="宋体"/>
                <w:b/>
                <w:color w:val="auto"/>
                <w:sz w:val="30"/>
                <w:szCs w:val="30"/>
                <w:highlight w:val="none"/>
                <w:lang w:val="en-US" w:eastAsia="zh-CN"/>
              </w:rPr>
              <w:t>六</w:t>
            </w:r>
            <w:r>
              <w:rPr>
                <w:rFonts w:hint="eastAsia" w:hAnsi="宋体" w:cs="宋体"/>
                <w:b/>
                <w:color w:val="auto"/>
                <w:sz w:val="30"/>
                <w:szCs w:val="30"/>
                <w:highlight w:val="none"/>
              </w:rPr>
              <w:t>年</w:t>
            </w:r>
            <w:r>
              <w:rPr>
                <w:rFonts w:hint="eastAsia" w:hAnsi="宋体" w:cs="宋体"/>
                <w:b/>
                <w:color w:val="auto"/>
                <w:sz w:val="30"/>
                <w:szCs w:val="30"/>
                <w:highlight w:val="none"/>
                <w:lang w:val="en-US" w:eastAsia="zh-CN"/>
              </w:rPr>
              <w:t>一</w:t>
            </w:r>
            <w:r>
              <w:rPr>
                <w:rFonts w:hint="eastAsia" w:hAnsi="宋体" w:cs="宋体"/>
                <w:b/>
                <w:color w:val="auto"/>
                <w:sz w:val="30"/>
                <w:szCs w:val="30"/>
                <w:highlight w:val="none"/>
              </w:rPr>
              <w:t>月</w:t>
            </w:r>
          </w:p>
        </w:tc>
      </w:tr>
    </w:tbl>
    <w:p w14:paraId="57469331">
      <w:pPr>
        <w:jc w:val="center"/>
        <w:rPr>
          <w:rFonts w:asciiTheme="minorEastAsia" w:hAnsiTheme="minorEastAsia" w:eastAsiaTheme="minorEastAsia" w:cstheme="minorEastAsia"/>
          <w:b/>
          <w:bCs/>
          <w:sz w:val="32"/>
          <w:szCs w:val="32"/>
        </w:rPr>
        <w:sectPr>
          <w:footerReference r:id="rId5" w:type="first"/>
          <w:headerReference r:id="rId3" w:type="even"/>
          <w:footerReference r:id="rId4" w:type="even"/>
          <w:pgSz w:w="11907" w:h="16840"/>
          <w:pgMar w:top="1417" w:right="1417" w:bottom="1417" w:left="1417" w:header="624" w:footer="998" w:gutter="0"/>
          <w:pgBorders>
            <w:top w:val="none" w:sz="0" w:space="0"/>
            <w:left w:val="none" w:sz="0" w:space="0"/>
            <w:bottom w:val="none" w:sz="0" w:space="0"/>
            <w:right w:val="none" w:sz="0" w:space="0"/>
          </w:pgBorders>
          <w:pgNumType w:fmt="numberInDash" w:start="1"/>
          <w:cols w:space="720" w:num="1"/>
          <w:titlePg/>
          <w:docGrid w:type="lines" w:linePitch="380" w:charSpace="0"/>
        </w:sectPr>
      </w:pPr>
    </w:p>
    <w:sdt>
      <w:sdtPr>
        <w:rPr>
          <w:rFonts w:hint="eastAsia" w:asciiTheme="minorEastAsia" w:hAnsiTheme="minorEastAsia" w:eastAsiaTheme="minorEastAsia" w:cstheme="minorEastAsia"/>
          <w:b/>
          <w:bCs/>
          <w:kern w:val="2"/>
          <w:sz w:val="52"/>
          <w:szCs w:val="52"/>
          <w:lang w:val="en-US" w:eastAsia="zh-CN" w:bidi="ar-SA"/>
        </w:rPr>
        <w:id w:val="147457249"/>
        <w15:color w:val="DBDBDB"/>
        <w:docPartObj>
          <w:docPartGallery w:val="Table of Contents"/>
          <w:docPartUnique/>
        </w:docPartObj>
      </w:sdtPr>
      <w:sdtEndPr>
        <w:rPr>
          <w:rFonts w:hint="eastAsia" w:asciiTheme="minorEastAsia" w:hAnsiTheme="minorEastAsia" w:eastAsiaTheme="minorEastAsia" w:cstheme="minorEastAsia"/>
          <w:b/>
          <w:bCs/>
          <w:kern w:val="2"/>
          <w:sz w:val="52"/>
          <w:szCs w:val="52"/>
          <w:lang w:val="en-US" w:eastAsia="zh-CN" w:bidi="ar-SA"/>
        </w:rPr>
      </w:sdtEndPr>
      <w:sdtContent>
        <w:p w14:paraId="5A258DD9">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Theme="minorEastAsia" w:hAnsiTheme="minorEastAsia" w:eastAsiaTheme="minorEastAsia" w:cstheme="minorEastAsia"/>
              <w:b/>
              <w:bCs/>
              <w:sz w:val="52"/>
              <w:szCs w:val="52"/>
            </w:rPr>
          </w:pPr>
          <w:r>
            <w:rPr>
              <w:rFonts w:hint="eastAsia" w:asciiTheme="minorEastAsia" w:hAnsiTheme="minorEastAsia" w:eastAsiaTheme="minorEastAsia" w:cstheme="minorEastAsia"/>
              <w:b/>
              <w:bCs/>
              <w:sz w:val="52"/>
              <w:szCs w:val="52"/>
            </w:rPr>
            <w:t>目录</w:t>
          </w:r>
        </w:p>
        <w:p w14:paraId="7C7757B3">
          <w:pPr>
            <w:pStyle w:val="24"/>
            <w:tabs>
              <w:tab w:val="right" w:leader="dot" w:pos="9073"/>
            </w:tabs>
            <w:rPr>
              <w:sz w:val="28"/>
              <w:szCs w:val="28"/>
            </w:rPr>
          </w:pPr>
          <w:r>
            <w:fldChar w:fldCharType="begin"/>
          </w:r>
          <w:r>
            <w:instrText xml:space="preserve">TOC \o "1-3" \h \u </w:instrText>
          </w:r>
          <w:r>
            <w:fldChar w:fldCharType="separate"/>
          </w:r>
          <w:r>
            <w:rPr>
              <w:sz w:val="28"/>
              <w:szCs w:val="28"/>
            </w:rPr>
            <w:fldChar w:fldCharType="begin"/>
          </w:r>
          <w:r>
            <w:rPr>
              <w:sz w:val="28"/>
              <w:szCs w:val="28"/>
            </w:rPr>
            <w:instrText xml:space="preserve"> HYPERLINK \l _Toc30631 </w:instrText>
          </w:r>
          <w:r>
            <w:rPr>
              <w:sz w:val="28"/>
              <w:szCs w:val="28"/>
            </w:rPr>
            <w:fldChar w:fldCharType="separate"/>
          </w:r>
          <w:r>
            <w:rPr>
              <w:rFonts w:hint="eastAsia"/>
              <w:sz w:val="28"/>
              <w:szCs w:val="28"/>
              <w:lang w:val="en-US" w:eastAsia="zh-CN"/>
            </w:rPr>
            <w:t xml:space="preserve">第一章 </w:t>
          </w:r>
          <w:r>
            <w:rPr>
              <w:rFonts w:hint="eastAsia"/>
              <w:sz w:val="28"/>
              <w:szCs w:val="28"/>
            </w:rPr>
            <w:t>招标公告</w:t>
          </w:r>
          <w:r>
            <w:rPr>
              <w:sz w:val="28"/>
              <w:szCs w:val="28"/>
            </w:rPr>
            <w:tab/>
          </w:r>
          <w:r>
            <w:rPr>
              <w:sz w:val="28"/>
              <w:szCs w:val="28"/>
            </w:rPr>
            <w:fldChar w:fldCharType="begin"/>
          </w:r>
          <w:r>
            <w:rPr>
              <w:sz w:val="28"/>
              <w:szCs w:val="28"/>
            </w:rPr>
            <w:instrText xml:space="preserve"> PAGEREF _Toc30631 \h </w:instrText>
          </w:r>
          <w:r>
            <w:rPr>
              <w:sz w:val="28"/>
              <w:szCs w:val="28"/>
            </w:rPr>
            <w:fldChar w:fldCharType="separate"/>
          </w:r>
          <w:r>
            <w:rPr>
              <w:sz w:val="28"/>
              <w:szCs w:val="28"/>
            </w:rPr>
            <w:t>4</w:t>
          </w:r>
          <w:r>
            <w:rPr>
              <w:sz w:val="28"/>
              <w:szCs w:val="28"/>
            </w:rPr>
            <w:fldChar w:fldCharType="end"/>
          </w:r>
          <w:r>
            <w:rPr>
              <w:sz w:val="28"/>
              <w:szCs w:val="28"/>
            </w:rPr>
            <w:fldChar w:fldCharType="end"/>
          </w:r>
        </w:p>
        <w:p w14:paraId="2B4F03D8">
          <w:pPr>
            <w:pStyle w:val="24"/>
            <w:tabs>
              <w:tab w:val="right" w:leader="dot" w:pos="9073"/>
            </w:tabs>
            <w:rPr>
              <w:sz w:val="28"/>
              <w:szCs w:val="28"/>
            </w:rPr>
          </w:pPr>
          <w:r>
            <w:rPr>
              <w:sz w:val="28"/>
              <w:szCs w:val="28"/>
            </w:rPr>
            <w:fldChar w:fldCharType="begin"/>
          </w:r>
          <w:r>
            <w:rPr>
              <w:sz w:val="28"/>
              <w:szCs w:val="28"/>
            </w:rPr>
            <w:instrText xml:space="preserve"> HYPERLINK \l _Toc23822 </w:instrText>
          </w:r>
          <w:r>
            <w:rPr>
              <w:sz w:val="28"/>
              <w:szCs w:val="28"/>
            </w:rPr>
            <w:fldChar w:fldCharType="separate"/>
          </w:r>
          <w:r>
            <w:rPr>
              <w:rFonts w:hint="eastAsia" w:eastAsia="宋体" w:cs="Times New Roman"/>
              <w:sz w:val="28"/>
              <w:szCs w:val="28"/>
              <w:lang w:val="en-US" w:eastAsia="zh-CN"/>
            </w:rPr>
            <w:t xml:space="preserve">第二章 </w:t>
          </w:r>
          <w:r>
            <w:rPr>
              <w:rFonts w:hint="eastAsia" w:ascii="Book Antiqua" w:hAnsi="Book Antiqua" w:eastAsia="宋体" w:cs="Times New Roman"/>
              <w:sz w:val="28"/>
              <w:szCs w:val="28"/>
            </w:rPr>
            <w:t>供应商须知</w:t>
          </w:r>
          <w:r>
            <w:rPr>
              <w:sz w:val="28"/>
              <w:szCs w:val="28"/>
            </w:rPr>
            <w:tab/>
          </w:r>
          <w:r>
            <w:rPr>
              <w:sz w:val="28"/>
              <w:szCs w:val="28"/>
            </w:rPr>
            <w:fldChar w:fldCharType="begin"/>
          </w:r>
          <w:r>
            <w:rPr>
              <w:sz w:val="28"/>
              <w:szCs w:val="28"/>
            </w:rPr>
            <w:instrText xml:space="preserve"> PAGEREF _Toc23822 \h </w:instrText>
          </w:r>
          <w:r>
            <w:rPr>
              <w:sz w:val="28"/>
              <w:szCs w:val="28"/>
            </w:rPr>
            <w:fldChar w:fldCharType="separate"/>
          </w:r>
          <w:r>
            <w:rPr>
              <w:sz w:val="28"/>
              <w:szCs w:val="28"/>
            </w:rPr>
            <w:t>8</w:t>
          </w:r>
          <w:r>
            <w:rPr>
              <w:sz w:val="28"/>
              <w:szCs w:val="28"/>
            </w:rPr>
            <w:fldChar w:fldCharType="end"/>
          </w:r>
          <w:r>
            <w:rPr>
              <w:sz w:val="28"/>
              <w:szCs w:val="28"/>
            </w:rPr>
            <w:fldChar w:fldCharType="end"/>
          </w:r>
        </w:p>
        <w:p w14:paraId="45ED9372">
          <w:pPr>
            <w:pStyle w:val="24"/>
            <w:tabs>
              <w:tab w:val="right" w:leader="dot" w:pos="9073"/>
            </w:tabs>
            <w:rPr>
              <w:sz w:val="28"/>
              <w:szCs w:val="28"/>
            </w:rPr>
          </w:pPr>
          <w:r>
            <w:rPr>
              <w:sz w:val="28"/>
              <w:szCs w:val="28"/>
            </w:rPr>
            <w:fldChar w:fldCharType="begin"/>
          </w:r>
          <w:r>
            <w:rPr>
              <w:sz w:val="28"/>
              <w:szCs w:val="28"/>
            </w:rPr>
            <w:instrText xml:space="preserve"> HYPERLINK \l _Toc13215 </w:instrText>
          </w:r>
          <w:r>
            <w:rPr>
              <w:sz w:val="28"/>
              <w:szCs w:val="28"/>
            </w:rPr>
            <w:fldChar w:fldCharType="separate"/>
          </w:r>
          <w:r>
            <w:rPr>
              <w:rFonts w:hint="eastAsia" w:ascii="Book Antiqua" w:hAnsi="Book Antiqua" w:eastAsia="宋体" w:cs="Times New Roman"/>
              <w:sz w:val="28"/>
              <w:szCs w:val="28"/>
              <w:lang w:val="en-US" w:eastAsia="zh-CN"/>
            </w:rPr>
            <w:t xml:space="preserve">第三章 </w:t>
          </w:r>
          <w:r>
            <w:rPr>
              <w:rFonts w:hint="eastAsia" w:ascii="Book Antiqua" w:hAnsi="Book Antiqua" w:eastAsia="宋体" w:cs="Times New Roman"/>
              <w:sz w:val="28"/>
              <w:szCs w:val="28"/>
            </w:rPr>
            <w:t>评标办法（综合评分法）</w:t>
          </w:r>
          <w:r>
            <w:rPr>
              <w:sz w:val="28"/>
              <w:szCs w:val="28"/>
            </w:rPr>
            <w:tab/>
          </w:r>
          <w:r>
            <w:rPr>
              <w:sz w:val="28"/>
              <w:szCs w:val="28"/>
            </w:rPr>
            <w:fldChar w:fldCharType="begin"/>
          </w:r>
          <w:r>
            <w:rPr>
              <w:sz w:val="28"/>
              <w:szCs w:val="28"/>
            </w:rPr>
            <w:instrText xml:space="preserve"> PAGEREF _Toc13215 \h </w:instrText>
          </w:r>
          <w:r>
            <w:rPr>
              <w:sz w:val="28"/>
              <w:szCs w:val="28"/>
            </w:rPr>
            <w:fldChar w:fldCharType="separate"/>
          </w:r>
          <w:r>
            <w:rPr>
              <w:sz w:val="28"/>
              <w:szCs w:val="28"/>
            </w:rPr>
            <w:t>27</w:t>
          </w:r>
          <w:r>
            <w:rPr>
              <w:sz w:val="28"/>
              <w:szCs w:val="28"/>
            </w:rPr>
            <w:fldChar w:fldCharType="end"/>
          </w:r>
          <w:r>
            <w:rPr>
              <w:sz w:val="28"/>
              <w:szCs w:val="28"/>
            </w:rPr>
            <w:fldChar w:fldCharType="end"/>
          </w:r>
        </w:p>
        <w:p w14:paraId="4920F59F">
          <w:pPr>
            <w:pStyle w:val="24"/>
            <w:tabs>
              <w:tab w:val="right" w:leader="dot" w:pos="9073"/>
            </w:tabs>
            <w:rPr>
              <w:sz w:val="28"/>
              <w:szCs w:val="28"/>
            </w:rPr>
          </w:pPr>
          <w:r>
            <w:rPr>
              <w:sz w:val="28"/>
              <w:szCs w:val="28"/>
            </w:rPr>
            <w:fldChar w:fldCharType="begin"/>
          </w:r>
          <w:r>
            <w:rPr>
              <w:sz w:val="28"/>
              <w:szCs w:val="28"/>
            </w:rPr>
            <w:instrText xml:space="preserve"> HYPERLINK \l _Toc28334 </w:instrText>
          </w:r>
          <w:r>
            <w:rPr>
              <w:sz w:val="28"/>
              <w:szCs w:val="28"/>
            </w:rPr>
            <w:fldChar w:fldCharType="separate"/>
          </w:r>
          <w:r>
            <w:rPr>
              <w:rFonts w:hint="eastAsia" w:ascii="Book Antiqua" w:hAnsi="Book Antiqua" w:eastAsia="宋体" w:cs="Times New Roman"/>
              <w:sz w:val="28"/>
              <w:szCs w:val="28"/>
              <w:lang w:val="en-US" w:eastAsia="zh-CN"/>
            </w:rPr>
            <w:t>第四章</w:t>
          </w:r>
          <w:r>
            <w:rPr>
              <w:rFonts w:hint="eastAsia" w:ascii="Book Antiqua" w:hAnsi="Book Antiqua" w:eastAsia="宋体" w:cs="Times New Roman"/>
              <w:sz w:val="28"/>
              <w:szCs w:val="28"/>
            </w:rPr>
            <w:t xml:space="preserve"> 合同条款及格式</w:t>
          </w:r>
          <w:r>
            <w:rPr>
              <w:sz w:val="28"/>
              <w:szCs w:val="28"/>
            </w:rPr>
            <w:tab/>
          </w:r>
          <w:r>
            <w:rPr>
              <w:sz w:val="28"/>
              <w:szCs w:val="28"/>
            </w:rPr>
            <w:fldChar w:fldCharType="begin"/>
          </w:r>
          <w:r>
            <w:rPr>
              <w:sz w:val="28"/>
              <w:szCs w:val="28"/>
            </w:rPr>
            <w:instrText xml:space="preserve"> PAGEREF _Toc28334 \h </w:instrText>
          </w:r>
          <w:r>
            <w:rPr>
              <w:sz w:val="28"/>
              <w:szCs w:val="28"/>
            </w:rPr>
            <w:fldChar w:fldCharType="separate"/>
          </w:r>
          <w:r>
            <w:rPr>
              <w:sz w:val="28"/>
              <w:szCs w:val="28"/>
            </w:rPr>
            <w:t>33</w:t>
          </w:r>
          <w:r>
            <w:rPr>
              <w:sz w:val="28"/>
              <w:szCs w:val="28"/>
            </w:rPr>
            <w:fldChar w:fldCharType="end"/>
          </w:r>
          <w:r>
            <w:rPr>
              <w:sz w:val="28"/>
              <w:szCs w:val="28"/>
            </w:rPr>
            <w:fldChar w:fldCharType="end"/>
          </w:r>
        </w:p>
        <w:p w14:paraId="493AFEB7">
          <w:pPr>
            <w:pStyle w:val="24"/>
            <w:tabs>
              <w:tab w:val="right" w:leader="dot" w:pos="9073"/>
            </w:tabs>
            <w:rPr>
              <w:sz w:val="28"/>
              <w:szCs w:val="28"/>
            </w:rPr>
          </w:pPr>
          <w:r>
            <w:rPr>
              <w:sz w:val="28"/>
              <w:szCs w:val="28"/>
            </w:rPr>
            <w:fldChar w:fldCharType="begin"/>
          </w:r>
          <w:r>
            <w:rPr>
              <w:sz w:val="28"/>
              <w:szCs w:val="28"/>
            </w:rPr>
            <w:instrText xml:space="preserve"> HYPERLINK \l _Toc7221 </w:instrText>
          </w:r>
          <w:r>
            <w:rPr>
              <w:sz w:val="28"/>
              <w:szCs w:val="28"/>
            </w:rPr>
            <w:fldChar w:fldCharType="separate"/>
          </w:r>
          <w:r>
            <w:rPr>
              <w:rFonts w:hint="eastAsia" w:ascii="Book Antiqua" w:hAnsi="Book Antiqua" w:eastAsia="宋体" w:cs="Times New Roman"/>
              <w:bCs/>
              <w:sz w:val="28"/>
              <w:szCs w:val="28"/>
            </w:rPr>
            <w:t>第五章 采购内容及要求</w:t>
          </w:r>
          <w:r>
            <w:rPr>
              <w:sz w:val="28"/>
              <w:szCs w:val="28"/>
            </w:rPr>
            <w:tab/>
          </w:r>
          <w:r>
            <w:rPr>
              <w:sz w:val="28"/>
              <w:szCs w:val="28"/>
            </w:rPr>
            <w:fldChar w:fldCharType="begin"/>
          </w:r>
          <w:r>
            <w:rPr>
              <w:sz w:val="28"/>
              <w:szCs w:val="28"/>
            </w:rPr>
            <w:instrText xml:space="preserve"> PAGEREF _Toc7221 \h </w:instrText>
          </w:r>
          <w:r>
            <w:rPr>
              <w:sz w:val="28"/>
              <w:szCs w:val="28"/>
            </w:rPr>
            <w:fldChar w:fldCharType="separate"/>
          </w:r>
          <w:r>
            <w:rPr>
              <w:sz w:val="28"/>
              <w:szCs w:val="28"/>
            </w:rPr>
            <w:t>40</w:t>
          </w:r>
          <w:r>
            <w:rPr>
              <w:sz w:val="28"/>
              <w:szCs w:val="28"/>
            </w:rPr>
            <w:fldChar w:fldCharType="end"/>
          </w:r>
          <w:r>
            <w:rPr>
              <w:sz w:val="28"/>
              <w:szCs w:val="28"/>
            </w:rPr>
            <w:fldChar w:fldCharType="end"/>
          </w:r>
        </w:p>
        <w:p w14:paraId="61363399">
          <w:pPr>
            <w:pStyle w:val="24"/>
            <w:tabs>
              <w:tab w:val="right" w:leader="dot" w:pos="9073"/>
            </w:tabs>
            <w:rPr>
              <w:sz w:val="28"/>
              <w:szCs w:val="28"/>
            </w:rPr>
          </w:pPr>
          <w:r>
            <w:rPr>
              <w:sz w:val="28"/>
              <w:szCs w:val="28"/>
            </w:rPr>
            <w:fldChar w:fldCharType="begin"/>
          </w:r>
          <w:r>
            <w:rPr>
              <w:sz w:val="28"/>
              <w:szCs w:val="28"/>
            </w:rPr>
            <w:instrText xml:space="preserve"> HYPERLINK \l _Toc16164 </w:instrText>
          </w:r>
          <w:r>
            <w:rPr>
              <w:sz w:val="28"/>
              <w:szCs w:val="28"/>
            </w:rPr>
            <w:fldChar w:fldCharType="separate"/>
          </w:r>
          <w:r>
            <w:rPr>
              <w:rFonts w:hint="eastAsia"/>
              <w:sz w:val="28"/>
              <w:szCs w:val="28"/>
            </w:rPr>
            <w:t>第六章 质疑与投诉</w:t>
          </w:r>
          <w:r>
            <w:rPr>
              <w:sz w:val="28"/>
              <w:szCs w:val="28"/>
            </w:rPr>
            <w:tab/>
          </w:r>
          <w:r>
            <w:rPr>
              <w:sz w:val="28"/>
              <w:szCs w:val="28"/>
            </w:rPr>
            <w:fldChar w:fldCharType="begin"/>
          </w:r>
          <w:r>
            <w:rPr>
              <w:sz w:val="28"/>
              <w:szCs w:val="28"/>
            </w:rPr>
            <w:instrText xml:space="preserve"> PAGEREF _Toc16164 \h </w:instrText>
          </w:r>
          <w:r>
            <w:rPr>
              <w:sz w:val="28"/>
              <w:szCs w:val="28"/>
            </w:rPr>
            <w:fldChar w:fldCharType="separate"/>
          </w:r>
          <w:r>
            <w:rPr>
              <w:sz w:val="28"/>
              <w:szCs w:val="28"/>
            </w:rPr>
            <w:t>100</w:t>
          </w:r>
          <w:r>
            <w:rPr>
              <w:sz w:val="28"/>
              <w:szCs w:val="28"/>
            </w:rPr>
            <w:fldChar w:fldCharType="end"/>
          </w:r>
          <w:r>
            <w:rPr>
              <w:sz w:val="28"/>
              <w:szCs w:val="28"/>
            </w:rPr>
            <w:fldChar w:fldCharType="end"/>
          </w:r>
        </w:p>
        <w:p w14:paraId="47E255C1">
          <w:pPr>
            <w:pStyle w:val="24"/>
            <w:tabs>
              <w:tab w:val="right" w:leader="dot" w:pos="9073"/>
            </w:tabs>
            <w:rPr>
              <w:sz w:val="28"/>
              <w:szCs w:val="28"/>
            </w:rPr>
          </w:pPr>
          <w:r>
            <w:rPr>
              <w:sz w:val="28"/>
              <w:szCs w:val="28"/>
            </w:rPr>
            <w:fldChar w:fldCharType="begin"/>
          </w:r>
          <w:r>
            <w:rPr>
              <w:sz w:val="28"/>
              <w:szCs w:val="28"/>
            </w:rPr>
            <w:instrText xml:space="preserve"> HYPERLINK \l _Toc28894 </w:instrText>
          </w:r>
          <w:r>
            <w:rPr>
              <w:sz w:val="28"/>
              <w:szCs w:val="28"/>
            </w:rPr>
            <w:fldChar w:fldCharType="separate"/>
          </w:r>
          <w:r>
            <w:rPr>
              <w:rFonts w:hint="eastAsia" w:ascii="Book Antiqua" w:hAnsi="Book Antiqua" w:eastAsia="宋体" w:cs="Times New Roman"/>
              <w:bCs/>
              <w:sz w:val="28"/>
              <w:szCs w:val="28"/>
            </w:rPr>
            <w:t>第</w:t>
          </w:r>
          <w:r>
            <w:rPr>
              <w:rFonts w:hint="eastAsia" w:ascii="Book Antiqua" w:hAnsi="Book Antiqua" w:eastAsia="宋体" w:cs="Times New Roman"/>
              <w:bCs/>
              <w:sz w:val="28"/>
              <w:szCs w:val="28"/>
              <w:lang w:val="en-US" w:eastAsia="zh-CN"/>
            </w:rPr>
            <w:t>七</w:t>
          </w:r>
          <w:r>
            <w:rPr>
              <w:rFonts w:hint="eastAsia" w:ascii="Book Antiqua" w:hAnsi="Book Antiqua" w:eastAsia="宋体" w:cs="Times New Roman"/>
              <w:bCs/>
              <w:sz w:val="28"/>
              <w:szCs w:val="28"/>
            </w:rPr>
            <w:t xml:space="preserve">章 </w:t>
          </w:r>
          <w:r>
            <w:rPr>
              <w:rFonts w:hint="eastAsia" w:eastAsia="宋体" w:cs="Times New Roman"/>
              <w:sz w:val="28"/>
              <w:szCs w:val="28"/>
            </w:rPr>
            <w:t>履约验收</w:t>
          </w:r>
          <w:r>
            <w:rPr>
              <w:sz w:val="28"/>
              <w:szCs w:val="28"/>
            </w:rPr>
            <w:tab/>
          </w:r>
          <w:r>
            <w:rPr>
              <w:sz w:val="28"/>
              <w:szCs w:val="28"/>
            </w:rPr>
            <w:fldChar w:fldCharType="begin"/>
          </w:r>
          <w:r>
            <w:rPr>
              <w:sz w:val="28"/>
              <w:szCs w:val="28"/>
            </w:rPr>
            <w:instrText xml:space="preserve"> PAGEREF _Toc28894 \h </w:instrText>
          </w:r>
          <w:r>
            <w:rPr>
              <w:sz w:val="28"/>
              <w:szCs w:val="28"/>
            </w:rPr>
            <w:fldChar w:fldCharType="separate"/>
          </w:r>
          <w:r>
            <w:rPr>
              <w:sz w:val="28"/>
              <w:szCs w:val="28"/>
            </w:rPr>
            <w:t>102</w:t>
          </w:r>
          <w:r>
            <w:rPr>
              <w:sz w:val="28"/>
              <w:szCs w:val="28"/>
            </w:rPr>
            <w:fldChar w:fldCharType="end"/>
          </w:r>
          <w:r>
            <w:rPr>
              <w:sz w:val="28"/>
              <w:szCs w:val="28"/>
            </w:rPr>
            <w:fldChar w:fldCharType="end"/>
          </w:r>
        </w:p>
        <w:p w14:paraId="151F933C">
          <w:pPr>
            <w:pStyle w:val="24"/>
            <w:tabs>
              <w:tab w:val="right" w:leader="dot" w:pos="9073"/>
            </w:tabs>
            <w:rPr>
              <w:sz w:val="28"/>
              <w:szCs w:val="28"/>
            </w:rPr>
          </w:pPr>
          <w:r>
            <w:rPr>
              <w:sz w:val="28"/>
              <w:szCs w:val="28"/>
            </w:rPr>
            <w:fldChar w:fldCharType="begin"/>
          </w:r>
          <w:r>
            <w:rPr>
              <w:sz w:val="28"/>
              <w:szCs w:val="28"/>
            </w:rPr>
            <w:instrText xml:space="preserve"> HYPERLINK \l _Toc16922 </w:instrText>
          </w:r>
          <w:r>
            <w:rPr>
              <w:sz w:val="28"/>
              <w:szCs w:val="28"/>
            </w:rPr>
            <w:fldChar w:fldCharType="separate"/>
          </w:r>
          <w:r>
            <w:rPr>
              <w:rFonts w:hint="eastAsia" w:ascii="Book Antiqua" w:hAnsi="Book Antiqua" w:eastAsia="宋体" w:cs="Times New Roman"/>
              <w:bCs/>
              <w:sz w:val="28"/>
              <w:szCs w:val="28"/>
            </w:rPr>
            <w:t>第</w:t>
          </w:r>
          <w:r>
            <w:rPr>
              <w:rFonts w:hint="eastAsia" w:cs="Times New Roman"/>
              <w:bCs/>
              <w:sz w:val="28"/>
              <w:szCs w:val="28"/>
              <w:lang w:val="en-US" w:eastAsia="zh-CN"/>
            </w:rPr>
            <w:t>八</w:t>
          </w:r>
          <w:r>
            <w:rPr>
              <w:rFonts w:hint="eastAsia" w:ascii="Book Antiqua" w:hAnsi="Book Antiqua" w:eastAsia="宋体" w:cs="Times New Roman"/>
              <w:bCs/>
              <w:sz w:val="28"/>
              <w:szCs w:val="28"/>
            </w:rPr>
            <w:t>章 投标文件格式</w:t>
          </w:r>
          <w:r>
            <w:rPr>
              <w:sz w:val="28"/>
              <w:szCs w:val="28"/>
            </w:rPr>
            <w:tab/>
          </w:r>
          <w:r>
            <w:rPr>
              <w:sz w:val="28"/>
              <w:szCs w:val="28"/>
            </w:rPr>
            <w:fldChar w:fldCharType="begin"/>
          </w:r>
          <w:r>
            <w:rPr>
              <w:sz w:val="28"/>
              <w:szCs w:val="28"/>
            </w:rPr>
            <w:instrText xml:space="preserve"> PAGEREF _Toc16922 \h </w:instrText>
          </w:r>
          <w:r>
            <w:rPr>
              <w:sz w:val="28"/>
              <w:szCs w:val="28"/>
            </w:rPr>
            <w:fldChar w:fldCharType="separate"/>
          </w:r>
          <w:r>
            <w:rPr>
              <w:sz w:val="28"/>
              <w:szCs w:val="28"/>
            </w:rPr>
            <w:t>103</w:t>
          </w:r>
          <w:r>
            <w:rPr>
              <w:sz w:val="28"/>
              <w:szCs w:val="28"/>
            </w:rPr>
            <w:fldChar w:fldCharType="end"/>
          </w:r>
          <w:r>
            <w:rPr>
              <w:sz w:val="28"/>
              <w:szCs w:val="28"/>
            </w:rPr>
            <w:fldChar w:fldCharType="end"/>
          </w:r>
        </w:p>
        <w:p w14:paraId="1E42494E">
          <w:pPr>
            <w:pStyle w:val="24"/>
            <w:tabs>
              <w:tab w:val="right" w:leader="dot" w:pos="9073"/>
            </w:tabs>
          </w:pPr>
          <w:r>
            <w:rPr>
              <w:sz w:val="28"/>
              <w:szCs w:val="28"/>
            </w:rPr>
            <w:fldChar w:fldCharType="begin"/>
          </w:r>
          <w:r>
            <w:rPr>
              <w:sz w:val="28"/>
              <w:szCs w:val="28"/>
            </w:rPr>
            <w:instrText xml:space="preserve"> HYPERLINK \l _Toc13633 </w:instrText>
          </w:r>
          <w:r>
            <w:rPr>
              <w:sz w:val="28"/>
              <w:szCs w:val="28"/>
            </w:rPr>
            <w:fldChar w:fldCharType="separate"/>
          </w:r>
          <w:r>
            <w:rPr>
              <w:rFonts w:hint="eastAsia" w:ascii="Book Antiqua" w:hAnsi="Book Antiqua" w:eastAsia="宋体" w:cs="Times New Roman"/>
              <w:bCs/>
              <w:sz w:val="28"/>
              <w:szCs w:val="28"/>
            </w:rPr>
            <w:t>第</w:t>
          </w:r>
          <w:r>
            <w:rPr>
              <w:rFonts w:hint="eastAsia" w:cs="Times New Roman"/>
              <w:bCs/>
              <w:sz w:val="28"/>
              <w:szCs w:val="28"/>
              <w:lang w:val="en-US" w:eastAsia="zh-CN"/>
            </w:rPr>
            <w:t>九</w:t>
          </w:r>
          <w:r>
            <w:rPr>
              <w:rFonts w:hint="eastAsia" w:ascii="Book Antiqua" w:hAnsi="Book Antiqua" w:eastAsia="宋体" w:cs="Times New Roman"/>
              <w:bCs/>
              <w:sz w:val="28"/>
              <w:szCs w:val="28"/>
            </w:rPr>
            <w:t xml:space="preserve">章 </w:t>
          </w:r>
          <w:r>
            <w:rPr>
              <w:rFonts w:hint="eastAsia" w:ascii="Book Antiqua" w:hAnsi="Book Antiqua" w:eastAsia="宋体" w:cs="Times New Roman"/>
              <w:bCs/>
              <w:sz w:val="28"/>
              <w:szCs w:val="28"/>
              <w:lang w:val="en-US" w:eastAsia="zh-CN"/>
            </w:rPr>
            <w:t>附件</w:t>
          </w:r>
          <w:r>
            <w:rPr>
              <w:sz w:val="28"/>
              <w:szCs w:val="28"/>
            </w:rPr>
            <w:tab/>
          </w:r>
          <w:r>
            <w:rPr>
              <w:sz w:val="28"/>
              <w:szCs w:val="28"/>
            </w:rPr>
            <w:fldChar w:fldCharType="begin"/>
          </w:r>
          <w:r>
            <w:rPr>
              <w:sz w:val="28"/>
              <w:szCs w:val="28"/>
            </w:rPr>
            <w:instrText xml:space="preserve"> PAGEREF _Toc13633 \h </w:instrText>
          </w:r>
          <w:r>
            <w:rPr>
              <w:sz w:val="28"/>
              <w:szCs w:val="28"/>
            </w:rPr>
            <w:fldChar w:fldCharType="separate"/>
          </w:r>
          <w:r>
            <w:rPr>
              <w:sz w:val="28"/>
              <w:szCs w:val="28"/>
            </w:rPr>
            <w:t>123</w:t>
          </w:r>
          <w:r>
            <w:rPr>
              <w:sz w:val="28"/>
              <w:szCs w:val="28"/>
            </w:rPr>
            <w:fldChar w:fldCharType="end"/>
          </w:r>
          <w:r>
            <w:rPr>
              <w:sz w:val="28"/>
              <w:szCs w:val="28"/>
            </w:rPr>
            <w:fldChar w:fldCharType="end"/>
          </w:r>
        </w:p>
        <w:p w14:paraId="3F215AF2">
          <w:pPr>
            <w:keepNext w:val="0"/>
            <w:keepLines w:val="0"/>
            <w:pageBreakBefore w:val="0"/>
            <w:kinsoku/>
            <w:wordWrap/>
            <w:overflowPunct/>
            <w:topLinePunct w:val="0"/>
            <w:autoSpaceDE/>
            <w:autoSpaceDN/>
            <w:bidi w:val="0"/>
            <w:adjustRightInd/>
            <w:snapToGrid/>
            <w:spacing w:line="360" w:lineRule="auto"/>
            <w:textAlignment w:val="auto"/>
          </w:pPr>
          <w:r>
            <w:fldChar w:fldCharType="end"/>
          </w:r>
        </w:p>
      </w:sdtContent>
    </w:sdt>
    <w:p w14:paraId="5F00C77F">
      <w:pPr>
        <w:pStyle w:val="29"/>
        <w:spacing w:line="360" w:lineRule="auto"/>
        <w:ind w:right="-63" w:rightChars="-30" w:firstLine="643"/>
        <w:rPr>
          <w:rFonts w:asciiTheme="minorEastAsia" w:hAnsiTheme="minorEastAsia" w:eastAsiaTheme="minorEastAsia" w:cstheme="minorEastAsia"/>
          <w:bCs/>
        </w:rPr>
      </w:pPr>
    </w:p>
    <w:p w14:paraId="093EA50C">
      <w:pPr>
        <w:pStyle w:val="29"/>
        <w:spacing w:line="360" w:lineRule="auto"/>
        <w:ind w:right="-63" w:rightChars="-30" w:firstLine="643"/>
        <w:rPr>
          <w:rFonts w:asciiTheme="minorEastAsia" w:hAnsiTheme="minorEastAsia" w:eastAsiaTheme="minorEastAsia" w:cstheme="minorEastAsia"/>
          <w:bCs/>
        </w:rPr>
      </w:pPr>
    </w:p>
    <w:p w14:paraId="281ACD02">
      <w:pPr>
        <w:pStyle w:val="29"/>
        <w:spacing w:line="360" w:lineRule="auto"/>
        <w:ind w:right="-63" w:rightChars="-30" w:firstLine="643"/>
        <w:rPr>
          <w:rFonts w:asciiTheme="minorEastAsia" w:hAnsiTheme="minorEastAsia" w:eastAsiaTheme="minorEastAsia" w:cstheme="minorEastAsia"/>
          <w:bCs/>
        </w:rPr>
        <w:sectPr>
          <w:headerReference r:id="rId6" w:type="default"/>
          <w:footerReference r:id="rId7" w:type="default"/>
          <w:pgSz w:w="11907" w:h="16840"/>
          <w:pgMar w:top="1417" w:right="1417" w:bottom="1417" w:left="1417" w:header="850" w:footer="998" w:gutter="0"/>
          <w:pgBorders>
            <w:top w:val="none" w:sz="0" w:space="0"/>
            <w:left w:val="none" w:sz="0" w:space="0"/>
            <w:bottom w:val="none" w:sz="0" w:space="0"/>
            <w:right w:val="none" w:sz="0" w:space="0"/>
          </w:pgBorders>
          <w:pgNumType w:fmt="decimal" w:start="1"/>
          <w:cols w:space="720" w:num="1"/>
          <w:docGrid w:type="lines" w:linePitch="380" w:charSpace="0"/>
        </w:sectPr>
      </w:pPr>
    </w:p>
    <w:p w14:paraId="634E6527">
      <w:pPr>
        <w:tabs>
          <w:tab w:val="left" w:pos="525"/>
        </w:tabs>
        <w:spacing w:line="360" w:lineRule="auto"/>
        <w:jc w:val="center"/>
        <w:rPr>
          <w:rFonts w:hint="eastAsia" w:asciiTheme="minorEastAsia" w:hAnsiTheme="minorEastAsia" w:eastAsiaTheme="minorEastAsia" w:cstheme="minorEastAsia"/>
          <w:b/>
          <w:bCs/>
          <w:sz w:val="30"/>
          <w:szCs w:val="30"/>
        </w:rPr>
      </w:pPr>
      <w:bookmarkStart w:id="1" w:name="_Toc161588325"/>
      <w:bookmarkStart w:id="2" w:name="_Toc161584003"/>
      <w:r>
        <w:rPr>
          <w:rFonts w:hint="eastAsia" w:asciiTheme="minorEastAsia" w:hAnsiTheme="minorEastAsia" w:eastAsiaTheme="minorEastAsia" w:cstheme="minorEastAsia"/>
          <w:b/>
          <w:bCs/>
          <w:sz w:val="30"/>
          <w:szCs w:val="30"/>
        </w:rPr>
        <w:t>重要事项提示</w:t>
      </w:r>
      <w:bookmarkEnd w:id="1"/>
      <w:bookmarkEnd w:id="2"/>
    </w:p>
    <w:p w14:paraId="5235F7EC">
      <w:pPr>
        <w:spacing w:line="360" w:lineRule="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各潜在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rPr>
        <w:t>：</w:t>
      </w:r>
    </w:p>
    <w:p w14:paraId="19E60C29">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以下环节是此采购文件中需要重点关注的环节，对以下内容的忽视，可能是影响贵公司中标的重要因素。请在编制相应文件参与政府采购时高度重视。</w:t>
      </w:r>
    </w:p>
    <w:p w14:paraId="1948D548">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1、采购文件应通过焦作市公共资源交易中心网站会员系统进行网上下载；未使用</w:t>
      </w:r>
      <w:r>
        <w:rPr>
          <w:rFonts w:hint="eastAsia" w:asciiTheme="minorEastAsia" w:hAnsiTheme="minorEastAsia" w:eastAsiaTheme="minorEastAsia" w:cstheme="minorEastAsia"/>
          <w:bCs/>
          <w:kern w:val="0"/>
          <w:sz w:val="24"/>
        </w:rPr>
        <w:t>企业CA密匙</w:t>
      </w:r>
      <w:r>
        <w:rPr>
          <w:rFonts w:hint="eastAsia" w:asciiTheme="minorEastAsia" w:hAnsiTheme="minorEastAsia" w:eastAsiaTheme="minorEastAsia" w:cstheme="minorEastAsia"/>
          <w:sz w:val="24"/>
        </w:rPr>
        <w:t>登录焦作市公共资源交易中心网站会员系统进行网上下载文件的，投标视为无效；</w:t>
      </w:r>
    </w:p>
    <w:p w14:paraId="33972C6B">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2、本项目采用“远程不见面”的开标方式，潜在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rPr>
        <w:t>可提前在焦作市交易中心官网首页---下载中心--下载《焦作市电子招投标系统操作手册》和《焦作市公共资源交易平台不见面开标操作手册》、《投标文件制作工作工具》等，查看操作说明，按要求进行投标文件制作和上传等。为避免网络拥堵等不可控因素影响投标文件的上传，请提前上传投标文件，按要求解密投标文件。因文件未及时上传导致投标失败的责任由</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rPr>
        <w:t>自行承担，具体要求详见招标文件。平台统一技术服务电话：400-998-0000，服务QQ：4008503300，服务时间：周一至周日8：00-17：30。</w:t>
      </w:r>
    </w:p>
    <w:p w14:paraId="0DB5469B">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rPr>
        <w:t>无需到现场参加开标会议，无需到达现场提交原件资料。</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rPr>
        <w:t>应当准时参加开标活动并进行文件解密、答疑澄清等。加密电子投标文件须在焦作市公共资源交易中心电子交易平台中加密上传，上传时必须得到电脑“上传成功”的确认回复后方为上传成功。在规定时间内投标文件未解</w:t>
      </w:r>
      <w:r>
        <w:rPr>
          <w:rFonts w:hint="eastAsia" w:asciiTheme="minorEastAsia" w:hAnsiTheme="minorEastAsia" w:eastAsiaTheme="minorEastAsia" w:cstheme="minorEastAsia"/>
          <w:highlight w:val="none"/>
        </w:rPr>
        <w:t>密的</w:t>
      </w:r>
      <w:r>
        <w:rPr>
          <w:rFonts w:hint="eastAsia" w:asciiTheme="minorEastAsia" w:hAnsiTheme="minorEastAsia" w:eastAsiaTheme="minorEastAsia" w:cstheme="minorEastAsia"/>
          <w:sz w:val="24"/>
          <w:szCs w:val="24"/>
          <w:highlight w:val="none"/>
          <w:lang w:eastAsia="zh-CN"/>
        </w:rPr>
        <w:t>供应商</w:t>
      </w:r>
      <w:r>
        <w:rPr>
          <w:rFonts w:hint="eastAsia" w:asciiTheme="minorEastAsia" w:hAnsiTheme="minorEastAsia" w:eastAsiaTheme="minorEastAsia" w:cstheme="minorEastAsia"/>
          <w:highlight w:val="none"/>
        </w:rPr>
        <w:t>，视为放弃投标。</w:t>
      </w:r>
    </w:p>
    <w:p w14:paraId="371379CC">
      <w:pPr>
        <w:pStyle w:val="28"/>
        <w:numPr>
          <w:ilvl w:val="0"/>
          <w:numId w:val="2"/>
        </w:numPr>
        <w:spacing w:before="0" w:beforeAutospacing="0" w:after="0" w:afterAutospacing="0" w:line="360" w:lineRule="auto"/>
        <w:ind w:firstLine="480" w:firstLineChars="200"/>
        <w:jc w:val="both"/>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有下列情形之一的，将作为自动放弃、无效投标或废标处理：</w:t>
      </w:r>
    </w:p>
    <w:p w14:paraId="0E91EADB">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（1）未按招标文件明示的规定签字盖章的；</w:t>
      </w:r>
    </w:p>
    <w:p w14:paraId="3D2C1256">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（2）投标文件的关键内容（采购报价、合同履行期限、品牌</w:t>
      </w:r>
      <w:r>
        <w:rPr>
          <w:rFonts w:hint="eastAsia" w:asciiTheme="minorEastAsia" w:hAnsiTheme="minorEastAsia" w:eastAsiaTheme="minorEastAsia" w:cstheme="minorEastAsia"/>
          <w:highlight w:val="none"/>
          <w:u w:val="none"/>
          <w:lang w:eastAsia="zh-CN"/>
        </w:rPr>
        <w:t>、</w:t>
      </w:r>
      <w:r>
        <w:rPr>
          <w:rFonts w:hint="eastAsia" w:asciiTheme="minorEastAsia" w:hAnsiTheme="minorEastAsia" w:eastAsiaTheme="minorEastAsia" w:cstheme="minorEastAsia"/>
          <w:highlight w:val="none"/>
        </w:rPr>
        <w:t>型号、质量标准等）未填写或填写字迹模糊、达不到采购要求的；</w:t>
      </w:r>
    </w:p>
    <w:p w14:paraId="300624CF">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（3）投标报价超出招标控制价的；</w:t>
      </w:r>
    </w:p>
    <w:p w14:paraId="1E3CEDB3">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（4）供应商递交两份或多份内容不同的投标文件，或在一份投标文件中对同一招标项目有两个或多个报价，且未声明哪一个有效的；</w:t>
      </w:r>
    </w:p>
    <w:p w14:paraId="524B9996">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（5）相关资格证明文件不合格的；</w:t>
      </w:r>
    </w:p>
    <w:p w14:paraId="7A0A854B">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（6）附有采购人不能接受的条件的；</w:t>
      </w:r>
    </w:p>
    <w:p w14:paraId="6AFE4276">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highlight w:val="none"/>
        </w:rPr>
        <w:t>7）评标过程中，如因两个或两个以上</w:t>
      </w:r>
      <w:r>
        <w:rPr>
          <w:rFonts w:hint="eastAsia" w:asciiTheme="minorEastAsia" w:hAnsiTheme="minorEastAsia" w:eastAsiaTheme="minorEastAsia" w:cstheme="minorEastAsia"/>
          <w:sz w:val="24"/>
          <w:szCs w:val="24"/>
          <w:highlight w:val="none"/>
          <w:lang w:eastAsia="zh-CN"/>
        </w:rPr>
        <w:t>供应商</w:t>
      </w:r>
      <w:r>
        <w:rPr>
          <w:rFonts w:hint="eastAsia" w:asciiTheme="minorEastAsia" w:hAnsiTheme="minorEastAsia" w:eastAsiaTheme="minorEastAsia" w:cstheme="minorEastAsia"/>
          <w:highlight w:val="none"/>
        </w:rPr>
        <w:t>在同一台计算或同一个IP上传响应文件，而被不见面开标系统提示为“投标文件制作机器码一致”的，则视其投标无效。</w:t>
      </w:r>
    </w:p>
    <w:p w14:paraId="661496E9">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8</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在评标过程中，评标委员会发现投标单位的报价明显低于其它采购报价，使得其采购报价可能低于其个别成本的，应当要求该供应商作出书面说明并提供相关证明材料。供应商不能合理说明或者不能提供相关证明材料的，由评标委员会认定该供应商以低于成本报价竞标的。</w:t>
      </w:r>
    </w:p>
    <w:p w14:paraId="7C47B6C2">
      <w:pPr>
        <w:pStyle w:val="28"/>
        <w:spacing w:before="0" w:beforeAutospacing="0" w:after="0" w:afterAutospacing="0" w:line="360" w:lineRule="auto"/>
        <w:ind w:firstLine="480" w:firstLineChars="200"/>
        <w:jc w:val="both"/>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9</w:t>
      </w:r>
      <w:r>
        <w:rPr>
          <w:rFonts w:hint="eastAsia" w:asciiTheme="minorEastAsia" w:hAnsiTheme="minorEastAsia" w:eastAsiaTheme="minorEastAsia" w:cstheme="minorEastAsia"/>
          <w:highlight w:val="none"/>
        </w:rPr>
        <w:t>）投标文件有明显不符合招标文件其它要求和有关法律法规的。</w:t>
      </w:r>
    </w:p>
    <w:p w14:paraId="12FE2A26">
      <w:pPr>
        <w:pStyle w:val="28"/>
        <w:spacing w:before="0" w:after="0"/>
        <w:ind w:firstLine="420" w:firstLineChars="200"/>
        <w:jc w:val="both"/>
        <w:rPr>
          <w:rFonts w:hint="eastAsia" w:asciiTheme="minorEastAsia" w:hAnsiTheme="minorEastAsia" w:eastAsiaTheme="minorEastAsia" w:cstheme="minorEastAsia"/>
          <w:sz w:val="21"/>
          <w:szCs w:val="21"/>
          <w:highlight w:val="none"/>
        </w:rPr>
      </w:pPr>
    </w:p>
    <w:p w14:paraId="5CA49693">
      <w:pPr>
        <w:ind w:firstLine="640"/>
        <w:rPr>
          <w:rFonts w:ascii="宋体" w:hAnsi="宋体" w:cs="宋体"/>
          <w:sz w:val="32"/>
          <w:szCs w:val="32"/>
          <w:highlight w:val="none"/>
        </w:rPr>
      </w:pPr>
    </w:p>
    <w:p w14:paraId="6C4D4B19">
      <w:pPr>
        <w:pStyle w:val="8"/>
        <w:ind w:firstLine="640"/>
        <w:rPr>
          <w:rFonts w:ascii="宋体" w:hAnsi="宋体" w:cs="宋体"/>
          <w:sz w:val="32"/>
          <w:szCs w:val="32"/>
          <w:highlight w:val="none"/>
        </w:rPr>
      </w:pPr>
    </w:p>
    <w:p w14:paraId="2023A571">
      <w:pPr>
        <w:ind w:firstLine="640"/>
        <w:rPr>
          <w:rFonts w:ascii="宋体" w:hAnsi="宋体" w:cs="宋体"/>
          <w:sz w:val="32"/>
          <w:szCs w:val="32"/>
        </w:rPr>
      </w:pPr>
    </w:p>
    <w:p w14:paraId="320536A3">
      <w:pPr>
        <w:pStyle w:val="8"/>
        <w:ind w:firstLine="640"/>
        <w:rPr>
          <w:rFonts w:ascii="宋体" w:hAnsi="宋体" w:cs="宋体"/>
          <w:sz w:val="32"/>
          <w:szCs w:val="32"/>
        </w:rPr>
      </w:pPr>
    </w:p>
    <w:p w14:paraId="7D995FE6">
      <w:pPr>
        <w:ind w:firstLine="640"/>
        <w:rPr>
          <w:rFonts w:ascii="宋体" w:hAnsi="宋体" w:cs="宋体"/>
          <w:sz w:val="32"/>
          <w:szCs w:val="32"/>
        </w:rPr>
      </w:pPr>
    </w:p>
    <w:p w14:paraId="69760B4F">
      <w:pPr>
        <w:pStyle w:val="8"/>
      </w:pPr>
    </w:p>
    <w:p w14:paraId="5F8CA0C0">
      <w:pPr>
        <w:pStyle w:val="29"/>
        <w:numPr>
          <w:ilvl w:val="0"/>
          <w:numId w:val="3"/>
        </w:numPr>
        <w:spacing w:line="360" w:lineRule="auto"/>
        <w:ind w:right="-63" w:rightChars="-30" w:firstLine="643"/>
        <w:jc w:val="left"/>
        <w:rPr>
          <w:rFonts w:ascii="宋体" w:hAnsi="宋体" w:eastAsia="宋体" w:cs="宋体"/>
          <w:bCs/>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720" w:num="1"/>
          <w:docGrid w:type="lines" w:linePitch="380" w:charSpace="0"/>
        </w:sectPr>
      </w:pPr>
      <w:bookmarkStart w:id="3" w:name="_Toc161588326"/>
    </w:p>
    <w:p w14:paraId="1967262C">
      <w:pPr>
        <w:pStyle w:val="4"/>
        <w:pageBreakBefore w:val="0"/>
        <w:kinsoku/>
        <w:overflowPunct/>
        <w:topLinePunct w:val="0"/>
        <w:bidi w:val="0"/>
        <w:snapToGrid/>
        <w:spacing w:line="360" w:lineRule="auto"/>
        <w:textAlignment w:val="auto"/>
        <w:rPr>
          <w:sz w:val="36"/>
          <w:szCs w:val="36"/>
        </w:rPr>
      </w:pPr>
      <w:bookmarkStart w:id="4" w:name="_Toc10839"/>
      <w:bookmarkStart w:id="5" w:name="_Toc26116"/>
      <w:bookmarkStart w:id="6" w:name="_Toc30631"/>
      <w:r>
        <w:rPr>
          <w:rFonts w:hint="eastAsia"/>
          <w:sz w:val="36"/>
          <w:szCs w:val="36"/>
          <w:lang w:val="en-US" w:eastAsia="zh-CN"/>
        </w:rPr>
        <w:t xml:space="preserve">第一章 </w:t>
      </w:r>
      <w:r>
        <w:rPr>
          <w:rFonts w:hint="eastAsia"/>
          <w:sz w:val="36"/>
          <w:szCs w:val="36"/>
        </w:rPr>
        <w:t>招标公告</w:t>
      </w:r>
      <w:bookmarkEnd w:id="3"/>
      <w:bookmarkEnd w:id="4"/>
      <w:bookmarkEnd w:id="5"/>
      <w:bookmarkEnd w:id="6"/>
    </w:p>
    <w:p w14:paraId="5A2DD41E">
      <w:pPr>
        <w:widowControl/>
        <w:tabs>
          <w:tab w:val="left" w:pos="525"/>
        </w:tabs>
        <w:spacing w:before="0" w:after="0"/>
        <w:jc w:val="center"/>
        <w:rPr>
          <w:rFonts w:hint="eastAsia" w:asciiTheme="minorEastAsia" w:hAnsiTheme="minorEastAsia" w:eastAsiaTheme="minorEastAsia" w:cstheme="minorEastAsia"/>
          <w:b/>
          <w:bCs/>
          <w:sz w:val="30"/>
          <w:szCs w:val="30"/>
          <w:lang w:eastAsia="zh-CN"/>
        </w:rPr>
      </w:pPr>
      <w:bookmarkStart w:id="7" w:name="_Toc161588327"/>
      <w:bookmarkStart w:id="8" w:name="_Toc161584005"/>
      <w:bookmarkStart w:id="9" w:name="_Hlk162602586"/>
      <w:r>
        <w:rPr>
          <w:rFonts w:hint="eastAsia" w:asciiTheme="minorEastAsia" w:hAnsiTheme="minorEastAsia" w:eastAsiaTheme="minorEastAsia" w:cstheme="minorEastAsia"/>
          <w:b/>
          <w:bCs/>
          <w:sz w:val="30"/>
          <w:szCs w:val="30"/>
          <w:lang w:eastAsia="zh-CN"/>
        </w:rPr>
        <w:t>博爱县城市生命线系统暨运行管理服务平台项目（一期）</w:t>
      </w:r>
    </w:p>
    <w:p w14:paraId="677440BC">
      <w:pPr>
        <w:widowControl/>
        <w:tabs>
          <w:tab w:val="left" w:pos="525"/>
        </w:tabs>
        <w:spacing w:before="0" w:after="0"/>
        <w:jc w:val="center"/>
        <w:rPr>
          <w:rFonts w:hint="eastAsia" w:asciiTheme="minorEastAsia" w:hAnsiTheme="minorEastAsia" w:eastAsiaTheme="minorEastAsia" w:cstheme="minorEastAsia"/>
          <w:b/>
          <w:bCs/>
          <w:sz w:val="28"/>
          <w:szCs w:val="30"/>
        </w:rPr>
      </w:pPr>
      <w:r>
        <w:rPr>
          <w:rFonts w:hint="eastAsia" w:asciiTheme="minorEastAsia" w:hAnsiTheme="minorEastAsia" w:eastAsiaTheme="minorEastAsia" w:cstheme="minorEastAsia"/>
          <w:b/>
          <w:bCs/>
          <w:sz w:val="28"/>
          <w:szCs w:val="30"/>
        </w:rPr>
        <w:t>招标公告（不见面开标）</w:t>
      </w:r>
      <w:bookmarkEnd w:id="7"/>
      <w:bookmarkEnd w:id="8"/>
    </w:p>
    <w:tbl>
      <w:tblPr>
        <w:tblStyle w:val="33"/>
        <w:tblW w:w="8980" w:type="dxa"/>
        <w:jc w:val="center"/>
        <w:tblLayout w:type="autofit"/>
        <w:tblCellMar>
          <w:top w:w="15" w:type="dxa"/>
          <w:left w:w="15" w:type="dxa"/>
          <w:bottom w:w="15" w:type="dxa"/>
          <w:right w:w="15" w:type="dxa"/>
        </w:tblCellMar>
      </w:tblPr>
      <w:tblGrid>
        <w:gridCol w:w="8980"/>
      </w:tblGrid>
      <w:tr w14:paraId="08C8C526">
        <w:tblPrEx>
          <w:tblCellMar>
            <w:top w:w="15" w:type="dxa"/>
            <w:left w:w="15" w:type="dxa"/>
            <w:bottom w:w="15" w:type="dxa"/>
            <w:right w:w="15" w:type="dxa"/>
          </w:tblCellMar>
        </w:tblPrEx>
        <w:trPr>
          <w:trHeight w:val="1761" w:hRule="atLeast"/>
          <w:jc w:val="center"/>
        </w:trPr>
        <w:tc>
          <w:tcPr>
            <w:tcW w:w="898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4F46A4EB">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项目概况：</w:t>
            </w:r>
            <w:r>
              <w:rPr>
                <w:rFonts w:hint="eastAsia" w:asciiTheme="minorEastAsia" w:hAnsiTheme="minorEastAsia" w:eastAsiaTheme="minorEastAsia" w:cstheme="minorEastAsia"/>
                <w:sz w:val="24"/>
                <w:szCs w:val="24"/>
                <w:lang w:eastAsia="zh-CN"/>
              </w:rPr>
              <w:t>博爱县城市生命线系统暨运行管理服务平台项目（一期）</w:t>
            </w:r>
            <w:r>
              <w:rPr>
                <w:rFonts w:hint="eastAsia" w:asciiTheme="minorEastAsia" w:hAnsiTheme="minorEastAsia" w:eastAsiaTheme="minorEastAsia" w:cstheme="minorEastAsia"/>
                <w:sz w:val="24"/>
                <w:szCs w:val="24"/>
              </w:rPr>
              <w:t>的潜在</w:t>
            </w:r>
            <w:r>
              <w:rPr>
                <w:rFonts w:hint="eastAsia" w:asciiTheme="minorEastAsia" w:hAnsiTheme="minorEastAsia" w:eastAsiaTheme="minorEastAsia" w:cstheme="minorEastAsia"/>
                <w:sz w:val="24"/>
                <w:szCs w:val="24"/>
                <w:lang w:val="en-US" w:eastAsia="zh-CN"/>
              </w:rPr>
              <w:t>投标人</w:t>
            </w:r>
            <w:r>
              <w:rPr>
                <w:rFonts w:hint="eastAsia" w:asciiTheme="minorEastAsia" w:hAnsiTheme="minorEastAsia" w:eastAsiaTheme="minorEastAsia" w:cstheme="minorEastAsia"/>
                <w:sz w:val="24"/>
                <w:szCs w:val="24"/>
              </w:rPr>
              <w:t>应在焦作市公共资源交易中心</w:t>
            </w:r>
            <w:r>
              <w:rPr>
                <w:rFonts w:hint="eastAsia" w:asciiTheme="minorEastAsia" w:hAnsiTheme="minorEastAsia" w:eastAsiaTheme="minorEastAsia" w:cstheme="minorEastAsia"/>
                <w:sz w:val="24"/>
                <w:szCs w:val="24"/>
                <w:highlight w:val="none"/>
              </w:rPr>
              <w:t>网站获取招标文件，并于</w:t>
            </w:r>
            <w:r>
              <w:rPr>
                <w:rFonts w:hint="eastAsia" w:asciiTheme="minorEastAsia" w:hAnsiTheme="minorEastAsia" w:eastAsiaTheme="minorEastAsia" w:cstheme="minorEastAsia"/>
                <w:sz w:val="24"/>
                <w:highlight w:val="none"/>
                <w:u w:val="none"/>
              </w:rPr>
              <w:t>202</w:t>
            </w:r>
            <w:r>
              <w:rPr>
                <w:rFonts w:hint="eastAsia" w:asciiTheme="minorEastAsia" w:hAnsiTheme="minorEastAsia" w:eastAsiaTheme="minorEastAsia" w:cstheme="minorEastAsia"/>
                <w:sz w:val="24"/>
                <w:highlight w:val="none"/>
                <w:u w:val="none"/>
                <w:lang w:val="en-US" w:eastAsia="zh-CN"/>
              </w:rPr>
              <w:t>6</w:t>
            </w:r>
            <w:r>
              <w:rPr>
                <w:rFonts w:hint="eastAsia" w:asciiTheme="minorEastAsia" w:hAnsiTheme="minorEastAsia" w:eastAsiaTheme="minorEastAsia" w:cstheme="minorEastAsia"/>
                <w:sz w:val="24"/>
                <w:highlight w:val="none"/>
                <w:u w:val="none"/>
              </w:rPr>
              <w:t>年</w:t>
            </w:r>
            <w:r>
              <w:rPr>
                <w:rFonts w:hint="eastAsia" w:asciiTheme="minorEastAsia" w:hAnsiTheme="minorEastAsia" w:eastAsiaTheme="minorEastAsia" w:cstheme="minorEastAsia"/>
                <w:sz w:val="24"/>
                <w:highlight w:val="none"/>
                <w:u w:val="none"/>
                <w:lang w:val="en-US" w:eastAsia="zh-CN"/>
              </w:rPr>
              <w:t>1</w:t>
            </w:r>
            <w:r>
              <w:rPr>
                <w:rFonts w:hint="eastAsia" w:asciiTheme="minorEastAsia" w:hAnsiTheme="minorEastAsia" w:eastAsiaTheme="minorEastAsia" w:cstheme="minorEastAsia"/>
                <w:sz w:val="24"/>
                <w:highlight w:val="none"/>
                <w:u w:val="none"/>
              </w:rPr>
              <w:t>月</w:t>
            </w:r>
            <w:r>
              <w:rPr>
                <w:rFonts w:hint="eastAsia" w:asciiTheme="minorEastAsia" w:hAnsiTheme="minorEastAsia" w:eastAsiaTheme="minorEastAsia" w:cstheme="minorEastAsia"/>
                <w:sz w:val="24"/>
                <w:highlight w:val="none"/>
                <w:u w:val="none"/>
                <w:lang w:val="en-US" w:eastAsia="zh-CN"/>
              </w:rPr>
              <w:t>27</w:t>
            </w:r>
            <w:r>
              <w:rPr>
                <w:rFonts w:hint="eastAsia" w:asciiTheme="minorEastAsia" w:hAnsiTheme="minorEastAsia" w:eastAsiaTheme="minorEastAsia" w:cstheme="minorEastAsia"/>
                <w:sz w:val="24"/>
                <w:highlight w:val="none"/>
                <w:u w:val="none"/>
              </w:rPr>
              <w:t>日上午</w:t>
            </w:r>
            <w:r>
              <w:rPr>
                <w:rFonts w:hint="eastAsia" w:asciiTheme="minorEastAsia" w:hAnsiTheme="minorEastAsia" w:eastAsiaTheme="minorEastAsia" w:cstheme="minorEastAsia"/>
                <w:sz w:val="24"/>
                <w:highlight w:val="none"/>
                <w:u w:val="none"/>
                <w:lang w:val="en-US" w:eastAsia="zh-CN"/>
              </w:rPr>
              <w:t>9时00</w:t>
            </w:r>
            <w:r>
              <w:rPr>
                <w:rFonts w:hint="eastAsia" w:asciiTheme="minorEastAsia" w:hAnsiTheme="minorEastAsia" w:eastAsiaTheme="minorEastAsia" w:cstheme="minorEastAsia"/>
                <w:sz w:val="24"/>
                <w:highlight w:val="none"/>
                <w:u w:val="none"/>
              </w:rPr>
              <w:t>分（北京时间）</w:t>
            </w:r>
            <w:r>
              <w:rPr>
                <w:rFonts w:hint="eastAsia" w:asciiTheme="minorEastAsia" w:hAnsiTheme="minorEastAsia" w:eastAsiaTheme="minorEastAsia" w:cstheme="minorEastAsia"/>
                <w:sz w:val="24"/>
                <w:szCs w:val="24"/>
                <w:highlight w:val="none"/>
              </w:rPr>
              <w:t>前提交投标文件。</w:t>
            </w:r>
          </w:p>
        </w:tc>
      </w:tr>
    </w:tbl>
    <w:p w14:paraId="190CC184">
      <w:pPr>
        <w:spacing w:before="0" w:beforeAutospacing="0" w:after="0" w:afterAutospacing="0" w:line="360" w:lineRule="auto"/>
        <w:rPr>
          <w:rFonts w:hint="eastAsia"/>
          <w:b/>
          <w:bCs/>
          <w:sz w:val="24"/>
          <w:szCs w:val="24"/>
        </w:rPr>
      </w:pPr>
      <w:r>
        <w:rPr>
          <w:rFonts w:hint="eastAsia"/>
          <w:b/>
          <w:bCs/>
          <w:sz w:val="24"/>
          <w:szCs w:val="24"/>
        </w:rPr>
        <w:t>一、项目基本情况</w:t>
      </w:r>
    </w:p>
    <w:p w14:paraId="2A175B89">
      <w:pPr>
        <w:spacing w:before="0" w:beforeAutospacing="0" w:after="0" w:afterAutospacing="0" w:line="360" w:lineRule="auto"/>
        <w:ind w:firstLine="480" w:firstLineChars="200"/>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1.项目编号：博财招标采购-2026-1</w:t>
      </w:r>
    </w:p>
    <w:p w14:paraId="5DF4F595">
      <w:pPr>
        <w:spacing w:before="0" w:beforeAutospacing="0" w:after="0" w:afterAutospacing="0" w:line="360" w:lineRule="auto"/>
        <w:ind w:firstLine="480" w:firstLineChars="2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2.项目名称：</w:t>
      </w:r>
      <w:r>
        <w:rPr>
          <w:rFonts w:hint="eastAsia" w:asciiTheme="minorEastAsia" w:hAnsiTheme="minorEastAsia" w:eastAsiaTheme="minorEastAsia" w:cstheme="minorEastAsia"/>
          <w:sz w:val="24"/>
          <w:szCs w:val="24"/>
          <w:lang w:eastAsia="zh-CN"/>
        </w:rPr>
        <w:t>博爱县城市生命线系统暨运行管理</w:t>
      </w:r>
      <w:r>
        <w:rPr>
          <w:rFonts w:hint="eastAsia" w:asciiTheme="minorEastAsia" w:hAnsiTheme="minorEastAsia" w:eastAsiaTheme="minorEastAsia" w:cstheme="minorEastAsia"/>
          <w:sz w:val="24"/>
          <w:szCs w:val="24"/>
          <w:highlight w:val="none"/>
          <w:lang w:eastAsia="zh-CN"/>
        </w:rPr>
        <w:t>服务平台项目</w:t>
      </w:r>
      <w:r>
        <w:rPr>
          <w:rFonts w:hint="eastAsia" w:asciiTheme="minorEastAsia" w:hAnsiTheme="minorEastAsia" w:eastAsiaTheme="minorEastAsia" w:cstheme="minorEastAsia"/>
          <w:sz w:val="24"/>
          <w:szCs w:val="24"/>
          <w:lang w:eastAsia="zh-CN"/>
        </w:rPr>
        <w:t>（一期）</w:t>
      </w:r>
    </w:p>
    <w:p w14:paraId="1B9A5C0B">
      <w:pPr>
        <w:spacing w:before="0" w:beforeAutospacing="0" w:after="0" w:afterAutospacing="0"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3.采购方式：公开招标</w:t>
      </w:r>
    </w:p>
    <w:p w14:paraId="79666103">
      <w:pPr>
        <w:spacing w:before="0" w:beforeAutospacing="0" w:after="0" w:afterAutospacing="0" w:line="360" w:lineRule="auto"/>
        <w:ind w:firstLine="480" w:firstLineChars="200"/>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4.预算金额：</w:t>
      </w:r>
      <w:r>
        <w:rPr>
          <w:rFonts w:hint="eastAsia" w:asciiTheme="minorEastAsia" w:hAnsiTheme="minorEastAsia" w:eastAsiaTheme="minorEastAsia" w:cstheme="minorEastAsia"/>
          <w:sz w:val="24"/>
          <w:highlight w:val="none"/>
          <w:lang w:val="en-US" w:eastAsia="zh-CN"/>
        </w:rPr>
        <w:t>4500000.00</w:t>
      </w:r>
      <w:r>
        <w:rPr>
          <w:rFonts w:hint="eastAsia" w:asciiTheme="minorEastAsia" w:hAnsiTheme="minorEastAsia" w:eastAsiaTheme="minorEastAsia" w:cstheme="minorEastAsia"/>
          <w:sz w:val="24"/>
          <w:highlight w:val="none"/>
        </w:rPr>
        <w:t>元</w:t>
      </w:r>
    </w:p>
    <w:p w14:paraId="279ABDD8">
      <w:pPr>
        <w:spacing w:before="0" w:beforeAutospacing="0" w:after="0" w:afterAutospacing="0" w:line="360" w:lineRule="auto"/>
        <w:ind w:firstLine="480" w:firstLineChars="200"/>
        <w:jc w:val="lef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最高限价：</w:t>
      </w:r>
      <w:r>
        <w:rPr>
          <w:rFonts w:hint="eastAsia" w:asciiTheme="minorEastAsia" w:hAnsiTheme="minorEastAsia" w:eastAsiaTheme="minorEastAsia" w:cstheme="minorEastAsia"/>
          <w:sz w:val="24"/>
          <w:highlight w:val="none"/>
          <w:lang w:val="en-US" w:eastAsia="zh-CN"/>
        </w:rPr>
        <w:t>4500000.00</w:t>
      </w:r>
      <w:r>
        <w:rPr>
          <w:rFonts w:hint="eastAsia" w:asciiTheme="minorEastAsia" w:hAnsiTheme="minorEastAsia" w:eastAsiaTheme="minorEastAsia" w:cstheme="minorEastAsia"/>
          <w:sz w:val="24"/>
          <w:highlight w:val="none"/>
        </w:rPr>
        <w:t>元</w:t>
      </w:r>
    </w:p>
    <w:tbl>
      <w:tblPr>
        <w:tblStyle w:val="33"/>
        <w:tblpPr w:leftFromText="180" w:rightFromText="180" w:vertAnchor="text" w:horzAnchor="page" w:tblpX="1454" w:tblpY="14"/>
        <w:tblOverlap w:val="never"/>
        <w:tblW w:w="904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1920"/>
        <w:gridCol w:w="2785"/>
        <w:gridCol w:w="1835"/>
        <w:gridCol w:w="1935"/>
      </w:tblGrid>
      <w:tr w14:paraId="66871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568" w:type="dxa"/>
            <w:vAlign w:val="center"/>
          </w:tcPr>
          <w:p w14:paraId="287CF35E">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序号</w:t>
            </w:r>
          </w:p>
        </w:tc>
        <w:tc>
          <w:tcPr>
            <w:tcW w:w="1920" w:type="dxa"/>
            <w:vAlign w:val="center"/>
          </w:tcPr>
          <w:p w14:paraId="7D36455E">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4"/>
                <w:sz w:val="24"/>
                <w:szCs w:val="24"/>
                <w:highlight w:val="none"/>
              </w:rPr>
              <w:t>包</w:t>
            </w:r>
            <w:r>
              <w:rPr>
                <w:rFonts w:hint="eastAsia" w:asciiTheme="minorEastAsia" w:hAnsiTheme="minorEastAsia" w:eastAsiaTheme="minorEastAsia" w:cstheme="minorEastAsia"/>
                <w:spacing w:val="-2"/>
                <w:sz w:val="24"/>
                <w:szCs w:val="24"/>
                <w:highlight w:val="none"/>
              </w:rPr>
              <w:t>号</w:t>
            </w:r>
          </w:p>
        </w:tc>
        <w:tc>
          <w:tcPr>
            <w:tcW w:w="2785" w:type="dxa"/>
            <w:vAlign w:val="center"/>
          </w:tcPr>
          <w:p w14:paraId="4CF26048">
            <w:pPr>
              <w:spacing w:line="360" w:lineRule="auto"/>
              <w:ind w:firstLine="488"/>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2"/>
                <w:sz w:val="24"/>
                <w:szCs w:val="24"/>
                <w:highlight w:val="none"/>
              </w:rPr>
              <w:t>包</w:t>
            </w:r>
            <w:r>
              <w:rPr>
                <w:rFonts w:hint="eastAsia" w:asciiTheme="minorEastAsia" w:hAnsiTheme="minorEastAsia" w:eastAsiaTheme="minorEastAsia" w:cstheme="minorEastAsia"/>
                <w:spacing w:val="1"/>
                <w:sz w:val="24"/>
                <w:szCs w:val="24"/>
                <w:highlight w:val="none"/>
              </w:rPr>
              <w:t>名称</w:t>
            </w:r>
          </w:p>
        </w:tc>
        <w:tc>
          <w:tcPr>
            <w:tcW w:w="1835" w:type="dxa"/>
            <w:vAlign w:val="center"/>
          </w:tcPr>
          <w:p w14:paraId="353A9C40">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4"/>
                <w:sz w:val="24"/>
                <w:szCs w:val="24"/>
                <w:highlight w:val="none"/>
              </w:rPr>
              <w:t>包预算(元)</w:t>
            </w:r>
          </w:p>
        </w:tc>
        <w:tc>
          <w:tcPr>
            <w:tcW w:w="1935" w:type="dxa"/>
            <w:vAlign w:val="center"/>
          </w:tcPr>
          <w:p w14:paraId="7246D849">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5"/>
                <w:sz w:val="24"/>
                <w:szCs w:val="24"/>
                <w:highlight w:val="none"/>
              </w:rPr>
              <w:t>包最高限</w:t>
            </w:r>
            <w:r>
              <w:rPr>
                <w:rFonts w:hint="eastAsia" w:asciiTheme="minorEastAsia" w:hAnsiTheme="minorEastAsia" w:eastAsiaTheme="minorEastAsia" w:cstheme="minorEastAsia"/>
                <w:spacing w:val="4"/>
                <w:sz w:val="24"/>
                <w:szCs w:val="24"/>
                <w:highlight w:val="none"/>
              </w:rPr>
              <w:t>价</w:t>
            </w:r>
            <w:r>
              <w:rPr>
                <w:rFonts w:hint="eastAsia" w:asciiTheme="minorEastAsia" w:hAnsiTheme="minorEastAsia" w:eastAsiaTheme="minorEastAsia" w:cstheme="minorEastAsia"/>
                <w:spacing w:val="-11"/>
                <w:sz w:val="24"/>
                <w:szCs w:val="24"/>
                <w:highlight w:val="none"/>
              </w:rPr>
              <w:t>(</w:t>
            </w:r>
            <w:r>
              <w:rPr>
                <w:rFonts w:hint="eastAsia" w:asciiTheme="minorEastAsia" w:hAnsiTheme="minorEastAsia" w:eastAsiaTheme="minorEastAsia" w:cstheme="minorEastAsia"/>
                <w:spacing w:val="-10"/>
                <w:sz w:val="24"/>
                <w:szCs w:val="24"/>
                <w:highlight w:val="none"/>
              </w:rPr>
              <w:t>元)</w:t>
            </w:r>
          </w:p>
        </w:tc>
      </w:tr>
      <w:tr w14:paraId="62782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68" w:type="dxa"/>
            <w:vAlign w:val="center"/>
          </w:tcPr>
          <w:p w14:paraId="3BBAB4E0">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920" w:type="dxa"/>
            <w:vAlign w:val="center"/>
          </w:tcPr>
          <w:p w14:paraId="5E8D4FC9">
            <w:pPr>
              <w:spacing w:line="360" w:lineRule="auto"/>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highlight w:val="none"/>
              </w:rPr>
              <w:t>博政采购（2025）142号</w:t>
            </w:r>
          </w:p>
        </w:tc>
        <w:tc>
          <w:tcPr>
            <w:tcW w:w="2785" w:type="dxa"/>
            <w:vAlign w:val="center"/>
          </w:tcPr>
          <w:p w14:paraId="444F1F7B">
            <w:pPr>
              <w:spacing w:line="36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highlight w:val="none"/>
                <w:lang w:eastAsia="zh-CN"/>
              </w:rPr>
              <w:t>博爱县城市生命线系统暨运行管理服务平台项目（一期）</w:t>
            </w:r>
          </w:p>
        </w:tc>
        <w:tc>
          <w:tcPr>
            <w:tcW w:w="1835" w:type="dxa"/>
            <w:vAlign w:val="center"/>
          </w:tcPr>
          <w:p w14:paraId="1BA3AE81">
            <w:pPr>
              <w:spacing w:line="360" w:lineRule="auto"/>
              <w:jc w:val="center"/>
              <w:rPr>
                <w:rFonts w:hint="eastAsia" w:asciiTheme="minorEastAsia" w:hAnsiTheme="minorEastAsia" w:eastAsiaTheme="minorEastAsia" w:cstheme="minorEastAsia"/>
                <w:spacing w:val="4"/>
                <w:sz w:val="24"/>
                <w:highlight w:val="none"/>
              </w:rPr>
            </w:pPr>
            <w:r>
              <w:rPr>
                <w:rFonts w:hint="eastAsia" w:asciiTheme="minorEastAsia" w:hAnsiTheme="minorEastAsia" w:eastAsiaTheme="minorEastAsia" w:cstheme="minorEastAsia"/>
                <w:spacing w:val="4"/>
                <w:sz w:val="24"/>
                <w:highlight w:val="none"/>
                <w:lang w:val="en-US" w:eastAsia="zh-CN"/>
              </w:rPr>
              <w:t>4500000.00</w:t>
            </w:r>
          </w:p>
        </w:tc>
        <w:tc>
          <w:tcPr>
            <w:tcW w:w="1935" w:type="dxa"/>
            <w:vAlign w:val="center"/>
          </w:tcPr>
          <w:p w14:paraId="70F54BDB">
            <w:pPr>
              <w:spacing w:line="360" w:lineRule="auto"/>
              <w:jc w:val="center"/>
              <w:rPr>
                <w:rFonts w:hint="eastAsia" w:asciiTheme="minorEastAsia" w:hAnsiTheme="minorEastAsia" w:eastAsiaTheme="minorEastAsia" w:cstheme="minorEastAsia"/>
                <w:spacing w:val="4"/>
                <w:sz w:val="24"/>
                <w:highlight w:val="none"/>
              </w:rPr>
            </w:pPr>
            <w:r>
              <w:rPr>
                <w:rFonts w:hint="eastAsia" w:asciiTheme="minorEastAsia" w:hAnsiTheme="minorEastAsia" w:eastAsiaTheme="minorEastAsia" w:cstheme="minorEastAsia"/>
                <w:spacing w:val="4"/>
                <w:sz w:val="24"/>
                <w:highlight w:val="none"/>
                <w:lang w:val="en-US" w:eastAsia="zh-CN"/>
              </w:rPr>
              <w:t>4500000.00</w:t>
            </w:r>
          </w:p>
        </w:tc>
      </w:tr>
    </w:tbl>
    <w:p w14:paraId="5F850D7C">
      <w:pPr>
        <w:spacing w:before="0" w:beforeAutospacing="0" w:after="0" w:afterAutospacing="0" w:line="360" w:lineRule="auto"/>
        <w:ind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kern w:val="2"/>
          <w:sz w:val="24"/>
          <w:szCs w:val="24"/>
          <w:lang w:val="en-US" w:eastAsia="zh-CN" w:bidi="ar-SA"/>
        </w:rPr>
        <w:t>5.</w:t>
      </w:r>
      <w:r>
        <w:rPr>
          <w:rFonts w:hint="eastAsia" w:asciiTheme="minorEastAsia" w:hAnsiTheme="minorEastAsia" w:eastAsiaTheme="minorEastAsia" w:cstheme="minorEastAsia"/>
          <w:sz w:val="24"/>
        </w:rPr>
        <w:t>采购需求：（包括但不限于标的的名称、数量、简要技术需求或服务要求等）。</w:t>
      </w:r>
    </w:p>
    <w:p w14:paraId="6083BF57">
      <w:pPr>
        <w:spacing w:before="0" w:beforeAutospacing="0" w:after="0" w:afterAutospacing="0" w:line="360" w:lineRule="auto"/>
        <w:ind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highlight w:val="none"/>
          <w:lang w:val="en-US" w:eastAsia="zh-CN"/>
        </w:rPr>
        <w:t>5.1 采购内容：</w:t>
      </w:r>
      <w:r>
        <w:rPr>
          <w:rFonts w:hint="eastAsia" w:asciiTheme="minorEastAsia" w:hAnsiTheme="minorEastAsia" w:eastAsiaTheme="minorEastAsia" w:cstheme="minorEastAsia"/>
          <w:color w:val="auto"/>
          <w:sz w:val="24"/>
          <w:szCs w:val="24"/>
          <w:highlight w:val="none"/>
          <w:lang w:val="en-US" w:eastAsia="zh-CN"/>
        </w:rPr>
        <w:t>对博爱县城市生命线系统暨运行管理服务平台项目（一期）进行建设，并负责三年维护运行等服务。（详见招标文件第五章“采购内容及技术要求”）</w:t>
      </w:r>
    </w:p>
    <w:p w14:paraId="32EE02F3">
      <w:pPr>
        <w:keepNext w:val="0"/>
        <w:keepLines w:val="0"/>
        <w:pageBreakBefore w:val="0"/>
        <w:wordWrap/>
        <w:topLinePunct w:val="0"/>
        <w:bidi w:val="0"/>
        <w:adjustRightInd w:val="0"/>
        <w:snapToGrid/>
        <w:spacing w:line="360" w:lineRule="auto"/>
        <w:ind w:left="0" w:leftChars="0" w:right="0" w:firstLine="480" w:firstLineChars="200"/>
        <w:jc w:val="left"/>
        <w:rPr>
          <w:rFonts w:hint="eastAsia" w:asciiTheme="minorEastAsia" w:hAnsiTheme="minorEastAsia" w:eastAsiaTheme="minorEastAsia" w:cstheme="minorEastAsia"/>
          <w:snapToGrid/>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lang w:val="en-US" w:eastAsia="zh-CN"/>
        </w:rPr>
        <w:t xml:space="preserve">5.2 </w:t>
      </w:r>
      <w:r>
        <w:rPr>
          <w:rFonts w:hint="eastAsia" w:asciiTheme="minorEastAsia" w:hAnsiTheme="minorEastAsia" w:eastAsiaTheme="minorEastAsia" w:cstheme="minorEastAsia"/>
          <w:snapToGrid/>
          <w:color w:val="auto"/>
          <w:kern w:val="2"/>
          <w:sz w:val="24"/>
          <w:szCs w:val="24"/>
          <w:highlight w:val="none"/>
          <w:lang w:val="en-US" w:eastAsia="zh-CN" w:bidi="ar-SA"/>
        </w:rPr>
        <w:t>质量标准：</w:t>
      </w:r>
      <w:r>
        <w:rPr>
          <w:rFonts w:hint="eastAsia" w:asciiTheme="minorEastAsia" w:hAnsiTheme="minorEastAsia" w:eastAsiaTheme="minorEastAsia" w:cstheme="minorEastAsia"/>
          <w:color w:val="auto"/>
          <w:sz w:val="24"/>
          <w:highlight w:val="none"/>
        </w:rPr>
        <w:t>符合国家质量标准，达到合格及以上等次，且通过上级验收。</w:t>
      </w:r>
    </w:p>
    <w:p w14:paraId="3E83139C">
      <w:pPr>
        <w:keepNext w:val="0"/>
        <w:keepLines w:val="0"/>
        <w:pageBreakBefore w:val="0"/>
        <w:wordWrap/>
        <w:topLinePunct w:val="0"/>
        <w:bidi w:val="0"/>
        <w:adjustRightInd w:val="0"/>
        <w:snapToGrid/>
        <w:spacing w:line="360" w:lineRule="auto"/>
        <w:ind w:left="0" w:leftChars="0" w:right="0" w:firstLine="480" w:firstLineChars="200"/>
        <w:jc w:val="left"/>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kern w:val="2"/>
          <w:sz w:val="24"/>
          <w:szCs w:val="24"/>
          <w:highlight w:val="none"/>
          <w:lang w:val="en-US" w:eastAsia="zh-CN" w:bidi="ar-SA"/>
        </w:rPr>
        <w:t>5.3 供货安装期：自合同签订之日起3个月内完成整个项目建设工作。</w:t>
      </w:r>
    </w:p>
    <w:p w14:paraId="1D87C3B9">
      <w:pPr>
        <w:spacing w:before="0" w:beforeAutospacing="0" w:after="0" w:afterAutospacing="0" w:line="360" w:lineRule="auto"/>
        <w:ind w:left="0" w:leftChars="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 xml:space="preserve">5.4 </w:t>
      </w:r>
      <w:r>
        <w:rPr>
          <w:rFonts w:hint="eastAsia" w:asciiTheme="minorEastAsia" w:hAnsiTheme="minorEastAsia" w:eastAsiaTheme="minorEastAsia" w:cstheme="minorEastAsia"/>
          <w:snapToGrid/>
          <w:color w:val="auto"/>
          <w:kern w:val="2"/>
          <w:sz w:val="24"/>
          <w:szCs w:val="24"/>
          <w:highlight w:val="none"/>
          <w:lang w:val="en-US" w:eastAsia="zh-CN" w:bidi="ar-SA"/>
        </w:rPr>
        <w:t>服务地点：采购人指定地点。</w:t>
      </w:r>
    </w:p>
    <w:p w14:paraId="520E48FF">
      <w:pPr>
        <w:spacing w:before="0" w:beforeAutospacing="0" w:after="0" w:afterAutospacing="0" w:line="360" w:lineRule="auto"/>
        <w:ind w:left="0" w:leftChars="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kern w:val="2"/>
          <w:sz w:val="24"/>
          <w:szCs w:val="24"/>
          <w:lang w:val="en-US" w:eastAsia="zh-CN" w:bidi="ar-SA"/>
        </w:rPr>
        <w:t>6.</w:t>
      </w:r>
      <w:r>
        <w:rPr>
          <w:rFonts w:hint="eastAsia" w:asciiTheme="minorEastAsia" w:hAnsiTheme="minorEastAsia" w:eastAsiaTheme="minorEastAsia" w:cstheme="minorEastAsia"/>
          <w:sz w:val="24"/>
        </w:rPr>
        <w:t>合同履行期限：项目经上级验收合格后进入运维期，运维期3年。</w:t>
      </w:r>
    </w:p>
    <w:p w14:paraId="62429003">
      <w:pPr>
        <w:spacing w:before="0" w:beforeAutospacing="0" w:after="0" w:afterAutospacing="0" w:line="360" w:lineRule="auto"/>
        <w:ind w:left="0" w:leftChars="0" w:firstLineChars="200"/>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7.本项目是否接受联合体投标：否</w:t>
      </w:r>
      <w:r>
        <w:rPr>
          <w:rFonts w:hint="eastAsia" w:asciiTheme="minorEastAsia" w:hAnsiTheme="minorEastAsia" w:eastAsiaTheme="minorEastAsia" w:cstheme="minorEastAsia"/>
          <w:sz w:val="24"/>
          <w:lang w:eastAsia="zh-CN"/>
        </w:rPr>
        <w:t>。</w:t>
      </w:r>
    </w:p>
    <w:p w14:paraId="651F05FC">
      <w:pPr>
        <w:spacing w:before="0" w:beforeAutospacing="0" w:after="0" w:afterAutospacing="0" w:line="360" w:lineRule="auto"/>
        <w:ind w:firstLineChars="200"/>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rPr>
        <w:t>8.是否接受进口产品：否</w:t>
      </w:r>
      <w:r>
        <w:rPr>
          <w:rFonts w:hint="eastAsia" w:asciiTheme="minorEastAsia" w:hAnsiTheme="minorEastAsia" w:eastAsiaTheme="minorEastAsia" w:cstheme="minorEastAsia"/>
          <w:sz w:val="24"/>
          <w:lang w:eastAsia="zh-CN"/>
        </w:rPr>
        <w:t>。</w:t>
      </w:r>
    </w:p>
    <w:p w14:paraId="2E67ACA8">
      <w:pPr>
        <w:spacing w:before="0" w:beforeAutospacing="0" w:after="0" w:afterAutospacing="0" w:line="360" w:lineRule="auto"/>
        <w:ind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rPr>
        <w:t>9.是否专门面向中小企业：</w:t>
      </w:r>
      <w:r>
        <w:rPr>
          <w:rFonts w:hint="eastAsia" w:asciiTheme="minorEastAsia" w:hAnsiTheme="minorEastAsia" w:eastAsiaTheme="minorEastAsia" w:cstheme="minorEastAsia"/>
          <w:sz w:val="24"/>
          <w:lang w:val="en-US" w:eastAsia="zh-CN"/>
        </w:rPr>
        <w:t>否</w:t>
      </w:r>
      <w:r>
        <w:rPr>
          <w:rFonts w:hint="eastAsia" w:asciiTheme="minorEastAsia" w:hAnsiTheme="minorEastAsia" w:eastAsiaTheme="minorEastAsia" w:cstheme="minorEastAsia"/>
          <w:sz w:val="24"/>
          <w:lang w:eastAsia="zh-CN"/>
        </w:rPr>
        <w:t>。</w:t>
      </w:r>
    </w:p>
    <w:p w14:paraId="44A08345">
      <w:pPr>
        <w:spacing w:before="0" w:beforeAutospacing="0" w:after="0" w:afterAutospacing="0" w:line="360" w:lineRule="auto"/>
        <w:rPr>
          <w:rFonts w:hint="eastAsia" w:eastAsia="宋体" w:cs="Times New Roman"/>
          <w:b/>
          <w:bCs/>
          <w:sz w:val="24"/>
          <w:szCs w:val="24"/>
        </w:rPr>
      </w:pPr>
      <w:r>
        <w:rPr>
          <w:rFonts w:hint="eastAsia" w:eastAsia="宋体" w:cs="Times New Roman"/>
          <w:b/>
          <w:bCs/>
          <w:sz w:val="24"/>
          <w:szCs w:val="24"/>
        </w:rPr>
        <w:t>二、申请人资格要求：</w:t>
      </w:r>
    </w:p>
    <w:p w14:paraId="705123B7">
      <w:pPr>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1.符合《中华人民共和国政府采购法》第二十二条规定；</w:t>
      </w:r>
    </w:p>
    <w:p w14:paraId="298DB5CA">
      <w:pPr>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2.落实政府采购政策需满足的资格要求：促进中小企业和监狱企业发展扶持政策、政府强制采购节能产品、节能产品及环境标志产品优先采购。</w:t>
      </w:r>
    </w:p>
    <w:p w14:paraId="5B410FB8">
      <w:pPr>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3.本项目的特定资格要求：</w:t>
      </w:r>
    </w:p>
    <w:p w14:paraId="7E88AF40">
      <w:pPr>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3.1 供应商须具有有效的营业执照，并具有实施完成本项目的经营实力和完善的售后服务体系；</w:t>
      </w:r>
    </w:p>
    <w:p w14:paraId="7F6BE4C9">
      <w:pPr>
        <w:wordWrap w:val="0"/>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3.2 信誉要求：按照《财政部关于在政府采购活动中查询及使用信用记录有关问题的通知》（财库〔2016〕125号）的要求，根据开标当日“信用中国”网站（www.creditchina.gov.cn）、中国政府采购网（www.ccgp.gov.cn）的信息，对列入失信被执行人、重大税收违法失信主体、政府采购严重违法失信行为记录名单的供应商，拒绝参与政府采购活动，同时对信用信息查询记录和证据进行打印存档。(备注：信誉要求由采购代理机构开标当日提供查询结果。）</w:t>
      </w:r>
    </w:p>
    <w:p w14:paraId="367FC080">
      <w:pPr>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3.3 本项目不接受联合体投标；</w:t>
      </w:r>
    </w:p>
    <w:p w14:paraId="00CCF592">
      <w:pPr>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3.4 资格审查方式：资格后审。</w:t>
      </w:r>
    </w:p>
    <w:p w14:paraId="203DD316">
      <w:pPr>
        <w:spacing w:before="0" w:beforeAutospacing="0" w:after="0" w:afterAutospacing="0" w:line="360" w:lineRule="auto"/>
        <w:rPr>
          <w:rFonts w:hint="eastAsia" w:eastAsia="宋体" w:cs="Times New Roman"/>
          <w:b/>
          <w:bCs/>
          <w:sz w:val="24"/>
          <w:szCs w:val="24"/>
        </w:rPr>
      </w:pPr>
      <w:r>
        <w:rPr>
          <w:rFonts w:hint="eastAsia" w:eastAsia="宋体" w:cs="Times New Roman"/>
          <w:b/>
          <w:bCs/>
          <w:sz w:val="24"/>
          <w:szCs w:val="24"/>
        </w:rPr>
        <w:t>三、获取招标文件</w:t>
      </w:r>
    </w:p>
    <w:p w14:paraId="25CF1C87">
      <w:pPr>
        <w:shd w:val="clear" w:color="auto" w:fill="FFFFFF"/>
        <w:spacing w:before="0" w:beforeAutospacing="0" w:after="0" w:afterAutospacing="0" w:line="360" w:lineRule="auto"/>
        <w:ind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rPr>
        <w:t>1.时间</w:t>
      </w: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sz w:val="24"/>
          <w:highlight w:val="none"/>
          <w:shd w:val="clear" w:color="auto" w:fill="FFFFFF"/>
        </w:rPr>
        <w:t>202</w:t>
      </w:r>
      <w:r>
        <w:rPr>
          <w:rFonts w:hint="eastAsia" w:asciiTheme="minorEastAsia" w:hAnsiTheme="minorEastAsia" w:eastAsiaTheme="minorEastAsia" w:cstheme="minorEastAsia"/>
          <w:sz w:val="24"/>
          <w:highlight w:val="none"/>
          <w:shd w:val="clear" w:color="auto" w:fill="FFFFFF"/>
          <w:lang w:val="en-US" w:eastAsia="zh-CN"/>
        </w:rPr>
        <w:t>6</w:t>
      </w:r>
      <w:r>
        <w:rPr>
          <w:rFonts w:hint="eastAsia" w:asciiTheme="minorEastAsia" w:hAnsiTheme="minorEastAsia" w:eastAsiaTheme="minorEastAsia" w:cstheme="minorEastAsia"/>
          <w:sz w:val="24"/>
          <w:highlight w:val="none"/>
          <w:shd w:val="clear" w:color="auto" w:fill="FFFFFF"/>
        </w:rPr>
        <w:t>年</w:t>
      </w:r>
      <w:r>
        <w:rPr>
          <w:rFonts w:hint="eastAsia" w:asciiTheme="minorEastAsia" w:hAnsiTheme="minorEastAsia" w:eastAsiaTheme="minorEastAsia" w:cstheme="minorEastAsia"/>
          <w:sz w:val="24"/>
          <w:highlight w:val="none"/>
          <w:shd w:val="clear" w:color="auto" w:fill="FFFFFF"/>
          <w:lang w:val="en-US" w:eastAsia="zh-CN"/>
        </w:rPr>
        <w:t>1</w:t>
      </w:r>
      <w:r>
        <w:rPr>
          <w:rFonts w:hint="eastAsia" w:asciiTheme="minorEastAsia" w:hAnsiTheme="minorEastAsia" w:eastAsiaTheme="minorEastAsia" w:cstheme="minorEastAsia"/>
          <w:sz w:val="24"/>
          <w:highlight w:val="none"/>
          <w:shd w:val="clear" w:color="auto" w:fill="FFFFFF"/>
        </w:rPr>
        <w:t>月</w:t>
      </w:r>
      <w:r>
        <w:rPr>
          <w:rFonts w:hint="eastAsia" w:asciiTheme="minorEastAsia" w:hAnsiTheme="minorEastAsia" w:eastAsiaTheme="minorEastAsia" w:cstheme="minorEastAsia"/>
          <w:sz w:val="24"/>
          <w:highlight w:val="none"/>
          <w:shd w:val="clear" w:color="auto" w:fill="FFFFFF"/>
          <w:lang w:val="en-US" w:eastAsia="zh-CN"/>
        </w:rPr>
        <w:t>6</w:t>
      </w:r>
      <w:r>
        <w:rPr>
          <w:rFonts w:hint="eastAsia" w:asciiTheme="minorEastAsia" w:hAnsiTheme="minorEastAsia" w:eastAsiaTheme="minorEastAsia" w:cstheme="minorEastAsia"/>
          <w:sz w:val="24"/>
          <w:highlight w:val="none"/>
          <w:shd w:val="clear" w:color="auto" w:fill="FFFFFF"/>
        </w:rPr>
        <w:t>日至202</w:t>
      </w:r>
      <w:r>
        <w:rPr>
          <w:rFonts w:hint="eastAsia" w:asciiTheme="minorEastAsia" w:hAnsiTheme="minorEastAsia" w:eastAsiaTheme="minorEastAsia" w:cstheme="minorEastAsia"/>
          <w:sz w:val="24"/>
          <w:highlight w:val="none"/>
          <w:shd w:val="clear" w:color="auto" w:fill="FFFFFF"/>
          <w:lang w:val="en-US" w:eastAsia="zh-CN"/>
        </w:rPr>
        <w:t>6</w:t>
      </w:r>
      <w:r>
        <w:rPr>
          <w:rFonts w:hint="eastAsia" w:asciiTheme="minorEastAsia" w:hAnsiTheme="minorEastAsia" w:eastAsiaTheme="minorEastAsia" w:cstheme="minorEastAsia"/>
          <w:sz w:val="24"/>
          <w:highlight w:val="none"/>
          <w:shd w:val="clear" w:color="auto" w:fill="FFFFFF"/>
        </w:rPr>
        <w:t>年</w:t>
      </w:r>
      <w:r>
        <w:rPr>
          <w:rFonts w:hint="eastAsia" w:asciiTheme="minorEastAsia" w:hAnsiTheme="minorEastAsia" w:eastAsiaTheme="minorEastAsia" w:cstheme="minorEastAsia"/>
          <w:sz w:val="24"/>
          <w:highlight w:val="none"/>
          <w:shd w:val="clear" w:color="auto" w:fill="FFFFFF"/>
          <w:lang w:val="en-US" w:eastAsia="zh-CN"/>
        </w:rPr>
        <w:t>1</w:t>
      </w:r>
      <w:r>
        <w:rPr>
          <w:rFonts w:hint="eastAsia" w:asciiTheme="minorEastAsia" w:hAnsiTheme="minorEastAsia" w:eastAsiaTheme="minorEastAsia" w:cstheme="minorEastAsia"/>
          <w:sz w:val="24"/>
          <w:highlight w:val="none"/>
          <w:shd w:val="clear" w:color="auto" w:fill="FFFFFF"/>
        </w:rPr>
        <w:t>月</w:t>
      </w:r>
      <w:r>
        <w:rPr>
          <w:rFonts w:hint="eastAsia" w:asciiTheme="minorEastAsia" w:hAnsiTheme="minorEastAsia" w:eastAsiaTheme="minorEastAsia" w:cstheme="minorEastAsia"/>
          <w:sz w:val="24"/>
          <w:highlight w:val="none"/>
          <w:shd w:val="clear" w:color="auto" w:fill="FFFFFF"/>
          <w:lang w:val="en-US" w:eastAsia="zh-CN"/>
        </w:rPr>
        <w:t>12</w:t>
      </w:r>
      <w:r>
        <w:rPr>
          <w:rFonts w:hint="eastAsia" w:asciiTheme="minorEastAsia" w:hAnsiTheme="minorEastAsia" w:eastAsiaTheme="minorEastAsia" w:cstheme="minorEastAsia"/>
          <w:sz w:val="24"/>
          <w:highlight w:val="none"/>
          <w:shd w:val="clear" w:color="auto" w:fill="FFFFFF"/>
        </w:rPr>
        <w:t>日</w:t>
      </w:r>
      <w:r>
        <w:rPr>
          <w:rFonts w:hint="eastAsia" w:asciiTheme="minorEastAsia" w:hAnsiTheme="minorEastAsia" w:eastAsiaTheme="minorEastAsia" w:cstheme="minorEastAsia"/>
          <w:sz w:val="24"/>
          <w:highlight w:val="none"/>
        </w:rPr>
        <w:t>每天上午00:00至12:00，下午12:00至23:59（北京时间，法定节假日除外。）</w:t>
      </w:r>
    </w:p>
    <w:p w14:paraId="4358972E">
      <w:pPr>
        <w:spacing w:line="360" w:lineRule="auto"/>
        <w:ind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2.地点：焦作市公共资源交易中心网站；</w:t>
      </w:r>
    </w:p>
    <w:p w14:paraId="3A23ECF1">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3.方式：本项目采用电子开评标（不见面开标），凡有意参加投标者，请登陆焦作市公共资源交易中心网站交易平台“交易主体登录”栏目下载招标文件。</w:t>
      </w:r>
    </w:p>
    <w:p w14:paraId="1CA6F6FB">
      <w:pPr>
        <w:spacing w:line="360" w:lineRule="auto"/>
        <w:ind w:firstLine="480"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rPr>
        <w:t>4.售价</w:t>
      </w:r>
      <w:r>
        <w:rPr>
          <w:rFonts w:hint="eastAsia" w:asciiTheme="minorEastAsia" w:hAnsiTheme="minorEastAsia" w:eastAsiaTheme="minorEastAsia" w:cstheme="minorEastAsia"/>
          <w:sz w:val="24"/>
          <w:highlight w:val="none"/>
        </w:rPr>
        <w:t>：0元</w:t>
      </w:r>
    </w:p>
    <w:p w14:paraId="7FCB9C56">
      <w:pPr>
        <w:spacing w:before="0" w:beforeAutospacing="0" w:after="0" w:afterAutospacing="0" w:line="360" w:lineRule="auto"/>
        <w:rPr>
          <w:rFonts w:hint="eastAsia" w:eastAsia="宋体" w:cs="Times New Roman"/>
          <w:b/>
          <w:bCs/>
          <w:sz w:val="24"/>
          <w:szCs w:val="24"/>
          <w:highlight w:val="none"/>
        </w:rPr>
      </w:pPr>
      <w:r>
        <w:rPr>
          <w:rFonts w:hint="eastAsia" w:eastAsia="宋体" w:cs="Times New Roman"/>
          <w:b/>
          <w:bCs/>
          <w:sz w:val="24"/>
          <w:szCs w:val="24"/>
          <w:highlight w:val="none"/>
        </w:rPr>
        <w:t>四、投标截止时间及地点</w:t>
      </w:r>
    </w:p>
    <w:p w14:paraId="3AE9CA97">
      <w:pPr>
        <w:spacing w:before="0" w:beforeAutospacing="0" w:after="0" w:afterAutospacing="0" w:line="360" w:lineRule="auto"/>
        <w:ind w:firstLine="480"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1.截止时间：</w:t>
      </w:r>
      <w:r>
        <w:rPr>
          <w:rFonts w:hint="eastAsia" w:asciiTheme="minorEastAsia" w:hAnsiTheme="minorEastAsia" w:eastAsiaTheme="minorEastAsia" w:cstheme="minorEastAsia"/>
          <w:sz w:val="24"/>
          <w:highlight w:val="none"/>
          <w:u w:val="none"/>
        </w:rPr>
        <w:t>202</w:t>
      </w:r>
      <w:r>
        <w:rPr>
          <w:rFonts w:hint="eastAsia" w:asciiTheme="minorEastAsia" w:hAnsiTheme="minorEastAsia" w:eastAsiaTheme="minorEastAsia" w:cstheme="minorEastAsia"/>
          <w:sz w:val="24"/>
          <w:highlight w:val="none"/>
          <w:u w:val="none"/>
          <w:lang w:val="en-US" w:eastAsia="zh-CN"/>
        </w:rPr>
        <w:t>6</w:t>
      </w:r>
      <w:r>
        <w:rPr>
          <w:rFonts w:hint="eastAsia" w:asciiTheme="minorEastAsia" w:hAnsiTheme="minorEastAsia" w:eastAsiaTheme="minorEastAsia" w:cstheme="minorEastAsia"/>
          <w:sz w:val="24"/>
          <w:highlight w:val="none"/>
          <w:u w:val="none"/>
        </w:rPr>
        <w:t>年</w:t>
      </w:r>
      <w:r>
        <w:rPr>
          <w:rFonts w:hint="eastAsia" w:asciiTheme="minorEastAsia" w:hAnsiTheme="minorEastAsia" w:eastAsiaTheme="minorEastAsia" w:cstheme="minorEastAsia"/>
          <w:sz w:val="24"/>
          <w:highlight w:val="none"/>
          <w:u w:val="none"/>
          <w:lang w:val="en-US" w:eastAsia="zh-CN"/>
        </w:rPr>
        <w:t>1</w:t>
      </w:r>
      <w:r>
        <w:rPr>
          <w:rFonts w:hint="eastAsia" w:asciiTheme="minorEastAsia" w:hAnsiTheme="minorEastAsia" w:eastAsiaTheme="minorEastAsia" w:cstheme="minorEastAsia"/>
          <w:sz w:val="24"/>
          <w:highlight w:val="none"/>
          <w:u w:val="none"/>
        </w:rPr>
        <w:t>月</w:t>
      </w:r>
      <w:r>
        <w:rPr>
          <w:rFonts w:hint="eastAsia" w:asciiTheme="minorEastAsia" w:hAnsiTheme="minorEastAsia" w:eastAsiaTheme="minorEastAsia" w:cstheme="minorEastAsia"/>
          <w:sz w:val="24"/>
          <w:highlight w:val="none"/>
          <w:u w:val="none"/>
          <w:lang w:val="en-US" w:eastAsia="zh-CN"/>
        </w:rPr>
        <w:t>27</w:t>
      </w:r>
      <w:r>
        <w:rPr>
          <w:rFonts w:hint="eastAsia" w:asciiTheme="minorEastAsia" w:hAnsiTheme="minorEastAsia" w:eastAsiaTheme="minorEastAsia" w:cstheme="minorEastAsia"/>
          <w:sz w:val="24"/>
          <w:highlight w:val="none"/>
          <w:u w:val="none"/>
        </w:rPr>
        <w:t>日上午</w:t>
      </w:r>
      <w:r>
        <w:rPr>
          <w:rFonts w:hint="eastAsia" w:asciiTheme="minorEastAsia" w:hAnsiTheme="minorEastAsia" w:eastAsiaTheme="minorEastAsia" w:cstheme="minorEastAsia"/>
          <w:sz w:val="24"/>
          <w:highlight w:val="none"/>
          <w:u w:val="none"/>
          <w:lang w:val="en-US" w:eastAsia="zh-CN"/>
        </w:rPr>
        <w:t>9</w:t>
      </w:r>
      <w:r>
        <w:rPr>
          <w:rFonts w:hint="eastAsia" w:asciiTheme="minorEastAsia" w:hAnsiTheme="minorEastAsia" w:eastAsiaTheme="minorEastAsia" w:cstheme="minorEastAsia"/>
          <w:sz w:val="24"/>
          <w:highlight w:val="none"/>
          <w:u w:val="none"/>
        </w:rPr>
        <w:t>时</w:t>
      </w:r>
      <w:r>
        <w:rPr>
          <w:rFonts w:hint="eastAsia" w:asciiTheme="minorEastAsia" w:hAnsiTheme="minorEastAsia" w:eastAsiaTheme="minorEastAsia" w:cstheme="minorEastAsia"/>
          <w:sz w:val="24"/>
          <w:highlight w:val="none"/>
          <w:u w:val="none"/>
          <w:lang w:val="en-US" w:eastAsia="zh-CN"/>
        </w:rPr>
        <w:t>00</w:t>
      </w:r>
      <w:r>
        <w:rPr>
          <w:rFonts w:hint="eastAsia" w:asciiTheme="minorEastAsia" w:hAnsiTheme="minorEastAsia" w:eastAsiaTheme="minorEastAsia" w:cstheme="minorEastAsia"/>
          <w:sz w:val="24"/>
          <w:highlight w:val="none"/>
          <w:u w:val="none"/>
        </w:rPr>
        <w:t>分（北京时间）</w:t>
      </w:r>
      <w:r>
        <w:rPr>
          <w:rFonts w:hint="eastAsia" w:asciiTheme="minorEastAsia" w:hAnsiTheme="minorEastAsia" w:eastAsiaTheme="minorEastAsia" w:cstheme="minorEastAsia"/>
          <w:sz w:val="24"/>
          <w:highlight w:val="none"/>
        </w:rPr>
        <w:t>；</w:t>
      </w:r>
    </w:p>
    <w:p w14:paraId="72C06634">
      <w:pPr>
        <w:spacing w:before="0" w:beforeAutospacing="0" w:after="0" w:afterAutospacing="0" w:line="360" w:lineRule="auto"/>
        <w:ind w:firstLine="480"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2.地点：加密电子投标文件须在投标截止时间前通过“焦作市公共资源交易中心（https://ggzy.jiaozuo.gov.cn/）”网站-交易平台加密上传；</w:t>
      </w:r>
    </w:p>
    <w:p w14:paraId="52CCE3F5">
      <w:pPr>
        <w:spacing w:before="0" w:beforeAutospacing="0" w:after="0" w:afterAutospacing="0" w:line="360" w:lineRule="auto"/>
        <w:rPr>
          <w:rFonts w:hint="eastAsia" w:eastAsia="宋体" w:cs="Times New Roman"/>
          <w:b/>
          <w:bCs/>
          <w:sz w:val="24"/>
          <w:szCs w:val="24"/>
          <w:highlight w:val="none"/>
        </w:rPr>
      </w:pPr>
      <w:r>
        <w:rPr>
          <w:rFonts w:hint="eastAsia" w:eastAsia="宋体" w:cs="Times New Roman"/>
          <w:b/>
          <w:bCs/>
          <w:sz w:val="24"/>
          <w:szCs w:val="24"/>
          <w:highlight w:val="none"/>
        </w:rPr>
        <w:t>五、开标时间及地点</w:t>
      </w:r>
    </w:p>
    <w:p w14:paraId="1A11824B">
      <w:pPr>
        <w:spacing w:before="0" w:beforeAutospacing="0" w:after="0" w:afterAutospacing="0" w:line="360" w:lineRule="auto"/>
        <w:ind w:firstLine="480"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1.时间：</w:t>
      </w:r>
      <w:r>
        <w:rPr>
          <w:rFonts w:hint="eastAsia" w:asciiTheme="minorEastAsia" w:hAnsiTheme="minorEastAsia" w:eastAsiaTheme="minorEastAsia" w:cstheme="minorEastAsia"/>
          <w:sz w:val="24"/>
          <w:highlight w:val="none"/>
          <w:u w:val="none"/>
        </w:rPr>
        <w:t>202</w:t>
      </w:r>
      <w:r>
        <w:rPr>
          <w:rFonts w:hint="eastAsia" w:asciiTheme="minorEastAsia" w:hAnsiTheme="minorEastAsia" w:eastAsiaTheme="minorEastAsia" w:cstheme="minorEastAsia"/>
          <w:sz w:val="24"/>
          <w:highlight w:val="none"/>
          <w:u w:val="none"/>
          <w:lang w:val="en-US" w:eastAsia="zh-CN"/>
        </w:rPr>
        <w:t>6</w:t>
      </w:r>
      <w:r>
        <w:rPr>
          <w:rFonts w:hint="eastAsia" w:asciiTheme="minorEastAsia" w:hAnsiTheme="minorEastAsia" w:eastAsiaTheme="minorEastAsia" w:cstheme="minorEastAsia"/>
          <w:sz w:val="24"/>
          <w:highlight w:val="none"/>
          <w:u w:val="none"/>
        </w:rPr>
        <w:t>年</w:t>
      </w:r>
      <w:r>
        <w:rPr>
          <w:rFonts w:hint="eastAsia" w:asciiTheme="minorEastAsia" w:hAnsiTheme="minorEastAsia" w:eastAsiaTheme="minorEastAsia" w:cstheme="minorEastAsia"/>
          <w:sz w:val="24"/>
          <w:highlight w:val="none"/>
          <w:u w:val="none"/>
          <w:lang w:val="en-US" w:eastAsia="zh-CN"/>
        </w:rPr>
        <w:t>1</w:t>
      </w:r>
      <w:r>
        <w:rPr>
          <w:rFonts w:hint="eastAsia" w:asciiTheme="minorEastAsia" w:hAnsiTheme="minorEastAsia" w:eastAsiaTheme="minorEastAsia" w:cstheme="minorEastAsia"/>
          <w:sz w:val="24"/>
          <w:highlight w:val="none"/>
          <w:u w:val="none"/>
        </w:rPr>
        <w:t>月</w:t>
      </w:r>
      <w:r>
        <w:rPr>
          <w:rFonts w:hint="eastAsia" w:asciiTheme="minorEastAsia" w:hAnsiTheme="minorEastAsia" w:eastAsiaTheme="minorEastAsia" w:cstheme="minorEastAsia"/>
          <w:sz w:val="24"/>
          <w:highlight w:val="none"/>
          <w:u w:val="none"/>
          <w:lang w:val="en-US" w:eastAsia="zh-CN"/>
        </w:rPr>
        <w:t>27</w:t>
      </w:r>
      <w:r>
        <w:rPr>
          <w:rFonts w:hint="eastAsia" w:asciiTheme="minorEastAsia" w:hAnsiTheme="minorEastAsia" w:eastAsiaTheme="minorEastAsia" w:cstheme="minorEastAsia"/>
          <w:sz w:val="24"/>
          <w:highlight w:val="none"/>
          <w:u w:val="none"/>
        </w:rPr>
        <w:t>日上午</w:t>
      </w:r>
      <w:r>
        <w:rPr>
          <w:rFonts w:hint="eastAsia" w:asciiTheme="minorEastAsia" w:hAnsiTheme="minorEastAsia" w:eastAsiaTheme="minorEastAsia" w:cstheme="minorEastAsia"/>
          <w:sz w:val="24"/>
          <w:highlight w:val="none"/>
          <w:u w:val="none"/>
          <w:lang w:val="en-US" w:eastAsia="zh-CN"/>
        </w:rPr>
        <w:t>9</w:t>
      </w:r>
      <w:r>
        <w:rPr>
          <w:rFonts w:hint="eastAsia" w:asciiTheme="minorEastAsia" w:hAnsiTheme="minorEastAsia" w:eastAsiaTheme="minorEastAsia" w:cstheme="minorEastAsia"/>
          <w:sz w:val="24"/>
          <w:highlight w:val="none"/>
          <w:u w:val="none"/>
        </w:rPr>
        <w:t>时</w:t>
      </w:r>
      <w:r>
        <w:rPr>
          <w:rFonts w:hint="eastAsia" w:asciiTheme="minorEastAsia" w:hAnsiTheme="minorEastAsia" w:eastAsiaTheme="minorEastAsia" w:cstheme="minorEastAsia"/>
          <w:sz w:val="24"/>
          <w:highlight w:val="none"/>
          <w:u w:val="none"/>
          <w:lang w:val="en-US" w:eastAsia="zh-CN"/>
        </w:rPr>
        <w:t>00</w:t>
      </w:r>
      <w:r>
        <w:rPr>
          <w:rFonts w:hint="eastAsia" w:asciiTheme="minorEastAsia" w:hAnsiTheme="minorEastAsia" w:eastAsiaTheme="minorEastAsia" w:cstheme="minorEastAsia"/>
          <w:sz w:val="24"/>
          <w:highlight w:val="none"/>
          <w:u w:val="none"/>
        </w:rPr>
        <w:t>分（北京时间）</w:t>
      </w:r>
      <w:r>
        <w:rPr>
          <w:rFonts w:hint="eastAsia" w:asciiTheme="minorEastAsia" w:hAnsiTheme="minorEastAsia" w:eastAsiaTheme="minorEastAsia" w:cstheme="minorEastAsia"/>
          <w:sz w:val="24"/>
          <w:highlight w:val="none"/>
        </w:rPr>
        <w:t>；</w:t>
      </w:r>
    </w:p>
    <w:p w14:paraId="1E7CF84D">
      <w:pPr>
        <w:spacing w:before="0" w:beforeAutospacing="0" w:after="0" w:afterAutospacing="0" w:line="360" w:lineRule="auto"/>
        <w:ind w:firstLine="480"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2.地点：博爱县公共资源交易中心二楼不见面开标</w:t>
      </w:r>
      <w:r>
        <w:rPr>
          <w:rFonts w:hint="eastAsia" w:asciiTheme="minorEastAsia" w:hAnsiTheme="minorEastAsia" w:eastAsiaTheme="minorEastAsia" w:cstheme="minorEastAsia"/>
          <w:sz w:val="24"/>
          <w:highlight w:val="none"/>
          <w:lang w:val="en-US" w:eastAsia="zh-CN"/>
        </w:rPr>
        <w:t>二</w:t>
      </w:r>
      <w:r>
        <w:rPr>
          <w:rFonts w:hint="eastAsia" w:asciiTheme="minorEastAsia" w:hAnsiTheme="minorEastAsia" w:eastAsiaTheme="minorEastAsia" w:cstheme="minorEastAsia"/>
          <w:sz w:val="24"/>
          <w:highlight w:val="none"/>
        </w:rPr>
        <w:t>室；</w:t>
      </w:r>
    </w:p>
    <w:p w14:paraId="7D6927D5">
      <w:pPr>
        <w:spacing w:before="0" w:beforeAutospacing="0" w:after="0" w:afterAutospacing="0" w:line="360" w:lineRule="auto"/>
        <w:rPr>
          <w:rFonts w:hint="eastAsia" w:eastAsia="宋体" w:cs="Times New Roman"/>
          <w:b/>
          <w:bCs/>
          <w:sz w:val="24"/>
          <w:szCs w:val="24"/>
          <w:highlight w:val="none"/>
        </w:rPr>
      </w:pPr>
      <w:r>
        <w:rPr>
          <w:rFonts w:hint="eastAsia" w:eastAsia="宋体" w:cs="Times New Roman"/>
          <w:b/>
          <w:bCs/>
          <w:sz w:val="24"/>
          <w:szCs w:val="24"/>
          <w:highlight w:val="none"/>
        </w:rPr>
        <w:t>六、发布公告的媒介及招标公告期限</w:t>
      </w:r>
    </w:p>
    <w:p w14:paraId="60DCAFEA">
      <w:pPr>
        <w:spacing w:before="0" w:beforeAutospacing="0" w:after="0" w:afterAutospacing="0" w:line="360" w:lineRule="auto"/>
        <w:ind w:firstLine="480"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本次公告在《中国招标投标公共服务平台》、《河南省政府采购网》、《焦作市政府采购网》、《焦作市公共资源交易中心网》、《博爱县公共资源交易中心网》http://ggzy.boai.gov.cn/上发布。自本公告发布期限为五个工作日。</w:t>
      </w:r>
    </w:p>
    <w:p w14:paraId="06A582D7">
      <w:pPr>
        <w:shd w:val="clear" w:color="auto" w:fill="FFFFFF"/>
        <w:spacing w:before="0" w:beforeAutospacing="0" w:after="0" w:afterAutospacing="0" w:line="360" w:lineRule="auto"/>
        <w:rPr>
          <w:rFonts w:hint="eastAsia" w:eastAsia="宋体" w:cs="Times New Roman"/>
          <w:b/>
          <w:bCs/>
          <w:sz w:val="24"/>
          <w:szCs w:val="24"/>
          <w:highlight w:val="none"/>
        </w:rPr>
      </w:pPr>
      <w:r>
        <w:rPr>
          <w:rFonts w:hint="eastAsia" w:eastAsia="宋体" w:cs="Times New Roman"/>
          <w:b/>
          <w:bCs/>
          <w:sz w:val="24"/>
          <w:szCs w:val="24"/>
          <w:highlight w:val="none"/>
        </w:rPr>
        <w:t>七、其他补充事宜</w:t>
      </w:r>
    </w:p>
    <w:p w14:paraId="1AE2DC3C">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highlight w:val="none"/>
        </w:rPr>
        <w:t>1.本项目采用“远程不见面</w:t>
      </w:r>
      <w:r>
        <w:rPr>
          <w:rFonts w:hint="eastAsia" w:asciiTheme="minorEastAsia" w:hAnsiTheme="minorEastAsia" w:eastAsiaTheme="minorEastAsia" w:cstheme="minorEastAsia"/>
          <w:sz w:val="24"/>
        </w:rPr>
        <w:t>”的开标方式，潜在</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rPr>
        <w:t>可提前在焦作市交易中心官网首页---下载中心--下载《焦作市电子招投标系统操作手册》和《焦作市公共资源交易平台不见面开标操作手册》、《投标文件制作工作工具》等，查看操作说明，按要求进行投标文件制作和上传等。为避免网络拥堵等不可控因素影响投标文件的上传，请提前上传投标文件，并在开标截止时间前登录不见面开</w:t>
      </w:r>
      <w:r>
        <w:rPr>
          <w:rFonts w:hint="eastAsia" w:asciiTheme="minorEastAsia" w:hAnsiTheme="minorEastAsia" w:eastAsiaTheme="minorEastAsia" w:cstheme="minorEastAsia"/>
          <w:sz w:val="24"/>
          <w:shd w:val="clear" w:color="auto" w:fill="FFFFFF"/>
        </w:rPr>
        <w:t>标大厅（</w:t>
      </w:r>
      <w:r>
        <w:rPr>
          <w:rFonts w:hint="eastAsia" w:asciiTheme="minorEastAsia" w:hAnsiTheme="minorEastAsia" w:eastAsiaTheme="minorEastAsia" w:cstheme="minorEastAsia"/>
          <w:color w:val="auto"/>
          <w:sz w:val="24"/>
          <w:shd w:val="clear" w:color="auto" w:fill="FFFFFF"/>
        </w:rPr>
        <w:t>https://ggzy.jiaozuo.gov.cn/BidOpeningHall/bidhall/dqhnjz/login</w:t>
      </w:r>
      <w:r>
        <w:rPr>
          <w:rFonts w:hint="eastAsia" w:asciiTheme="minorEastAsia" w:hAnsiTheme="minorEastAsia" w:eastAsiaTheme="minorEastAsia" w:cstheme="minorEastAsia"/>
          <w:sz w:val="24"/>
          <w:shd w:val="clear" w:color="auto" w:fill="FFFFFF"/>
        </w:rPr>
        <w:t>）进行签到，按要求解密投标文件。因文件未及时</w:t>
      </w:r>
      <w:r>
        <w:rPr>
          <w:rFonts w:hint="eastAsia" w:asciiTheme="minorEastAsia" w:hAnsiTheme="minorEastAsia" w:eastAsiaTheme="minorEastAsia" w:cstheme="minorEastAsia"/>
          <w:sz w:val="24"/>
        </w:rPr>
        <w:t>上传导致投标失败的责任由</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rPr>
        <w:t>自行承担，具体要求详见招标文件。平台统一技术服务电话：400-998-0000，服务QQ：4008503300，服务时间：周一至周日8：00-17：30。</w:t>
      </w:r>
    </w:p>
    <w:p w14:paraId="540B5563">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供应商无需到现场参加开标会议，无需到达现场提交原件资料。供应商应当在投标截止前，登录远程开标大厅进行签到，在线准时参加开标活动并进行文件解密、答疑澄清等。加密电子投标文件须在焦作市公共资源交易中心电子交易平台中加密上传，上传时必须得到电脑“上传成功”的确认回复后方为上传成功。在规定时间内投标文件未解密的</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rPr>
        <w:t>，视为放弃投标。</w:t>
      </w:r>
    </w:p>
    <w:p w14:paraId="4B85BB44">
      <w:pPr>
        <w:spacing w:before="0" w:beforeAutospacing="0" w:after="0" w:afterAutospacing="0" w:line="360" w:lineRule="auto"/>
        <w:rPr>
          <w:rFonts w:hint="eastAsia" w:eastAsia="宋体" w:cs="Times New Roman"/>
          <w:b/>
          <w:bCs/>
          <w:sz w:val="24"/>
          <w:szCs w:val="24"/>
        </w:rPr>
      </w:pPr>
      <w:r>
        <w:rPr>
          <w:rFonts w:hint="eastAsia" w:eastAsia="宋体" w:cs="Times New Roman"/>
          <w:b/>
          <w:bCs/>
          <w:sz w:val="24"/>
          <w:szCs w:val="24"/>
        </w:rPr>
        <w:t>八、凡对本次采购提出询问，请按以下方式联系</w:t>
      </w:r>
    </w:p>
    <w:p w14:paraId="256467B0">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1.采购人信息：</w:t>
      </w:r>
    </w:p>
    <w:p w14:paraId="10518302">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名称：博爱县城市管理局</w:t>
      </w:r>
    </w:p>
    <w:p w14:paraId="1F481889">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地址：河南省博爱县鸿昌街道办事处劳动街</w:t>
      </w:r>
    </w:p>
    <w:p w14:paraId="6B2FAB28">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rPr>
        <w:t>联系人：</w:t>
      </w:r>
      <w:r>
        <w:rPr>
          <w:rFonts w:hint="eastAsia" w:asciiTheme="minorEastAsia" w:hAnsiTheme="minorEastAsia" w:eastAsiaTheme="minorEastAsia" w:cstheme="minorEastAsia"/>
          <w:sz w:val="24"/>
          <w:highlight w:val="none"/>
          <w:lang w:val="en-US" w:eastAsia="zh-CN"/>
        </w:rPr>
        <w:t>王红霞</w:t>
      </w:r>
    </w:p>
    <w:p w14:paraId="3B52E443">
      <w:pPr>
        <w:wordWrap w:val="0"/>
        <w:spacing w:before="0" w:beforeAutospacing="0" w:after="0" w:afterAutospacing="0" w:line="360" w:lineRule="auto"/>
        <w:ind w:firstLine="480" w:firstLineChars="200"/>
        <w:rPr>
          <w:rFonts w:hint="default"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rPr>
        <w:t>联系方式：</w:t>
      </w:r>
      <w:r>
        <w:rPr>
          <w:rFonts w:hint="eastAsia" w:asciiTheme="minorEastAsia" w:hAnsiTheme="minorEastAsia" w:eastAsiaTheme="minorEastAsia" w:cstheme="minorEastAsia"/>
          <w:sz w:val="24"/>
          <w:highlight w:val="none"/>
          <w:lang w:val="en-US" w:eastAsia="zh-CN"/>
        </w:rPr>
        <w:t>13939193092</w:t>
      </w:r>
    </w:p>
    <w:p w14:paraId="63F9C350">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2.采购代理机构信息：</w:t>
      </w:r>
    </w:p>
    <w:p w14:paraId="316E52B0">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highlight w:val="none"/>
        </w:rPr>
        <w:t>名称：河南领秀工程</w:t>
      </w:r>
      <w:r>
        <w:rPr>
          <w:rFonts w:hint="eastAsia" w:asciiTheme="minorEastAsia" w:hAnsiTheme="minorEastAsia" w:eastAsiaTheme="minorEastAsia" w:cstheme="minorEastAsia"/>
          <w:sz w:val="24"/>
        </w:rPr>
        <w:t>造价咨询有限公司</w:t>
      </w:r>
    </w:p>
    <w:p w14:paraId="0512D690">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地址：郑州市电厂路北段河南省国家大学科技园（东区）16号楼C座20层2002室</w:t>
      </w:r>
    </w:p>
    <w:p w14:paraId="203F2AA8">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联系人：张秀荣</w:t>
      </w:r>
    </w:p>
    <w:p w14:paraId="6FF0B1A9">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联系方式：13283807903</w:t>
      </w:r>
    </w:p>
    <w:p w14:paraId="0463A780">
      <w:pPr>
        <w:keepNext w:val="0"/>
        <w:keepLines w:val="0"/>
        <w:pageBreakBefore w:val="0"/>
        <w:kinsoku/>
        <w:wordWrap w:val="0"/>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pacing w:val="0"/>
          <w:sz w:val="24"/>
          <w:lang w:val="en-US" w:eastAsia="zh-CN"/>
        </w:rPr>
      </w:pPr>
      <w:r>
        <w:rPr>
          <w:rFonts w:hint="eastAsia" w:asciiTheme="minorEastAsia" w:hAnsiTheme="minorEastAsia" w:eastAsiaTheme="minorEastAsia" w:cstheme="minorEastAsia"/>
          <w:spacing w:val="0"/>
          <w:sz w:val="24"/>
          <w:lang w:val="en-US" w:eastAsia="zh-CN"/>
        </w:rPr>
        <w:t>邮箱：lingxiudailibu@163.com</w:t>
      </w:r>
    </w:p>
    <w:p w14:paraId="1B4764AC">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3.项目联系方式</w:t>
      </w:r>
    </w:p>
    <w:p w14:paraId="4C488AE0">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项目联系人：张秀荣</w:t>
      </w:r>
    </w:p>
    <w:p w14:paraId="28301386">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联系方式：13283807903</w:t>
      </w:r>
    </w:p>
    <w:p w14:paraId="59D6A2AD">
      <w:pPr>
        <w:wordWrap w:val="0"/>
        <w:spacing w:before="0" w:beforeAutospacing="0" w:after="0" w:afterAutospacing="0" w:line="360" w:lineRule="auto"/>
        <w:ind w:firstLine="480" w:firstLineChars="200"/>
        <w:rPr>
          <w:rFonts w:hint="eastAsia" w:asciiTheme="minorEastAsia" w:hAnsiTheme="minorEastAsia" w:eastAsiaTheme="minorEastAsia" w:cstheme="minorEastAsia"/>
          <w:sz w:val="24"/>
        </w:rPr>
      </w:pPr>
    </w:p>
    <w:p w14:paraId="0184707D">
      <w:pPr>
        <w:wordWrap w:val="0"/>
        <w:spacing w:before="0" w:beforeAutospacing="0" w:after="0" w:afterAutospacing="0" w:line="360" w:lineRule="auto"/>
        <w:ind w:firstLine="480" w:firstLineChars="200"/>
        <w:jc w:val="righ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采购人：博爱县城市管理局</w:t>
      </w:r>
    </w:p>
    <w:p w14:paraId="3C4716BC">
      <w:pPr>
        <w:wordWrap w:val="0"/>
        <w:spacing w:before="0" w:beforeAutospacing="0" w:after="0" w:afterAutospacing="0" w:line="360" w:lineRule="auto"/>
        <w:ind w:firstLine="480" w:firstLineChars="200"/>
        <w:jc w:val="right"/>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采购代理机构：河南领秀工程造价咨询有限公司</w:t>
      </w:r>
    </w:p>
    <w:p w14:paraId="1E0EEAEC">
      <w:pPr>
        <w:wordWrap w:val="0"/>
        <w:spacing w:before="0" w:beforeAutospacing="0" w:after="0" w:afterAutospacing="0" w:line="360" w:lineRule="auto"/>
        <w:ind w:firstLine="480" w:firstLineChars="200"/>
        <w:jc w:val="righ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highlight w:val="none"/>
        </w:rPr>
        <w:t>发布时间：202</w:t>
      </w:r>
      <w:r>
        <w:rPr>
          <w:rFonts w:hint="eastAsia" w:asciiTheme="minorEastAsia" w:hAnsiTheme="minorEastAsia" w:eastAsiaTheme="minorEastAsia" w:cstheme="minorEastAsia"/>
          <w:sz w:val="24"/>
          <w:highlight w:val="none"/>
          <w:lang w:val="en-US" w:eastAsia="zh-CN"/>
        </w:rPr>
        <w:t>6</w:t>
      </w:r>
      <w:r>
        <w:rPr>
          <w:rFonts w:hint="eastAsia" w:asciiTheme="minorEastAsia" w:hAnsiTheme="minorEastAsia" w:eastAsiaTheme="minorEastAsia" w:cstheme="minorEastAsia"/>
          <w:sz w:val="24"/>
          <w:highlight w:val="none"/>
        </w:rPr>
        <w:t>年</w:t>
      </w:r>
      <w:r>
        <w:rPr>
          <w:rFonts w:hint="eastAsia" w:asciiTheme="minorEastAsia" w:hAnsiTheme="minorEastAsia" w:eastAsiaTheme="minorEastAsia" w:cstheme="minorEastAsia"/>
          <w:sz w:val="24"/>
          <w:highlight w:val="none"/>
          <w:lang w:val="en-US" w:eastAsia="zh-CN"/>
        </w:rPr>
        <w:t>1</w:t>
      </w:r>
      <w:r>
        <w:rPr>
          <w:rFonts w:hint="eastAsia" w:asciiTheme="minorEastAsia" w:hAnsiTheme="minorEastAsia" w:eastAsiaTheme="minorEastAsia" w:cstheme="minorEastAsia"/>
          <w:sz w:val="24"/>
          <w:highlight w:val="none"/>
        </w:rPr>
        <w:t>月</w:t>
      </w:r>
      <w:r>
        <w:rPr>
          <w:rFonts w:hint="eastAsia" w:asciiTheme="minorEastAsia" w:hAnsiTheme="minorEastAsia" w:eastAsiaTheme="minorEastAsia" w:cstheme="minorEastAsia"/>
          <w:sz w:val="24"/>
          <w:highlight w:val="none"/>
          <w:lang w:val="en-US" w:eastAsia="zh-CN"/>
        </w:rPr>
        <w:t>5</w:t>
      </w:r>
      <w:r>
        <w:rPr>
          <w:rFonts w:hint="eastAsia" w:asciiTheme="minorEastAsia" w:hAnsiTheme="minorEastAsia" w:eastAsiaTheme="minorEastAsia" w:cstheme="minorEastAsia"/>
          <w:sz w:val="24"/>
          <w:highlight w:val="none"/>
        </w:rPr>
        <w:t>日</w:t>
      </w:r>
    </w:p>
    <w:bookmarkEnd w:id="9"/>
    <w:p w14:paraId="163BE56D">
      <w:pPr>
        <w:keepNext w:val="0"/>
        <w:keepLines w:val="0"/>
        <w:pageBreakBefore w:val="0"/>
        <w:kinsoku/>
        <w:overflowPunct/>
        <w:topLinePunct w:val="0"/>
        <w:autoSpaceDE w:val="0"/>
        <w:autoSpaceDN w:val="0"/>
        <w:bidi w:val="0"/>
        <w:adjustRightInd w:val="0"/>
        <w:snapToGrid/>
        <w:spacing w:line="360" w:lineRule="auto"/>
        <w:ind w:firstLine="643"/>
        <w:jc w:val="center"/>
        <w:textAlignment w:val="auto"/>
        <w:outlineLvl w:val="0"/>
        <w:rPr>
          <w:rFonts w:hint="eastAsia" w:asciiTheme="minorEastAsia" w:hAnsiTheme="minorEastAsia" w:eastAsiaTheme="minorEastAsia" w:cstheme="minorEastAsia"/>
          <w:b/>
          <w:sz w:val="24"/>
          <w:szCs w:val="24"/>
          <w:highlight w:val="none"/>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720" w:num="1"/>
          <w:docGrid w:type="lines" w:linePitch="380" w:charSpace="0"/>
        </w:sectPr>
      </w:pPr>
      <w:bookmarkStart w:id="10" w:name="_Toc161588328"/>
    </w:p>
    <w:p w14:paraId="76A98774">
      <w:pPr>
        <w:pStyle w:val="4"/>
        <w:autoSpaceDE/>
        <w:autoSpaceDN/>
        <w:adjustRightInd w:val="0"/>
        <w:jc w:val="center"/>
        <w:outlineLvl w:val="0"/>
        <w:rPr>
          <w:rFonts w:hint="eastAsia" w:ascii="Book Antiqua" w:hAnsi="Book Antiqua" w:eastAsia="宋体" w:cs="Times New Roman"/>
          <w:b/>
          <w:sz w:val="36"/>
          <w:szCs w:val="36"/>
        </w:rPr>
      </w:pPr>
      <w:bookmarkStart w:id="11" w:name="_Toc1216"/>
      <w:bookmarkStart w:id="12" w:name="_Toc19744"/>
      <w:bookmarkStart w:id="13" w:name="_Toc23822"/>
      <w:r>
        <w:rPr>
          <w:rFonts w:hint="eastAsia" w:eastAsia="宋体" w:cs="Times New Roman"/>
          <w:b/>
          <w:sz w:val="36"/>
          <w:szCs w:val="36"/>
          <w:lang w:val="en-US" w:eastAsia="zh-CN"/>
        </w:rPr>
        <w:t xml:space="preserve">第二章 </w:t>
      </w:r>
      <w:r>
        <w:rPr>
          <w:rFonts w:hint="eastAsia" w:ascii="Book Antiqua" w:hAnsi="Book Antiqua" w:eastAsia="宋体" w:cs="Times New Roman"/>
          <w:b/>
          <w:sz w:val="36"/>
          <w:szCs w:val="36"/>
        </w:rPr>
        <w:t>供应商须知</w:t>
      </w:r>
      <w:bookmarkEnd w:id="0"/>
      <w:bookmarkEnd w:id="10"/>
      <w:bookmarkEnd w:id="11"/>
      <w:bookmarkEnd w:id="12"/>
      <w:bookmarkEnd w:id="13"/>
    </w:p>
    <w:p w14:paraId="5D7A498A">
      <w:pPr>
        <w:pStyle w:val="29"/>
        <w:spacing w:before="0" w:after="0" w:line="360" w:lineRule="auto"/>
        <w:ind w:right="-23" w:rightChars="-11" w:firstLine="0"/>
        <w:rPr>
          <w:rFonts w:asciiTheme="minorEastAsia" w:hAnsiTheme="minorEastAsia" w:eastAsiaTheme="minorEastAsia" w:cstheme="minorEastAsia"/>
          <w:sz w:val="30"/>
          <w:szCs w:val="30"/>
        </w:rPr>
      </w:pPr>
      <w:bookmarkStart w:id="14" w:name="_Toc161584007"/>
      <w:bookmarkStart w:id="15" w:name="_Toc161588329"/>
      <w:bookmarkStart w:id="16" w:name="_Toc403122490"/>
      <w:bookmarkStart w:id="17" w:name="_Toc426369478"/>
      <w:bookmarkStart w:id="18" w:name="_Toc17289"/>
      <w:bookmarkStart w:id="19" w:name="_Toc32003"/>
      <w:bookmarkStart w:id="20" w:name="_Toc14655"/>
      <w:bookmarkStart w:id="21" w:name="_Toc32497"/>
      <w:bookmarkStart w:id="22" w:name="_Toc9161"/>
      <w:bookmarkStart w:id="23" w:name="_Toc1181"/>
      <w:r>
        <w:rPr>
          <w:rFonts w:hint="eastAsia" w:asciiTheme="minorEastAsia" w:hAnsiTheme="minorEastAsia" w:eastAsiaTheme="minorEastAsia" w:cstheme="minorEastAsia"/>
          <w:sz w:val="30"/>
          <w:szCs w:val="30"/>
        </w:rPr>
        <w:t>供应商须知前附表</w:t>
      </w:r>
      <w:bookmarkEnd w:id="14"/>
      <w:bookmarkEnd w:id="15"/>
      <w:bookmarkEnd w:id="16"/>
      <w:bookmarkEnd w:id="17"/>
      <w:bookmarkEnd w:id="18"/>
      <w:bookmarkEnd w:id="19"/>
      <w:bookmarkEnd w:id="20"/>
      <w:bookmarkEnd w:id="21"/>
      <w:bookmarkEnd w:id="22"/>
      <w:bookmarkEnd w:id="23"/>
    </w:p>
    <w:tbl>
      <w:tblPr>
        <w:tblStyle w:val="33"/>
        <w:tblW w:w="93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318"/>
        <w:gridCol w:w="6112"/>
      </w:tblGrid>
      <w:tr w14:paraId="06800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29B7CDDD">
            <w:pPr>
              <w:pStyle w:val="19"/>
              <w:wordWrap w:val="0"/>
              <w:spacing w:line="360" w:lineRule="auto"/>
              <w:jc w:val="center"/>
              <w:rPr>
                <w:rFonts w:hint="default" w:asciiTheme="minorEastAsia" w:hAnsiTheme="minorEastAsia" w:eastAsiaTheme="minorEastAsia" w:cstheme="minorEastAsia"/>
                <w:b/>
              </w:rPr>
            </w:pPr>
            <w:r>
              <w:rPr>
                <w:rFonts w:asciiTheme="minorEastAsia" w:hAnsiTheme="minorEastAsia" w:eastAsiaTheme="minorEastAsia" w:cstheme="minorEastAsia"/>
                <w:b/>
              </w:rPr>
              <w:t>条款号</w:t>
            </w:r>
          </w:p>
        </w:tc>
        <w:tc>
          <w:tcPr>
            <w:tcW w:w="2318" w:type="dxa"/>
            <w:tcBorders>
              <w:tl2br w:val="nil"/>
              <w:tr2bl w:val="nil"/>
            </w:tcBorders>
            <w:vAlign w:val="center"/>
          </w:tcPr>
          <w:p w14:paraId="3D30F7E2">
            <w:pPr>
              <w:pStyle w:val="19"/>
              <w:wordWrap w:val="0"/>
              <w:spacing w:line="360" w:lineRule="auto"/>
              <w:ind w:firstLine="0"/>
              <w:jc w:val="center"/>
              <w:rPr>
                <w:rFonts w:hint="default" w:asciiTheme="minorEastAsia" w:hAnsiTheme="minorEastAsia" w:eastAsiaTheme="minorEastAsia" w:cstheme="minorEastAsia"/>
                <w:b/>
              </w:rPr>
            </w:pPr>
            <w:r>
              <w:rPr>
                <w:rFonts w:asciiTheme="minorEastAsia" w:hAnsiTheme="minorEastAsia" w:eastAsiaTheme="minorEastAsia" w:cstheme="minorEastAsia"/>
                <w:b/>
              </w:rPr>
              <w:t>条款名称</w:t>
            </w:r>
          </w:p>
        </w:tc>
        <w:tc>
          <w:tcPr>
            <w:tcW w:w="6112" w:type="dxa"/>
            <w:tcBorders>
              <w:tl2br w:val="nil"/>
              <w:tr2bl w:val="nil"/>
            </w:tcBorders>
            <w:vAlign w:val="center"/>
          </w:tcPr>
          <w:p w14:paraId="59A14A93">
            <w:pPr>
              <w:pStyle w:val="19"/>
              <w:wordWrap w:val="0"/>
              <w:spacing w:line="360" w:lineRule="auto"/>
              <w:ind w:firstLine="0"/>
              <w:jc w:val="center"/>
              <w:rPr>
                <w:rFonts w:hint="default" w:asciiTheme="minorEastAsia" w:hAnsiTheme="minorEastAsia" w:eastAsiaTheme="minorEastAsia" w:cstheme="minorEastAsia"/>
                <w:b/>
              </w:rPr>
            </w:pPr>
            <w:r>
              <w:rPr>
                <w:rFonts w:asciiTheme="minorEastAsia" w:hAnsiTheme="minorEastAsia" w:eastAsiaTheme="minorEastAsia" w:cstheme="minorEastAsia"/>
                <w:b/>
              </w:rPr>
              <w:t>编列内容</w:t>
            </w:r>
          </w:p>
        </w:tc>
      </w:tr>
      <w:tr w14:paraId="6B9F9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31B6EB2">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1.1.2</w:t>
            </w:r>
          </w:p>
        </w:tc>
        <w:tc>
          <w:tcPr>
            <w:tcW w:w="2318" w:type="dxa"/>
            <w:tcBorders>
              <w:tl2br w:val="nil"/>
              <w:tr2bl w:val="nil"/>
            </w:tcBorders>
            <w:vAlign w:val="center"/>
          </w:tcPr>
          <w:p w14:paraId="142D0243">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采购人</w:t>
            </w:r>
          </w:p>
        </w:tc>
        <w:tc>
          <w:tcPr>
            <w:tcW w:w="6112" w:type="dxa"/>
            <w:tcBorders>
              <w:tl2br w:val="nil"/>
              <w:tr2bl w:val="nil"/>
            </w:tcBorders>
            <w:vAlign w:val="center"/>
          </w:tcPr>
          <w:p w14:paraId="1893A5B3">
            <w:pPr>
              <w:pStyle w:val="19"/>
              <w:wordWrap w:val="0"/>
              <w:spacing w:before="0" w:beforeAutospacing="0" w:after="0" w:afterAutospacing="0"/>
              <w:rPr>
                <w:rFonts w:asciiTheme="minorEastAsia" w:hAnsiTheme="minorEastAsia" w:eastAsiaTheme="minorEastAsia" w:cstheme="minorEastAsia"/>
                <w:bCs/>
                <w:iCs/>
              </w:rPr>
            </w:pPr>
            <w:r>
              <w:rPr>
                <w:rFonts w:hint="eastAsia" w:asciiTheme="minorEastAsia" w:hAnsiTheme="minorEastAsia" w:eastAsiaTheme="minorEastAsia" w:cstheme="minorEastAsia"/>
                <w:bCs/>
                <w:iCs/>
              </w:rPr>
              <w:t>名称：博爱县城市管理局</w:t>
            </w:r>
          </w:p>
          <w:p w14:paraId="27C51B88">
            <w:pPr>
              <w:pStyle w:val="19"/>
              <w:wordWrap w:val="0"/>
              <w:spacing w:before="0" w:beforeAutospacing="0" w:after="0" w:afterAutospacing="0"/>
              <w:rPr>
                <w:rFonts w:asciiTheme="minorEastAsia" w:hAnsiTheme="minorEastAsia" w:eastAsiaTheme="minorEastAsia" w:cstheme="minorEastAsia"/>
                <w:bCs/>
                <w:iCs/>
              </w:rPr>
            </w:pPr>
            <w:r>
              <w:rPr>
                <w:rFonts w:hint="eastAsia" w:asciiTheme="minorEastAsia" w:hAnsiTheme="minorEastAsia" w:eastAsiaTheme="minorEastAsia" w:cstheme="minorEastAsia"/>
                <w:bCs/>
                <w:iCs/>
              </w:rPr>
              <w:t>地址：河南省博爱县鸿昌街道办事处劳动街</w:t>
            </w:r>
          </w:p>
          <w:p w14:paraId="670EA1EE">
            <w:pPr>
              <w:pStyle w:val="19"/>
              <w:wordWrap w:val="0"/>
              <w:spacing w:before="0" w:beforeAutospacing="0" w:after="0" w:afterAutospacing="0"/>
              <w:rPr>
                <w:rFonts w:hint="eastAsia" w:asciiTheme="minorEastAsia" w:hAnsiTheme="minorEastAsia" w:eastAsiaTheme="minorEastAsia" w:cstheme="minorEastAsia"/>
                <w:bCs/>
                <w:iCs/>
              </w:rPr>
            </w:pPr>
            <w:r>
              <w:rPr>
                <w:rFonts w:hint="eastAsia" w:asciiTheme="minorEastAsia" w:hAnsiTheme="minorEastAsia" w:eastAsiaTheme="minorEastAsia" w:cstheme="minorEastAsia"/>
                <w:bCs/>
                <w:iCs/>
              </w:rPr>
              <w:t>联系人：王红霞</w:t>
            </w:r>
          </w:p>
          <w:p w14:paraId="66C9CDE3">
            <w:pPr>
              <w:pStyle w:val="19"/>
              <w:wordWrap w:val="0"/>
              <w:spacing w:line="360" w:lineRule="auto"/>
              <w:rPr>
                <w:rFonts w:hint="default" w:asciiTheme="minorEastAsia" w:hAnsiTheme="minorEastAsia" w:eastAsiaTheme="minorEastAsia" w:cstheme="minorEastAsia"/>
              </w:rPr>
            </w:pPr>
            <w:r>
              <w:rPr>
                <w:rFonts w:hint="eastAsia" w:asciiTheme="minorEastAsia" w:hAnsiTheme="minorEastAsia" w:eastAsiaTheme="minorEastAsia" w:cstheme="minorEastAsia"/>
                <w:bCs/>
                <w:iCs/>
              </w:rPr>
              <w:t>联系方式：13939193092</w:t>
            </w:r>
          </w:p>
        </w:tc>
      </w:tr>
      <w:tr w14:paraId="22D06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DC63F00">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1.1.3</w:t>
            </w:r>
          </w:p>
        </w:tc>
        <w:tc>
          <w:tcPr>
            <w:tcW w:w="2318" w:type="dxa"/>
            <w:tcBorders>
              <w:tl2br w:val="nil"/>
              <w:tr2bl w:val="nil"/>
            </w:tcBorders>
            <w:vAlign w:val="center"/>
          </w:tcPr>
          <w:p w14:paraId="02D31456">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采购代理机构</w:t>
            </w:r>
          </w:p>
        </w:tc>
        <w:tc>
          <w:tcPr>
            <w:tcW w:w="6112" w:type="dxa"/>
            <w:tcBorders>
              <w:tl2br w:val="nil"/>
              <w:tr2bl w:val="nil"/>
            </w:tcBorders>
            <w:vAlign w:val="center"/>
          </w:tcPr>
          <w:p w14:paraId="28323CD4">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名称：河南领秀工程造价咨询有限公司</w:t>
            </w:r>
          </w:p>
          <w:p w14:paraId="2C1DABD7">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地址：郑州市电厂路北段河南省国家大学科技园（东区）16号楼C座20层2002室</w:t>
            </w:r>
          </w:p>
          <w:p w14:paraId="7A928052">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联系人：张秀荣</w:t>
            </w:r>
          </w:p>
          <w:p w14:paraId="099D59EC">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联系方式：13283807903</w:t>
            </w:r>
          </w:p>
          <w:p w14:paraId="550C7E05">
            <w:pPr>
              <w:pStyle w:val="19"/>
              <w:wordWrap w:val="0"/>
              <w:spacing w:line="360" w:lineRule="auto"/>
              <w:rPr>
                <w:rFonts w:hint="default" w:asciiTheme="minorEastAsia" w:hAnsiTheme="minorEastAsia" w:eastAsiaTheme="minorEastAsia" w:cstheme="minorEastAsia"/>
              </w:rPr>
            </w:pPr>
            <w:r>
              <w:rPr>
                <w:rFonts w:hint="eastAsia" w:asciiTheme="minorEastAsia" w:hAnsiTheme="minorEastAsia" w:eastAsiaTheme="minorEastAsia" w:cstheme="minorEastAsia"/>
              </w:rPr>
              <w:t>邮箱：lingxiudailibu@163.com</w:t>
            </w:r>
          </w:p>
        </w:tc>
      </w:tr>
      <w:tr w14:paraId="68788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50025629">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1.1.4</w:t>
            </w:r>
          </w:p>
        </w:tc>
        <w:tc>
          <w:tcPr>
            <w:tcW w:w="2318" w:type="dxa"/>
            <w:tcBorders>
              <w:tl2br w:val="nil"/>
              <w:tr2bl w:val="nil"/>
            </w:tcBorders>
            <w:vAlign w:val="center"/>
          </w:tcPr>
          <w:p w14:paraId="6EF0DDC3">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p>
        </w:tc>
        <w:tc>
          <w:tcPr>
            <w:tcW w:w="6112" w:type="dxa"/>
            <w:tcBorders>
              <w:tl2br w:val="nil"/>
              <w:tr2bl w:val="nil"/>
            </w:tcBorders>
            <w:vAlign w:val="center"/>
          </w:tcPr>
          <w:p w14:paraId="2AC03DF9">
            <w:pPr>
              <w:wordWrap w:val="0"/>
              <w:adjustRightInd w:val="0"/>
              <w:snapToGrid w:val="0"/>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博爱县城市生命线系统暨运行管理服务平台项目（一期）</w:t>
            </w:r>
          </w:p>
        </w:tc>
      </w:tr>
      <w:tr w14:paraId="3FBA6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6C3DECFC">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1.1.5</w:t>
            </w:r>
          </w:p>
        </w:tc>
        <w:tc>
          <w:tcPr>
            <w:tcW w:w="2318" w:type="dxa"/>
            <w:tcBorders>
              <w:tl2br w:val="nil"/>
              <w:tr2bl w:val="nil"/>
            </w:tcBorders>
            <w:vAlign w:val="center"/>
          </w:tcPr>
          <w:p w14:paraId="3F0A7444">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iCs/>
                <w:szCs w:val="21"/>
                <w:lang w:val="en-US" w:eastAsia="zh-CN"/>
              </w:rPr>
              <w:t>服务</w:t>
            </w:r>
            <w:r>
              <w:rPr>
                <w:rFonts w:hint="eastAsia" w:asciiTheme="minorEastAsia" w:hAnsiTheme="minorEastAsia" w:eastAsiaTheme="minorEastAsia" w:cstheme="minorEastAsia"/>
                <w:bCs/>
                <w:iCs/>
                <w:szCs w:val="21"/>
              </w:rPr>
              <w:t>地点</w:t>
            </w:r>
          </w:p>
        </w:tc>
        <w:tc>
          <w:tcPr>
            <w:tcW w:w="6112" w:type="dxa"/>
            <w:tcBorders>
              <w:tl2br w:val="nil"/>
              <w:tr2bl w:val="nil"/>
            </w:tcBorders>
            <w:vAlign w:val="center"/>
          </w:tcPr>
          <w:p w14:paraId="75671B6F">
            <w:pPr>
              <w:pStyle w:val="19"/>
              <w:wordWrap w:val="0"/>
              <w:spacing w:line="360" w:lineRule="auto"/>
              <w:rPr>
                <w:rFonts w:hint="default" w:asciiTheme="minorEastAsia" w:hAnsiTheme="minorEastAsia" w:eastAsiaTheme="minorEastAsia" w:cstheme="minorEastAsia"/>
              </w:rPr>
            </w:pPr>
            <w:r>
              <w:rPr>
                <w:rFonts w:hint="eastAsia" w:asciiTheme="minorEastAsia" w:hAnsiTheme="minorEastAsia" w:eastAsiaTheme="minorEastAsia" w:cstheme="minorEastAsia"/>
              </w:rPr>
              <w:t>采购人指定地点</w:t>
            </w:r>
          </w:p>
        </w:tc>
      </w:tr>
      <w:tr w14:paraId="2E45F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0420BF5">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1.2.1</w:t>
            </w:r>
          </w:p>
        </w:tc>
        <w:tc>
          <w:tcPr>
            <w:tcW w:w="2318" w:type="dxa"/>
            <w:tcBorders>
              <w:tl2br w:val="nil"/>
              <w:tr2bl w:val="nil"/>
            </w:tcBorders>
            <w:vAlign w:val="center"/>
          </w:tcPr>
          <w:p w14:paraId="5D0ADEC4">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资金来源</w:t>
            </w:r>
          </w:p>
        </w:tc>
        <w:tc>
          <w:tcPr>
            <w:tcW w:w="6112" w:type="dxa"/>
            <w:tcBorders>
              <w:tl2br w:val="nil"/>
              <w:tr2bl w:val="nil"/>
            </w:tcBorders>
            <w:vAlign w:val="center"/>
          </w:tcPr>
          <w:p w14:paraId="163D12E1">
            <w:pPr>
              <w:pStyle w:val="19"/>
              <w:wordWrap w:val="0"/>
              <w:spacing w:line="360" w:lineRule="auto"/>
              <w:rPr>
                <w:rFonts w:hint="default" w:asciiTheme="minorEastAsia" w:hAnsiTheme="minorEastAsia" w:eastAsiaTheme="minorEastAsia" w:cstheme="minorEastAsia"/>
              </w:rPr>
            </w:pPr>
            <w:r>
              <w:rPr>
                <w:rFonts w:hint="eastAsia" w:asciiTheme="minorEastAsia" w:hAnsiTheme="minorEastAsia" w:eastAsiaTheme="minorEastAsia" w:cstheme="minorEastAsia"/>
              </w:rPr>
              <w:t>财政资金</w:t>
            </w:r>
          </w:p>
        </w:tc>
      </w:tr>
      <w:tr w14:paraId="54190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4E5210CE">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1.2.2</w:t>
            </w:r>
          </w:p>
        </w:tc>
        <w:tc>
          <w:tcPr>
            <w:tcW w:w="2318" w:type="dxa"/>
            <w:tcBorders>
              <w:tl2br w:val="nil"/>
              <w:tr2bl w:val="nil"/>
            </w:tcBorders>
            <w:vAlign w:val="center"/>
          </w:tcPr>
          <w:p w14:paraId="57EE3244">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资金落实情况</w:t>
            </w:r>
          </w:p>
        </w:tc>
        <w:tc>
          <w:tcPr>
            <w:tcW w:w="6112" w:type="dxa"/>
            <w:tcBorders>
              <w:tl2br w:val="nil"/>
              <w:tr2bl w:val="nil"/>
            </w:tcBorders>
            <w:vAlign w:val="center"/>
          </w:tcPr>
          <w:p w14:paraId="01ED1502">
            <w:pPr>
              <w:pStyle w:val="19"/>
              <w:wordWrap w:val="0"/>
              <w:spacing w:line="360" w:lineRule="auto"/>
              <w:rPr>
                <w:rFonts w:hint="default" w:asciiTheme="minorEastAsia" w:hAnsiTheme="minorEastAsia" w:eastAsiaTheme="minorEastAsia" w:cstheme="minorEastAsia"/>
              </w:rPr>
            </w:pPr>
            <w:r>
              <w:rPr>
                <w:rFonts w:asciiTheme="minorEastAsia" w:hAnsiTheme="minorEastAsia" w:eastAsiaTheme="minorEastAsia" w:cstheme="minorEastAsia"/>
              </w:rPr>
              <w:t>已落实</w:t>
            </w:r>
          </w:p>
        </w:tc>
      </w:tr>
      <w:tr w14:paraId="6F511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407C9EEE">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1.3.1</w:t>
            </w:r>
          </w:p>
        </w:tc>
        <w:tc>
          <w:tcPr>
            <w:tcW w:w="2318" w:type="dxa"/>
            <w:tcBorders>
              <w:tl2br w:val="nil"/>
              <w:tr2bl w:val="nil"/>
            </w:tcBorders>
            <w:vAlign w:val="center"/>
          </w:tcPr>
          <w:p w14:paraId="24C8A83A">
            <w:pPr>
              <w:pStyle w:val="19"/>
              <w:wordWrap w:val="0"/>
              <w:spacing w:line="360" w:lineRule="auto"/>
              <w:ind w:firstLine="630" w:firstLineChars="300"/>
              <w:rPr>
                <w:rFonts w:hint="default" w:asciiTheme="minorEastAsia" w:hAnsiTheme="minorEastAsia" w:eastAsiaTheme="minorEastAsia" w:cstheme="minorEastAsia"/>
              </w:rPr>
            </w:pPr>
            <w:r>
              <w:rPr>
                <w:rFonts w:asciiTheme="minorEastAsia" w:hAnsiTheme="minorEastAsia" w:eastAsiaTheme="minorEastAsia" w:cstheme="minorEastAsia"/>
              </w:rPr>
              <w:t>采购需求</w:t>
            </w:r>
          </w:p>
        </w:tc>
        <w:tc>
          <w:tcPr>
            <w:tcW w:w="6112" w:type="dxa"/>
            <w:tcBorders>
              <w:tl2br w:val="nil"/>
              <w:tr2bl w:val="nil"/>
            </w:tcBorders>
          </w:tcPr>
          <w:p w14:paraId="4365865E">
            <w:pPr>
              <w:pStyle w:val="19"/>
              <w:wordWrap w:val="0"/>
              <w:spacing w:line="360" w:lineRule="auto"/>
              <w:rPr>
                <w:rFonts w:hint="default" w:asciiTheme="minorEastAsia" w:hAnsiTheme="minorEastAsia" w:eastAsiaTheme="minorEastAsia" w:cstheme="minorEastAsia"/>
              </w:rPr>
            </w:pPr>
            <w:r>
              <w:rPr>
                <w:rFonts w:hint="default" w:asciiTheme="minorEastAsia" w:hAnsiTheme="minorEastAsia" w:eastAsiaTheme="minorEastAsia" w:cstheme="minorEastAsia"/>
              </w:rPr>
              <w:t>对博爱县城市生命线系统暨运行管理服务平台项目（一期）进行建设，并负责三年维护运行等服务。（详见招标文件第五章“采购内容及技术要求”）</w:t>
            </w:r>
          </w:p>
        </w:tc>
      </w:tr>
      <w:tr w14:paraId="1748A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3A217254">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1.3.2</w:t>
            </w:r>
          </w:p>
        </w:tc>
        <w:tc>
          <w:tcPr>
            <w:tcW w:w="2318" w:type="dxa"/>
            <w:tcBorders>
              <w:tl2br w:val="nil"/>
              <w:tr2bl w:val="nil"/>
            </w:tcBorders>
            <w:vAlign w:val="center"/>
          </w:tcPr>
          <w:p w14:paraId="31066FFD">
            <w:pPr>
              <w:pStyle w:val="19"/>
              <w:wordWrap w:val="0"/>
              <w:spacing w:line="360" w:lineRule="auto"/>
              <w:jc w:val="center"/>
              <w:rPr>
                <w:rFonts w:hint="default" w:asciiTheme="minorEastAsia" w:hAnsiTheme="minorEastAsia" w:eastAsiaTheme="minorEastAsia" w:cstheme="minorEastAsia"/>
              </w:rPr>
            </w:pPr>
            <w:r>
              <w:rPr>
                <w:rFonts w:hint="eastAsia" w:ascii="宋体" w:hAnsi="宋体" w:eastAsia="宋体" w:cs="宋体"/>
                <w:highlight w:val="none"/>
                <w:lang w:val="en-US" w:eastAsia="zh-CN"/>
              </w:rPr>
              <w:t>供货安装期</w:t>
            </w:r>
          </w:p>
        </w:tc>
        <w:tc>
          <w:tcPr>
            <w:tcW w:w="6112" w:type="dxa"/>
            <w:tcBorders>
              <w:tl2br w:val="nil"/>
              <w:tr2bl w:val="nil"/>
            </w:tcBorders>
            <w:vAlign w:val="center"/>
          </w:tcPr>
          <w:p w14:paraId="18EA235C">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自合同签订之日起3个月内完成整个项目建设工作</w:t>
            </w:r>
          </w:p>
        </w:tc>
      </w:tr>
      <w:tr w14:paraId="58A81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7849A99C">
            <w:pPr>
              <w:pStyle w:val="19"/>
              <w:wordWrap w:val="0"/>
              <w:spacing w:line="360" w:lineRule="auto"/>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1.3.3</w:t>
            </w:r>
          </w:p>
        </w:tc>
        <w:tc>
          <w:tcPr>
            <w:tcW w:w="2318" w:type="dxa"/>
            <w:tcBorders>
              <w:tl2br w:val="nil"/>
              <w:tr2bl w:val="nil"/>
            </w:tcBorders>
            <w:vAlign w:val="center"/>
          </w:tcPr>
          <w:p w14:paraId="474AB1CC">
            <w:pPr>
              <w:pStyle w:val="19"/>
              <w:wordWrap w:val="0"/>
              <w:spacing w:line="360" w:lineRule="auto"/>
              <w:jc w:val="center"/>
              <w:rPr>
                <w:rFonts w:asciiTheme="minorEastAsia" w:hAnsiTheme="minorEastAsia" w:eastAsiaTheme="minorEastAsia" w:cstheme="minorEastAsia"/>
                <w:highlight w:val="none"/>
              </w:rPr>
            </w:pPr>
            <w:r>
              <w:rPr>
                <w:rFonts w:asciiTheme="minorEastAsia" w:hAnsiTheme="minorEastAsia" w:eastAsiaTheme="minorEastAsia" w:cstheme="minorEastAsia"/>
                <w:highlight w:val="none"/>
              </w:rPr>
              <w:t>合同履行期限</w:t>
            </w:r>
          </w:p>
        </w:tc>
        <w:tc>
          <w:tcPr>
            <w:tcW w:w="6112" w:type="dxa"/>
            <w:tcBorders>
              <w:tl2br w:val="nil"/>
              <w:tr2bl w:val="nil"/>
            </w:tcBorders>
            <w:vAlign w:val="center"/>
          </w:tcPr>
          <w:p w14:paraId="27EF7186">
            <w:pPr>
              <w:pStyle w:val="19"/>
              <w:wordWrap w:val="0"/>
              <w:spacing w:line="360" w:lineRule="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项目经上级验收合格后进入运维期，运维期3年</w:t>
            </w:r>
          </w:p>
        </w:tc>
      </w:tr>
      <w:tr w14:paraId="52D5F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49AC25B2">
            <w:pPr>
              <w:pStyle w:val="19"/>
              <w:wordWrap w:val="0"/>
              <w:spacing w:line="360" w:lineRule="auto"/>
              <w:jc w:val="center"/>
              <w:rPr>
                <w:rFonts w:hint="eastAsia" w:asciiTheme="minorEastAsia" w:hAnsiTheme="minorEastAsia" w:eastAsiaTheme="minorEastAsia" w:cstheme="minorEastAsia"/>
                <w:lang w:eastAsia="zh-CN"/>
              </w:rPr>
            </w:pPr>
            <w:r>
              <w:rPr>
                <w:rFonts w:asciiTheme="minorEastAsia" w:hAnsiTheme="minorEastAsia" w:eastAsiaTheme="minorEastAsia" w:cstheme="minorEastAsia"/>
              </w:rPr>
              <w:t>1.3.</w:t>
            </w:r>
            <w:r>
              <w:rPr>
                <w:rFonts w:hint="eastAsia" w:asciiTheme="minorEastAsia" w:hAnsiTheme="minorEastAsia" w:eastAsiaTheme="minorEastAsia" w:cstheme="minorEastAsia"/>
                <w:lang w:val="en-US" w:eastAsia="zh-CN"/>
              </w:rPr>
              <w:t>4</w:t>
            </w:r>
          </w:p>
        </w:tc>
        <w:tc>
          <w:tcPr>
            <w:tcW w:w="2318" w:type="dxa"/>
            <w:tcBorders>
              <w:tl2br w:val="nil"/>
              <w:tr2bl w:val="nil"/>
            </w:tcBorders>
            <w:vAlign w:val="center"/>
          </w:tcPr>
          <w:p w14:paraId="449B81E4">
            <w:pPr>
              <w:pStyle w:val="19"/>
              <w:wordWrap w:val="0"/>
              <w:spacing w:line="360" w:lineRule="auto"/>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lang w:val="en-US" w:eastAsia="zh-CN"/>
              </w:rPr>
              <w:t>质量</w:t>
            </w:r>
            <w:r>
              <w:rPr>
                <w:rFonts w:asciiTheme="minorEastAsia" w:hAnsiTheme="minorEastAsia" w:eastAsiaTheme="minorEastAsia" w:cstheme="minorEastAsia"/>
              </w:rPr>
              <w:t>标准</w:t>
            </w:r>
          </w:p>
        </w:tc>
        <w:tc>
          <w:tcPr>
            <w:tcW w:w="6112" w:type="dxa"/>
            <w:tcBorders>
              <w:tl2br w:val="nil"/>
              <w:tr2bl w:val="nil"/>
            </w:tcBorders>
            <w:vAlign w:val="center"/>
          </w:tcPr>
          <w:p w14:paraId="125B2C18">
            <w:pPr>
              <w:pStyle w:val="19"/>
              <w:wordWrap w:val="0"/>
              <w:spacing w:line="360" w:lineRule="auto"/>
              <w:rPr>
                <w:rFonts w:hint="default" w:asciiTheme="minorEastAsia" w:hAnsiTheme="minorEastAsia" w:eastAsiaTheme="minorEastAsia" w:cstheme="minorEastAsia"/>
              </w:rPr>
            </w:pPr>
            <w:r>
              <w:rPr>
                <w:rFonts w:hint="eastAsia"/>
              </w:rPr>
              <w:t>符合国家质量标准，达到合格及以上等次，且通过上级验收</w:t>
            </w:r>
          </w:p>
        </w:tc>
      </w:tr>
      <w:tr w14:paraId="6663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792AB488">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1.4.1</w:t>
            </w:r>
          </w:p>
        </w:tc>
        <w:tc>
          <w:tcPr>
            <w:tcW w:w="2318" w:type="dxa"/>
            <w:tcBorders>
              <w:tl2br w:val="nil"/>
              <w:tr2bl w:val="nil"/>
            </w:tcBorders>
            <w:vAlign w:val="center"/>
          </w:tcPr>
          <w:p w14:paraId="0048F55E">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供应商资质条件</w:t>
            </w:r>
          </w:p>
        </w:tc>
        <w:tc>
          <w:tcPr>
            <w:tcW w:w="6112" w:type="dxa"/>
            <w:tcBorders>
              <w:tl2br w:val="nil"/>
              <w:tr2bl w:val="nil"/>
            </w:tcBorders>
            <w:vAlign w:val="center"/>
          </w:tcPr>
          <w:p w14:paraId="2E57E9C7">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1.符合《中华人民共和国政府采购法》第二十二条规定；</w:t>
            </w:r>
          </w:p>
          <w:p w14:paraId="3834A174">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2.落实政府采购政策需满足的资格要求：促进中小企业和监狱企业发展扶持政策、政府强制采购节能产品、节能产品及环境标志产品优先采购。</w:t>
            </w:r>
          </w:p>
          <w:p w14:paraId="5684748A">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3.本项目的特定资格要求：</w:t>
            </w:r>
          </w:p>
          <w:p w14:paraId="4EBFE723">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3.1 供应商须具有有效的营业执照，并具有实施完成本项目的经营实力和完善的售后服务体系；</w:t>
            </w:r>
          </w:p>
          <w:p w14:paraId="5E3BAD08">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3.2 信誉要求：按照《财政部关于在政府采购活动中查询及使用信用记录有关问题的通知》（财库〔2016〕125号）的要求，根据开标当日“信用中国”网站（www.creditchina.gov.cn）、中国政府采购网（www.ccgp.gov.cn）的信息，对列入失信被执行人、重大税收违法失信主体、政府采购严重违法失信行为记录名单的供应商，拒绝参与政府采购活动，同时对信用信息查询记录和证据进行打印存档。(备注：信誉要求由采购代理机构开标当日提供查询结果。）</w:t>
            </w:r>
          </w:p>
          <w:p w14:paraId="413C40D2">
            <w:pPr>
              <w:pStyle w:val="19"/>
              <w:wordWrap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3.3 本项目不接受联合体投标；</w:t>
            </w:r>
          </w:p>
          <w:p w14:paraId="6B11E097">
            <w:pPr>
              <w:pStyle w:val="19"/>
              <w:wordWrap w:val="0"/>
              <w:spacing w:line="360" w:lineRule="auto"/>
              <w:rPr>
                <w:rFonts w:hint="default" w:asciiTheme="minorEastAsia" w:hAnsiTheme="minorEastAsia" w:eastAsiaTheme="minorEastAsia" w:cstheme="minorEastAsia"/>
              </w:rPr>
            </w:pPr>
            <w:r>
              <w:rPr>
                <w:rFonts w:hint="eastAsia" w:asciiTheme="minorEastAsia" w:hAnsiTheme="minorEastAsia" w:eastAsiaTheme="minorEastAsia" w:cstheme="minorEastAsia"/>
              </w:rPr>
              <w:t>3.4 资格审查方式：资格后审。</w:t>
            </w:r>
          </w:p>
        </w:tc>
      </w:tr>
      <w:tr w14:paraId="10704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C6C732A">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1.4.2</w:t>
            </w:r>
          </w:p>
        </w:tc>
        <w:tc>
          <w:tcPr>
            <w:tcW w:w="2318" w:type="dxa"/>
            <w:tcBorders>
              <w:tl2br w:val="nil"/>
              <w:tr2bl w:val="nil"/>
            </w:tcBorders>
            <w:vAlign w:val="center"/>
          </w:tcPr>
          <w:p w14:paraId="1397ED9C">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是否接受联合体</w:t>
            </w:r>
          </w:p>
        </w:tc>
        <w:tc>
          <w:tcPr>
            <w:tcW w:w="6112" w:type="dxa"/>
            <w:tcBorders>
              <w:tl2br w:val="nil"/>
              <w:tr2bl w:val="nil"/>
            </w:tcBorders>
            <w:vAlign w:val="center"/>
          </w:tcPr>
          <w:p w14:paraId="6A79E0F8">
            <w:pPr>
              <w:pStyle w:val="19"/>
              <w:wordWrap w:val="0"/>
              <w:spacing w:line="360" w:lineRule="auto"/>
              <w:rPr>
                <w:rFonts w:hint="default" w:asciiTheme="minorEastAsia" w:hAnsiTheme="minorEastAsia" w:eastAsiaTheme="minorEastAsia" w:cstheme="minorEastAsia"/>
              </w:rPr>
            </w:pPr>
            <w:r>
              <w:rPr>
                <w:rFonts w:asciiTheme="minorEastAsia" w:hAnsiTheme="minorEastAsia" w:eastAsiaTheme="minorEastAsia" w:cstheme="minorEastAsia"/>
              </w:rPr>
              <w:t>不接受</w:t>
            </w:r>
          </w:p>
        </w:tc>
      </w:tr>
      <w:tr w14:paraId="25B17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5BAEBDC9">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1.10.1</w:t>
            </w:r>
          </w:p>
        </w:tc>
        <w:tc>
          <w:tcPr>
            <w:tcW w:w="2318" w:type="dxa"/>
            <w:tcBorders>
              <w:tl2br w:val="nil"/>
              <w:tr2bl w:val="nil"/>
            </w:tcBorders>
            <w:vAlign w:val="center"/>
          </w:tcPr>
          <w:p w14:paraId="05F7C3C4">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投标预备会</w:t>
            </w:r>
          </w:p>
        </w:tc>
        <w:tc>
          <w:tcPr>
            <w:tcW w:w="6112" w:type="dxa"/>
            <w:tcBorders>
              <w:tl2br w:val="nil"/>
              <w:tr2bl w:val="nil"/>
            </w:tcBorders>
            <w:vAlign w:val="center"/>
          </w:tcPr>
          <w:p w14:paraId="6A267E2D">
            <w:pPr>
              <w:pStyle w:val="19"/>
              <w:wordWrap w:val="0"/>
              <w:spacing w:line="360" w:lineRule="auto"/>
              <w:rPr>
                <w:rFonts w:hint="default" w:asciiTheme="minorEastAsia" w:hAnsiTheme="minorEastAsia" w:eastAsiaTheme="minorEastAsia" w:cstheme="minorEastAsia"/>
              </w:rPr>
            </w:pPr>
            <w:r>
              <w:rPr>
                <w:rFonts w:asciiTheme="minorEastAsia" w:hAnsiTheme="minorEastAsia" w:eastAsiaTheme="minorEastAsia" w:cstheme="minorEastAsia"/>
              </w:rPr>
              <w:t>不召开</w:t>
            </w:r>
          </w:p>
        </w:tc>
      </w:tr>
      <w:tr w14:paraId="08C27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176E8C73">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1.10.2</w:t>
            </w:r>
          </w:p>
        </w:tc>
        <w:tc>
          <w:tcPr>
            <w:tcW w:w="2318" w:type="dxa"/>
            <w:tcBorders>
              <w:tl2br w:val="nil"/>
              <w:tr2bl w:val="nil"/>
            </w:tcBorders>
            <w:vAlign w:val="center"/>
          </w:tcPr>
          <w:p w14:paraId="5A4A5F99">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供应商提出问题的</w:t>
            </w:r>
          </w:p>
          <w:p w14:paraId="51567A68">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截止时间</w:t>
            </w:r>
          </w:p>
        </w:tc>
        <w:tc>
          <w:tcPr>
            <w:tcW w:w="6112" w:type="dxa"/>
            <w:tcBorders>
              <w:tl2br w:val="nil"/>
              <w:tr2bl w:val="nil"/>
            </w:tcBorders>
            <w:vAlign w:val="center"/>
          </w:tcPr>
          <w:p w14:paraId="2EF55229">
            <w:pPr>
              <w:pStyle w:val="19"/>
              <w:wordWrap w:val="0"/>
              <w:spacing w:line="360" w:lineRule="auto"/>
              <w:rPr>
                <w:rFonts w:hint="default" w:asciiTheme="minorEastAsia" w:hAnsiTheme="minorEastAsia" w:eastAsiaTheme="minorEastAsia" w:cstheme="minorEastAsia"/>
              </w:rPr>
            </w:pPr>
            <w:r>
              <w:rPr>
                <w:rFonts w:asciiTheme="minorEastAsia" w:hAnsiTheme="minorEastAsia" w:eastAsiaTheme="minorEastAsia" w:cstheme="minorEastAsia"/>
              </w:rPr>
              <w:t>若有疑问，应当在获取招标文件或者招标文件公告期限届满之日起七个工作日内，以书面形式向采购人、代理机构提出质疑。</w:t>
            </w:r>
          </w:p>
        </w:tc>
      </w:tr>
      <w:tr w14:paraId="5AC9D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4685BCCE">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1.10.3</w:t>
            </w:r>
          </w:p>
        </w:tc>
        <w:tc>
          <w:tcPr>
            <w:tcW w:w="2318" w:type="dxa"/>
            <w:tcBorders>
              <w:tl2br w:val="nil"/>
              <w:tr2bl w:val="nil"/>
            </w:tcBorders>
            <w:vAlign w:val="center"/>
          </w:tcPr>
          <w:p w14:paraId="2CF858C1">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采购人书面澄清的时间</w:t>
            </w:r>
          </w:p>
        </w:tc>
        <w:tc>
          <w:tcPr>
            <w:tcW w:w="6112" w:type="dxa"/>
            <w:tcBorders>
              <w:tl2br w:val="nil"/>
              <w:tr2bl w:val="nil"/>
            </w:tcBorders>
            <w:vAlign w:val="center"/>
          </w:tcPr>
          <w:p w14:paraId="1430DD73">
            <w:pPr>
              <w:pStyle w:val="19"/>
              <w:wordWrap w:val="0"/>
              <w:spacing w:line="360" w:lineRule="auto"/>
              <w:rPr>
                <w:rFonts w:hint="default" w:asciiTheme="minorEastAsia" w:hAnsiTheme="minorEastAsia" w:eastAsiaTheme="minorEastAsia" w:cstheme="minorEastAsia"/>
              </w:rPr>
            </w:pPr>
            <w:r>
              <w:rPr>
                <w:rFonts w:asciiTheme="minorEastAsia" w:hAnsiTheme="minorEastAsia" w:eastAsiaTheme="minorEastAsia" w:cstheme="minorEastAsia"/>
              </w:rPr>
              <w:t>投标截止时间15日前</w:t>
            </w:r>
          </w:p>
        </w:tc>
      </w:tr>
      <w:tr w14:paraId="7C43F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B6AE99C">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1.11</w:t>
            </w:r>
          </w:p>
        </w:tc>
        <w:tc>
          <w:tcPr>
            <w:tcW w:w="2318" w:type="dxa"/>
            <w:tcBorders>
              <w:tl2br w:val="nil"/>
              <w:tr2bl w:val="nil"/>
            </w:tcBorders>
            <w:vAlign w:val="center"/>
          </w:tcPr>
          <w:p w14:paraId="562AFEA9">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分包</w:t>
            </w:r>
          </w:p>
        </w:tc>
        <w:tc>
          <w:tcPr>
            <w:tcW w:w="6112" w:type="dxa"/>
            <w:tcBorders>
              <w:tl2br w:val="nil"/>
              <w:tr2bl w:val="nil"/>
            </w:tcBorders>
            <w:vAlign w:val="center"/>
          </w:tcPr>
          <w:p w14:paraId="5ACF99D9">
            <w:pPr>
              <w:pStyle w:val="19"/>
              <w:wordWrap w:val="0"/>
              <w:spacing w:line="360" w:lineRule="auto"/>
              <w:rPr>
                <w:rFonts w:hint="default" w:asciiTheme="minorEastAsia" w:hAnsiTheme="minorEastAsia" w:eastAsiaTheme="minorEastAsia" w:cstheme="minorEastAsia"/>
              </w:rPr>
            </w:pPr>
            <w:r>
              <w:rPr>
                <w:rFonts w:asciiTheme="minorEastAsia" w:hAnsiTheme="minorEastAsia" w:eastAsiaTheme="minorEastAsia" w:cstheme="minorEastAsia"/>
              </w:rPr>
              <w:t>不允许</w:t>
            </w:r>
          </w:p>
        </w:tc>
      </w:tr>
      <w:tr w14:paraId="3FA89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3547748B">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2.2.1</w:t>
            </w:r>
          </w:p>
        </w:tc>
        <w:tc>
          <w:tcPr>
            <w:tcW w:w="2318" w:type="dxa"/>
            <w:tcBorders>
              <w:tl2br w:val="nil"/>
              <w:tr2bl w:val="nil"/>
            </w:tcBorders>
            <w:vAlign w:val="center"/>
          </w:tcPr>
          <w:p w14:paraId="4C49FDE2">
            <w:pPr>
              <w:pStyle w:val="19"/>
              <w:wordWrap w:val="0"/>
              <w:spacing w:line="360" w:lineRule="auto"/>
              <w:jc w:val="center"/>
              <w:rPr>
                <w:rFonts w:hint="default" w:asciiTheme="minorEastAsia" w:hAnsiTheme="minorEastAsia" w:eastAsiaTheme="minorEastAsia" w:cstheme="minorEastAsia"/>
              </w:rPr>
            </w:pPr>
            <w:r>
              <w:rPr>
                <w:rFonts w:hint="eastAsia" w:asciiTheme="minorEastAsia" w:hAnsiTheme="minorEastAsia" w:eastAsiaTheme="minorEastAsia" w:cstheme="minorEastAsia"/>
                <w:lang w:eastAsia="zh-CN"/>
              </w:rPr>
              <w:t>供应商</w:t>
            </w:r>
            <w:r>
              <w:rPr>
                <w:rFonts w:asciiTheme="minorEastAsia" w:hAnsiTheme="minorEastAsia" w:eastAsiaTheme="minorEastAsia" w:cstheme="minorEastAsia"/>
              </w:rPr>
              <w:t>提出问题的截止时间</w:t>
            </w:r>
          </w:p>
        </w:tc>
        <w:tc>
          <w:tcPr>
            <w:tcW w:w="6112" w:type="dxa"/>
            <w:tcBorders>
              <w:tl2br w:val="nil"/>
              <w:tr2bl w:val="nil"/>
            </w:tcBorders>
            <w:vAlign w:val="center"/>
          </w:tcPr>
          <w:p w14:paraId="70384CE8">
            <w:pPr>
              <w:pStyle w:val="19"/>
              <w:wordWrap w:val="0"/>
              <w:spacing w:line="360" w:lineRule="auto"/>
              <w:rPr>
                <w:rFonts w:hint="default" w:asciiTheme="minorEastAsia" w:hAnsiTheme="minorEastAsia" w:eastAsiaTheme="minorEastAsia" w:cstheme="minorEastAsia"/>
              </w:rPr>
            </w:pPr>
            <w:r>
              <w:rPr>
                <w:rFonts w:asciiTheme="minorEastAsia" w:hAnsiTheme="minorEastAsia" w:eastAsiaTheme="minorEastAsia" w:cstheme="minorEastAsia"/>
              </w:rPr>
              <w:t>若有疑问，应当在获取招标文件或者招标文件公告期限届满之日起七个工作日内，以书面形式向采购人、代理机构提出质疑。</w:t>
            </w:r>
          </w:p>
        </w:tc>
      </w:tr>
      <w:tr w14:paraId="4F76B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5D0F53D2">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2.2.2</w:t>
            </w:r>
          </w:p>
        </w:tc>
        <w:tc>
          <w:tcPr>
            <w:tcW w:w="2318" w:type="dxa"/>
            <w:tcBorders>
              <w:tl2br w:val="nil"/>
              <w:tr2bl w:val="nil"/>
            </w:tcBorders>
            <w:vAlign w:val="center"/>
          </w:tcPr>
          <w:p w14:paraId="51C07204">
            <w:pPr>
              <w:pStyle w:val="19"/>
              <w:wordWrap w:val="0"/>
              <w:spacing w:line="360" w:lineRule="auto"/>
              <w:jc w:val="center"/>
              <w:rPr>
                <w:rFonts w:hint="default" w:asciiTheme="minorEastAsia" w:hAnsiTheme="minorEastAsia" w:eastAsiaTheme="minorEastAsia" w:cstheme="minorEastAsia"/>
                <w:b/>
                <w:bCs/>
                <w:highlight w:val="none"/>
              </w:rPr>
            </w:pPr>
            <w:r>
              <w:rPr>
                <w:rFonts w:asciiTheme="minorEastAsia" w:hAnsiTheme="minorEastAsia" w:eastAsiaTheme="minorEastAsia" w:cstheme="minorEastAsia"/>
                <w:highlight w:val="none"/>
              </w:rPr>
              <w:t>投标截止时间</w:t>
            </w:r>
          </w:p>
        </w:tc>
        <w:tc>
          <w:tcPr>
            <w:tcW w:w="6112" w:type="dxa"/>
            <w:tcBorders>
              <w:tl2br w:val="nil"/>
              <w:tr2bl w:val="nil"/>
            </w:tcBorders>
            <w:vAlign w:val="center"/>
          </w:tcPr>
          <w:p w14:paraId="48AE2D41">
            <w:pPr>
              <w:wordWrap w:val="0"/>
              <w:spacing w:line="360" w:lineRule="auto"/>
              <w:jc w:val="left"/>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202</w:t>
            </w:r>
            <w:r>
              <w:rPr>
                <w:rFonts w:hint="eastAsia" w:asciiTheme="minorEastAsia" w:hAnsiTheme="minorEastAsia" w:eastAsiaTheme="minorEastAsia" w:cstheme="minorEastAsia"/>
                <w:b/>
                <w:bCs/>
                <w:szCs w:val="21"/>
                <w:highlight w:val="none"/>
                <w:lang w:val="en-US" w:eastAsia="zh-CN"/>
              </w:rPr>
              <w:t>6</w:t>
            </w:r>
            <w:r>
              <w:rPr>
                <w:rFonts w:hint="eastAsia" w:asciiTheme="minorEastAsia" w:hAnsiTheme="minorEastAsia" w:eastAsiaTheme="minorEastAsia" w:cstheme="minorEastAsia"/>
                <w:b/>
                <w:bCs/>
                <w:szCs w:val="21"/>
                <w:highlight w:val="none"/>
              </w:rPr>
              <w:t>年</w:t>
            </w:r>
            <w:r>
              <w:rPr>
                <w:rFonts w:hint="eastAsia" w:asciiTheme="minorEastAsia" w:hAnsiTheme="minorEastAsia" w:eastAsiaTheme="minorEastAsia" w:cstheme="minorEastAsia"/>
                <w:b/>
                <w:bCs/>
                <w:szCs w:val="21"/>
                <w:highlight w:val="none"/>
                <w:lang w:val="en-US" w:eastAsia="zh-CN"/>
              </w:rPr>
              <w:t>1</w:t>
            </w:r>
            <w:r>
              <w:rPr>
                <w:rFonts w:hint="eastAsia" w:asciiTheme="minorEastAsia" w:hAnsiTheme="minorEastAsia" w:eastAsiaTheme="minorEastAsia" w:cstheme="minorEastAsia"/>
                <w:b/>
                <w:bCs/>
                <w:szCs w:val="21"/>
                <w:highlight w:val="none"/>
              </w:rPr>
              <w:t>月</w:t>
            </w:r>
            <w:r>
              <w:rPr>
                <w:rFonts w:hint="eastAsia" w:asciiTheme="minorEastAsia" w:hAnsiTheme="minorEastAsia" w:eastAsiaTheme="minorEastAsia" w:cstheme="minorEastAsia"/>
                <w:b/>
                <w:bCs/>
                <w:szCs w:val="21"/>
                <w:highlight w:val="none"/>
                <w:lang w:val="en-US" w:eastAsia="zh-CN"/>
              </w:rPr>
              <w:t>27</w:t>
            </w:r>
            <w:r>
              <w:rPr>
                <w:rFonts w:hint="eastAsia" w:asciiTheme="minorEastAsia" w:hAnsiTheme="minorEastAsia" w:eastAsiaTheme="minorEastAsia" w:cstheme="minorEastAsia"/>
                <w:b/>
                <w:bCs/>
                <w:szCs w:val="21"/>
                <w:highlight w:val="none"/>
              </w:rPr>
              <w:t>日上午</w:t>
            </w:r>
            <w:r>
              <w:rPr>
                <w:rFonts w:hint="eastAsia" w:asciiTheme="minorEastAsia" w:hAnsiTheme="minorEastAsia" w:eastAsiaTheme="minorEastAsia" w:cstheme="minorEastAsia"/>
                <w:b/>
                <w:bCs/>
                <w:szCs w:val="21"/>
                <w:highlight w:val="none"/>
                <w:lang w:val="en-US" w:eastAsia="zh-CN"/>
              </w:rPr>
              <w:t>9</w:t>
            </w:r>
            <w:r>
              <w:rPr>
                <w:rFonts w:hint="eastAsia" w:asciiTheme="minorEastAsia" w:hAnsiTheme="minorEastAsia" w:eastAsiaTheme="minorEastAsia" w:cstheme="minorEastAsia"/>
                <w:b/>
                <w:bCs/>
                <w:szCs w:val="21"/>
                <w:highlight w:val="none"/>
              </w:rPr>
              <w:t>时</w:t>
            </w:r>
            <w:r>
              <w:rPr>
                <w:rFonts w:hint="eastAsia" w:asciiTheme="minorEastAsia" w:hAnsiTheme="minorEastAsia" w:eastAsiaTheme="minorEastAsia" w:cstheme="minorEastAsia"/>
                <w:b/>
                <w:bCs/>
                <w:szCs w:val="21"/>
                <w:highlight w:val="none"/>
                <w:lang w:val="en-US" w:eastAsia="zh-CN"/>
              </w:rPr>
              <w:t>00</w:t>
            </w:r>
            <w:r>
              <w:rPr>
                <w:rFonts w:hint="eastAsia" w:asciiTheme="minorEastAsia" w:hAnsiTheme="minorEastAsia" w:eastAsiaTheme="minorEastAsia" w:cstheme="minorEastAsia"/>
                <w:b/>
                <w:bCs/>
                <w:szCs w:val="21"/>
                <w:highlight w:val="none"/>
              </w:rPr>
              <w:t>分（北京时间）</w:t>
            </w:r>
          </w:p>
        </w:tc>
      </w:tr>
      <w:tr w14:paraId="642E8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1D4AA561">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2.2.3</w:t>
            </w:r>
          </w:p>
        </w:tc>
        <w:tc>
          <w:tcPr>
            <w:tcW w:w="2318" w:type="dxa"/>
            <w:tcBorders>
              <w:tl2br w:val="nil"/>
              <w:tr2bl w:val="nil"/>
            </w:tcBorders>
            <w:vAlign w:val="center"/>
          </w:tcPr>
          <w:p w14:paraId="7B555199">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确认收到招标文件澄清的时间</w:t>
            </w:r>
          </w:p>
        </w:tc>
        <w:tc>
          <w:tcPr>
            <w:tcW w:w="6112" w:type="dxa"/>
            <w:tcBorders>
              <w:tl2br w:val="nil"/>
              <w:tr2bl w:val="nil"/>
            </w:tcBorders>
            <w:vAlign w:val="center"/>
          </w:tcPr>
          <w:p w14:paraId="74DD57C4">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同采购人书面澄清的时间</w:t>
            </w:r>
          </w:p>
        </w:tc>
      </w:tr>
      <w:tr w14:paraId="7F15C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415ACF0">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2.3.2</w:t>
            </w:r>
          </w:p>
        </w:tc>
        <w:tc>
          <w:tcPr>
            <w:tcW w:w="2318" w:type="dxa"/>
            <w:tcBorders>
              <w:tl2br w:val="nil"/>
              <w:tr2bl w:val="nil"/>
            </w:tcBorders>
            <w:vAlign w:val="center"/>
          </w:tcPr>
          <w:p w14:paraId="4F822AFC">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确认收到招标文件修改的时间</w:t>
            </w:r>
          </w:p>
        </w:tc>
        <w:tc>
          <w:tcPr>
            <w:tcW w:w="6112" w:type="dxa"/>
            <w:tcBorders>
              <w:tl2br w:val="nil"/>
              <w:tr2bl w:val="nil"/>
            </w:tcBorders>
            <w:vAlign w:val="center"/>
          </w:tcPr>
          <w:p w14:paraId="44EFFD4A">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同采购人书面修改的时间</w:t>
            </w:r>
          </w:p>
        </w:tc>
      </w:tr>
      <w:tr w14:paraId="7ADB2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4D69F905">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3.1.1</w:t>
            </w:r>
          </w:p>
        </w:tc>
        <w:tc>
          <w:tcPr>
            <w:tcW w:w="2318" w:type="dxa"/>
            <w:tcBorders>
              <w:tl2br w:val="nil"/>
              <w:tr2bl w:val="nil"/>
            </w:tcBorders>
            <w:vAlign w:val="center"/>
          </w:tcPr>
          <w:p w14:paraId="7D661260">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构成投标文件的</w:t>
            </w:r>
          </w:p>
          <w:p w14:paraId="5FCB5FE3">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其他材料</w:t>
            </w:r>
          </w:p>
        </w:tc>
        <w:tc>
          <w:tcPr>
            <w:tcW w:w="6112" w:type="dxa"/>
            <w:tcBorders>
              <w:tl2br w:val="nil"/>
              <w:tr2bl w:val="nil"/>
            </w:tcBorders>
            <w:vAlign w:val="center"/>
          </w:tcPr>
          <w:p w14:paraId="4E5DCD53">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招标文件中要求的其他资料 </w:t>
            </w:r>
          </w:p>
        </w:tc>
      </w:tr>
      <w:tr w14:paraId="03221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48382E7">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3.3.1</w:t>
            </w:r>
          </w:p>
        </w:tc>
        <w:tc>
          <w:tcPr>
            <w:tcW w:w="2318" w:type="dxa"/>
            <w:tcBorders>
              <w:tl2br w:val="nil"/>
              <w:tr2bl w:val="nil"/>
            </w:tcBorders>
            <w:vAlign w:val="center"/>
          </w:tcPr>
          <w:p w14:paraId="3A973CE2">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投标有效期</w:t>
            </w:r>
          </w:p>
        </w:tc>
        <w:tc>
          <w:tcPr>
            <w:tcW w:w="6112" w:type="dxa"/>
            <w:tcBorders>
              <w:tl2br w:val="nil"/>
              <w:tr2bl w:val="nil"/>
            </w:tcBorders>
            <w:vAlign w:val="center"/>
          </w:tcPr>
          <w:p w14:paraId="33BBDD1F">
            <w:pPr>
              <w:pStyle w:val="19"/>
              <w:wordWrap w:val="0"/>
              <w:spacing w:line="360" w:lineRule="auto"/>
              <w:rPr>
                <w:rFonts w:hint="default" w:asciiTheme="minorEastAsia" w:hAnsiTheme="minorEastAsia" w:eastAsiaTheme="minorEastAsia" w:cstheme="minorEastAsia"/>
              </w:rPr>
            </w:pPr>
            <w:r>
              <w:rPr>
                <w:rFonts w:hint="eastAsia" w:asciiTheme="minorEastAsia" w:hAnsiTheme="minorEastAsia" w:eastAsiaTheme="minorEastAsia" w:cstheme="minorEastAsia"/>
                <w:lang w:eastAsia="zh-CN"/>
              </w:rPr>
              <w:t>9</w:t>
            </w:r>
            <w:r>
              <w:rPr>
                <w:rFonts w:asciiTheme="minorEastAsia" w:hAnsiTheme="minorEastAsia" w:eastAsiaTheme="minorEastAsia" w:cstheme="minorEastAsia"/>
              </w:rPr>
              <w:t>0日历天（从投标截止之日算起）</w:t>
            </w:r>
          </w:p>
        </w:tc>
      </w:tr>
      <w:tr w14:paraId="01C62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820C5B0">
            <w:pPr>
              <w:pStyle w:val="19"/>
              <w:wordWrap w:val="0"/>
              <w:spacing w:line="360" w:lineRule="auto"/>
              <w:jc w:val="center"/>
              <w:rPr>
                <w:rFonts w:hint="eastAsia" w:asciiTheme="minorEastAsia" w:hAnsiTheme="minorEastAsia" w:eastAsiaTheme="minorEastAsia" w:cstheme="minorEastAsia"/>
                <w:lang w:eastAsia="zh-CN"/>
              </w:rPr>
            </w:pPr>
            <w:r>
              <w:rPr>
                <w:rFonts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5</w:t>
            </w:r>
          </w:p>
        </w:tc>
        <w:tc>
          <w:tcPr>
            <w:tcW w:w="2318" w:type="dxa"/>
            <w:tcBorders>
              <w:tl2br w:val="nil"/>
              <w:tr2bl w:val="nil"/>
            </w:tcBorders>
            <w:vAlign w:val="center"/>
          </w:tcPr>
          <w:p w14:paraId="0E97A96F">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是否允许递交备选</w:t>
            </w:r>
          </w:p>
          <w:p w14:paraId="7E067716">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投标方案</w:t>
            </w:r>
          </w:p>
        </w:tc>
        <w:tc>
          <w:tcPr>
            <w:tcW w:w="6112" w:type="dxa"/>
            <w:tcBorders>
              <w:tl2br w:val="nil"/>
              <w:tr2bl w:val="nil"/>
            </w:tcBorders>
            <w:vAlign w:val="center"/>
          </w:tcPr>
          <w:p w14:paraId="796B31A2">
            <w:pPr>
              <w:pStyle w:val="19"/>
              <w:wordWrap w:val="0"/>
              <w:spacing w:line="360" w:lineRule="auto"/>
              <w:rPr>
                <w:rFonts w:hint="default" w:asciiTheme="minorEastAsia" w:hAnsiTheme="minorEastAsia" w:eastAsiaTheme="minorEastAsia" w:cstheme="minorEastAsia"/>
              </w:rPr>
            </w:pPr>
            <w:r>
              <w:rPr>
                <w:rFonts w:asciiTheme="minorEastAsia" w:hAnsiTheme="minorEastAsia" w:eastAsiaTheme="minorEastAsia" w:cstheme="minorEastAsia"/>
              </w:rPr>
              <w:t>不允许</w:t>
            </w:r>
          </w:p>
        </w:tc>
      </w:tr>
      <w:tr w14:paraId="6B4F2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shd w:val="clear" w:color="auto" w:fill="auto"/>
            <w:vAlign w:val="center"/>
          </w:tcPr>
          <w:p w14:paraId="2FB33E75">
            <w:pPr>
              <w:wordWrap w:val="0"/>
              <w:spacing w:line="360"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3.7.</w:t>
            </w:r>
          </w:p>
        </w:tc>
        <w:tc>
          <w:tcPr>
            <w:tcW w:w="2318" w:type="dxa"/>
            <w:tcBorders>
              <w:tl2br w:val="nil"/>
              <w:tr2bl w:val="nil"/>
            </w:tcBorders>
            <w:shd w:val="clear" w:color="auto" w:fill="auto"/>
            <w:vAlign w:val="center"/>
          </w:tcPr>
          <w:p w14:paraId="1AF8F7DB">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签字盖章要求</w:t>
            </w:r>
          </w:p>
        </w:tc>
        <w:tc>
          <w:tcPr>
            <w:tcW w:w="6112" w:type="dxa"/>
            <w:tcBorders>
              <w:tl2br w:val="nil"/>
              <w:tr2bl w:val="nil"/>
            </w:tcBorders>
            <w:shd w:val="clear" w:color="auto" w:fill="auto"/>
            <w:vAlign w:val="center"/>
          </w:tcPr>
          <w:p w14:paraId="6DC0CB37">
            <w:pPr>
              <w:widowControl/>
              <w:wordWrap w:val="0"/>
              <w:spacing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1.所有要求供应商加盖公章的地方都须加盖供应商单位的 CA 印章。</w:t>
            </w:r>
          </w:p>
          <w:p w14:paraId="0F374A77">
            <w:pPr>
              <w:widowControl/>
              <w:wordWrap w:val="0"/>
              <w:spacing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2.要求法定代表人签字或盖章的，法定代表人在签字或盖章的地方上传手写签名的扫描件或加盖法定代表人 CA 印章。</w:t>
            </w:r>
          </w:p>
          <w:p w14:paraId="4A4A4660">
            <w:pPr>
              <w:widowControl/>
              <w:wordWrap w:val="0"/>
              <w:spacing w:line="360" w:lineRule="auto"/>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3.要求委托代理人签字或盖章的，委托代理人在签字或盖章的地方上传手写签名的扫描件或加盖委托代理人 CA 印章。</w:t>
            </w:r>
          </w:p>
        </w:tc>
      </w:tr>
      <w:tr w14:paraId="37C7D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5DD750F6">
            <w:pPr>
              <w:pStyle w:val="19"/>
              <w:wordWrap w:val="0"/>
              <w:spacing w:line="360" w:lineRule="auto"/>
              <w:jc w:val="center"/>
              <w:rPr>
                <w:rFonts w:hint="eastAsia" w:asciiTheme="minorEastAsia" w:hAnsiTheme="minorEastAsia" w:eastAsiaTheme="minorEastAsia" w:cstheme="minorEastAsia"/>
              </w:rPr>
            </w:pPr>
            <w:r>
              <w:rPr>
                <w:rFonts w:asciiTheme="minorEastAsia" w:hAnsiTheme="minorEastAsia" w:eastAsiaTheme="minorEastAsia" w:cstheme="minorEastAsia"/>
              </w:rPr>
              <w:t>3.</w:t>
            </w:r>
            <w:r>
              <w:rPr>
                <w:rFonts w:hint="eastAsia" w:asciiTheme="minorEastAsia" w:hAnsiTheme="minorEastAsia" w:eastAsiaTheme="minorEastAsia" w:cstheme="minorEastAsia"/>
                <w:lang w:eastAsia="zh-CN"/>
              </w:rPr>
              <w:t>8</w:t>
            </w:r>
          </w:p>
        </w:tc>
        <w:tc>
          <w:tcPr>
            <w:tcW w:w="2318" w:type="dxa"/>
            <w:tcBorders>
              <w:tl2br w:val="nil"/>
              <w:tr2bl w:val="nil"/>
            </w:tcBorders>
            <w:vAlign w:val="center"/>
          </w:tcPr>
          <w:p w14:paraId="0FAD88CA">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投标文件份数</w:t>
            </w:r>
          </w:p>
        </w:tc>
        <w:tc>
          <w:tcPr>
            <w:tcW w:w="6112" w:type="dxa"/>
            <w:tcBorders>
              <w:tl2br w:val="nil"/>
              <w:tr2bl w:val="nil"/>
            </w:tcBorders>
            <w:vAlign w:val="center"/>
          </w:tcPr>
          <w:p w14:paraId="1361DCCD">
            <w:pPr>
              <w:pStyle w:val="19"/>
              <w:wordWrap w:val="0"/>
              <w:spacing w:line="360" w:lineRule="auto"/>
              <w:rPr>
                <w:rFonts w:hint="eastAsia" w:asciiTheme="minorEastAsia" w:hAnsiTheme="minorEastAsia" w:eastAsiaTheme="minorEastAsia" w:cstheme="minorEastAsia"/>
              </w:rPr>
            </w:pPr>
            <w:r>
              <w:rPr>
                <w:rFonts w:asciiTheme="minorEastAsia" w:hAnsiTheme="minorEastAsia" w:eastAsiaTheme="minorEastAsia" w:cstheme="minorEastAsia"/>
              </w:rPr>
              <w:t>加密的电子投标文件壹份（.jztf 格式在会员系统指定位置上传）；自备非加密的电子投标文件一份，如有紧急情况，在不见面开标按要求上传。</w:t>
            </w:r>
          </w:p>
        </w:tc>
      </w:tr>
      <w:tr w14:paraId="0D8FB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55373281">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4.2.2</w:t>
            </w:r>
          </w:p>
        </w:tc>
        <w:tc>
          <w:tcPr>
            <w:tcW w:w="2318" w:type="dxa"/>
            <w:tcBorders>
              <w:tl2br w:val="nil"/>
              <w:tr2bl w:val="nil"/>
            </w:tcBorders>
            <w:vAlign w:val="center"/>
          </w:tcPr>
          <w:p w14:paraId="616C66BD">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递交投标文件方式和</w:t>
            </w:r>
          </w:p>
          <w:p w14:paraId="155E290D">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地点</w:t>
            </w:r>
          </w:p>
        </w:tc>
        <w:tc>
          <w:tcPr>
            <w:tcW w:w="6112" w:type="dxa"/>
            <w:tcBorders>
              <w:tl2br w:val="nil"/>
              <w:tr2bl w:val="nil"/>
            </w:tcBorders>
            <w:vAlign w:val="center"/>
          </w:tcPr>
          <w:p w14:paraId="78A46A0D">
            <w:pPr>
              <w:pStyle w:val="19"/>
              <w:wordWrap w:val="0"/>
              <w:spacing w:line="360" w:lineRule="auto"/>
              <w:rPr>
                <w:rFonts w:hint="eastAsia" w:asciiTheme="minorEastAsia" w:hAnsiTheme="minorEastAsia" w:eastAsiaTheme="minorEastAsia" w:cstheme="minorEastAsia"/>
              </w:rPr>
            </w:pPr>
            <w:r>
              <w:rPr>
                <w:rFonts w:asciiTheme="minorEastAsia" w:hAnsiTheme="minorEastAsia" w:eastAsiaTheme="minorEastAsia" w:cstheme="minorEastAsia"/>
              </w:rPr>
              <w:t>本项目采用“远程不见面”开标方式，远程开标大厅网址为https://ggzy.jiaozuo.gov.cn/BidOpeningHall/bidhall/dqhnjz/login。</w:t>
            </w:r>
            <w:r>
              <w:rPr>
                <w:rFonts w:hint="eastAsia" w:asciiTheme="minorEastAsia" w:hAnsiTheme="minorEastAsia" w:eastAsiaTheme="minorEastAsia" w:cstheme="minorEastAsia"/>
                <w:lang w:eastAsia="zh-CN"/>
              </w:rPr>
              <w:t>供应商</w:t>
            </w:r>
            <w:r>
              <w:rPr>
                <w:rFonts w:asciiTheme="minorEastAsia" w:hAnsiTheme="minorEastAsia" w:eastAsiaTheme="minorEastAsia" w:cstheme="minorEastAsia"/>
              </w:rPr>
              <w:t>不需到开标现场参加开标会议，不需提交原件资料等。</w:t>
            </w:r>
          </w:p>
          <w:p w14:paraId="65AACF79">
            <w:pPr>
              <w:pStyle w:val="19"/>
              <w:wordWrap w:val="0"/>
              <w:spacing w:line="360" w:lineRule="auto"/>
              <w:rPr>
                <w:rFonts w:hint="eastAsia" w:asciiTheme="minorEastAsia" w:hAnsiTheme="minorEastAsia" w:eastAsiaTheme="minorEastAsia" w:cstheme="minorEastAsia"/>
              </w:rPr>
            </w:pPr>
            <w:r>
              <w:rPr>
                <w:rFonts w:asciiTheme="minorEastAsia" w:hAnsiTheme="minorEastAsia" w:eastAsiaTheme="minorEastAsia" w:cstheme="minorEastAsia"/>
              </w:rPr>
              <w:t>（1）电子投标文件的递交</w:t>
            </w:r>
          </w:p>
          <w:p w14:paraId="49D88C18">
            <w:pPr>
              <w:pStyle w:val="19"/>
              <w:wordWrap w:val="0"/>
              <w:spacing w:line="360" w:lineRule="auto"/>
              <w:rPr>
                <w:rFonts w:hint="eastAsia" w:asciiTheme="minorEastAsia" w:hAnsiTheme="minorEastAsia" w:eastAsiaTheme="minorEastAsia" w:cstheme="minorEastAsia"/>
              </w:rPr>
            </w:pPr>
            <w:r>
              <w:rPr>
                <w:rFonts w:asciiTheme="minorEastAsia" w:hAnsiTheme="minorEastAsia" w:eastAsiaTheme="minorEastAsia" w:cstheme="minorEastAsia"/>
              </w:rPr>
              <w:t>a、各</w:t>
            </w:r>
            <w:r>
              <w:rPr>
                <w:rFonts w:hint="eastAsia" w:asciiTheme="minorEastAsia" w:hAnsiTheme="minorEastAsia" w:eastAsiaTheme="minorEastAsia" w:cstheme="minorEastAsia"/>
                <w:lang w:eastAsia="zh-CN"/>
              </w:rPr>
              <w:t>供应商</w:t>
            </w:r>
            <w:r>
              <w:rPr>
                <w:rFonts w:asciiTheme="minorEastAsia" w:hAnsiTheme="minorEastAsia" w:eastAsiaTheme="minorEastAsia" w:cstheme="minorEastAsia"/>
              </w:rPr>
              <w:t>应在投标截止时间前上传加密的电子投标文件</w:t>
            </w:r>
          </w:p>
          <w:p w14:paraId="1E4FC8F1">
            <w:pPr>
              <w:pStyle w:val="19"/>
              <w:wordWrap w:val="0"/>
              <w:spacing w:line="360" w:lineRule="auto"/>
              <w:rPr>
                <w:rFonts w:hint="eastAsia" w:asciiTheme="minorEastAsia" w:hAnsiTheme="minorEastAsia" w:eastAsiaTheme="minorEastAsia" w:cstheme="minorEastAsia"/>
              </w:rPr>
            </w:pPr>
            <w:r>
              <w:rPr>
                <w:rFonts w:asciiTheme="minorEastAsia" w:hAnsiTheme="minorEastAsia" w:eastAsiaTheme="minorEastAsia" w:cstheme="minorEastAsia"/>
              </w:rPr>
              <w:t>（.jztf 格式）到会员系统的指定位置。上传时必须得到电脑“上传成功”的确认回复。请</w:t>
            </w:r>
            <w:r>
              <w:rPr>
                <w:rFonts w:hint="eastAsia" w:asciiTheme="minorEastAsia" w:hAnsiTheme="minorEastAsia" w:eastAsiaTheme="minorEastAsia" w:cstheme="minorEastAsia"/>
                <w:lang w:eastAsia="zh-CN"/>
              </w:rPr>
              <w:t>供应商</w:t>
            </w:r>
            <w:r>
              <w:rPr>
                <w:rFonts w:asciiTheme="minorEastAsia" w:hAnsiTheme="minorEastAsia" w:eastAsiaTheme="minorEastAsia" w:cstheme="minorEastAsia"/>
              </w:rPr>
              <w:t>在上传时认真检查上传投标文件是否完整、正确。</w:t>
            </w:r>
          </w:p>
          <w:p w14:paraId="56B014E2">
            <w:pPr>
              <w:pStyle w:val="19"/>
              <w:wordWrap w:val="0"/>
              <w:spacing w:line="360" w:lineRule="auto"/>
              <w:rPr>
                <w:rFonts w:hint="eastAsia" w:asciiTheme="minorEastAsia" w:hAnsiTheme="minorEastAsia" w:eastAsiaTheme="minorEastAsia" w:cstheme="minorEastAsia"/>
              </w:rPr>
            </w:pPr>
            <w:r>
              <w:rPr>
                <w:rFonts w:asciiTheme="minorEastAsia" w:hAnsiTheme="minorEastAsia" w:eastAsiaTheme="minorEastAsia" w:cstheme="minorEastAsia"/>
              </w:rPr>
              <w:t>b、如系统故故障需上传非加密文件时，</w:t>
            </w:r>
            <w:r>
              <w:rPr>
                <w:rFonts w:hint="eastAsia" w:asciiTheme="minorEastAsia" w:hAnsiTheme="minorEastAsia" w:eastAsiaTheme="minorEastAsia" w:cstheme="minorEastAsia"/>
                <w:lang w:eastAsia="zh-CN"/>
              </w:rPr>
              <w:t>供应商</w:t>
            </w:r>
            <w:r>
              <w:rPr>
                <w:rFonts w:asciiTheme="minorEastAsia" w:hAnsiTheme="minorEastAsia" w:eastAsiaTheme="minorEastAsia" w:cstheme="minorEastAsia"/>
              </w:rPr>
              <w:t>应按照采购人指示将非加密文件递交给采购人。</w:t>
            </w:r>
          </w:p>
        </w:tc>
      </w:tr>
      <w:tr w14:paraId="2D925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15DB864">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4.2.3</w:t>
            </w:r>
          </w:p>
        </w:tc>
        <w:tc>
          <w:tcPr>
            <w:tcW w:w="2318" w:type="dxa"/>
            <w:tcBorders>
              <w:tl2br w:val="nil"/>
              <w:tr2bl w:val="nil"/>
            </w:tcBorders>
            <w:vAlign w:val="center"/>
          </w:tcPr>
          <w:p w14:paraId="51A7E716">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是否退还投标文件</w:t>
            </w:r>
          </w:p>
        </w:tc>
        <w:tc>
          <w:tcPr>
            <w:tcW w:w="6112" w:type="dxa"/>
            <w:tcBorders>
              <w:tl2br w:val="nil"/>
              <w:tr2bl w:val="nil"/>
            </w:tcBorders>
            <w:vAlign w:val="center"/>
          </w:tcPr>
          <w:p w14:paraId="24CCF38E">
            <w:pPr>
              <w:pStyle w:val="19"/>
              <w:wordWrap w:val="0"/>
              <w:spacing w:line="360" w:lineRule="auto"/>
              <w:rPr>
                <w:rFonts w:hint="default" w:asciiTheme="minorEastAsia" w:hAnsiTheme="minorEastAsia" w:eastAsiaTheme="minorEastAsia" w:cstheme="minorEastAsia"/>
              </w:rPr>
            </w:pPr>
            <w:r>
              <w:rPr>
                <w:rFonts w:asciiTheme="minorEastAsia" w:hAnsiTheme="minorEastAsia" w:eastAsiaTheme="minorEastAsia" w:cstheme="minorEastAsia"/>
              </w:rPr>
              <w:t>否</w:t>
            </w:r>
          </w:p>
        </w:tc>
      </w:tr>
      <w:tr w14:paraId="1132C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5C90BD47">
            <w:pPr>
              <w:pStyle w:val="19"/>
              <w:wordWrap w:val="0"/>
              <w:spacing w:line="360" w:lineRule="auto"/>
              <w:jc w:val="center"/>
              <w:rPr>
                <w:rFonts w:hint="eastAsia" w:asciiTheme="minorEastAsia" w:hAnsiTheme="minorEastAsia" w:eastAsiaTheme="minorEastAsia" w:cstheme="minorEastAsia"/>
              </w:rPr>
            </w:pPr>
            <w:r>
              <w:rPr>
                <w:rFonts w:asciiTheme="minorEastAsia" w:hAnsiTheme="minorEastAsia" w:eastAsiaTheme="minorEastAsia" w:cstheme="minorEastAsia"/>
              </w:rPr>
              <w:t>5.</w:t>
            </w:r>
            <w:r>
              <w:rPr>
                <w:rFonts w:hint="eastAsia" w:asciiTheme="minorEastAsia" w:hAnsiTheme="minorEastAsia" w:eastAsiaTheme="minorEastAsia" w:cstheme="minorEastAsia"/>
                <w:lang w:val="en-US" w:eastAsia="zh-CN"/>
              </w:rPr>
              <w:t>1</w:t>
            </w:r>
          </w:p>
        </w:tc>
        <w:tc>
          <w:tcPr>
            <w:tcW w:w="2318" w:type="dxa"/>
            <w:tcBorders>
              <w:tl2br w:val="nil"/>
              <w:tr2bl w:val="nil"/>
            </w:tcBorders>
            <w:vAlign w:val="center"/>
          </w:tcPr>
          <w:p w14:paraId="28E26749">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开标时间和地点</w:t>
            </w:r>
          </w:p>
        </w:tc>
        <w:tc>
          <w:tcPr>
            <w:tcW w:w="6112" w:type="dxa"/>
            <w:tcBorders>
              <w:tl2br w:val="nil"/>
              <w:tr2bl w:val="nil"/>
            </w:tcBorders>
            <w:vAlign w:val="center"/>
          </w:tcPr>
          <w:p w14:paraId="36AE2CC5">
            <w:pPr>
              <w:pStyle w:val="19"/>
              <w:wordWrap w:val="0"/>
              <w:adjustRightInd w:val="0"/>
              <w:snapToGrid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开标时间：同投标截止时间。</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应当在投标截止时间前，登录远程开标大厅，凭制作投标文件所用的企业 CA 密匙在线签到、解密文件等，解密时间为投标截止时后30分钟内。</w:t>
            </w:r>
          </w:p>
          <w:p w14:paraId="3692F373">
            <w:pPr>
              <w:pStyle w:val="19"/>
              <w:wordWrap w:val="0"/>
              <w:spacing w:line="360" w:lineRule="auto"/>
              <w:jc w:val="left"/>
              <w:rPr>
                <w:rFonts w:asciiTheme="minorEastAsia" w:hAnsiTheme="minorEastAsia" w:eastAsiaTheme="minorEastAsia" w:cstheme="minorEastAsia"/>
              </w:rPr>
            </w:pPr>
            <w:r>
              <w:rPr>
                <w:rFonts w:hint="eastAsia" w:asciiTheme="minorEastAsia" w:hAnsiTheme="minorEastAsia" w:eastAsiaTheme="minorEastAsia" w:cstheme="minorEastAsia"/>
                <w:szCs w:val="21"/>
                <w:highlight w:val="none"/>
              </w:rPr>
              <w:t>现场开标地点：博爱县公共资源交易中心二楼第</w:t>
            </w:r>
            <w:r>
              <w:rPr>
                <w:rFonts w:hint="eastAsia" w:asciiTheme="minorEastAsia" w:hAnsiTheme="minorEastAsia" w:eastAsiaTheme="minorEastAsia" w:cstheme="minorEastAsia"/>
                <w:szCs w:val="21"/>
                <w:highlight w:val="none"/>
                <w:lang w:val="en-US" w:eastAsia="zh-CN"/>
              </w:rPr>
              <w:t>二</w:t>
            </w:r>
            <w:r>
              <w:rPr>
                <w:rFonts w:hint="eastAsia" w:asciiTheme="minorEastAsia" w:hAnsiTheme="minorEastAsia" w:eastAsiaTheme="minorEastAsia" w:cstheme="minorEastAsia"/>
                <w:szCs w:val="21"/>
                <w:highlight w:val="none"/>
              </w:rPr>
              <w:t>开标室</w:t>
            </w:r>
          </w:p>
        </w:tc>
      </w:tr>
      <w:tr w14:paraId="6A106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79AE3193">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6.1.1</w:t>
            </w:r>
          </w:p>
        </w:tc>
        <w:tc>
          <w:tcPr>
            <w:tcW w:w="2318" w:type="dxa"/>
            <w:tcBorders>
              <w:tl2br w:val="nil"/>
              <w:tr2bl w:val="nil"/>
            </w:tcBorders>
            <w:vAlign w:val="center"/>
          </w:tcPr>
          <w:p w14:paraId="3E5718DA">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评标委员会的组建</w:t>
            </w:r>
          </w:p>
        </w:tc>
        <w:tc>
          <w:tcPr>
            <w:tcW w:w="6112" w:type="dxa"/>
            <w:tcBorders>
              <w:tl2br w:val="nil"/>
              <w:tr2bl w:val="nil"/>
            </w:tcBorders>
            <w:vAlign w:val="center"/>
          </w:tcPr>
          <w:p w14:paraId="44FCC4AB">
            <w:pPr>
              <w:wordWrap w:val="0"/>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评标委员会构成：由采购人代表</w:t>
            </w:r>
            <w:r>
              <w:rPr>
                <w:rFonts w:hint="eastAsia" w:asciiTheme="minorEastAsia" w:hAnsiTheme="minorEastAsia" w:eastAsiaTheme="minorEastAsia" w:cstheme="minorEastAsia"/>
                <w:szCs w:val="21"/>
                <w:highlight w:val="none"/>
                <w:lang w:val="en-US" w:eastAsia="zh-CN"/>
              </w:rPr>
              <w:t>1</w:t>
            </w:r>
            <w:r>
              <w:rPr>
                <w:rFonts w:hint="eastAsia" w:asciiTheme="minorEastAsia" w:hAnsiTheme="minorEastAsia" w:eastAsiaTheme="minorEastAsia" w:cstheme="minorEastAsia"/>
                <w:szCs w:val="21"/>
                <w:highlight w:val="none"/>
              </w:rPr>
              <w:t>名和政府采购专家库中随机抽</w:t>
            </w:r>
          </w:p>
          <w:p w14:paraId="2F5FAEF1">
            <w:pPr>
              <w:wordWrap w:val="0"/>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取的评</w:t>
            </w:r>
            <w:r>
              <w:rPr>
                <w:rFonts w:hint="eastAsia" w:asciiTheme="minorEastAsia" w:hAnsiTheme="minorEastAsia" w:eastAsiaTheme="minorEastAsia" w:cstheme="minorEastAsia"/>
                <w:szCs w:val="21"/>
                <w:highlight w:val="none"/>
                <w:lang w:val="en-US" w:eastAsia="zh-CN"/>
              </w:rPr>
              <w:t>标</w:t>
            </w:r>
            <w:r>
              <w:rPr>
                <w:rFonts w:hint="eastAsia" w:asciiTheme="minorEastAsia" w:hAnsiTheme="minorEastAsia" w:eastAsiaTheme="minorEastAsia" w:cstheme="minorEastAsia"/>
                <w:szCs w:val="21"/>
                <w:highlight w:val="none"/>
              </w:rPr>
              <w:t>专家</w:t>
            </w:r>
            <w:r>
              <w:rPr>
                <w:rFonts w:hint="eastAsia" w:asciiTheme="minorEastAsia" w:hAnsiTheme="minorEastAsia" w:eastAsiaTheme="minorEastAsia" w:cstheme="minorEastAsia"/>
                <w:szCs w:val="21"/>
                <w:highlight w:val="none"/>
                <w:lang w:val="en-US" w:eastAsia="zh-CN"/>
              </w:rPr>
              <w:t>4</w:t>
            </w:r>
            <w:r>
              <w:rPr>
                <w:rFonts w:hint="eastAsia" w:asciiTheme="minorEastAsia" w:hAnsiTheme="minorEastAsia" w:eastAsiaTheme="minorEastAsia" w:cstheme="minorEastAsia"/>
                <w:szCs w:val="21"/>
                <w:highlight w:val="none"/>
              </w:rPr>
              <w:t>名共</w:t>
            </w:r>
            <w:r>
              <w:rPr>
                <w:rFonts w:hint="eastAsia" w:asciiTheme="minorEastAsia" w:hAnsiTheme="minorEastAsia" w:eastAsiaTheme="minorEastAsia" w:cstheme="minorEastAsia"/>
                <w:szCs w:val="21"/>
                <w:highlight w:val="none"/>
                <w:lang w:val="en-US" w:eastAsia="zh-CN"/>
              </w:rPr>
              <w:t>5</w:t>
            </w:r>
            <w:r>
              <w:rPr>
                <w:rFonts w:hint="eastAsia" w:asciiTheme="minorEastAsia" w:hAnsiTheme="minorEastAsia" w:eastAsiaTheme="minorEastAsia" w:cstheme="minorEastAsia"/>
                <w:szCs w:val="21"/>
                <w:highlight w:val="none"/>
              </w:rPr>
              <w:t>人组成。</w:t>
            </w:r>
            <w:r>
              <w:rPr>
                <w:rFonts w:hint="eastAsia" w:asciiTheme="minorEastAsia" w:hAnsiTheme="minorEastAsia" w:eastAsiaTheme="minorEastAsia" w:cstheme="minorEastAsia"/>
                <w:b/>
                <w:bCs/>
                <w:szCs w:val="21"/>
                <w:highlight w:val="none"/>
              </w:rPr>
              <w:t>注：根据《财政部令第87号》第四十五条规定，采购人代表不得担任评标委员会组长。</w:t>
            </w:r>
          </w:p>
          <w:p w14:paraId="6A845A2C">
            <w:pPr>
              <w:wordWrap w:val="0"/>
              <w:spacing w:line="360" w:lineRule="auto"/>
              <w:jc w:val="left"/>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highlight w:val="none"/>
              </w:rPr>
              <w:t>评</w:t>
            </w:r>
            <w:r>
              <w:rPr>
                <w:rFonts w:hint="eastAsia" w:asciiTheme="minorEastAsia" w:hAnsiTheme="minorEastAsia" w:eastAsiaTheme="minorEastAsia" w:cstheme="minorEastAsia"/>
                <w:szCs w:val="21"/>
                <w:highlight w:val="none"/>
                <w:lang w:val="en-US" w:eastAsia="zh-CN"/>
              </w:rPr>
              <w:t>标</w:t>
            </w:r>
            <w:r>
              <w:rPr>
                <w:rFonts w:hint="eastAsia" w:asciiTheme="minorEastAsia" w:hAnsiTheme="minorEastAsia" w:eastAsiaTheme="minorEastAsia" w:cstheme="minorEastAsia"/>
                <w:szCs w:val="21"/>
                <w:highlight w:val="none"/>
              </w:rPr>
              <w:t>专家确定方式：在开标前从有关政府部门设立的评标专家中随机抽取确定。</w:t>
            </w:r>
          </w:p>
        </w:tc>
      </w:tr>
      <w:tr w14:paraId="0A100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BD7EE44">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7.1</w:t>
            </w:r>
          </w:p>
        </w:tc>
        <w:tc>
          <w:tcPr>
            <w:tcW w:w="2318" w:type="dxa"/>
            <w:tcBorders>
              <w:tl2br w:val="nil"/>
              <w:tr2bl w:val="nil"/>
            </w:tcBorders>
            <w:vAlign w:val="center"/>
          </w:tcPr>
          <w:p w14:paraId="73D63878">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是否授权评标委员会确定中标人</w:t>
            </w:r>
          </w:p>
        </w:tc>
        <w:tc>
          <w:tcPr>
            <w:tcW w:w="6112" w:type="dxa"/>
            <w:tcBorders>
              <w:tl2br w:val="nil"/>
              <w:tr2bl w:val="nil"/>
            </w:tcBorders>
            <w:vAlign w:val="center"/>
          </w:tcPr>
          <w:p w14:paraId="762EDC0A">
            <w:pPr>
              <w:pStyle w:val="19"/>
              <w:wordWrap w:val="0"/>
              <w:spacing w:line="360" w:lineRule="auto"/>
              <w:ind w:firstLineChars="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否，由评标委员会从认定的合理报价中，按得分由高到低的顺序，依次推荐3名中标候选人。</w:t>
            </w:r>
          </w:p>
          <w:p w14:paraId="622E7EE2">
            <w:pPr>
              <w:pStyle w:val="19"/>
              <w:wordWrap w:val="0"/>
              <w:spacing w:line="360" w:lineRule="auto"/>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人应当确定排名第一的中标候选人为中标人。排名第一的中标候选人放弃中标、因不可抗力不能履行合同，或者被查实存在影响中标结果的违法行为等情形，不符合中标条件的，采购人可以按照评标委员会提出的中标候选人名单排序依次确定其他中标候选人为中标人。</w:t>
            </w:r>
          </w:p>
          <w:p w14:paraId="612D9C0E">
            <w:pPr>
              <w:pStyle w:val="19"/>
              <w:wordWrap w:val="0"/>
              <w:spacing w:line="360" w:lineRule="auto"/>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非因不可抗力因素放弃中标的，或排名第一的中标候选人未按规定期限与采购人签订合同的，应赔偿采购人由此造成的损失，损失费的计算方法为该中标候选人的投标价与重新确定的中标人中标价的差额，将按相关规定予以处理。</w:t>
            </w:r>
          </w:p>
        </w:tc>
      </w:tr>
      <w:tr w14:paraId="04286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343F702D">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7.3.1</w:t>
            </w:r>
          </w:p>
        </w:tc>
        <w:tc>
          <w:tcPr>
            <w:tcW w:w="2318" w:type="dxa"/>
            <w:tcBorders>
              <w:tl2br w:val="nil"/>
              <w:tr2bl w:val="nil"/>
            </w:tcBorders>
            <w:vAlign w:val="center"/>
          </w:tcPr>
          <w:p w14:paraId="2BE9812C">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履约保证金</w:t>
            </w:r>
          </w:p>
        </w:tc>
        <w:tc>
          <w:tcPr>
            <w:tcW w:w="6112" w:type="dxa"/>
            <w:tcBorders>
              <w:tl2br w:val="nil"/>
              <w:tr2bl w:val="nil"/>
            </w:tcBorders>
            <w:vAlign w:val="center"/>
          </w:tcPr>
          <w:p w14:paraId="46D73B05">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无</w:t>
            </w:r>
          </w:p>
        </w:tc>
      </w:tr>
      <w:tr w14:paraId="0E71E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shd w:val="clear" w:color="auto" w:fill="auto"/>
            <w:vAlign w:val="center"/>
          </w:tcPr>
          <w:p w14:paraId="578C61F5">
            <w:pPr>
              <w:pStyle w:val="19"/>
              <w:wordWrap w:val="0"/>
              <w:spacing w:line="360" w:lineRule="auto"/>
              <w:jc w:val="center"/>
              <w:rPr>
                <w:rFonts w:hint="default" w:asciiTheme="minorEastAsia" w:hAnsiTheme="minorEastAsia" w:eastAsiaTheme="minorEastAsia" w:cstheme="minorEastAsia"/>
              </w:rPr>
            </w:pPr>
            <w:r>
              <w:rPr>
                <w:rFonts w:asciiTheme="minorEastAsia" w:hAnsiTheme="minorEastAsia" w:eastAsiaTheme="minorEastAsia" w:cstheme="minorEastAsia"/>
              </w:rPr>
              <w:t>7.3.2</w:t>
            </w:r>
          </w:p>
        </w:tc>
        <w:tc>
          <w:tcPr>
            <w:tcW w:w="2318" w:type="dxa"/>
            <w:tcBorders>
              <w:tl2br w:val="nil"/>
              <w:tr2bl w:val="nil"/>
            </w:tcBorders>
            <w:shd w:val="clear" w:color="auto" w:fill="auto"/>
            <w:vAlign w:val="center"/>
          </w:tcPr>
          <w:p w14:paraId="5C1BCBC9">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投标保证金</w:t>
            </w:r>
          </w:p>
        </w:tc>
        <w:tc>
          <w:tcPr>
            <w:tcW w:w="6112" w:type="dxa"/>
            <w:tcBorders>
              <w:tl2br w:val="nil"/>
              <w:tr2bl w:val="nil"/>
            </w:tcBorders>
            <w:shd w:val="clear" w:color="auto" w:fill="auto"/>
            <w:vAlign w:val="center"/>
          </w:tcPr>
          <w:p w14:paraId="563B9C62">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无</w:t>
            </w:r>
          </w:p>
        </w:tc>
      </w:tr>
      <w:tr w14:paraId="7B02C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shd w:val="clear" w:color="auto" w:fill="auto"/>
            <w:vAlign w:val="center"/>
          </w:tcPr>
          <w:p w14:paraId="247233CA">
            <w:pPr>
              <w:pStyle w:val="19"/>
              <w:wordWrap w:val="0"/>
              <w:spacing w:line="360" w:lineRule="auto"/>
              <w:jc w:val="center"/>
              <w:rPr>
                <w:rFonts w:hint="default"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7.3.3</w:t>
            </w:r>
          </w:p>
        </w:tc>
        <w:tc>
          <w:tcPr>
            <w:tcW w:w="2318" w:type="dxa"/>
            <w:tcBorders>
              <w:tl2br w:val="nil"/>
              <w:tr2bl w:val="nil"/>
            </w:tcBorders>
            <w:shd w:val="clear" w:color="auto" w:fill="auto"/>
            <w:vAlign w:val="center"/>
          </w:tcPr>
          <w:p w14:paraId="5BD8BD09">
            <w:pPr>
              <w:wordWrap w:val="0"/>
              <w:spacing w:line="360" w:lineRule="auto"/>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质量保证金</w:t>
            </w:r>
          </w:p>
        </w:tc>
        <w:tc>
          <w:tcPr>
            <w:tcW w:w="6112" w:type="dxa"/>
            <w:tcBorders>
              <w:tl2br w:val="nil"/>
              <w:tr2bl w:val="nil"/>
            </w:tcBorders>
            <w:shd w:val="clear" w:color="auto" w:fill="auto"/>
            <w:vAlign w:val="center"/>
          </w:tcPr>
          <w:p w14:paraId="752BFB0B">
            <w:pPr>
              <w:wordWrap w:val="0"/>
              <w:spacing w:line="360" w:lineRule="auto"/>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无</w:t>
            </w:r>
          </w:p>
        </w:tc>
      </w:tr>
      <w:tr w14:paraId="48DA6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bottom"/>
          </w:tcPr>
          <w:p w14:paraId="753DE880">
            <w:pPr>
              <w:wordWrap w:val="0"/>
              <w:spacing w:line="360" w:lineRule="auto"/>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10</w:t>
            </w:r>
          </w:p>
        </w:tc>
        <w:tc>
          <w:tcPr>
            <w:tcW w:w="8430" w:type="dxa"/>
            <w:gridSpan w:val="2"/>
            <w:tcBorders>
              <w:tl2br w:val="nil"/>
              <w:tr2bl w:val="nil"/>
            </w:tcBorders>
            <w:vAlign w:val="bottom"/>
          </w:tcPr>
          <w:p w14:paraId="4AB38381">
            <w:pPr>
              <w:wordWrap w:val="0"/>
              <w:spacing w:line="360" w:lineRule="auto"/>
              <w:ind w:firstLine="422"/>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需要补充的其他内容</w:t>
            </w:r>
          </w:p>
        </w:tc>
      </w:tr>
      <w:tr w14:paraId="2CF2C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7E849C72">
            <w:pPr>
              <w:wordWrap w:val="0"/>
              <w:spacing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10.1</w:t>
            </w:r>
          </w:p>
        </w:tc>
        <w:tc>
          <w:tcPr>
            <w:tcW w:w="2318" w:type="dxa"/>
            <w:tcBorders>
              <w:tl2br w:val="nil"/>
              <w:tr2bl w:val="nil"/>
            </w:tcBorders>
            <w:vAlign w:val="center"/>
          </w:tcPr>
          <w:p w14:paraId="40074B79">
            <w:pPr>
              <w:wordWrap w:val="0"/>
              <w:spacing w:line="360" w:lineRule="auto"/>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预算金额</w:t>
            </w:r>
          </w:p>
        </w:tc>
        <w:tc>
          <w:tcPr>
            <w:tcW w:w="6112" w:type="dxa"/>
            <w:tcBorders>
              <w:tl2br w:val="nil"/>
              <w:tr2bl w:val="nil"/>
            </w:tcBorders>
            <w:vAlign w:val="bottom"/>
          </w:tcPr>
          <w:p w14:paraId="01427E10">
            <w:pPr>
              <w:numPr>
                <w:ilvl w:val="-1"/>
                <w:numId w:val="0"/>
              </w:numPr>
              <w:wordWrap/>
              <w:spacing w:line="360" w:lineRule="auto"/>
              <w:rPr>
                <w:rFonts w:hint="default"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lang w:val="en-US" w:eastAsia="zh-CN"/>
              </w:rPr>
              <w:t>1.</w:t>
            </w:r>
            <w:r>
              <w:rPr>
                <w:rFonts w:hint="eastAsia" w:asciiTheme="minorEastAsia" w:hAnsiTheme="minorEastAsia" w:eastAsiaTheme="minorEastAsia" w:cstheme="minorEastAsia"/>
                <w:b/>
                <w:bCs/>
                <w:szCs w:val="21"/>
                <w:highlight w:val="none"/>
              </w:rPr>
              <w:t>本项目预算金额为：</w:t>
            </w:r>
            <w:r>
              <w:rPr>
                <w:rFonts w:hint="eastAsia" w:asciiTheme="minorEastAsia" w:hAnsiTheme="minorEastAsia" w:eastAsiaTheme="minorEastAsia" w:cstheme="minorEastAsia"/>
                <w:b/>
                <w:bCs/>
                <w:szCs w:val="21"/>
                <w:highlight w:val="none"/>
                <w:lang w:eastAsia="zh-CN"/>
              </w:rPr>
              <w:t>4500000.00</w:t>
            </w:r>
            <w:r>
              <w:rPr>
                <w:rFonts w:hint="eastAsia" w:asciiTheme="minorEastAsia" w:hAnsiTheme="minorEastAsia" w:eastAsiaTheme="minorEastAsia" w:cstheme="minorEastAsia"/>
                <w:b/>
                <w:bCs/>
                <w:szCs w:val="21"/>
                <w:highlight w:val="none"/>
              </w:rPr>
              <w:t>元</w:t>
            </w:r>
            <w:r>
              <w:rPr>
                <w:rFonts w:hint="eastAsia" w:asciiTheme="minorEastAsia" w:hAnsiTheme="minorEastAsia" w:eastAsiaTheme="minorEastAsia" w:cstheme="minorEastAsia"/>
                <w:b/>
                <w:bCs/>
                <w:szCs w:val="21"/>
                <w:highlight w:val="none"/>
                <w:lang w:val="en-US" w:eastAsia="zh-CN"/>
              </w:rPr>
              <w:t>；</w:t>
            </w:r>
          </w:p>
          <w:p w14:paraId="0FB82B4F">
            <w:pPr>
              <w:wordWrap/>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w:t>
            </w:r>
            <w:r>
              <w:rPr>
                <w:rFonts w:hint="eastAsia" w:asciiTheme="minorEastAsia" w:hAnsiTheme="minorEastAsia" w:eastAsiaTheme="minorEastAsia" w:cstheme="minorEastAsia"/>
                <w:szCs w:val="21"/>
                <w:highlight w:val="none"/>
                <w:lang w:val="en-US" w:eastAsia="zh-CN"/>
              </w:rPr>
              <w:t>.</w:t>
            </w:r>
            <w:r>
              <w:rPr>
                <w:rFonts w:hint="eastAsia" w:asciiTheme="minorEastAsia" w:hAnsiTheme="minorEastAsia" w:eastAsiaTheme="minorEastAsia" w:cstheme="minorEastAsia"/>
                <w:szCs w:val="21"/>
                <w:highlight w:val="none"/>
              </w:rPr>
              <w:t>控制价是采购人设置的最高限价，供应商的投标报价高于控制价的视为无效报价，其投标予以拒绝；</w:t>
            </w:r>
          </w:p>
          <w:p w14:paraId="7420B93D">
            <w:pPr>
              <w:wordWrap/>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w:t>
            </w:r>
            <w:r>
              <w:rPr>
                <w:rFonts w:hint="eastAsia" w:asciiTheme="minorEastAsia" w:hAnsiTheme="minorEastAsia" w:eastAsiaTheme="minorEastAsia" w:cstheme="minorEastAsia"/>
                <w:szCs w:val="21"/>
                <w:highlight w:val="none"/>
                <w:lang w:val="en-US" w:eastAsia="zh-CN"/>
              </w:rPr>
              <w:t>.</w:t>
            </w:r>
            <w:r>
              <w:rPr>
                <w:rFonts w:hint="eastAsia" w:asciiTheme="minorEastAsia" w:hAnsiTheme="minorEastAsia" w:eastAsiaTheme="minorEastAsia" w:cstheme="minorEastAsia"/>
                <w:szCs w:val="21"/>
                <w:highlight w:val="none"/>
              </w:rPr>
              <w:t>当中标人的投标报价高于预算价的95%时，该中标人的中标价按预算价的95%执行。</w:t>
            </w:r>
          </w:p>
        </w:tc>
      </w:tr>
      <w:tr w14:paraId="3928A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609AA38C">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10.2</w:t>
            </w:r>
          </w:p>
        </w:tc>
        <w:tc>
          <w:tcPr>
            <w:tcW w:w="2318" w:type="dxa"/>
            <w:tcBorders>
              <w:tl2br w:val="nil"/>
              <w:tr2bl w:val="nil"/>
            </w:tcBorders>
            <w:vAlign w:val="center"/>
          </w:tcPr>
          <w:p w14:paraId="4C742DC7">
            <w:pPr>
              <w:wordWrap w:val="0"/>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小型或微型企业</w:t>
            </w:r>
          </w:p>
          <w:p w14:paraId="26F30D06">
            <w:pPr>
              <w:wordWrap w:val="0"/>
              <w:spacing w:line="360" w:lineRule="auto"/>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（含监狱企业）</w:t>
            </w:r>
          </w:p>
        </w:tc>
        <w:tc>
          <w:tcPr>
            <w:tcW w:w="6112" w:type="dxa"/>
            <w:tcBorders>
              <w:tl2br w:val="nil"/>
              <w:tr2bl w:val="nil"/>
            </w:tcBorders>
            <w:vAlign w:val="center"/>
          </w:tcPr>
          <w:p w14:paraId="3111CEF7">
            <w:pPr>
              <w:numPr>
                <w:ilvl w:val="-1"/>
                <w:numId w:val="0"/>
              </w:num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t>根据《政府采购促进中小企业发展管理办法》的通知（财库〔2020〕46号 ）文件及《国务院关于印发扎实稳住经济一揽子政策措施的通知》（国发〔2022〕12 号）和财政部《关于进一步加大政府采购支持中小企业力度的通知》（财库〔2022〕19 号）规定，对符合本办法规定的小微企业报价给予</w:t>
            </w:r>
            <w:r>
              <w:rPr>
                <w:rFonts w:hint="eastAsia" w:asciiTheme="minorEastAsia" w:hAnsiTheme="minorEastAsia" w:eastAsiaTheme="minorEastAsia" w:cstheme="minorEastAsia"/>
                <w:szCs w:val="21"/>
                <w:lang w:eastAsia="zh-CN"/>
              </w:rPr>
              <w:t>2</w:t>
            </w:r>
            <w:r>
              <w:rPr>
                <w:rFonts w:hint="eastAsia" w:asciiTheme="minorEastAsia" w:hAnsiTheme="minorEastAsia" w:eastAsiaTheme="minorEastAsia" w:cstheme="minorEastAsia"/>
                <w:szCs w:val="21"/>
              </w:rPr>
              <w:t xml:space="preserve">0%的扣除，用扣除后的价格参加评审。评标价不作为中标价和合同签约价，中标价和合同签约价仍以其投标文件中的报价为准。。 </w:t>
            </w:r>
          </w:p>
          <w:p w14:paraId="61FF9A5B">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 xml:space="preserve">按照《政府采购促进中小企业发展管理办法》有关规定，中小企业的标准为： </w:t>
            </w:r>
          </w:p>
          <w:p w14:paraId="7700B177">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2.1 提供本企业制造的货物、承担的工程或者服务，或者提供其他中小企业制造的货物，不包括提供或使用大型企业注册商标的货物； </w:t>
            </w:r>
          </w:p>
          <w:p w14:paraId="705719C9">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 本规定所称中小企业划分标准，是指国务院有关部门根据企业从业人员、营业收入、资产总额等指标制定的中小企业划型标准（工信部联企业﹝2011﹞300号）；</w:t>
            </w:r>
          </w:p>
          <w:p w14:paraId="45FF58F8">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2.3 小型、微型企业提供有中型企业制造的货物的，视同为中型企业；小型、微型、中型企业提供有大型企业制造的货物的，视同为大型企业。 </w:t>
            </w:r>
          </w:p>
          <w:p w14:paraId="24852BE7">
            <w:pPr>
              <w:wordWrap w:val="0"/>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根据财政部司法部《关于政府采购支持监狱企业发展有关问题的通知》（财库〔2014〕68号）和财政部民政部中国残疾人联合会《关于促进残疾人就业政府采购政策的通知》（财库〔2017〕141号）规定；监狱企业和残疾人福利性单位视同小型、微型企业。</w:t>
            </w:r>
          </w:p>
        </w:tc>
      </w:tr>
      <w:tr w14:paraId="77C4E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48980D83">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10.3</w:t>
            </w:r>
          </w:p>
        </w:tc>
        <w:tc>
          <w:tcPr>
            <w:tcW w:w="2318" w:type="dxa"/>
            <w:tcBorders>
              <w:tl2br w:val="nil"/>
              <w:tr2bl w:val="nil"/>
            </w:tcBorders>
            <w:vAlign w:val="center"/>
          </w:tcPr>
          <w:p w14:paraId="285435E5">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付款方式</w:t>
            </w:r>
          </w:p>
        </w:tc>
        <w:tc>
          <w:tcPr>
            <w:tcW w:w="6112" w:type="dxa"/>
            <w:tcBorders>
              <w:tl2br w:val="nil"/>
              <w:tr2bl w:val="nil"/>
            </w:tcBorders>
            <w:vAlign w:val="center"/>
          </w:tcPr>
          <w:p w14:paraId="468ABC74">
            <w:pPr>
              <w:wordWrap w:val="0"/>
              <w:spacing w:line="360" w:lineRule="auto"/>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val="zh-CN"/>
              </w:rPr>
              <w:t>项目实施建设完成经初验后进入试运行（试运行期间费用由供应商承担），试运行3个月后，筹备进行项目上级验收工作，上级验收通过后，支付50%；通过上级验收之日起，开始计入运维服务期，第一年运维期满支付合同价款的30%；第三年运维期满支付剩余价款。</w:t>
            </w:r>
          </w:p>
        </w:tc>
      </w:tr>
      <w:tr w14:paraId="7BD88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7D149116">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10.4</w:t>
            </w:r>
          </w:p>
        </w:tc>
        <w:tc>
          <w:tcPr>
            <w:tcW w:w="2318" w:type="dxa"/>
            <w:tcBorders>
              <w:tl2br w:val="nil"/>
              <w:tr2bl w:val="nil"/>
            </w:tcBorders>
            <w:vAlign w:val="center"/>
          </w:tcPr>
          <w:p w14:paraId="06D16DC7">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特别说明</w:t>
            </w:r>
          </w:p>
        </w:tc>
        <w:tc>
          <w:tcPr>
            <w:tcW w:w="6112" w:type="dxa"/>
            <w:tcBorders>
              <w:tl2br w:val="nil"/>
              <w:tr2bl w:val="nil"/>
            </w:tcBorders>
            <w:vAlign w:val="center"/>
          </w:tcPr>
          <w:p w14:paraId="76A539B9">
            <w:pPr>
              <w:wordWrap w:val="0"/>
              <w:spacing w:line="360" w:lineRule="auto"/>
              <w:jc w:val="left"/>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bCs/>
                <w:kern w:val="0"/>
                <w:szCs w:val="21"/>
                <w:lang w:val="en-US" w:eastAsia="zh-CN"/>
              </w:rPr>
              <w:t>本项目</w:t>
            </w:r>
            <w:r>
              <w:rPr>
                <w:rFonts w:hint="eastAsia" w:asciiTheme="minorEastAsia" w:hAnsiTheme="minorEastAsia" w:eastAsiaTheme="minorEastAsia" w:cstheme="minorEastAsia"/>
                <w:bCs/>
                <w:kern w:val="0"/>
                <w:szCs w:val="21"/>
              </w:rPr>
              <w:t>各项服务费用都包括在本次招标控制价内，招标方不再额外支付中标方任何因</w:t>
            </w:r>
            <w:r>
              <w:rPr>
                <w:rFonts w:hint="eastAsia" w:asciiTheme="minorEastAsia" w:hAnsiTheme="minorEastAsia" w:eastAsiaTheme="minorEastAsia" w:cstheme="minorEastAsia"/>
                <w:bCs/>
                <w:kern w:val="0"/>
                <w:szCs w:val="21"/>
                <w:lang w:val="en-US" w:eastAsia="zh-CN"/>
              </w:rPr>
              <w:t>后续</w:t>
            </w:r>
            <w:r>
              <w:rPr>
                <w:rFonts w:hint="eastAsia" w:asciiTheme="minorEastAsia" w:hAnsiTheme="minorEastAsia" w:eastAsiaTheme="minorEastAsia" w:cstheme="minorEastAsia"/>
                <w:bCs/>
                <w:kern w:val="0"/>
                <w:szCs w:val="21"/>
              </w:rPr>
              <w:t>服务所产生的维修工具、各类设施设备小型零部件更换等费用。</w:t>
            </w:r>
          </w:p>
        </w:tc>
      </w:tr>
      <w:tr w14:paraId="3DDF3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3E1E3D81">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10.5</w:t>
            </w:r>
          </w:p>
        </w:tc>
        <w:tc>
          <w:tcPr>
            <w:tcW w:w="2318" w:type="dxa"/>
            <w:tcBorders>
              <w:tl2br w:val="nil"/>
              <w:tr2bl w:val="nil"/>
            </w:tcBorders>
            <w:vAlign w:val="center"/>
          </w:tcPr>
          <w:p w14:paraId="5F889F0D">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招标代理服务费</w:t>
            </w:r>
          </w:p>
        </w:tc>
        <w:tc>
          <w:tcPr>
            <w:tcW w:w="6112" w:type="dxa"/>
            <w:tcBorders>
              <w:tl2br w:val="nil"/>
              <w:tr2bl w:val="nil"/>
            </w:tcBorders>
            <w:vAlign w:val="center"/>
          </w:tcPr>
          <w:p w14:paraId="51E515D3">
            <w:pPr>
              <w:numPr>
                <w:ilvl w:val="-1"/>
                <w:numId w:val="0"/>
              </w:num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val="en-US" w:eastAsia="zh-CN"/>
              </w:rPr>
              <w:t>1.</w:t>
            </w:r>
            <w:r>
              <w:rPr>
                <w:rFonts w:hint="eastAsia" w:asciiTheme="minorEastAsia" w:hAnsiTheme="minorEastAsia" w:eastAsiaTheme="minorEastAsia" w:cstheme="minorEastAsia"/>
                <w:bCs/>
                <w:szCs w:val="21"/>
              </w:rPr>
              <w:t>招标代理服务费参照豫招协[2023]002号《河南省招标代理服务收费指导意见》中的标准收取，由中标人支付。招标代理费由</w:t>
            </w:r>
            <w:r>
              <w:rPr>
                <w:rFonts w:hint="eastAsia" w:asciiTheme="minorEastAsia" w:hAnsiTheme="minorEastAsia" w:eastAsiaTheme="minorEastAsia" w:cstheme="minorEastAsia"/>
                <w:bCs/>
                <w:szCs w:val="21"/>
                <w:lang w:val="en-US" w:eastAsia="zh-CN"/>
              </w:rPr>
              <w:t>采购</w:t>
            </w:r>
            <w:r>
              <w:rPr>
                <w:rFonts w:hint="eastAsia" w:asciiTheme="minorEastAsia" w:hAnsiTheme="minorEastAsia" w:eastAsiaTheme="minorEastAsia" w:cstheme="minorEastAsia"/>
                <w:bCs/>
                <w:szCs w:val="21"/>
              </w:rPr>
              <w:t>代理机构通知中标企业结清后，领取中标通知书。</w:t>
            </w:r>
          </w:p>
          <w:p w14:paraId="3C33AFD8">
            <w:pPr>
              <w:numPr>
                <w:ilvl w:val="-1"/>
                <w:numId w:val="0"/>
              </w:num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val="en-US" w:eastAsia="zh-CN"/>
              </w:rPr>
              <w:t>2.</w:t>
            </w:r>
            <w:r>
              <w:rPr>
                <w:rFonts w:hint="eastAsia" w:asciiTheme="minorEastAsia" w:hAnsiTheme="minorEastAsia" w:eastAsiaTheme="minorEastAsia" w:cstheme="minorEastAsia"/>
                <w:bCs/>
                <w:szCs w:val="21"/>
              </w:rPr>
              <w:t>代理服务费收取信息：</w:t>
            </w:r>
          </w:p>
          <w:p w14:paraId="05B918BB">
            <w:pPr>
              <w:numPr>
                <w:ilvl w:val="-1"/>
                <w:numId w:val="0"/>
              </w:num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公司名称：河南领秀工程造价咨询有限公司</w:t>
            </w:r>
          </w:p>
          <w:p w14:paraId="4D7F9EE1">
            <w:pPr>
              <w:numPr>
                <w:ilvl w:val="-1"/>
                <w:numId w:val="0"/>
              </w:num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账号：371909622610601</w:t>
            </w:r>
          </w:p>
          <w:p w14:paraId="609E8560">
            <w:pPr>
              <w:numPr>
                <w:ilvl w:val="-1"/>
                <w:numId w:val="0"/>
              </w:num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开户行：招商银行郑州高新区支行</w:t>
            </w:r>
          </w:p>
          <w:p w14:paraId="29E8797F">
            <w:pPr>
              <w:numPr>
                <w:ilvl w:val="-1"/>
                <w:numId w:val="0"/>
              </w:numPr>
              <w:wordWrap w:val="0"/>
              <w:spacing w:line="360" w:lineRule="auto"/>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行号：308491031345。</w:t>
            </w:r>
          </w:p>
        </w:tc>
      </w:tr>
      <w:tr w14:paraId="1A0D8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6655292A">
            <w:pPr>
              <w:wordWrap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10.6</w:t>
            </w:r>
          </w:p>
        </w:tc>
        <w:tc>
          <w:tcPr>
            <w:tcW w:w="2318" w:type="dxa"/>
            <w:tcBorders>
              <w:tl2br w:val="nil"/>
              <w:tr2bl w:val="nil"/>
            </w:tcBorders>
            <w:vAlign w:val="center"/>
          </w:tcPr>
          <w:p w14:paraId="3FD32C10">
            <w:pPr>
              <w:wordWrap w:val="0"/>
              <w:adjustRightInd w:val="0"/>
              <w:snapToGrid w:val="0"/>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认定为不响应招标文件的其它条件</w:t>
            </w:r>
          </w:p>
        </w:tc>
        <w:tc>
          <w:tcPr>
            <w:tcW w:w="6112" w:type="dxa"/>
            <w:tcBorders>
              <w:tl2br w:val="nil"/>
              <w:tr2bl w:val="nil"/>
            </w:tcBorders>
            <w:vAlign w:val="center"/>
          </w:tcPr>
          <w:p w14:paraId="5A5AB4C1">
            <w:p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未按招标文件明示的规定签字盖章的；</w:t>
            </w:r>
          </w:p>
          <w:p w14:paraId="22EB3E38">
            <w:p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投标文件的关键内容</w:t>
            </w:r>
            <w:r>
              <w:rPr>
                <w:rFonts w:hint="eastAsia" w:asciiTheme="minorEastAsia" w:hAnsiTheme="minorEastAsia" w:eastAsiaTheme="minorEastAsia" w:cstheme="minorEastAsia"/>
                <w:bCs/>
                <w:szCs w:val="21"/>
                <w:highlight w:val="none"/>
              </w:rPr>
              <w:t>（采购报价、合同履行期限、品牌</w:t>
            </w:r>
            <w:r>
              <w:rPr>
                <w:rFonts w:hint="eastAsia" w:asciiTheme="minorEastAsia" w:hAnsiTheme="minorEastAsia" w:eastAsiaTheme="minorEastAsia" w:cstheme="minorEastAsia"/>
                <w:bCs/>
                <w:szCs w:val="21"/>
                <w:highlight w:val="none"/>
                <w:lang w:eastAsia="zh-CN"/>
              </w:rPr>
              <w:t>、</w:t>
            </w:r>
            <w:r>
              <w:rPr>
                <w:rFonts w:hint="eastAsia" w:asciiTheme="minorEastAsia" w:hAnsiTheme="minorEastAsia" w:eastAsiaTheme="minorEastAsia" w:cstheme="minorEastAsia"/>
                <w:bCs/>
                <w:szCs w:val="21"/>
                <w:highlight w:val="none"/>
              </w:rPr>
              <w:t>型号、质量标准等）未填写或填写字</w:t>
            </w:r>
            <w:r>
              <w:rPr>
                <w:rFonts w:hint="eastAsia" w:asciiTheme="minorEastAsia" w:hAnsiTheme="minorEastAsia" w:eastAsiaTheme="minorEastAsia" w:cstheme="minorEastAsia"/>
                <w:bCs/>
                <w:szCs w:val="21"/>
              </w:rPr>
              <w:t>迹模糊、达不到采购要求的；</w:t>
            </w:r>
          </w:p>
          <w:p w14:paraId="4FD57E0A">
            <w:p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投标报价超出招标控制价的；</w:t>
            </w:r>
          </w:p>
          <w:p w14:paraId="05FCAD51">
            <w:p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4</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供应商递交两份或多份内容不同的投标文件，或在一份投标文件中对同一招标项目有两个或多个报价，且未声明哪一个有效的；</w:t>
            </w:r>
          </w:p>
          <w:p w14:paraId="7FFB7732">
            <w:pPr>
              <w:wordWrap w:val="0"/>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5</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相关资格证明文件不合格的；</w:t>
            </w:r>
          </w:p>
          <w:p w14:paraId="1F3F0237">
            <w:pPr>
              <w:pStyle w:val="32"/>
              <w:wordWrap w:val="0"/>
              <w:spacing w:line="360" w:lineRule="auto"/>
              <w:ind w:firstLine="0" w:firstLineChars="0"/>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6</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附有采购人不能接受的条件的；</w:t>
            </w:r>
          </w:p>
          <w:p w14:paraId="1C4010F2">
            <w:pPr>
              <w:pStyle w:val="32"/>
              <w:wordWrap w:val="0"/>
              <w:spacing w:line="360" w:lineRule="auto"/>
              <w:ind w:firstLine="0" w:firstLineChars="0"/>
              <w:rPr>
                <w:rFonts w:hint="eastAsia"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rPr>
              <w:t>7</w:t>
            </w:r>
            <w:r>
              <w:rPr>
                <w:rFonts w:hint="eastAsia" w:asciiTheme="minorEastAsia" w:hAnsiTheme="minorEastAsia" w:eastAsiaTheme="minorEastAsia" w:cstheme="minorEastAsia"/>
                <w:bCs/>
                <w:szCs w:val="21"/>
                <w:lang w:val="en-US" w:eastAsia="zh-CN"/>
              </w:rPr>
              <w:t>.</w:t>
            </w:r>
            <w:r>
              <w:rPr>
                <w:rFonts w:hint="eastAsia" w:asciiTheme="minorEastAsia" w:hAnsiTheme="minorEastAsia" w:eastAsiaTheme="minorEastAsia" w:cstheme="minorEastAsia"/>
                <w:bCs/>
                <w:szCs w:val="21"/>
              </w:rPr>
              <w:t>评标过程中，如因两个或两个以上</w:t>
            </w:r>
            <w:r>
              <w:rPr>
                <w:rFonts w:hint="eastAsia" w:asciiTheme="minorEastAsia" w:hAnsiTheme="minorEastAsia" w:eastAsiaTheme="minorEastAsia" w:cstheme="minorEastAsia"/>
                <w:bCs/>
                <w:szCs w:val="21"/>
                <w:lang w:eastAsia="zh-CN"/>
              </w:rPr>
              <w:t>供应商</w:t>
            </w:r>
            <w:r>
              <w:rPr>
                <w:rFonts w:hint="eastAsia" w:asciiTheme="minorEastAsia" w:hAnsiTheme="minorEastAsia" w:eastAsiaTheme="minorEastAsia" w:cstheme="minorEastAsia"/>
                <w:bCs/>
                <w:szCs w:val="21"/>
              </w:rPr>
              <w:t>在同一台计算或同一个IP上传响应文件，而被不见面开标系统提示为“投标文件制作机</w:t>
            </w:r>
            <w:r>
              <w:rPr>
                <w:rFonts w:hint="eastAsia" w:asciiTheme="minorEastAsia" w:hAnsiTheme="minorEastAsia" w:eastAsiaTheme="minorEastAsia" w:cstheme="minorEastAsia"/>
                <w:bCs/>
                <w:szCs w:val="21"/>
                <w:highlight w:val="none"/>
              </w:rPr>
              <w:t>器码一致”的，则视其投标无效。</w:t>
            </w:r>
          </w:p>
          <w:p w14:paraId="29AF5DCB">
            <w:pPr>
              <w:pStyle w:val="32"/>
              <w:wordWrap w:val="0"/>
              <w:spacing w:line="360" w:lineRule="auto"/>
              <w:ind w:firstLine="0" w:firstLineChars="0"/>
              <w:rPr>
                <w:rFonts w:hint="eastAsia"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 w:val="21"/>
                <w:szCs w:val="21"/>
                <w:highlight w:val="none"/>
                <w:lang w:val="en-US" w:eastAsia="zh-CN"/>
              </w:rPr>
              <w:t>8.</w:t>
            </w:r>
            <w:r>
              <w:rPr>
                <w:rFonts w:hint="eastAsia" w:asciiTheme="minorEastAsia" w:hAnsiTheme="minorEastAsia" w:eastAsiaTheme="minorEastAsia" w:cstheme="minorEastAsia"/>
                <w:bCs/>
                <w:szCs w:val="21"/>
                <w:highlight w:val="none"/>
              </w:rPr>
              <w:t>在评标过程中，评标委员会发现投标单位的报价明显低于其它采购报价，使得其采购报价可能低于其个别成本的，应当要求该供应商作出书面说明并提供相关证明材料。供应商不能合理说明或者不能提供相关证明材料的，由评标委员会认定该供应商以低于成本报价竞标的。</w:t>
            </w:r>
          </w:p>
          <w:p w14:paraId="4FD3768C">
            <w:pPr>
              <w:pStyle w:val="32"/>
              <w:wordWrap w:val="0"/>
              <w:spacing w:line="360" w:lineRule="auto"/>
              <w:ind w:firstLine="0" w:firstLineChars="0"/>
              <w:rPr>
                <w:rFonts w:hint="eastAsia"/>
              </w:rPr>
            </w:pPr>
            <w:r>
              <w:rPr>
                <w:rFonts w:hint="eastAsia" w:asciiTheme="minorEastAsia" w:hAnsiTheme="minorEastAsia" w:eastAsiaTheme="minorEastAsia" w:cstheme="minorEastAsia"/>
                <w:bCs/>
                <w:szCs w:val="21"/>
                <w:highlight w:val="none"/>
                <w:lang w:val="en-US" w:eastAsia="zh-CN"/>
              </w:rPr>
              <w:t>9.</w:t>
            </w:r>
            <w:r>
              <w:rPr>
                <w:rFonts w:hint="eastAsia" w:asciiTheme="minorEastAsia" w:hAnsiTheme="minorEastAsia" w:eastAsiaTheme="minorEastAsia" w:cstheme="minorEastAsia"/>
                <w:bCs/>
                <w:szCs w:val="21"/>
                <w:highlight w:val="none"/>
              </w:rPr>
              <w:t>投标文件有明显不符合招标文件其它要求和有关法律法规的。</w:t>
            </w:r>
          </w:p>
        </w:tc>
      </w:tr>
      <w:tr w14:paraId="5DDA2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09504836">
            <w:pPr>
              <w:wordWrap w:val="0"/>
              <w:spacing w:line="360" w:lineRule="auto"/>
              <w:jc w:val="center"/>
              <w:rPr>
                <w:rFonts w:hint="default"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10.7</w:t>
            </w:r>
          </w:p>
        </w:tc>
        <w:tc>
          <w:tcPr>
            <w:tcW w:w="8430" w:type="dxa"/>
            <w:gridSpan w:val="2"/>
            <w:tcBorders>
              <w:tl2br w:val="nil"/>
              <w:tr2bl w:val="nil"/>
            </w:tcBorders>
            <w:shd w:val="clear" w:color="auto" w:fill="auto"/>
            <w:vAlign w:val="center"/>
          </w:tcPr>
          <w:p w14:paraId="58281DC1">
            <w:pPr>
              <w:pStyle w:val="32"/>
              <w:wordWrap w:val="0"/>
              <w:spacing w:line="360" w:lineRule="auto"/>
              <w:ind w:firstLine="0" w:firstLineChars="0"/>
              <w:rPr>
                <w:rFonts w:hint="eastAsia"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bCs/>
                <w:szCs w:val="21"/>
                <w:highlight w:val="none"/>
              </w:rPr>
              <w:t>1</w:t>
            </w:r>
            <w:r>
              <w:rPr>
                <w:rFonts w:hint="eastAsia" w:asciiTheme="minorEastAsia" w:hAnsiTheme="minorEastAsia" w:eastAsiaTheme="minorEastAsia" w:cstheme="minorEastAsia"/>
                <w:bCs/>
                <w:szCs w:val="21"/>
                <w:highlight w:val="none"/>
                <w:lang w:eastAsia="zh-CN"/>
              </w:rPr>
              <w:t>.</w:t>
            </w:r>
            <w:r>
              <w:rPr>
                <w:rFonts w:hint="eastAsia" w:asciiTheme="minorEastAsia" w:hAnsiTheme="minorEastAsia" w:eastAsiaTheme="minorEastAsia" w:cstheme="minorEastAsia"/>
                <w:bCs/>
                <w:szCs w:val="21"/>
                <w:highlight w:val="none"/>
              </w:rPr>
              <w:t>本项目采购货物在质保期内属于货物质量问题的，成交供应商应免费维修，不能维修的应及时更换新设备，供应商须针对质保期内的质量问题提供承诺函。</w:t>
            </w:r>
          </w:p>
          <w:p w14:paraId="2309F1CE">
            <w:pPr>
              <w:pStyle w:val="32"/>
              <w:wordWrap w:val="0"/>
              <w:spacing w:line="360" w:lineRule="auto"/>
              <w:ind w:firstLine="0" w:firstLineChars="0"/>
              <w:rPr>
                <w:rFonts w:hint="eastAsia" w:asciiTheme="minorEastAsia" w:hAnsiTheme="minorEastAsia" w:eastAsiaTheme="minorEastAsia" w:cstheme="minorEastAsia"/>
                <w:bCs/>
                <w:szCs w:val="21"/>
                <w:highlight w:val="none"/>
                <w:lang w:val="en-US" w:eastAsia="zh-CN"/>
              </w:rPr>
            </w:pPr>
            <w:r>
              <w:rPr>
                <w:rFonts w:hint="eastAsia" w:asciiTheme="minorEastAsia" w:hAnsiTheme="minorEastAsia" w:eastAsiaTheme="minorEastAsia" w:cstheme="minorEastAsia"/>
                <w:bCs/>
                <w:szCs w:val="21"/>
                <w:highlight w:val="none"/>
              </w:rPr>
              <w:t>2</w:t>
            </w:r>
            <w:r>
              <w:rPr>
                <w:rFonts w:hint="eastAsia" w:asciiTheme="minorEastAsia" w:hAnsiTheme="minorEastAsia" w:eastAsiaTheme="minorEastAsia" w:cstheme="minorEastAsia"/>
                <w:bCs/>
                <w:szCs w:val="21"/>
                <w:highlight w:val="none"/>
                <w:lang w:eastAsia="zh-CN"/>
              </w:rPr>
              <w:t>.</w:t>
            </w:r>
            <w:r>
              <w:rPr>
                <w:rFonts w:hint="eastAsia" w:asciiTheme="minorEastAsia" w:hAnsiTheme="minorEastAsia" w:eastAsiaTheme="minorEastAsia" w:cstheme="minorEastAsia"/>
                <w:bCs/>
                <w:szCs w:val="21"/>
                <w:highlight w:val="none"/>
              </w:rPr>
              <w:t>供应商对其提供的产品出具《关于符合本国产品标准的声明函》，采购人、采购代理机构应当随中标、成交结果同时公告中标、成交供应商提供的《声明函》。</w:t>
            </w:r>
          </w:p>
        </w:tc>
      </w:tr>
      <w:tr w14:paraId="480D3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5" w:type="dxa"/>
            <w:tcBorders>
              <w:tl2br w:val="nil"/>
              <w:tr2bl w:val="nil"/>
            </w:tcBorders>
            <w:vAlign w:val="center"/>
          </w:tcPr>
          <w:p w14:paraId="30E5C9A2">
            <w:pPr>
              <w:wordWrap w:val="0"/>
              <w:spacing w:line="360" w:lineRule="auto"/>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10.</w:t>
            </w:r>
            <w:r>
              <w:rPr>
                <w:rFonts w:hint="eastAsia" w:asciiTheme="minorEastAsia" w:hAnsiTheme="minorEastAsia" w:eastAsiaTheme="minorEastAsia" w:cstheme="minorEastAsia"/>
                <w:szCs w:val="21"/>
                <w:lang w:val="en-US" w:eastAsia="zh-CN"/>
              </w:rPr>
              <w:t>8</w:t>
            </w:r>
          </w:p>
        </w:tc>
        <w:tc>
          <w:tcPr>
            <w:tcW w:w="8430" w:type="dxa"/>
            <w:gridSpan w:val="2"/>
            <w:tcBorders>
              <w:tl2br w:val="nil"/>
              <w:tr2bl w:val="nil"/>
            </w:tcBorders>
            <w:vAlign w:val="center"/>
          </w:tcPr>
          <w:p w14:paraId="18D8B642">
            <w:pPr>
              <w:wordWrap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本招标文件解释权归采购人</w:t>
            </w:r>
          </w:p>
        </w:tc>
      </w:tr>
    </w:tbl>
    <w:p w14:paraId="6E09A218">
      <w:pPr>
        <w:pStyle w:val="29"/>
        <w:pageBreakBefore w:val="0"/>
        <w:kinsoku/>
        <w:overflowPunct/>
        <w:topLinePunct w:val="0"/>
        <w:autoSpaceDE/>
        <w:autoSpaceDN/>
        <w:bidi w:val="0"/>
        <w:spacing w:before="120" w:after="120" w:line="360" w:lineRule="auto"/>
        <w:ind w:right="-1029" w:rightChars="-490" w:firstLine="482" w:firstLineChars="200"/>
        <w:jc w:val="both"/>
        <w:textAlignment w:val="auto"/>
        <w:rPr>
          <w:rFonts w:hint="eastAsia" w:asciiTheme="minorEastAsia" w:hAnsiTheme="minorEastAsia" w:eastAsiaTheme="minorEastAsia" w:cstheme="minorEastAsia"/>
          <w:sz w:val="24"/>
          <w:szCs w:val="24"/>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720" w:num="1"/>
          <w:docGrid w:type="lines" w:linePitch="380" w:charSpace="0"/>
        </w:sectPr>
      </w:pPr>
      <w:bookmarkStart w:id="24" w:name="_Toc161588330"/>
      <w:bookmarkStart w:id="25" w:name="_Toc23576"/>
      <w:bookmarkStart w:id="26" w:name="_Toc403122491"/>
      <w:bookmarkStart w:id="27" w:name="_Toc161584008"/>
      <w:bookmarkStart w:id="28" w:name="_Toc426369479"/>
      <w:bookmarkStart w:id="29" w:name="_Toc9048"/>
      <w:bookmarkStart w:id="30" w:name="_Toc23082"/>
      <w:bookmarkStart w:id="31" w:name="_Toc403122503"/>
      <w:bookmarkStart w:id="32" w:name="_Toc26894"/>
      <w:bookmarkStart w:id="33" w:name="_Toc426369491"/>
    </w:p>
    <w:p w14:paraId="64E0D3F2">
      <w:pPr>
        <w:pStyle w:val="29"/>
        <w:spacing w:before="120" w:after="120" w:line="360" w:lineRule="auto"/>
        <w:ind w:right="-1029" w:rightChars="-490" w:firstLine="0" w:firstLineChars="0"/>
        <w:jc w:val="both"/>
        <w:rPr>
          <w:rFonts w:asciiTheme="minorEastAsia" w:hAnsiTheme="minorEastAsia" w:eastAsiaTheme="minorEastAsia" w:cstheme="minorEastAsia"/>
          <w:sz w:val="30"/>
          <w:szCs w:val="30"/>
        </w:rPr>
      </w:pPr>
      <w:bookmarkStart w:id="34" w:name="_Toc21014"/>
      <w:bookmarkStart w:id="35" w:name="_Toc31236"/>
      <w:bookmarkStart w:id="36" w:name="_Toc11503"/>
      <w:r>
        <w:rPr>
          <w:rFonts w:hint="eastAsia" w:asciiTheme="minorEastAsia" w:hAnsiTheme="minorEastAsia" w:eastAsiaTheme="minorEastAsia" w:cstheme="minorEastAsia"/>
          <w:sz w:val="30"/>
          <w:szCs w:val="30"/>
        </w:rPr>
        <w:t>1. 总则</w:t>
      </w:r>
      <w:bookmarkEnd w:id="24"/>
      <w:bookmarkEnd w:id="25"/>
      <w:bookmarkEnd w:id="26"/>
      <w:bookmarkEnd w:id="27"/>
      <w:bookmarkEnd w:id="28"/>
      <w:bookmarkEnd w:id="29"/>
      <w:bookmarkEnd w:id="30"/>
      <w:bookmarkEnd w:id="34"/>
      <w:bookmarkEnd w:id="35"/>
      <w:bookmarkEnd w:id="36"/>
    </w:p>
    <w:p w14:paraId="0A404B80">
      <w:pPr>
        <w:spacing w:line="360" w:lineRule="auto"/>
        <w:ind w:firstLine="0" w:firstLineChars="0"/>
        <w:rPr>
          <w:rFonts w:asciiTheme="minorEastAsia" w:hAnsiTheme="minorEastAsia" w:eastAsiaTheme="minorEastAsia" w:cstheme="minorEastAsia"/>
          <w:b/>
          <w:bCs/>
          <w:sz w:val="24"/>
        </w:rPr>
      </w:pPr>
      <w:bookmarkStart w:id="37" w:name="_Toc403122492"/>
      <w:bookmarkStart w:id="38" w:name="_Toc279599771"/>
      <w:bookmarkStart w:id="39" w:name="_Toc274249575"/>
      <w:bookmarkStart w:id="40" w:name="_Toc426369480"/>
      <w:r>
        <w:rPr>
          <w:rFonts w:hint="eastAsia" w:asciiTheme="minorEastAsia" w:hAnsiTheme="minorEastAsia" w:eastAsiaTheme="minorEastAsia" w:cstheme="minorEastAsia"/>
          <w:b/>
          <w:bCs/>
          <w:sz w:val="24"/>
        </w:rPr>
        <w:t>1.1 项目概况</w:t>
      </w:r>
      <w:bookmarkEnd w:id="37"/>
      <w:bookmarkEnd w:id="38"/>
      <w:bookmarkEnd w:id="39"/>
      <w:bookmarkEnd w:id="40"/>
    </w:p>
    <w:p w14:paraId="79DFDEA6">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 根据</w:t>
      </w:r>
      <w:r>
        <w:rPr>
          <w:rFonts w:hint="eastAsia" w:asciiTheme="minorEastAsia" w:hAnsiTheme="minorEastAsia" w:eastAsiaTheme="minorEastAsia" w:cstheme="minorEastAsia"/>
          <w:bCs/>
          <w:szCs w:val="21"/>
        </w:rPr>
        <w:t>《中华人民共和国政府采购法》</w:t>
      </w:r>
      <w:r>
        <w:rPr>
          <w:rFonts w:hint="eastAsia" w:asciiTheme="minorEastAsia" w:hAnsiTheme="minorEastAsia" w:eastAsiaTheme="minorEastAsia" w:cstheme="minorEastAsia"/>
          <w:szCs w:val="21"/>
        </w:rPr>
        <w:t xml:space="preserve">等有关法律、法规和规章的规定，本招标项目已具备招标条件，现对本招标项目进行公开招标。 </w:t>
      </w:r>
    </w:p>
    <w:p w14:paraId="4B7B01F2">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1.1.2 本招标项目采购人：见供应商须知前附表。 </w:t>
      </w:r>
    </w:p>
    <w:p w14:paraId="07461916">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1.1.3 本招标项目采购代理机构：见供应商须知前附表。 </w:t>
      </w:r>
    </w:p>
    <w:p w14:paraId="3E5E97E0">
      <w:pPr>
        <w:keepNext w:val="0"/>
        <w:keepLines w:val="0"/>
        <w:pageBreakBefore w:val="0"/>
        <w:kinsoku/>
        <w:wordWrap/>
        <w:overflowPunct/>
        <w:topLinePunct w:val="0"/>
        <w:bidi w:val="0"/>
        <w:snapToGrid/>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1.1.4 本招标项目名称：见供应商须知前附表。</w:t>
      </w:r>
    </w:p>
    <w:p w14:paraId="6D4E9A5C">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 xml:space="preserve">1.1.5 </w:t>
      </w:r>
      <w:r>
        <w:rPr>
          <w:rFonts w:hint="eastAsia" w:asciiTheme="minorEastAsia" w:hAnsiTheme="minorEastAsia" w:eastAsiaTheme="minorEastAsia" w:cstheme="minorEastAsia"/>
          <w:szCs w:val="21"/>
        </w:rPr>
        <w:t>本招标项目</w:t>
      </w:r>
      <w:r>
        <w:rPr>
          <w:rFonts w:hint="eastAsia" w:asciiTheme="minorEastAsia" w:hAnsiTheme="minorEastAsia" w:eastAsiaTheme="minorEastAsia" w:cstheme="minorEastAsia"/>
          <w:szCs w:val="21"/>
          <w:lang w:val="en-US" w:eastAsia="zh-CN"/>
        </w:rPr>
        <w:t>服务地点</w:t>
      </w:r>
      <w:r>
        <w:rPr>
          <w:rFonts w:hint="eastAsia" w:asciiTheme="minorEastAsia" w:hAnsiTheme="minorEastAsia" w:eastAsiaTheme="minorEastAsia" w:cstheme="minorEastAsia"/>
          <w:szCs w:val="21"/>
        </w:rPr>
        <w:t>：见供应商须知前附表。</w:t>
      </w:r>
    </w:p>
    <w:p w14:paraId="390C604F">
      <w:pPr>
        <w:spacing w:line="360" w:lineRule="auto"/>
        <w:ind w:firstLine="0" w:firstLineChars="0"/>
        <w:rPr>
          <w:rFonts w:asciiTheme="minorEastAsia" w:hAnsiTheme="minorEastAsia" w:eastAsiaTheme="minorEastAsia" w:cstheme="minorEastAsia"/>
          <w:b/>
          <w:bCs/>
          <w:sz w:val="24"/>
        </w:rPr>
      </w:pPr>
      <w:bookmarkStart w:id="41" w:name="_Toc279599772"/>
      <w:bookmarkStart w:id="42" w:name="_Toc403122493"/>
      <w:bookmarkStart w:id="43" w:name="_Toc426369481"/>
      <w:bookmarkStart w:id="44" w:name="_Toc274249576"/>
      <w:r>
        <w:rPr>
          <w:rFonts w:hint="eastAsia" w:asciiTheme="minorEastAsia" w:hAnsiTheme="minorEastAsia" w:eastAsiaTheme="minorEastAsia" w:cstheme="minorEastAsia"/>
          <w:b/>
          <w:bCs/>
          <w:sz w:val="24"/>
        </w:rPr>
        <w:t>1.2 资金来源和落实情况</w:t>
      </w:r>
      <w:bookmarkEnd w:id="41"/>
      <w:bookmarkEnd w:id="42"/>
      <w:bookmarkEnd w:id="43"/>
      <w:bookmarkEnd w:id="44"/>
    </w:p>
    <w:p w14:paraId="08F09D11">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1.2.1 本招标项目的资金来源：见供应商须知前附表。 </w:t>
      </w:r>
    </w:p>
    <w:p w14:paraId="0D64A107">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1.2.2 本招标项目的资金落实情况：见供应商须知前附表。 </w:t>
      </w:r>
    </w:p>
    <w:p w14:paraId="58FD7FF2">
      <w:pPr>
        <w:spacing w:line="360" w:lineRule="auto"/>
        <w:ind w:firstLine="0" w:firstLineChars="0"/>
        <w:rPr>
          <w:rFonts w:asciiTheme="minorEastAsia" w:hAnsiTheme="minorEastAsia" w:eastAsiaTheme="minorEastAsia" w:cstheme="minorEastAsia"/>
          <w:b/>
          <w:bCs/>
          <w:sz w:val="24"/>
        </w:rPr>
      </w:pPr>
      <w:bookmarkStart w:id="45" w:name="_Toc403122494"/>
      <w:bookmarkStart w:id="46" w:name="_Toc274249577"/>
      <w:bookmarkStart w:id="47" w:name="_Toc426369482"/>
      <w:bookmarkStart w:id="48" w:name="_Toc279599773"/>
      <w:r>
        <w:rPr>
          <w:rFonts w:hint="eastAsia" w:asciiTheme="minorEastAsia" w:hAnsiTheme="minorEastAsia" w:eastAsiaTheme="minorEastAsia" w:cstheme="minorEastAsia"/>
          <w:b/>
          <w:bCs/>
          <w:sz w:val="24"/>
        </w:rPr>
        <w:t>1.3 采购</w:t>
      </w:r>
      <w:r>
        <w:rPr>
          <w:rFonts w:hint="eastAsia" w:asciiTheme="minorEastAsia" w:hAnsiTheme="minorEastAsia" w:eastAsiaTheme="minorEastAsia" w:cstheme="minorEastAsia"/>
          <w:b/>
          <w:bCs/>
          <w:sz w:val="24"/>
          <w:lang w:val="en-US" w:eastAsia="zh-CN"/>
        </w:rPr>
        <w:t>需求</w:t>
      </w:r>
      <w:r>
        <w:rPr>
          <w:rFonts w:hint="eastAsia" w:asciiTheme="minorEastAsia" w:hAnsiTheme="minorEastAsia" w:eastAsiaTheme="minorEastAsia" w:cstheme="minorEastAsia"/>
          <w:b/>
          <w:bCs/>
          <w:sz w:val="24"/>
        </w:rPr>
        <w:t>、供货安装期</w:t>
      </w:r>
      <w:r>
        <w:rPr>
          <w:rFonts w:hint="eastAsia" w:asciiTheme="minorEastAsia" w:hAnsiTheme="minorEastAsia" w:eastAsiaTheme="minorEastAsia" w:cstheme="minorEastAsia"/>
          <w:b/>
          <w:bCs/>
          <w:sz w:val="24"/>
          <w:lang w:eastAsia="zh-CN"/>
        </w:rPr>
        <w:t>、</w:t>
      </w:r>
      <w:r>
        <w:rPr>
          <w:rFonts w:hint="eastAsia" w:asciiTheme="minorEastAsia" w:hAnsiTheme="minorEastAsia" w:eastAsiaTheme="minorEastAsia" w:cstheme="minorEastAsia"/>
          <w:b/>
          <w:bCs/>
          <w:sz w:val="24"/>
        </w:rPr>
        <w:t>合同履行期限和</w:t>
      </w:r>
      <w:bookmarkEnd w:id="45"/>
      <w:bookmarkEnd w:id="46"/>
      <w:bookmarkEnd w:id="47"/>
      <w:bookmarkEnd w:id="48"/>
      <w:r>
        <w:rPr>
          <w:rFonts w:hint="eastAsia" w:asciiTheme="minorEastAsia" w:hAnsiTheme="minorEastAsia" w:eastAsiaTheme="minorEastAsia" w:cstheme="minorEastAsia"/>
          <w:b/>
          <w:bCs/>
          <w:sz w:val="24"/>
          <w:lang w:val="en-US" w:eastAsia="zh-CN"/>
        </w:rPr>
        <w:t>质量</w:t>
      </w:r>
      <w:r>
        <w:rPr>
          <w:rFonts w:hint="eastAsia" w:asciiTheme="minorEastAsia" w:hAnsiTheme="minorEastAsia" w:eastAsiaTheme="minorEastAsia" w:cstheme="minorEastAsia"/>
          <w:b/>
          <w:bCs/>
          <w:sz w:val="24"/>
        </w:rPr>
        <w:t>标准</w:t>
      </w:r>
    </w:p>
    <w:p w14:paraId="20B1B943">
      <w:pPr>
        <w:keepNext w:val="0"/>
        <w:keepLines w:val="0"/>
        <w:pageBreakBefore w:val="0"/>
        <w:kinsoku/>
        <w:wordWrap/>
        <w:overflowPunct/>
        <w:topLinePunct w:val="0"/>
        <w:bidi w:val="0"/>
        <w:snapToGrid/>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1.3.1 本次招标采购</w:t>
      </w:r>
      <w:r>
        <w:rPr>
          <w:rFonts w:hint="eastAsia" w:asciiTheme="minorEastAsia" w:hAnsiTheme="minorEastAsia" w:eastAsiaTheme="minorEastAsia" w:cstheme="minorEastAsia"/>
          <w:szCs w:val="21"/>
          <w:lang w:val="en-US" w:eastAsia="zh-CN"/>
        </w:rPr>
        <w:t>需求</w:t>
      </w:r>
      <w:r>
        <w:rPr>
          <w:rFonts w:hint="eastAsia" w:asciiTheme="minorEastAsia" w:hAnsiTheme="minorEastAsia" w:eastAsiaTheme="minorEastAsia" w:cstheme="minorEastAsia"/>
          <w:szCs w:val="21"/>
        </w:rPr>
        <w:t xml:space="preserve">：见供应商须知前附表。 </w:t>
      </w:r>
    </w:p>
    <w:p w14:paraId="61E91792">
      <w:pPr>
        <w:keepNext w:val="0"/>
        <w:keepLines w:val="0"/>
        <w:pageBreakBefore w:val="0"/>
        <w:kinsoku/>
        <w:wordWrap/>
        <w:overflowPunct/>
        <w:topLinePunct w:val="0"/>
        <w:bidi w:val="0"/>
        <w:snapToGrid/>
        <w:spacing w:line="360" w:lineRule="auto"/>
        <w:ind w:firstLine="420" w:firstLineChars="200"/>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1.3.2 </w:t>
      </w:r>
      <w:r>
        <w:rPr>
          <w:rFonts w:hint="eastAsia" w:asciiTheme="minorEastAsia" w:hAnsiTheme="minorEastAsia" w:eastAsiaTheme="minorEastAsia" w:cstheme="minorEastAsia"/>
          <w:szCs w:val="21"/>
        </w:rPr>
        <w:t>本次招标</w:t>
      </w:r>
      <w:r>
        <w:rPr>
          <w:rFonts w:hint="eastAsia" w:asciiTheme="minorEastAsia" w:hAnsiTheme="minorEastAsia" w:eastAsiaTheme="minorEastAsia" w:cstheme="minorEastAsia"/>
          <w:szCs w:val="21"/>
          <w:lang w:val="en-US" w:eastAsia="zh-CN"/>
        </w:rPr>
        <w:t>的</w:t>
      </w:r>
      <w:r>
        <w:rPr>
          <w:rFonts w:hint="eastAsia" w:asciiTheme="minorEastAsia" w:hAnsiTheme="minorEastAsia" w:eastAsiaTheme="minorEastAsia" w:cstheme="minorEastAsia"/>
          <w:szCs w:val="21"/>
        </w:rPr>
        <w:t>供货安装期：见供应商须知前附表。</w:t>
      </w:r>
    </w:p>
    <w:p w14:paraId="22A860FA">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w:t>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 xml:space="preserve"> 本次招标的合同履行期限：见供应商须知前附表。 </w:t>
      </w:r>
    </w:p>
    <w:p w14:paraId="7C2EA84B">
      <w:pPr>
        <w:keepNext w:val="0"/>
        <w:keepLines w:val="0"/>
        <w:pageBreakBefore w:val="0"/>
        <w:tabs>
          <w:tab w:val="right" w:pos="9040"/>
        </w:tabs>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 xml:space="preserve"> 本次招标的</w:t>
      </w:r>
      <w:r>
        <w:rPr>
          <w:rFonts w:hint="eastAsia" w:asciiTheme="minorEastAsia" w:hAnsiTheme="minorEastAsia" w:eastAsiaTheme="minorEastAsia" w:cstheme="minorEastAsia"/>
          <w:szCs w:val="21"/>
          <w:lang w:val="en-US" w:eastAsia="zh-CN"/>
        </w:rPr>
        <w:t>质量</w:t>
      </w:r>
      <w:r>
        <w:rPr>
          <w:rFonts w:hint="eastAsia" w:asciiTheme="minorEastAsia" w:hAnsiTheme="minorEastAsia" w:eastAsiaTheme="minorEastAsia" w:cstheme="minorEastAsia"/>
          <w:szCs w:val="21"/>
        </w:rPr>
        <w:t xml:space="preserve">标准：见供应商须知前附表。 </w:t>
      </w:r>
    </w:p>
    <w:p w14:paraId="09A8848F">
      <w:pPr>
        <w:spacing w:line="360" w:lineRule="auto"/>
        <w:ind w:firstLine="0" w:firstLineChars="0"/>
        <w:rPr>
          <w:rFonts w:asciiTheme="minorEastAsia" w:hAnsiTheme="minorEastAsia" w:eastAsiaTheme="minorEastAsia" w:cstheme="minorEastAsia"/>
          <w:b/>
          <w:bCs/>
          <w:sz w:val="24"/>
        </w:rPr>
      </w:pPr>
      <w:bookmarkStart w:id="49" w:name="_Toc274249578"/>
      <w:bookmarkStart w:id="50" w:name="_Toc279599774"/>
      <w:bookmarkStart w:id="51" w:name="_Toc403122495"/>
      <w:bookmarkStart w:id="52" w:name="_Toc426369483"/>
      <w:r>
        <w:rPr>
          <w:rFonts w:hint="eastAsia" w:asciiTheme="minorEastAsia" w:hAnsiTheme="minorEastAsia" w:eastAsiaTheme="minorEastAsia" w:cstheme="minorEastAsia"/>
          <w:b/>
          <w:bCs/>
          <w:sz w:val="24"/>
        </w:rPr>
        <w:t>1.4 供应商资格要求</w:t>
      </w:r>
      <w:bookmarkEnd w:id="49"/>
      <w:bookmarkEnd w:id="50"/>
      <w:bookmarkEnd w:id="51"/>
      <w:bookmarkEnd w:id="52"/>
    </w:p>
    <w:p w14:paraId="7B666660">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1.4.1 供应商应具备承担本招标项目的资质条件。 </w:t>
      </w:r>
    </w:p>
    <w:p w14:paraId="69CB1D9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（1）供应商资质条件：见供应商须知前附表； </w:t>
      </w:r>
    </w:p>
    <w:p w14:paraId="75E644FB">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bookmarkStart w:id="53" w:name="_Toc274249579"/>
      <w:bookmarkStart w:id="54" w:name="_Toc279599775"/>
      <w:bookmarkStart w:id="55" w:name="_Toc403122496"/>
      <w:r>
        <w:rPr>
          <w:rFonts w:hint="eastAsia" w:asciiTheme="minorEastAsia" w:hAnsiTheme="minorEastAsia" w:eastAsiaTheme="minorEastAsia" w:cstheme="minorEastAsia"/>
          <w:szCs w:val="21"/>
        </w:rPr>
        <w:t>1.4.2 本次招标不接受联合体投标。</w:t>
      </w:r>
    </w:p>
    <w:p w14:paraId="69781EF8">
      <w:pPr>
        <w:spacing w:line="360" w:lineRule="auto"/>
        <w:ind w:firstLine="0" w:firstLineChars="0"/>
        <w:rPr>
          <w:rFonts w:asciiTheme="minorEastAsia" w:hAnsiTheme="minorEastAsia" w:eastAsiaTheme="minorEastAsia" w:cstheme="minorEastAsia"/>
          <w:b/>
          <w:bCs/>
          <w:sz w:val="24"/>
        </w:rPr>
      </w:pPr>
      <w:bookmarkStart w:id="56" w:name="_Toc426369484"/>
      <w:r>
        <w:rPr>
          <w:rFonts w:hint="eastAsia" w:asciiTheme="minorEastAsia" w:hAnsiTheme="minorEastAsia" w:eastAsiaTheme="minorEastAsia" w:cstheme="minorEastAsia"/>
          <w:b/>
          <w:bCs/>
          <w:sz w:val="24"/>
        </w:rPr>
        <w:t>1.5 费用承担</w:t>
      </w:r>
      <w:bookmarkEnd w:id="53"/>
      <w:bookmarkEnd w:id="54"/>
      <w:bookmarkEnd w:id="55"/>
      <w:bookmarkEnd w:id="56"/>
    </w:p>
    <w:p w14:paraId="6FC49259">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供应商准备和参加投标活动发生的费用自理。 </w:t>
      </w:r>
    </w:p>
    <w:p w14:paraId="1D00C05B">
      <w:pPr>
        <w:spacing w:line="360" w:lineRule="auto"/>
        <w:ind w:firstLine="0" w:firstLineChars="0"/>
        <w:rPr>
          <w:rFonts w:asciiTheme="minorEastAsia" w:hAnsiTheme="minorEastAsia" w:eastAsiaTheme="minorEastAsia" w:cstheme="minorEastAsia"/>
          <w:b/>
          <w:bCs/>
          <w:sz w:val="24"/>
        </w:rPr>
      </w:pPr>
      <w:bookmarkStart w:id="57" w:name="_Toc403122497"/>
      <w:bookmarkStart w:id="58" w:name="_Toc426369485"/>
      <w:r>
        <w:rPr>
          <w:rFonts w:hint="eastAsia" w:asciiTheme="minorEastAsia" w:hAnsiTheme="minorEastAsia" w:eastAsiaTheme="minorEastAsia" w:cstheme="minorEastAsia"/>
          <w:b/>
          <w:bCs/>
          <w:sz w:val="24"/>
        </w:rPr>
        <w:t>1.6 保密</w:t>
      </w:r>
      <w:bookmarkEnd w:id="57"/>
      <w:bookmarkEnd w:id="58"/>
    </w:p>
    <w:p w14:paraId="7B0A3D02">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参与招标投标活动的各方应对招标文件和投标文件中的商业和技术等秘密保密，违者应对由此造成的后果承担法律责任。</w:t>
      </w:r>
    </w:p>
    <w:p w14:paraId="3C1D3607">
      <w:pPr>
        <w:spacing w:line="360" w:lineRule="auto"/>
        <w:ind w:firstLine="0" w:firstLineChars="0"/>
        <w:rPr>
          <w:rFonts w:asciiTheme="minorEastAsia" w:hAnsiTheme="minorEastAsia" w:eastAsiaTheme="minorEastAsia" w:cstheme="minorEastAsia"/>
          <w:b/>
          <w:bCs/>
          <w:sz w:val="24"/>
        </w:rPr>
      </w:pPr>
      <w:bookmarkStart w:id="59" w:name="_Toc403122498"/>
      <w:bookmarkStart w:id="60" w:name="_Toc274249581"/>
      <w:bookmarkStart w:id="61" w:name="_Toc279599777"/>
      <w:bookmarkStart w:id="62" w:name="_Toc426369486"/>
      <w:r>
        <w:rPr>
          <w:rFonts w:hint="eastAsia" w:asciiTheme="minorEastAsia" w:hAnsiTheme="minorEastAsia" w:eastAsiaTheme="minorEastAsia" w:cstheme="minorEastAsia"/>
          <w:b/>
          <w:bCs/>
          <w:sz w:val="24"/>
        </w:rPr>
        <w:t>1.7 语言文字</w:t>
      </w:r>
      <w:bookmarkEnd w:id="59"/>
      <w:bookmarkEnd w:id="60"/>
      <w:bookmarkEnd w:id="61"/>
      <w:bookmarkEnd w:id="62"/>
      <w:r>
        <w:rPr>
          <w:rFonts w:hint="eastAsia" w:asciiTheme="minorEastAsia" w:hAnsiTheme="minorEastAsia" w:eastAsiaTheme="minorEastAsia" w:cstheme="minorEastAsia"/>
          <w:b/>
          <w:bCs/>
          <w:sz w:val="24"/>
        </w:rPr>
        <w:t xml:space="preserve"> </w:t>
      </w:r>
    </w:p>
    <w:p w14:paraId="46DA408F">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1.7.1 采购文件以及</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与采购人、采购代理机构就有关投标事宜的所有来往函电均应使用简体中文书写。</w:t>
      </w:r>
    </w:p>
    <w:p w14:paraId="02CDC662">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1.7.2</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原版为外文的证书类文件，以及由外国人做出的本人签名、外国公司的名称或外国印章等可以是外文，但应当提供中文翻译文件并加盖</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公章。必要时评标委员会可以要求</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提供附有公证书的中文翻译文件或者与原版文件签章相一致的中文翻译文件</w:t>
      </w:r>
      <w:bookmarkStart w:id="63" w:name="_Toc426369487"/>
      <w:bookmarkStart w:id="64" w:name="_Toc403122499"/>
      <w:r>
        <w:rPr>
          <w:rFonts w:hint="eastAsia" w:asciiTheme="minorEastAsia" w:hAnsiTheme="minorEastAsia" w:eastAsiaTheme="minorEastAsia" w:cstheme="minorEastAsia"/>
          <w:szCs w:val="21"/>
        </w:rPr>
        <w:t>。</w:t>
      </w:r>
    </w:p>
    <w:p w14:paraId="57F395EB">
      <w:pPr>
        <w:spacing w:line="360" w:lineRule="auto"/>
        <w:ind w:firstLine="0" w:firstLineChars="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1.8 计量单位</w:t>
      </w:r>
      <w:bookmarkEnd w:id="63"/>
      <w:bookmarkEnd w:id="64"/>
    </w:p>
    <w:p w14:paraId="3465F2DE">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1.8.1 关于投标计量单位，采购文件已有明确规定的，使用采购文件规定的计量单位；采购文件没有规定的，应采用中华人民共和国法定计量单位。 </w:t>
      </w:r>
    </w:p>
    <w:p w14:paraId="63444E5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1.8.2 本响应性文件所表述的时间均为北京时间。</w:t>
      </w:r>
    </w:p>
    <w:p w14:paraId="1A9F91C2">
      <w:pPr>
        <w:spacing w:line="360" w:lineRule="auto"/>
        <w:ind w:firstLine="0" w:firstLineChars="0"/>
        <w:rPr>
          <w:rFonts w:asciiTheme="minorEastAsia" w:hAnsiTheme="minorEastAsia" w:eastAsiaTheme="minorEastAsia" w:cstheme="minorEastAsia"/>
          <w:b/>
          <w:bCs/>
          <w:sz w:val="24"/>
        </w:rPr>
      </w:pPr>
      <w:bookmarkStart w:id="65" w:name="_Toc403122500"/>
      <w:bookmarkStart w:id="66" w:name="_Toc426369488"/>
      <w:bookmarkStart w:id="67" w:name="_Toc279599779"/>
      <w:bookmarkStart w:id="68" w:name="_Toc274249583"/>
      <w:r>
        <w:rPr>
          <w:rFonts w:hint="eastAsia" w:asciiTheme="minorEastAsia" w:hAnsiTheme="minorEastAsia" w:eastAsiaTheme="minorEastAsia" w:cstheme="minorEastAsia"/>
          <w:b/>
          <w:bCs/>
          <w:sz w:val="24"/>
        </w:rPr>
        <w:t>1.9 踏勘现场</w:t>
      </w:r>
      <w:bookmarkEnd w:id="65"/>
      <w:bookmarkEnd w:id="66"/>
      <w:bookmarkEnd w:id="67"/>
      <w:bookmarkEnd w:id="68"/>
    </w:p>
    <w:p w14:paraId="528F0789">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1.9.1 </w:t>
      </w:r>
      <w:r>
        <w:rPr>
          <w:rFonts w:hint="eastAsia" w:ascii="宋体" w:hAnsi="宋体" w:cs="宋体"/>
          <w:szCs w:val="21"/>
        </w:rPr>
        <w:t>由于项目特殊性，本次招标需供应商自行勘查</w:t>
      </w:r>
      <w:r>
        <w:rPr>
          <w:rFonts w:hint="eastAsia" w:asciiTheme="minorEastAsia" w:hAnsiTheme="minorEastAsia" w:eastAsiaTheme="minorEastAsia" w:cstheme="minorEastAsia"/>
          <w:szCs w:val="21"/>
        </w:rPr>
        <w:t xml:space="preserve">。 </w:t>
      </w:r>
    </w:p>
    <w:p w14:paraId="56E2EA0C">
      <w:pPr>
        <w:spacing w:line="360" w:lineRule="auto"/>
        <w:ind w:firstLine="0" w:firstLineChars="0"/>
        <w:rPr>
          <w:rFonts w:asciiTheme="minorEastAsia" w:hAnsiTheme="minorEastAsia" w:eastAsiaTheme="minorEastAsia" w:cstheme="minorEastAsia"/>
          <w:b/>
          <w:bCs/>
          <w:sz w:val="24"/>
        </w:rPr>
      </w:pPr>
      <w:bookmarkStart w:id="69" w:name="_Toc274249584"/>
      <w:bookmarkStart w:id="70" w:name="_Toc426369489"/>
      <w:bookmarkStart w:id="71" w:name="_Toc403122501"/>
      <w:bookmarkStart w:id="72" w:name="_Toc279599780"/>
      <w:r>
        <w:rPr>
          <w:rFonts w:hint="eastAsia" w:asciiTheme="minorEastAsia" w:hAnsiTheme="minorEastAsia" w:eastAsiaTheme="minorEastAsia" w:cstheme="minorEastAsia"/>
          <w:b/>
          <w:bCs/>
          <w:sz w:val="24"/>
        </w:rPr>
        <w:t>1.10 投标预备会</w:t>
      </w:r>
      <w:bookmarkEnd w:id="69"/>
      <w:bookmarkEnd w:id="70"/>
      <w:bookmarkEnd w:id="71"/>
      <w:bookmarkEnd w:id="72"/>
    </w:p>
    <w:p w14:paraId="648340EE">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1.10.1 本次招标不召开投标预备会。 </w:t>
      </w:r>
    </w:p>
    <w:p w14:paraId="23727D1F">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1.10.2 供应商应在供应商须知前附表规定的时间前，以书面形式将提出的问题送达招标代理人。</w:t>
      </w:r>
    </w:p>
    <w:p w14:paraId="35B9413F">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1.10.3 采购人在供应商须知前附表规定的时间内，将对供应商所提问题的澄清，以书面方式通知所有已领取招标文件的供应商。该澄清内容为招标文件的组成部分。 </w:t>
      </w:r>
    </w:p>
    <w:p w14:paraId="6990B2FE">
      <w:pPr>
        <w:spacing w:line="360" w:lineRule="auto"/>
        <w:ind w:firstLine="0" w:firstLineChars="0"/>
        <w:rPr>
          <w:rFonts w:asciiTheme="minorEastAsia" w:hAnsiTheme="minorEastAsia" w:eastAsiaTheme="minorEastAsia" w:cstheme="minorEastAsia"/>
          <w:b/>
          <w:bCs/>
          <w:sz w:val="24"/>
        </w:rPr>
      </w:pPr>
      <w:bookmarkStart w:id="73" w:name="_Toc403122502"/>
      <w:bookmarkStart w:id="74" w:name="_Toc279599781"/>
      <w:bookmarkStart w:id="75" w:name="_Toc274249585"/>
      <w:bookmarkStart w:id="76" w:name="_Toc426369490"/>
      <w:r>
        <w:rPr>
          <w:rFonts w:hint="eastAsia" w:asciiTheme="minorEastAsia" w:hAnsiTheme="minorEastAsia" w:eastAsiaTheme="minorEastAsia" w:cstheme="minorEastAsia"/>
          <w:b/>
          <w:bCs/>
          <w:sz w:val="24"/>
        </w:rPr>
        <w:t>1.11 分包</w:t>
      </w:r>
      <w:bookmarkEnd w:id="73"/>
      <w:bookmarkEnd w:id="74"/>
      <w:bookmarkEnd w:id="75"/>
      <w:bookmarkEnd w:id="76"/>
    </w:p>
    <w:p w14:paraId="236BB88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本次招标项目不允许分包。 </w:t>
      </w:r>
    </w:p>
    <w:p w14:paraId="224D6070">
      <w:pPr>
        <w:pStyle w:val="29"/>
        <w:spacing w:before="120" w:beforeLines="-2147483648" w:after="120" w:afterLines="-2147483648" w:line="360" w:lineRule="auto"/>
        <w:ind w:right="-1029" w:rightChars="-490" w:firstLine="0" w:firstLineChars="0"/>
        <w:jc w:val="both"/>
        <w:rPr>
          <w:rFonts w:hint="eastAsia" w:asciiTheme="minorEastAsia" w:hAnsiTheme="minorEastAsia" w:eastAsiaTheme="minorEastAsia" w:cstheme="minorEastAsia"/>
          <w:sz w:val="30"/>
          <w:szCs w:val="30"/>
        </w:rPr>
      </w:pPr>
      <w:bookmarkStart w:id="77" w:name="_Toc9121"/>
      <w:bookmarkStart w:id="78" w:name="_Toc24388"/>
      <w:bookmarkStart w:id="79" w:name="_Toc161584009"/>
      <w:bookmarkStart w:id="80" w:name="_Toc4111"/>
      <w:bookmarkStart w:id="81" w:name="_Toc28663"/>
      <w:bookmarkStart w:id="82" w:name="_Toc955"/>
      <w:bookmarkStart w:id="83" w:name="_Toc161588331"/>
      <w:r>
        <w:rPr>
          <w:rFonts w:hint="eastAsia" w:asciiTheme="minorEastAsia" w:hAnsiTheme="minorEastAsia" w:eastAsiaTheme="minorEastAsia" w:cstheme="minorEastAsia"/>
          <w:sz w:val="30"/>
          <w:szCs w:val="30"/>
        </w:rPr>
        <w:t>2. 招标文件</w:t>
      </w:r>
      <w:bookmarkEnd w:id="31"/>
      <w:bookmarkEnd w:id="32"/>
      <w:bookmarkEnd w:id="33"/>
      <w:bookmarkEnd w:id="77"/>
      <w:bookmarkEnd w:id="78"/>
      <w:bookmarkEnd w:id="79"/>
      <w:bookmarkEnd w:id="80"/>
      <w:bookmarkEnd w:id="81"/>
      <w:bookmarkEnd w:id="82"/>
      <w:bookmarkEnd w:id="83"/>
    </w:p>
    <w:p w14:paraId="7D48399B">
      <w:pPr>
        <w:spacing w:line="360" w:lineRule="auto"/>
        <w:ind w:firstLine="0" w:firstLineChars="0"/>
        <w:rPr>
          <w:rFonts w:asciiTheme="minorEastAsia" w:hAnsiTheme="minorEastAsia" w:eastAsiaTheme="minorEastAsia" w:cstheme="minorEastAsia"/>
          <w:b/>
          <w:bCs/>
          <w:sz w:val="24"/>
        </w:rPr>
      </w:pPr>
      <w:bookmarkStart w:id="84" w:name="_Toc274249587"/>
      <w:bookmarkStart w:id="85" w:name="_Toc279599783"/>
      <w:bookmarkStart w:id="86" w:name="_Toc403122504"/>
      <w:bookmarkStart w:id="87" w:name="_Toc426369492"/>
      <w:r>
        <w:rPr>
          <w:rFonts w:hint="eastAsia" w:asciiTheme="minorEastAsia" w:hAnsiTheme="minorEastAsia" w:eastAsiaTheme="minorEastAsia" w:cstheme="minorEastAsia"/>
          <w:b/>
          <w:bCs/>
          <w:sz w:val="24"/>
        </w:rPr>
        <w:t>2.1 招标文件的组成</w:t>
      </w:r>
      <w:bookmarkEnd w:id="84"/>
      <w:bookmarkEnd w:id="85"/>
      <w:bookmarkEnd w:id="86"/>
      <w:bookmarkEnd w:id="87"/>
    </w:p>
    <w:p w14:paraId="52814165">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本招标文件包括： </w:t>
      </w:r>
    </w:p>
    <w:p w14:paraId="4036F08D">
      <w:pPr>
        <w:keepNext w:val="0"/>
        <w:keepLines w:val="0"/>
        <w:pageBreakBefore w:val="0"/>
        <w:tabs>
          <w:tab w:val="left" w:pos="525"/>
          <w:tab w:val="left" w:pos="630"/>
        </w:tabs>
        <w:kinsoku/>
        <w:wordWrap/>
        <w:overflowPunct/>
        <w:topLinePunct w:val="0"/>
        <w:bidi w:val="0"/>
        <w:snapToGrid/>
        <w:spacing w:line="360" w:lineRule="auto"/>
        <w:ind w:left="420" w:left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（1）招标公告；</w:t>
      </w:r>
    </w:p>
    <w:p w14:paraId="5370AED5">
      <w:pPr>
        <w:keepNext w:val="0"/>
        <w:keepLines w:val="0"/>
        <w:pageBreakBefore w:val="0"/>
        <w:tabs>
          <w:tab w:val="left" w:pos="525"/>
          <w:tab w:val="left" w:pos="630"/>
        </w:tabs>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（2）供应商须知； </w:t>
      </w:r>
    </w:p>
    <w:p w14:paraId="23D9B20C">
      <w:pPr>
        <w:keepNext w:val="0"/>
        <w:keepLines w:val="0"/>
        <w:pageBreakBefore w:val="0"/>
        <w:tabs>
          <w:tab w:val="left" w:pos="525"/>
          <w:tab w:val="left" w:pos="630"/>
        </w:tabs>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（3）评标办法（综合评分法）； </w:t>
      </w:r>
    </w:p>
    <w:p w14:paraId="04389C8F">
      <w:pPr>
        <w:keepNext w:val="0"/>
        <w:keepLines w:val="0"/>
        <w:pageBreakBefore w:val="0"/>
        <w:tabs>
          <w:tab w:val="left" w:pos="525"/>
          <w:tab w:val="left" w:pos="630"/>
        </w:tabs>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（4）合同条款及格式； </w:t>
      </w:r>
    </w:p>
    <w:p w14:paraId="362DB3F4">
      <w:pPr>
        <w:keepNext w:val="0"/>
        <w:keepLines w:val="0"/>
        <w:pageBreakBefore w:val="0"/>
        <w:tabs>
          <w:tab w:val="left" w:pos="525"/>
          <w:tab w:val="left" w:pos="630"/>
        </w:tabs>
        <w:kinsoku/>
        <w:wordWrap/>
        <w:overflowPunct/>
        <w:topLinePunct w:val="0"/>
        <w:bidi w:val="0"/>
        <w:snapToGrid/>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（5）采购内容及要求；</w:t>
      </w:r>
    </w:p>
    <w:p w14:paraId="2FDD7F34">
      <w:pPr>
        <w:keepNext w:val="0"/>
        <w:keepLines w:val="0"/>
        <w:pageBreakBefore w:val="0"/>
        <w:tabs>
          <w:tab w:val="left" w:pos="525"/>
          <w:tab w:val="left" w:pos="630"/>
        </w:tabs>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6）质疑与投诉；</w:t>
      </w:r>
      <w:r>
        <w:rPr>
          <w:rFonts w:hint="eastAsia" w:asciiTheme="minorEastAsia" w:hAnsiTheme="minorEastAsia" w:eastAsiaTheme="minorEastAsia" w:cstheme="minorEastAsia"/>
          <w:szCs w:val="21"/>
        </w:rPr>
        <w:t xml:space="preserve"> </w:t>
      </w:r>
    </w:p>
    <w:p w14:paraId="1AB1FE9B">
      <w:pPr>
        <w:keepNext w:val="0"/>
        <w:keepLines w:val="0"/>
        <w:pageBreakBefore w:val="0"/>
        <w:tabs>
          <w:tab w:val="left" w:pos="525"/>
          <w:tab w:val="left" w:pos="630"/>
        </w:tabs>
        <w:kinsoku/>
        <w:wordWrap/>
        <w:overflowPunct/>
        <w:topLinePunct w:val="0"/>
        <w:bidi w:val="0"/>
        <w:snapToGrid/>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7</w:t>
      </w:r>
      <w:r>
        <w:rPr>
          <w:rFonts w:hint="eastAsia" w:asciiTheme="minorEastAsia" w:hAnsiTheme="minorEastAsia" w:eastAsiaTheme="minorEastAsia" w:cstheme="minorEastAsia"/>
          <w:szCs w:val="21"/>
        </w:rPr>
        <w:t>）投标文件格式；</w:t>
      </w:r>
    </w:p>
    <w:p w14:paraId="01E04399">
      <w:pPr>
        <w:keepNext w:val="0"/>
        <w:keepLines w:val="0"/>
        <w:pageBreakBefore w:val="0"/>
        <w:tabs>
          <w:tab w:val="left" w:pos="525"/>
          <w:tab w:val="left" w:pos="630"/>
        </w:tabs>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8）附件。</w:t>
      </w:r>
      <w:r>
        <w:rPr>
          <w:rFonts w:hint="eastAsia" w:asciiTheme="minorEastAsia" w:hAnsiTheme="minorEastAsia" w:eastAsiaTheme="minorEastAsia" w:cstheme="minorEastAsia"/>
          <w:szCs w:val="21"/>
        </w:rPr>
        <w:t xml:space="preserve"> </w:t>
      </w:r>
    </w:p>
    <w:p w14:paraId="4663C1EB">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根据本章第 1.10 款、第 2.2 款和第2.3款对招标文件所作的澄清、修改，构成招标文件的组成部分。 </w:t>
      </w:r>
    </w:p>
    <w:p w14:paraId="3540C645">
      <w:pPr>
        <w:spacing w:line="360" w:lineRule="auto"/>
        <w:ind w:firstLine="0" w:firstLineChars="0"/>
        <w:rPr>
          <w:rFonts w:asciiTheme="minorEastAsia" w:hAnsiTheme="minorEastAsia" w:eastAsiaTheme="minorEastAsia" w:cstheme="minorEastAsia"/>
          <w:b/>
          <w:bCs/>
          <w:sz w:val="24"/>
        </w:rPr>
      </w:pPr>
      <w:bookmarkStart w:id="88" w:name="_Toc426369493"/>
      <w:bookmarkStart w:id="89" w:name="_Toc274249588"/>
      <w:bookmarkStart w:id="90" w:name="_Toc403122505"/>
      <w:bookmarkStart w:id="91" w:name="_Toc279599784"/>
      <w:r>
        <w:rPr>
          <w:rFonts w:hint="eastAsia" w:asciiTheme="minorEastAsia" w:hAnsiTheme="minorEastAsia" w:eastAsiaTheme="minorEastAsia" w:cstheme="minorEastAsia"/>
          <w:b/>
          <w:bCs/>
          <w:sz w:val="24"/>
        </w:rPr>
        <w:t>2.2 招标文件的澄清</w:t>
      </w:r>
      <w:bookmarkEnd w:id="88"/>
      <w:bookmarkEnd w:id="89"/>
      <w:bookmarkEnd w:id="90"/>
      <w:bookmarkEnd w:id="91"/>
    </w:p>
    <w:p w14:paraId="6310A548">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2.2.1 供应商应仔细阅读和检查招标文件的全部内容。如发现缺页或附件不全，应及时向采购人提出，以便补齐。如有疑问，应在供应商须知前附表规定的时间前以书面形式（包括信函、电报、传真等可以有形地表现所载内容的形式，下同），要求采购人对招标文件予以澄清。 </w:t>
      </w:r>
    </w:p>
    <w:p w14:paraId="0BDACA64">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2.2.2 招标文件的澄清将在供应商须知前附表规定的投标截止时间15天前以书面形式发给所有购买招标文件的供应商，但不指明澄清问题的来源。如果澄清发出的时间距投标截止时间不足15天，相应延长投标截止时间。 </w:t>
      </w:r>
    </w:p>
    <w:p w14:paraId="19AB2ED8">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2.2.3 供应商在收到澄清后，应在供应商须知前附表规定的时间内以书面形式通知采购人，确认已收到该澄清。 </w:t>
      </w:r>
    </w:p>
    <w:p w14:paraId="7B36FADD">
      <w:pPr>
        <w:spacing w:line="360" w:lineRule="auto"/>
        <w:ind w:firstLine="0" w:firstLineChars="0"/>
        <w:rPr>
          <w:rFonts w:asciiTheme="minorEastAsia" w:hAnsiTheme="minorEastAsia" w:eastAsiaTheme="minorEastAsia" w:cstheme="minorEastAsia"/>
          <w:b/>
          <w:bCs/>
          <w:sz w:val="24"/>
        </w:rPr>
      </w:pPr>
      <w:bookmarkStart w:id="92" w:name="_Toc279599785"/>
      <w:bookmarkStart w:id="93" w:name="_Toc403122506"/>
      <w:bookmarkStart w:id="94" w:name="_Toc274249589"/>
      <w:bookmarkStart w:id="95" w:name="_Toc426369494"/>
      <w:r>
        <w:rPr>
          <w:rFonts w:hint="eastAsia" w:asciiTheme="minorEastAsia" w:hAnsiTheme="minorEastAsia" w:eastAsiaTheme="minorEastAsia" w:cstheme="minorEastAsia"/>
          <w:b/>
          <w:bCs/>
          <w:sz w:val="24"/>
        </w:rPr>
        <w:t>2.3 招标文件的修改</w:t>
      </w:r>
      <w:bookmarkEnd w:id="92"/>
      <w:bookmarkEnd w:id="93"/>
      <w:bookmarkEnd w:id="94"/>
      <w:bookmarkEnd w:id="95"/>
    </w:p>
    <w:p w14:paraId="7CADEC02">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2.3.1 在投标截止时间15天前，采购人可以书面形式修改招标文件，并通知所有已购买招标文件的供应商。如果修改招标文件的时间距投标截止时间不足15天，相应延长投标截止时间。  </w:t>
      </w:r>
    </w:p>
    <w:p w14:paraId="027DA56C">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2.3.2 供应商收到修改内容后，应在供应商须知前附表规定的时间内以书面形式通知采购人，确认已收到该修改。 </w:t>
      </w:r>
      <w:bookmarkStart w:id="96" w:name="_Toc403122507"/>
      <w:bookmarkStart w:id="97" w:name="_Toc426369495"/>
      <w:bookmarkStart w:id="98" w:name="_Toc23265"/>
    </w:p>
    <w:p w14:paraId="02184025">
      <w:pPr>
        <w:pStyle w:val="29"/>
        <w:spacing w:before="120" w:after="120" w:line="360" w:lineRule="auto"/>
        <w:ind w:right="-1029" w:rightChars="-490" w:firstLine="0" w:firstLineChars="0"/>
        <w:jc w:val="both"/>
        <w:rPr>
          <w:rFonts w:hint="eastAsia" w:asciiTheme="minorEastAsia" w:hAnsiTheme="minorEastAsia" w:eastAsiaTheme="minorEastAsia" w:cstheme="minorEastAsia"/>
          <w:sz w:val="30"/>
          <w:szCs w:val="30"/>
        </w:rPr>
      </w:pPr>
      <w:bookmarkStart w:id="99" w:name="_Toc161584010"/>
      <w:bookmarkStart w:id="100" w:name="_Toc22914"/>
      <w:bookmarkStart w:id="101" w:name="_Toc12759"/>
      <w:bookmarkStart w:id="102" w:name="_Toc14633"/>
      <w:bookmarkStart w:id="103" w:name="_Toc161588332"/>
      <w:bookmarkStart w:id="104" w:name="_Toc11549"/>
      <w:bookmarkStart w:id="105" w:name="_Toc13865"/>
      <w:r>
        <w:rPr>
          <w:rFonts w:hint="eastAsia" w:asciiTheme="minorEastAsia" w:hAnsiTheme="minorEastAsia" w:eastAsiaTheme="minorEastAsia" w:cstheme="minorEastAsia"/>
          <w:sz w:val="30"/>
          <w:szCs w:val="30"/>
        </w:rPr>
        <w:t>3. 投标文件</w:t>
      </w:r>
      <w:bookmarkEnd w:id="96"/>
      <w:bookmarkEnd w:id="97"/>
      <w:bookmarkEnd w:id="98"/>
      <w:bookmarkEnd w:id="99"/>
      <w:bookmarkEnd w:id="100"/>
      <w:bookmarkEnd w:id="101"/>
      <w:bookmarkEnd w:id="102"/>
      <w:bookmarkEnd w:id="103"/>
      <w:bookmarkEnd w:id="104"/>
      <w:bookmarkEnd w:id="105"/>
    </w:p>
    <w:p w14:paraId="543B6B83">
      <w:pPr>
        <w:spacing w:line="360" w:lineRule="auto"/>
        <w:ind w:firstLine="0" w:firstLineChars="0"/>
        <w:rPr>
          <w:rFonts w:asciiTheme="minorEastAsia" w:hAnsiTheme="minorEastAsia" w:eastAsiaTheme="minorEastAsia" w:cstheme="minorEastAsia"/>
          <w:b/>
          <w:bCs/>
          <w:sz w:val="24"/>
        </w:rPr>
      </w:pPr>
      <w:bookmarkStart w:id="106" w:name="_Toc403122508"/>
      <w:bookmarkStart w:id="107" w:name="_Toc279599787"/>
      <w:bookmarkStart w:id="108" w:name="_Toc274249591"/>
      <w:bookmarkStart w:id="109" w:name="_Toc426369496"/>
      <w:r>
        <w:rPr>
          <w:rFonts w:hint="eastAsia" w:asciiTheme="minorEastAsia" w:hAnsiTheme="minorEastAsia" w:eastAsiaTheme="minorEastAsia" w:cstheme="minorEastAsia"/>
          <w:b/>
          <w:bCs/>
          <w:sz w:val="24"/>
        </w:rPr>
        <w:t>3.1 投标文件的组成</w:t>
      </w:r>
      <w:bookmarkEnd w:id="106"/>
      <w:bookmarkEnd w:id="107"/>
      <w:bookmarkEnd w:id="108"/>
      <w:bookmarkEnd w:id="109"/>
    </w:p>
    <w:p w14:paraId="6D58F18F">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highlight w:val="none"/>
        </w:rPr>
      </w:pPr>
      <w:bookmarkStart w:id="110" w:name="_Toc279599788"/>
      <w:bookmarkStart w:id="111" w:name="_Toc403122509"/>
      <w:bookmarkStart w:id="112" w:name="_Toc274249592"/>
      <w:bookmarkStart w:id="113" w:name="_Toc426369497"/>
      <w:r>
        <w:rPr>
          <w:rFonts w:hint="eastAsia" w:asciiTheme="minorEastAsia" w:hAnsiTheme="minorEastAsia" w:eastAsiaTheme="minorEastAsia" w:cstheme="minorEastAsia"/>
          <w:szCs w:val="21"/>
          <w:highlight w:val="none"/>
        </w:rPr>
        <w:t xml:space="preserve">3.1.1 投标文件应包括下列内容： </w:t>
      </w:r>
    </w:p>
    <w:p w14:paraId="06951307">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green"/>
        </w:rPr>
      </w:pPr>
      <w:r>
        <w:rPr>
          <w:rFonts w:hint="eastAsia" w:ascii="宋体" w:hAnsi="宋体" w:cs="宋体"/>
          <w:szCs w:val="21"/>
          <w:highlight w:val="none"/>
        </w:rPr>
        <w:t>一、投标函</w:t>
      </w:r>
    </w:p>
    <w:p w14:paraId="0BCF7666">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二、投标报价表格</w:t>
      </w:r>
    </w:p>
    <w:p w14:paraId="39EA8525">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三、技术要求偏离表</w:t>
      </w:r>
    </w:p>
    <w:p w14:paraId="69B08980">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四、法定代表人（负责人）身份证明及授权委托书</w:t>
      </w:r>
    </w:p>
    <w:p w14:paraId="59C01325">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五、供应商的资格证明承诺函</w:t>
      </w:r>
    </w:p>
    <w:p w14:paraId="25C3B30D">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六、近年完成的类似项目情况表</w:t>
      </w:r>
    </w:p>
    <w:p w14:paraId="74F915EA">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七、技术部分</w:t>
      </w:r>
    </w:p>
    <w:p w14:paraId="0E38527E">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八、反商业贿赂承诺书</w:t>
      </w:r>
    </w:p>
    <w:p w14:paraId="43410C41">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九、投标承诺函</w:t>
      </w:r>
    </w:p>
    <w:p w14:paraId="68AA4DFC">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十、关于符合本国产品标准的声明函</w:t>
      </w:r>
    </w:p>
    <w:p w14:paraId="3CAE5FE6">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十一、中小企业声明函（如有）</w:t>
      </w:r>
    </w:p>
    <w:p w14:paraId="12554794">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十二、残疾人福利单位声明（如有）</w:t>
      </w:r>
    </w:p>
    <w:p w14:paraId="54C2A557">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十三、监狱企业证明文件（如有）</w:t>
      </w:r>
    </w:p>
    <w:p w14:paraId="24609968">
      <w:pPr>
        <w:keepNext w:val="0"/>
        <w:keepLines w:val="0"/>
        <w:pageBreakBefore w:val="0"/>
        <w:widowControl/>
        <w:kinsoku/>
        <w:wordWrap/>
        <w:overflowPunct/>
        <w:topLinePunct w:val="0"/>
        <w:bidi w:val="0"/>
        <w:snapToGrid/>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十四、节能环保产品证明文件（如有）</w:t>
      </w:r>
    </w:p>
    <w:p w14:paraId="500F6BCF">
      <w:pPr>
        <w:keepNext w:val="0"/>
        <w:keepLines w:val="0"/>
        <w:pageBreakBefore w:val="0"/>
        <w:widowControl/>
        <w:kinsoku/>
        <w:wordWrap/>
        <w:overflowPunct/>
        <w:topLinePunct w:val="0"/>
        <w:bidi w:val="0"/>
        <w:snapToGrid/>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十五、其他材料</w:t>
      </w:r>
    </w:p>
    <w:p w14:paraId="23D7B14E">
      <w:pPr>
        <w:keepNext w:val="0"/>
        <w:keepLines w:val="0"/>
        <w:pageBreakBefore w:val="0"/>
        <w:widowControl/>
        <w:kinsoku/>
        <w:wordWrap/>
        <w:overflowPunct/>
        <w:topLinePunct w:val="0"/>
        <w:bidi w:val="0"/>
        <w:snapToGrid/>
        <w:spacing w:line="360" w:lineRule="auto"/>
        <w:ind w:firstLine="482" w:firstLineChars="200"/>
        <w:jc w:val="left"/>
        <w:rPr>
          <w:rFonts w:ascii="宋体" w:hAnsi="宋体" w:cs="宋体"/>
          <w:b/>
          <w:bCs/>
          <w:sz w:val="24"/>
        </w:rPr>
      </w:pPr>
      <w:r>
        <w:rPr>
          <w:rFonts w:hint="eastAsia" w:ascii="宋体" w:hAnsi="宋体" w:cs="宋体"/>
          <w:b/>
          <w:bCs/>
          <w:sz w:val="24"/>
        </w:rPr>
        <w:t>注：1、符合《政府采购法》第二十二条规定的资格条件，按照采购文件约定提供资格承诺，不再提供资质资料，主要包括</w:t>
      </w:r>
      <w:r>
        <w:rPr>
          <w:rFonts w:hint="eastAsia" w:ascii="宋体" w:hAnsi="宋体" w:cs="宋体"/>
          <w:b/>
          <w:bCs/>
          <w:sz w:val="24"/>
          <w:lang w:eastAsia="zh-CN"/>
        </w:rPr>
        <w:t>供应商</w:t>
      </w:r>
      <w:r>
        <w:rPr>
          <w:rFonts w:hint="eastAsia" w:ascii="宋体" w:hAnsi="宋体" w:cs="宋体"/>
          <w:b/>
          <w:bCs/>
          <w:sz w:val="24"/>
        </w:rPr>
        <w:t>在响应文件中无需再提供营业执照、财务状况报告、依法缴纳税收和社会保障资金、具有履行合同所必须的设备和专业技术能力、参加政府采购活动前三年内在经营活动中没有重大违法记录相关证明材料。</w:t>
      </w:r>
    </w:p>
    <w:p w14:paraId="4D001513">
      <w:pPr>
        <w:keepNext w:val="0"/>
        <w:keepLines w:val="0"/>
        <w:pageBreakBefore w:val="0"/>
        <w:widowControl/>
        <w:kinsoku/>
        <w:wordWrap/>
        <w:overflowPunct/>
        <w:topLinePunct w:val="0"/>
        <w:bidi w:val="0"/>
        <w:snapToGrid/>
        <w:spacing w:line="360" w:lineRule="auto"/>
        <w:ind w:firstLine="482" w:firstLineChars="200"/>
        <w:jc w:val="left"/>
        <w:rPr>
          <w:rFonts w:ascii="宋体" w:hAnsi="宋体" w:cs="宋体"/>
          <w:b/>
          <w:bCs/>
          <w:sz w:val="24"/>
        </w:rPr>
      </w:pPr>
      <w:r>
        <w:rPr>
          <w:rFonts w:hint="eastAsia" w:ascii="宋体" w:hAnsi="宋体" w:cs="宋体"/>
          <w:b/>
          <w:bCs/>
          <w:sz w:val="24"/>
        </w:rPr>
        <w:t>2、</w:t>
      </w:r>
      <w:r>
        <w:rPr>
          <w:rFonts w:hint="eastAsia" w:ascii="宋体" w:hAnsi="宋体" w:cs="宋体"/>
          <w:b/>
          <w:bCs/>
          <w:sz w:val="24"/>
          <w:lang w:eastAsia="zh-CN"/>
        </w:rPr>
        <w:t>供应商</w:t>
      </w:r>
      <w:r>
        <w:rPr>
          <w:rFonts w:hint="eastAsia" w:ascii="宋体" w:hAnsi="宋体" w:cs="宋体"/>
          <w:b/>
          <w:bCs/>
          <w:sz w:val="24"/>
        </w:rPr>
        <w:t>应当遵循诚实信用原则，不得作虚假承诺。</w:t>
      </w:r>
      <w:r>
        <w:rPr>
          <w:rFonts w:hint="eastAsia" w:ascii="宋体" w:hAnsi="宋体" w:cs="宋体"/>
          <w:b/>
          <w:bCs/>
          <w:sz w:val="24"/>
          <w:lang w:eastAsia="zh-CN"/>
        </w:rPr>
        <w:t>供应商</w:t>
      </w:r>
      <w:r>
        <w:rPr>
          <w:rFonts w:hint="eastAsia" w:ascii="宋体" w:hAnsi="宋体" w:cs="宋体"/>
          <w:b/>
          <w:bCs/>
          <w:sz w:val="24"/>
        </w:rPr>
        <w:t>承诺不实的，属于提供虚假材料谋取中标、成交。按照《政府采购法》第七十七条规定，处以采购金额千分之五以上千分之十以下的罚款，列入不良行为记录名单，在一至三年内禁止参加政府采购活动；有违法所得的，并处没收违法所得，情节严重的，吊销营业执照；构成犯罪的，依法追究刑事责任。</w:t>
      </w:r>
    </w:p>
    <w:p w14:paraId="096C8EE6">
      <w:pPr>
        <w:spacing w:line="360" w:lineRule="auto"/>
        <w:ind w:firstLine="0" w:firstLineChars="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3.2 投标报价</w:t>
      </w:r>
      <w:bookmarkEnd w:id="110"/>
      <w:bookmarkEnd w:id="111"/>
      <w:bookmarkEnd w:id="112"/>
      <w:bookmarkEnd w:id="113"/>
    </w:p>
    <w:p w14:paraId="41D58568">
      <w:pPr>
        <w:keepNext w:val="0"/>
        <w:keepLines w:val="0"/>
        <w:pageBreakBefore w:val="0"/>
        <w:kinsoku/>
        <w:wordWrap/>
        <w:overflowPunct/>
        <w:topLinePunct w:val="0"/>
        <w:bidi w:val="0"/>
        <w:snapToGrid/>
        <w:spacing w:line="360" w:lineRule="auto"/>
        <w:ind w:firstLine="420" w:firstLineChars="200"/>
        <w:rPr>
          <w:rFonts w:hint="eastAsia" w:ascii="宋体" w:hAnsi="宋体" w:cs="宋体"/>
          <w:szCs w:val="21"/>
          <w:highlight w:val="none"/>
          <w:lang w:eastAsia="zh-CN"/>
        </w:rPr>
      </w:pPr>
      <w:r>
        <w:rPr>
          <w:rFonts w:hint="eastAsia" w:asciiTheme="minorEastAsia" w:hAnsiTheme="minorEastAsia" w:eastAsiaTheme="minorEastAsia" w:cstheme="minorEastAsia"/>
          <w:szCs w:val="21"/>
        </w:rPr>
        <w:t>3.2.1</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投标报</w:t>
      </w:r>
      <w:r>
        <w:rPr>
          <w:rFonts w:hint="eastAsia" w:asciiTheme="minorEastAsia" w:hAnsiTheme="minorEastAsia" w:eastAsiaTheme="minorEastAsia" w:cstheme="minorEastAsia"/>
          <w:szCs w:val="21"/>
          <w:highlight w:val="none"/>
        </w:rPr>
        <w:t>价包括：</w:t>
      </w:r>
      <w:r>
        <w:rPr>
          <w:rFonts w:hint="eastAsia" w:ascii="宋体" w:hAnsi="宋体" w:cs="宋体"/>
          <w:szCs w:val="21"/>
          <w:highlight w:val="none"/>
          <w:lang w:eastAsia="zh-CN"/>
        </w:rPr>
        <w:t>供应商的投标报价应包括货物本身的费用、包装费、运输费、装卸费、运输过程保险费、安装费、质量保证费、相关的伴随服务费、调试、培训及技术支持服务确保技术人员到客户处现场培训、货物本身已支付或将支付的各种税费以及其它交付使用前的所有费用（</w:t>
      </w:r>
      <w:r>
        <w:rPr>
          <w:rFonts w:hint="eastAsia" w:ascii="宋体" w:hAnsi="宋体" w:cs="宋体"/>
          <w:szCs w:val="21"/>
          <w:highlight w:val="none"/>
        </w:rPr>
        <w:t>项目前期安全风险评估费用</w:t>
      </w:r>
      <w:r>
        <w:rPr>
          <w:rFonts w:hint="eastAsia" w:ascii="宋体" w:hAnsi="宋体" w:cs="宋体"/>
          <w:szCs w:val="21"/>
          <w:highlight w:val="none"/>
          <w:lang w:eastAsia="zh-CN"/>
        </w:rPr>
        <w:t>、</w:t>
      </w:r>
      <w:r>
        <w:rPr>
          <w:rFonts w:hint="eastAsia" w:ascii="宋体" w:hAnsi="宋体" w:cs="宋体"/>
          <w:szCs w:val="21"/>
          <w:highlight w:val="none"/>
        </w:rPr>
        <w:t>项目前期建设方案编制费用</w:t>
      </w:r>
      <w:r>
        <w:rPr>
          <w:rFonts w:hint="eastAsia" w:ascii="宋体" w:hAnsi="宋体" w:cs="宋体"/>
          <w:szCs w:val="21"/>
          <w:highlight w:val="none"/>
          <w:lang w:eastAsia="zh-CN"/>
        </w:rPr>
        <w:t>和</w:t>
      </w:r>
      <w:r>
        <w:rPr>
          <w:rFonts w:hint="eastAsia" w:ascii="宋体" w:hAnsi="宋体" w:cs="宋体"/>
          <w:szCs w:val="21"/>
          <w:highlight w:val="none"/>
        </w:rPr>
        <w:t>项目评审验收考核时所产生的所有费用</w:t>
      </w:r>
      <w:r>
        <w:rPr>
          <w:rFonts w:hint="eastAsia" w:ascii="宋体" w:hAnsi="宋体" w:cs="宋体"/>
          <w:szCs w:val="21"/>
          <w:highlight w:val="none"/>
          <w:lang w:eastAsia="zh-CN"/>
        </w:rPr>
        <w:t>）。投标价不是唯一的或不是固定不变的投标文件将被作为非投标而予以拒绝。</w:t>
      </w:r>
    </w:p>
    <w:p w14:paraId="5546AF8E">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3.2.2</w:t>
      </w:r>
      <w:r>
        <w:rPr>
          <w:rFonts w:hint="eastAsia" w:asciiTheme="minorEastAsia" w:hAnsiTheme="minorEastAsia" w:eastAsiaTheme="minorEastAsia" w:cstheme="minorEastAsia"/>
          <w:szCs w:val="21"/>
          <w:highlight w:val="none"/>
          <w:lang w:val="en-US" w:eastAsia="zh-CN"/>
        </w:rPr>
        <w:t xml:space="preserve"> </w:t>
      </w:r>
      <w:r>
        <w:rPr>
          <w:rFonts w:hint="eastAsia" w:asciiTheme="minorEastAsia" w:hAnsiTheme="minorEastAsia" w:eastAsiaTheme="minorEastAsia" w:cstheme="minorEastAsia"/>
          <w:szCs w:val="21"/>
          <w:highlight w:val="none"/>
        </w:rPr>
        <w:t>投标报价在中标后不得修改。</w:t>
      </w:r>
    </w:p>
    <w:p w14:paraId="334DFBFB">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3.2.3</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供应商只能提出一个不变价格，采购人不接受任何选择价。</w:t>
      </w:r>
    </w:p>
    <w:p w14:paraId="0AB57CBC">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3.2.4</w:t>
      </w:r>
      <w:r>
        <w:rPr>
          <w:rFonts w:hint="eastAsia" w:asciiTheme="minorEastAsia" w:hAnsiTheme="minorEastAsia" w:eastAsiaTheme="minorEastAsia" w:cstheme="minorEastAsia"/>
          <w:szCs w:val="21"/>
          <w:lang w:val="en-US" w:eastAsia="zh-CN"/>
        </w:rPr>
        <w:t xml:space="preserve"> </w:t>
      </w:r>
      <w:r>
        <w:rPr>
          <w:rFonts w:hint="eastAsia" w:ascii="宋体" w:hAnsi="宋体" w:cs="宋体"/>
          <w:szCs w:val="21"/>
          <w:lang w:eastAsia="zh-CN"/>
        </w:rPr>
        <w:t>供应商</w:t>
      </w:r>
      <w:r>
        <w:rPr>
          <w:rFonts w:hint="eastAsia" w:ascii="宋体" w:hAnsi="宋体" w:cs="宋体"/>
          <w:szCs w:val="21"/>
        </w:rPr>
        <w:t>必须对招标范围内的所有</w:t>
      </w:r>
      <w:r>
        <w:rPr>
          <w:rFonts w:hint="eastAsia" w:ascii="宋体" w:hAnsi="宋体" w:cs="宋体"/>
          <w:szCs w:val="21"/>
          <w:lang w:val="en-US" w:eastAsia="zh-CN"/>
        </w:rPr>
        <w:t>货物和</w:t>
      </w:r>
      <w:r>
        <w:rPr>
          <w:rFonts w:hint="eastAsia" w:ascii="宋体" w:hAnsi="宋体" w:cs="宋体"/>
          <w:szCs w:val="21"/>
        </w:rPr>
        <w:t>服务投标</w:t>
      </w:r>
      <w:r>
        <w:rPr>
          <w:rFonts w:hint="eastAsia" w:asciiTheme="minorEastAsia" w:hAnsiTheme="minorEastAsia" w:eastAsiaTheme="minorEastAsia" w:cstheme="minorEastAsia"/>
          <w:szCs w:val="21"/>
        </w:rPr>
        <w:t>。</w:t>
      </w:r>
    </w:p>
    <w:p w14:paraId="557BCB0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3.2.5</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全部报价均应以人民币为计量币种，并以人民币进行结算。</w:t>
      </w:r>
    </w:p>
    <w:p w14:paraId="4979DD1E">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3.2.6</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投标报价原则是各供应商依据自身实力、管理水平，结合企业所在地区的人工工资标准，在确保项目质量，确保项目成本的基础上，自主报价、自负盈亏。</w:t>
      </w:r>
    </w:p>
    <w:p w14:paraId="78334151">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bookmarkStart w:id="114" w:name="_Toc403122510"/>
      <w:bookmarkStart w:id="115" w:name="_Toc279599789"/>
      <w:bookmarkStart w:id="116" w:name="_Toc426369498"/>
      <w:bookmarkStart w:id="117" w:name="_Toc274249593"/>
      <w:r>
        <w:rPr>
          <w:rFonts w:hint="eastAsia" w:asciiTheme="minorEastAsia" w:hAnsiTheme="minorEastAsia" w:eastAsiaTheme="minorEastAsia" w:cstheme="minorEastAsia"/>
          <w:szCs w:val="21"/>
        </w:rPr>
        <w:t>3.2.7</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投标文件中开标一览表（报价表）内容与投标文件中相应内容不一致的，以开标一览表（报价表）为准；大写金额和小写金额不一致的，以大写金额为准；单价金额小数点或者百分比有明显错位的，以开标一览表的总价为准，并修改单价；总价金额与按单价汇总金额不一致的，以单价金额计算结果为准。</w:t>
      </w:r>
    </w:p>
    <w:p w14:paraId="13601C8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同时出现两种以上不一致的，按照上述规定的顺序修正。评标委员会应当以书面形式要求</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作出必要的澄清、说明或者补正。</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的澄清、说明或者补正不得超出投标文件的范围或者改变投标文件的实质性内容。</w:t>
      </w:r>
    </w:p>
    <w:p w14:paraId="5597738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修正后的报价经</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lang w:val="zh-CN"/>
        </w:rPr>
        <w:t>书面</w:t>
      </w:r>
      <w:r>
        <w:rPr>
          <w:rFonts w:hint="eastAsia" w:asciiTheme="minorEastAsia" w:hAnsiTheme="minorEastAsia" w:eastAsiaTheme="minorEastAsia" w:cstheme="minorEastAsia"/>
          <w:szCs w:val="21"/>
        </w:rPr>
        <w:t>确认后产生约束力，</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不确认的，其投标无效。</w:t>
      </w:r>
    </w:p>
    <w:p w14:paraId="655E6481">
      <w:pPr>
        <w:spacing w:line="360" w:lineRule="auto"/>
        <w:ind w:firstLine="0" w:firstLineChars="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3.3 投标有效期</w:t>
      </w:r>
      <w:bookmarkEnd w:id="114"/>
      <w:bookmarkEnd w:id="115"/>
      <w:bookmarkEnd w:id="116"/>
      <w:bookmarkEnd w:id="117"/>
    </w:p>
    <w:p w14:paraId="239578A8">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3.3.1</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 xml:space="preserve">在供应商须知前附表规定的投标有效期内，供应商不得要求撤销或修改其投标文件。 </w:t>
      </w:r>
    </w:p>
    <w:p w14:paraId="72765F0E">
      <w:pPr>
        <w:spacing w:line="360" w:lineRule="auto"/>
        <w:ind w:firstLine="0" w:firstLineChars="0"/>
        <w:rPr>
          <w:rFonts w:asciiTheme="minorEastAsia" w:hAnsiTheme="minorEastAsia" w:eastAsiaTheme="minorEastAsia" w:cstheme="minorEastAsia"/>
          <w:b/>
          <w:bCs/>
          <w:sz w:val="24"/>
        </w:rPr>
      </w:pPr>
      <w:bookmarkStart w:id="118" w:name="_Toc279599791"/>
      <w:bookmarkStart w:id="119" w:name="_Toc426369501"/>
      <w:bookmarkStart w:id="120" w:name="_Toc403122512"/>
      <w:bookmarkStart w:id="121" w:name="_Toc274249595"/>
      <w:r>
        <w:rPr>
          <w:rFonts w:hint="eastAsia" w:asciiTheme="minorEastAsia" w:hAnsiTheme="minorEastAsia" w:eastAsiaTheme="minorEastAsia" w:cstheme="minorEastAsia"/>
          <w:b/>
          <w:bCs/>
          <w:sz w:val="24"/>
        </w:rPr>
        <w:t>3.4 资格审查资料</w:t>
      </w:r>
      <w:bookmarkEnd w:id="118"/>
      <w:bookmarkEnd w:id="119"/>
      <w:bookmarkEnd w:id="120"/>
      <w:bookmarkEnd w:id="121"/>
    </w:p>
    <w:p w14:paraId="34A76972">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3.4.1</w:t>
      </w:r>
      <w:r>
        <w:rPr>
          <w:rFonts w:hint="eastAsia" w:asciiTheme="minorEastAsia" w:hAnsiTheme="minorEastAsia" w:eastAsiaTheme="minorEastAsia" w:cstheme="minorEastAsia"/>
          <w:szCs w:val="21"/>
          <w:lang w:val="en-US" w:eastAsia="zh-CN"/>
        </w:rPr>
        <w:t xml:space="preserve"> </w:t>
      </w:r>
      <w:r>
        <w:rPr>
          <w:rFonts w:hint="eastAsia" w:ascii="宋体" w:hAnsi="宋体" w:cs="宋体"/>
          <w:kern w:val="0"/>
          <w:szCs w:val="21"/>
        </w:rPr>
        <w:t>依据“</w:t>
      </w:r>
      <w:r>
        <w:rPr>
          <w:rFonts w:hint="eastAsia" w:ascii="宋体" w:hAnsi="宋体" w:cs="宋体"/>
          <w:kern w:val="0"/>
          <w:szCs w:val="21"/>
          <w:lang w:eastAsia="zh-CN"/>
        </w:rPr>
        <w:t>供应商</w:t>
      </w:r>
      <w:r>
        <w:rPr>
          <w:rFonts w:hint="eastAsia" w:ascii="宋体" w:hAnsi="宋体" w:cs="宋体"/>
          <w:kern w:val="0"/>
          <w:szCs w:val="21"/>
        </w:rPr>
        <w:t>须知前附表”中的要求提交相应的资格证明文件，作为投标文件的一部分，以证明其有资格进行投标和有能力履行合同</w:t>
      </w:r>
      <w:r>
        <w:rPr>
          <w:rFonts w:hint="eastAsia" w:asciiTheme="minorEastAsia" w:hAnsiTheme="minorEastAsia" w:eastAsiaTheme="minorEastAsia" w:cstheme="minorEastAsia"/>
          <w:szCs w:val="21"/>
        </w:rPr>
        <w:t xml:space="preserve">。 </w:t>
      </w:r>
    </w:p>
    <w:p w14:paraId="1C029FDE">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宋体" w:hAnsi="宋体" w:cs="宋体"/>
          <w:szCs w:val="21"/>
        </w:rPr>
        <w:t>3.4.2</w:t>
      </w:r>
      <w:r>
        <w:rPr>
          <w:rFonts w:hint="eastAsia" w:ascii="宋体" w:hAnsi="宋体" w:cs="宋体"/>
          <w:szCs w:val="21"/>
          <w:lang w:val="en-US" w:eastAsia="zh-CN"/>
        </w:rPr>
        <w:t xml:space="preserve"> </w:t>
      </w:r>
      <w:r>
        <w:rPr>
          <w:rFonts w:hint="eastAsia" w:ascii="宋体" w:hAnsi="宋体" w:cs="宋体"/>
          <w:szCs w:val="21"/>
        </w:rPr>
        <w:t>招标文件规定的供应商资格条件。</w:t>
      </w:r>
    </w:p>
    <w:p w14:paraId="34246FD8">
      <w:pPr>
        <w:spacing w:line="360" w:lineRule="auto"/>
        <w:ind w:firstLine="0" w:firstLineChars="0"/>
        <w:rPr>
          <w:rFonts w:asciiTheme="minorEastAsia" w:hAnsiTheme="minorEastAsia" w:eastAsiaTheme="minorEastAsia" w:cstheme="minorEastAsia"/>
          <w:b/>
          <w:bCs/>
          <w:sz w:val="24"/>
        </w:rPr>
      </w:pPr>
      <w:bookmarkStart w:id="122" w:name="_Toc274249596"/>
      <w:bookmarkStart w:id="123" w:name="_Toc426369502"/>
      <w:bookmarkStart w:id="124" w:name="_Toc403122513"/>
      <w:bookmarkStart w:id="125" w:name="_Toc279599792"/>
      <w:r>
        <w:rPr>
          <w:rFonts w:hint="eastAsia" w:asciiTheme="minorEastAsia" w:hAnsiTheme="minorEastAsia" w:eastAsiaTheme="minorEastAsia" w:cstheme="minorEastAsia"/>
          <w:b/>
          <w:bCs/>
          <w:sz w:val="24"/>
        </w:rPr>
        <w:t>3.5 备选投标方案</w:t>
      </w:r>
      <w:bookmarkEnd w:id="122"/>
      <w:bookmarkEnd w:id="123"/>
      <w:bookmarkEnd w:id="124"/>
      <w:bookmarkEnd w:id="125"/>
    </w:p>
    <w:p w14:paraId="2D443C4A">
      <w:pPr>
        <w:keepNext w:val="0"/>
        <w:keepLines w:val="0"/>
        <w:pageBreakBefore w:val="0"/>
        <w:tabs>
          <w:tab w:val="left" w:pos="3570"/>
        </w:tabs>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供应商不得递交备选投标方案。 </w:t>
      </w:r>
    </w:p>
    <w:p w14:paraId="48BFFFCA">
      <w:pPr>
        <w:spacing w:line="360" w:lineRule="auto"/>
        <w:ind w:firstLine="0" w:firstLineChars="0"/>
        <w:rPr>
          <w:rFonts w:asciiTheme="minorEastAsia" w:hAnsiTheme="minorEastAsia" w:eastAsiaTheme="minorEastAsia" w:cstheme="minorEastAsia"/>
          <w:b/>
          <w:bCs/>
          <w:sz w:val="24"/>
        </w:rPr>
      </w:pPr>
      <w:bookmarkStart w:id="126" w:name="_Toc426369503"/>
      <w:bookmarkStart w:id="127" w:name="_Toc403122514"/>
      <w:bookmarkStart w:id="128" w:name="_Toc274249597"/>
      <w:bookmarkStart w:id="129" w:name="_Toc279599793"/>
      <w:r>
        <w:rPr>
          <w:rFonts w:hint="eastAsia" w:asciiTheme="minorEastAsia" w:hAnsiTheme="minorEastAsia" w:eastAsiaTheme="minorEastAsia" w:cstheme="minorEastAsia"/>
          <w:b/>
          <w:bCs/>
          <w:sz w:val="24"/>
        </w:rPr>
        <w:t>3.6 投标文件的编制</w:t>
      </w:r>
      <w:bookmarkEnd w:id="126"/>
      <w:bookmarkEnd w:id="127"/>
      <w:bookmarkEnd w:id="128"/>
      <w:bookmarkEnd w:id="129"/>
    </w:p>
    <w:p w14:paraId="66CFBC88">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3.6.1 投标文件应按招标文件中要求</w:t>
      </w:r>
      <w:r>
        <w:rPr>
          <w:rFonts w:hint="eastAsia" w:ascii="宋体" w:hAnsi="宋体" w:cs="宋体"/>
          <w:kern w:val="0"/>
          <w:szCs w:val="21"/>
        </w:rPr>
        <w:t>使用焦作市公共资源交易系统投标文件制作专用工具软件编制</w:t>
      </w:r>
      <w:r>
        <w:rPr>
          <w:rFonts w:hint="eastAsia" w:asciiTheme="minorEastAsia" w:hAnsiTheme="minorEastAsia" w:eastAsiaTheme="minorEastAsia" w:cstheme="minorEastAsia"/>
          <w:szCs w:val="21"/>
        </w:rPr>
        <w:t xml:space="preserve">。 </w:t>
      </w:r>
    </w:p>
    <w:p w14:paraId="27022108">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3.6.2 投标文件应当对招标文件</w:t>
      </w:r>
      <w:r>
        <w:rPr>
          <w:rFonts w:hint="eastAsia" w:ascii="宋体" w:hAnsi="宋体" w:cs="宋体"/>
          <w:szCs w:val="21"/>
        </w:rPr>
        <w:t>有关投标报价、合同履行期限、服务要求等等实质性内容作出响应</w:t>
      </w:r>
      <w:r>
        <w:rPr>
          <w:rFonts w:hint="eastAsia" w:asciiTheme="minorEastAsia" w:hAnsiTheme="minorEastAsia" w:eastAsiaTheme="minorEastAsia" w:cstheme="minorEastAsia"/>
          <w:szCs w:val="21"/>
        </w:rPr>
        <w:t>。</w:t>
      </w:r>
    </w:p>
    <w:p w14:paraId="3112E0FA">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rPr>
          <w:rFonts w:hint="eastAsia" w:ascii="宋体" w:hAnsi="宋体" w:cs="宋体"/>
          <w:kern w:val="0"/>
          <w:szCs w:val="21"/>
        </w:rPr>
      </w:pPr>
      <w:r>
        <w:rPr>
          <w:rFonts w:hint="eastAsia" w:asciiTheme="minorEastAsia" w:hAnsiTheme="minorEastAsia" w:eastAsiaTheme="minorEastAsia" w:cstheme="minorEastAsia"/>
          <w:szCs w:val="21"/>
        </w:rPr>
        <w:t xml:space="preserve">3.6.3 </w:t>
      </w:r>
      <w:r>
        <w:rPr>
          <w:rFonts w:hint="eastAsia" w:ascii="宋体" w:hAnsi="宋体" w:cs="宋体"/>
          <w:kern w:val="0"/>
          <w:szCs w:val="21"/>
        </w:rPr>
        <w:t>本项目采用电子开评标方式，潜在</w:t>
      </w:r>
      <w:r>
        <w:rPr>
          <w:rFonts w:hint="eastAsia" w:ascii="宋体" w:hAnsi="宋体" w:cs="宋体"/>
          <w:kern w:val="0"/>
          <w:szCs w:val="21"/>
          <w:lang w:eastAsia="zh-CN"/>
        </w:rPr>
        <w:t>供应商</w:t>
      </w:r>
      <w:r>
        <w:rPr>
          <w:rFonts w:hint="eastAsia" w:ascii="宋体" w:hAnsi="宋体" w:cs="宋体"/>
          <w:kern w:val="0"/>
          <w:szCs w:val="21"/>
        </w:rPr>
        <w:t>可提前在焦作市交易中心官网首页---下载中心--下载《焦作市电子招投标系统操作手册》、《焦作市公共资源交易平台不见面开标操作手册》和《投标文件制作工作工具》等查看操作说明，按要求进行投标文件制作和上传等。为避免网络拥堵等不可控因素影响投标文件的上传，请提前上传投标文件，并在开标截止时间前登录不见面开标大厅进行签到，按要求解密投标文件。因文件未及时上传导致投标失败的责任由</w:t>
      </w:r>
      <w:r>
        <w:rPr>
          <w:rFonts w:hint="eastAsia" w:ascii="宋体" w:hAnsi="宋体" w:cs="宋体"/>
          <w:kern w:val="0"/>
          <w:szCs w:val="21"/>
          <w:lang w:eastAsia="zh-CN"/>
        </w:rPr>
        <w:t>供应商</w:t>
      </w:r>
      <w:r>
        <w:rPr>
          <w:rFonts w:hint="eastAsia" w:ascii="宋体" w:hAnsi="宋体" w:cs="宋体"/>
          <w:kern w:val="0"/>
          <w:szCs w:val="21"/>
        </w:rPr>
        <w:t>自行承担。</w:t>
      </w:r>
    </w:p>
    <w:p w14:paraId="51ECEE5B">
      <w:pPr>
        <w:autoSpaceDE/>
        <w:autoSpaceDN/>
        <w:adjustRightInd/>
        <w:spacing w:line="360" w:lineRule="auto"/>
        <w:ind w:firstLine="0" w:firstLineChars="0"/>
        <w:jc w:val="left"/>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3.7投标文件的签字盖章要求</w:t>
      </w:r>
    </w:p>
    <w:p w14:paraId="6FF7A36A">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color w:val="auto"/>
          <w:kern w:val="0"/>
          <w:sz w:val="21"/>
          <w:szCs w:val="21"/>
          <w:highlight w:val="none"/>
        </w:rPr>
        <w:t>见</w:t>
      </w:r>
      <w:r>
        <w:rPr>
          <w:rFonts w:hint="eastAsia" w:ascii="宋体" w:hAnsi="宋体" w:eastAsia="宋体" w:cs="宋体"/>
          <w:color w:val="auto"/>
          <w:kern w:val="0"/>
          <w:sz w:val="21"/>
          <w:szCs w:val="21"/>
          <w:highlight w:val="none"/>
          <w:lang w:eastAsia="zh-CN"/>
        </w:rPr>
        <w:t>供应商</w:t>
      </w:r>
      <w:r>
        <w:rPr>
          <w:rFonts w:hint="eastAsia" w:ascii="宋体" w:hAnsi="宋体" w:eastAsia="宋体" w:cs="宋体"/>
          <w:color w:val="auto"/>
          <w:kern w:val="0"/>
          <w:sz w:val="21"/>
          <w:szCs w:val="21"/>
          <w:highlight w:val="none"/>
        </w:rPr>
        <w:t>须知前附表。</w:t>
      </w:r>
    </w:p>
    <w:p w14:paraId="2172E978">
      <w:pPr>
        <w:autoSpaceDE/>
        <w:autoSpaceDN/>
        <w:adjustRightInd/>
        <w:spacing w:line="360" w:lineRule="auto"/>
        <w:ind w:firstLine="0" w:firstLineChars="0"/>
        <w:jc w:val="left"/>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val="en-US" w:eastAsia="zh-CN"/>
        </w:rPr>
        <w:t>3.8</w:t>
      </w:r>
      <w:r>
        <w:rPr>
          <w:rFonts w:hint="eastAsia" w:asciiTheme="minorEastAsia" w:hAnsiTheme="minorEastAsia" w:eastAsiaTheme="minorEastAsia" w:cstheme="minorEastAsia"/>
          <w:b/>
          <w:bCs/>
          <w:sz w:val="24"/>
        </w:rPr>
        <w:t>投标文件份数</w:t>
      </w:r>
    </w:p>
    <w:p w14:paraId="0C8D93E0">
      <w:pPr>
        <w:autoSpaceDE w:val="0"/>
        <w:autoSpaceDN w:val="0"/>
        <w:adjustRightInd w:val="0"/>
        <w:spacing w:line="360" w:lineRule="auto"/>
        <w:ind w:firstLine="420" w:firstLineChars="200"/>
        <w:jc w:val="left"/>
        <w:rPr>
          <w:rFonts w:hint="eastAsia" w:ascii="宋体" w:hAnsi="宋体" w:cs="宋体"/>
          <w:kern w:val="0"/>
          <w:szCs w:val="21"/>
          <w:lang w:val="en-US" w:eastAsia="zh-CN"/>
        </w:rPr>
      </w:pPr>
      <w:r>
        <w:rPr>
          <w:rFonts w:hint="eastAsia" w:ascii="宋体" w:hAnsi="宋体" w:eastAsia="宋体" w:cs="宋体"/>
          <w:kern w:val="0"/>
          <w:sz w:val="21"/>
          <w:szCs w:val="21"/>
        </w:rPr>
        <w:t>见</w:t>
      </w:r>
      <w:r>
        <w:rPr>
          <w:rFonts w:hint="eastAsia" w:ascii="宋体" w:hAnsi="宋体" w:eastAsia="宋体" w:cs="宋体"/>
          <w:kern w:val="0"/>
          <w:sz w:val="21"/>
          <w:szCs w:val="21"/>
          <w:lang w:eastAsia="zh-CN"/>
        </w:rPr>
        <w:t>供应商</w:t>
      </w:r>
      <w:r>
        <w:rPr>
          <w:rFonts w:hint="eastAsia" w:ascii="宋体" w:hAnsi="宋体" w:eastAsia="宋体" w:cs="宋体"/>
          <w:kern w:val="0"/>
          <w:sz w:val="21"/>
          <w:szCs w:val="21"/>
        </w:rPr>
        <w:t>须知前附表。</w:t>
      </w:r>
    </w:p>
    <w:p w14:paraId="6646CA27">
      <w:pPr>
        <w:pStyle w:val="29"/>
        <w:spacing w:before="120" w:after="120" w:line="360" w:lineRule="auto"/>
        <w:ind w:right="-1029" w:rightChars="-490" w:firstLine="0" w:firstLineChars="0"/>
        <w:jc w:val="both"/>
        <w:rPr>
          <w:rFonts w:hint="eastAsia" w:asciiTheme="minorEastAsia" w:hAnsiTheme="minorEastAsia" w:eastAsiaTheme="minorEastAsia" w:cstheme="minorEastAsia"/>
          <w:sz w:val="30"/>
          <w:szCs w:val="30"/>
        </w:rPr>
      </w:pPr>
      <w:bookmarkStart w:id="130" w:name="_Toc426369504"/>
      <w:bookmarkStart w:id="131" w:name="_Toc17204"/>
      <w:bookmarkStart w:id="132" w:name="_Toc26998"/>
      <w:bookmarkStart w:id="133" w:name="_Toc161584011"/>
      <w:bookmarkStart w:id="134" w:name="_Toc29976"/>
      <w:bookmarkStart w:id="135" w:name="_Toc31515"/>
      <w:bookmarkStart w:id="136" w:name="_Toc31809"/>
      <w:bookmarkStart w:id="137" w:name="_Toc30100"/>
      <w:bookmarkStart w:id="138" w:name="_Toc403122515"/>
      <w:bookmarkStart w:id="139" w:name="_Toc161588333"/>
      <w:r>
        <w:rPr>
          <w:rFonts w:hint="eastAsia" w:asciiTheme="minorEastAsia" w:hAnsiTheme="minorEastAsia" w:eastAsiaTheme="minorEastAsia" w:cstheme="minorEastAsia"/>
          <w:sz w:val="30"/>
          <w:szCs w:val="30"/>
        </w:rPr>
        <w:t>4. 投标</w:t>
      </w:r>
      <w:bookmarkEnd w:id="130"/>
      <w:bookmarkEnd w:id="131"/>
      <w:bookmarkEnd w:id="132"/>
      <w:bookmarkEnd w:id="133"/>
      <w:bookmarkEnd w:id="134"/>
      <w:bookmarkEnd w:id="135"/>
      <w:bookmarkEnd w:id="136"/>
      <w:bookmarkEnd w:id="137"/>
      <w:bookmarkEnd w:id="138"/>
      <w:bookmarkEnd w:id="139"/>
    </w:p>
    <w:p w14:paraId="00AB3C31">
      <w:pPr>
        <w:spacing w:line="360" w:lineRule="auto"/>
        <w:ind w:firstLine="0" w:firstLineChars="0"/>
        <w:rPr>
          <w:rFonts w:asciiTheme="minorEastAsia" w:hAnsiTheme="minorEastAsia" w:eastAsiaTheme="minorEastAsia" w:cstheme="minorEastAsia"/>
          <w:b/>
          <w:bCs/>
          <w:sz w:val="24"/>
        </w:rPr>
      </w:pPr>
      <w:bookmarkStart w:id="140" w:name="_Toc279599795"/>
      <w:bookmarkStart w:id="141" w:name="_Toc403122516"/>
      <w:bookmarkStart w:id="142" w:name="_Toc274249599"/>
      <w:bookmarkStart w:id="143" w:name="_Toc426369505"/>
      <w:r>
        <w:rPr>
          <w:rFonts w:hint="eastAsia" w:asciiTheme="minorEastAsia" w:hAnsiTheme="minorEastAsia" w:eastAsiaTheme="minorEastAsia" w:cstheme="minorEastAsia"/>
          <w:b/>
          <w:bCs/>
          <w:sz w:val="24"/>
        </w:rPr>
        <w:t>4.1 投标文件的密封和标记</w:t>
      </w:r>
      <w:bookmarkEnd w:id="140"/>
      <w:bookmarkEnd w:id="141"/>
      <w:bookmarkEnd w:id="142"/>
      <w:bookmarkEnd w:id="143"/>
    </w:p>
    <w:p w14:paraId="005B0435">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rPr>
          <w:rFonts w:asciiTheme="minorEastAsia" w:hAnsiTheme="minorEastAsia" w:eastAsiaTheme="minorEastAsia" w:cstheme="minorEastAsia"/>
          <w:szCs w:val="21"/>
        </w:rPr>
      </w:pPr>
      <w:r>
        <w:rPr>
          <w:rFonts w:hint="eastAsia" w:ascii="宋体" w:hAnsi="宋体" w:cs="宋体"/>
          <w:kern w:val="0"/>
          <w:szCs w:val="21"/>
        </w:rPr>
        <w:t>4.1.1</w:t>
      </w:r>
      <w:r>
        <w:rPr>
          <w:rFonts w:hint="eastAsia" w:ascii="宋体" w:hAnsi="宋体" w:cs="宋体"/>
          <w:kern w:val="0"/>
          <w:szCs w:val="21"/>
          <w:lang w:val="en-US" w:eastAsia="zh-CN"/>
        </w:rPr>
        <w:t xml:space="preserve"> </w:t>
      </w:r>
      <w:r>
        <w:rPr>
          <w:rFonts w:hint="eastAsia" w:ascii="宋体" w:hAnsi="宋体" w:cs="宋体"/>
          <w:kern w:val="0"/>
          <w:szCs w:val="21"/>
        </w:rPr>
        <w:t>本项目采用</w:t>
      </w:r>
      <w:r>
        <w:rPr>
          <w:rFonts w:hint="eastAsia" w:ascii="宋体" w:hAnsi="宋体" w:cs="宋体"/>
          <w:kern w:val="0"/>
          <w:szCs w:val="21"/>
          <w:lang w:val="zh-CN"/>
        </w:rPr>
        <w:t>网上上传的电子投标文件</w:t>
      </w:r>
      <w:r>
        <w:rPr>
          <w:rFonts w:hint="eastAsia" w:ascii="宋体" w:hAnsi="宋体" w:cs="宋体"/>
          <w:kern w:val="0"/>
          <w:szCs w:val="21"/>
        </w:rPr>
        <w:t>,</w:t>
      </w:r>
      <w:r>
        <w:rPr>
          <w:rFonts w:hint="eastAsia" w:ascii="宋体" w:hAnsi="宋体" w:cs="宋体"/>
          <w:kern w:val="0"/>
          <w:szCs w:val="21"/>
          <w:lang w:val="zh-CN"/>
        </w:rPr>
        <w:t>应使用数字证书认证并加密。</w:t>
      </w:r>
    </w:p>
    <w:p w14:paraId="3C836777">
      <w:pPr>
        <w:spacing w:line="360" w:lineRule="auto"/>
        <w:ind w:firstLine="0" w:firstLineChars="0"/>
        <w:rPr>
          <w:rFonts w:asciiTheme="minorEastAsia" w:hAnsiTheme="minorEastAsia" w:eastAsiaTheme="minorEastAsia" w:cstheme="minorEastAsia"/>
          <w:b/>
          <w:bCs/>
          <w:sz w:val="24"/>
        </w:rPr>
      </w:pPr>
      <w:bookmarkStart w:id="144" w:name="_Toc403122517"/>
      <w:bookmarkStart w:id="145" w:name="_Toc274249600"/>
      <w:bookmarkStart w:id="146" w:name="_Toc279599796"/>
      <w:bookmarkStart w:id="147" w:name="_Toc426369506"/>
      <w:r>
        <w:rPr>
          <w:rFonts w:hint="eastAsia" w:asciiTheme="minorEastAsia" w:hAnsiTheme="minorEastAsia" w:eastAsiaTheme="minorEastAsia" w:cstheme="minorEastAsia"/>
          <w:b/>
          <w:bCs/>
          <w:sz w:val="24"/>
        </w:rPr>
        <w:t>4.2 投标文件的递交</w:t>
      </w:r>
      <w:bookmarkEnd w:id="144"/>
      <w:bookmarkEnd w:id="145"/>
      <w:bookmarkEnd w:id="146"/>
      <w:bookmarkEnd w:id="147"/>
    </w:p>
    <w:p w14:paraId="4A478803">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rPr>
          <w:rFonts w:ascii="宋体" w:hAnsi="宋体" w:cs="宋体"/>
          <w:kern w:val="0"/>
          <w:szCs w:val="21"/>
          <w:lang w:val="zh-CN"/>
        </w:rPr>
      </w:pPr>
      <w:r>
        <w:rPr>
          <w:rFonts w:hint="eastAsia" w:ascii="宋体" w:hAnsi="宋体" w:cs="宋体"/>
          <w:kern w:val="0"/>
          <w:szCs w:val="21"/>
        </w:rPr>
        <w:t>4.2.1</w:t>
      </w:r>
      <w:r>
        <w:rPr>
          <w:rFonts w:hint="eastAsia" w:ascii="宋体" w:hAnsi="宋体" w:cs="宋体"/>
          <w:kern w:val="0"/>
          <w:szCs w:val="21"/>
          <w:lang w:val="en-US" w:eastAsia="zh-CN"/>
        </w:rPr>
        <w:t xml:space="preserve"> </w:t>
      </w:r>
      <w:r>
        <w:rPr>
          <w:rFonts w:hint="eastAsia" w:ascii="宋体" w:hAnsi="宋体" w:cs="宋体"/>
          <w:kern w:val="0"/>
          <w:szCs w:val="21"/>
          <w:lang w:val="zh-CN"/>
        </w:rPr>
        <w:t>所有投标文件必须在本招标文件中规定的投标截止时间之前</w:t>
      </w:r>
      <w:r>
        <w:rPr>
          <w:rFonts w:hint="eastAsia" w:ascii="宋体" w:hAnsi="宋体" w:cs="宋体"/>
          <w:kern w:val="0"/>
          <w:szCs w:val="21"/>
        </w:rPr>
        <w:t>提前上传，按要求</w:t>
      </w:r>
      <w:r>
        <w:rPr>
          <w:rFonts w:hint="eastAsia" w:ascii="宋体" w:hAnsi="宋体"/>
          <w:szCs w:val="21"/>
        </w:rPr>
        <w:t>在线签到、解密文件等，解密时间为投标截止时后30分钟内，</w:t>
      </w:r>
      <w:r>
        <w:rPr>
          <w:rFonts w:hint="eastAsia" w:ascii="宋体" w:hAnsi="宋体" w:cs="宋体"/>
          <w:kern w:val="0"/>
          <w:szCs w:val="21"/>
        </w:rPr>
        <w:t>不能按时上传、签到、解密者视为自动放弃投标。</w:t>
      </w:r>
    </w:p>
    <w:p w14:paraId="1EBC277E">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rPr>
          <w:rFonts w:hint="eastAsia" w:ascii="宋体" w:hAnsi="宋体" w:cs="宋体"/>
          <w:kern w:val="0"/>
          <w:szCs w:val="21"/>
          <w:lang w:val="zh-CN"/>
        </w:rPr>
      </w:pPr>
      <w:r>
        <w:rPr>
          <w:rFonts w:hint="eastAsia" w:ascii="宋体" w:hAnsi="宋体" w:cs="宋体"/>
          <w:kern w:val="0"/>
          <w:szCs w:val="21"/>
        </w:rPr>
        <w:t>4.2.</w:t>
      </w:r>
      <w:r>
        <w:rPr>
          <w:rFonts w:hint="eastAsia" w:ascii="宋体" w:hAnsi="宋体" w:cs="宋体"/>
          <w:kern w:val="0"/>
          <w:szCs w:val="21"/>
          <w:lang w:val="zh-CN"/>
        </w:rPr>
        <w:t>2</w:t>
      </w:r>
      <w:r>
        <w:rPr>
          <w:rFonts w:hint="eastAsia" w:ascii="宋体" w:hAnsi="宋体" w:cs="宋体"/>
          <w:kern w:val="0"/>
          <w:szCs w:val="21"/>
          <w:lang w:val="en-US" w:eastAsia="zh-CN"/>
        </w:rPr>
        <w:t xml:space="preserve"> </w:t>
      </w:r>
      <w:r>
        <w:rPr>
          <w:rFonts w:hint="eastAsia" w:ascii="宋体" w:hAnsi="宋体" w:cs="宋体"/>
          <w:kern w:val="0"/>
          <w:szCs w:val="21"/>
          <w:lang w:val="zh-CN"/>
        </w:rPr>
        <w:t>采购人拒绝接收在投标文件递交截止时间后上传的投标文件。</w:t>
      </w:r>
      <w:bookmarkStart w:id="148" w:name="_Hlt26954862"/>
      <w:bookmarkEnd w:id="148"/>
      <w:bookmarkStart w:id="149" w:name="_Hlt26954754"/>
      <w:bookmarkEnd w:id="149"/>
    </w:p>
    <w:p w14:paraId="2588B9BE">
      <w:pPr>
        <w:keepNext w:val="0"/>
        <w:keepLines w:val="0"/>
        <w:pageBreakBefore w:val="0"/>
        <w:kinsoku/>
        <w:wordWrap/>
        <w:overflowPunct/>
        <w:topLinePunct w:val="0"/>
        <w:autoSpaceDE w:val="0"/>
        <w:autoSpaceDN w:val="0"/>
        <w:bidi w:val="0"/>
        <w:adjustRightInd w:val="0"/>
        <w:snapToGrid/>
        <w:spacing w:line="360" w:lineRule="auto"/>
        <w:ind w:firstLine="420" w:firstLineChars="200"/>
        <w:jc w:val="left"/>
        <w:rPr>
          <w:rFonts w:hint="eastAsia" w:ascii="宋体" w:hAnsi="宋体" w:cs="宋体" w:eastAsiaTheme="minorEastAsia"/>
          <w:kern w:val="0"/>
          <w:szCs w:val="21"/>
          <w:lang w:val="en-US" w:eastAsia="zh-CN"/>
        </w:rPr>
      </w:pPr>
      <w:r>
        <w:rPr>
          <w:rFonts w:hint="eastAsia" w:ascii="宋体" w:hAnsi="宋体" w:cs="宋体"/>
          <w:kern w:val="0"/>
          <w:szCs w:val="21"/>
          <w:lang w:val="en-US" w:eastAsia="zh-CN"/>
        </w:rPr>
        <w:t xml:space="preserve">4.2.3 </w:t>
      </w:r>
      <w:r>
        <w:rPr>
          <w:rFonts w:asciiTheme="minorEastAsia" w:hAnsiTheme="minorEastAsia" w:eastAsiaTheme="minorEastAsia" w:cstheme="minorEastAsia"/>
        </w:rPr>
        <w:t>是否退还投标文件</w:t>
      </w:r>
      <w:r>
        <w:rPr>
          <w:rFonts w:hint="eastAsia" w:asciiTheme="minorEastAsia" w:hAnsiTheme="minorEastAsia" w:eastAsiaTheme="minorEastAsia" w:cstheme="minorEastAsia"/>
          <w:lang w:eastAsia="zh-CN"/>
        </w:rPr>
        <w:t>：</w:t>
      </w:r>
      <w:r>
        <w:rPr>
          <w:rFonts w:hint="eastAsia" w:ascii="宋体" w:hAnsi="宋体" w:eastAsia="宋体" w:cs="宋体"/>
          <w:kern w:val="0"/>
          <w:sz w:val="21"/>
          <w:szCs w:val="21"/>
        </w:rPr>
        <w:t>见</w:t>
      </w:r>
      <w:r>
        <w:rPr>
          <w:rFonts w:hint="eastAsia" w:ascii="宋体" w:hAnsi="宋体" w:eastAsia="宋体" w:cs="宋体"/>
          <w:kern w:val="0"/>
          <w:sz w:val="21"/>
          <w:szCs w:val="21"/>
          <w:lang w:eastAsia="zh-CN"/>
        </w:rPr>
        <w:t>供应商</w:t>
      </w:r>
      <w:r>
        <w:rPr>
          <w:rFonts w:hint="eastAsia" w:ascii="宋体" w:hAnsi="宋体" w:eastAsia="宋体" w:cs="宋体"/>
          <w:kern w:val="0"/>
          <w:sz w:val="21"/>
          <w:szCs w:val="21"/>
        </w:rPr>
        <w:t>须知前附表。</w:t>
      </w:r>
    </w:p>
    <w:p w14:paraId="775781DB">
      <w:pPr>
        <w:spacing w:line="360" w:lineRule="auto"/>
        <w:ind w:firstLine="0" w:firstLineChars="0"/>
        <w:rPr>
          <w:rFonts w:asciiTheme="minorEastAsia" w:hAnsiTheme="minorEastAsia" w:eastAsiaTheme="minorEastAsia" w:cstheme="minorEastAsia"/>
          <w:b/>
          <w:bCs/>
          <w:sz w:val="24"/>
        </w:rPr>
      </w:pPr>
      <w:bookmarkStart w:id="150" w:name="_Toc279599797"/>
      <w:bookmarkStart w:id="151" w:name="_Toc426369507"/>
      <w:bookmarkStart w:id="152" w:name="_Toc274249601"/>
      <w:bookmarkStart w:id="153" w:name="_Toc403122518"/>
      <w:r>
        <w:rPr>
          <w:rFonts w:hint="eastAsia" w:asciiTheme="minorEastAsia" w:hAnsiTheme="minorEastAsia" w:eastAsiaTheme="minorEastAsia" w:cstheme="minorEastAsia"/>
          <w:b/>
          <w:bCs/>
          <w:sz w:val="24"/>
        </w:rPr>
        <w:t>4.3 投标文件的修改与撤回</w:t>
      </w:r>
      <w:bookmarkEnd w:id="150"/>
      <w:bookmarkEnd w:id="151"/>
      <w:bookmarkEnd w:id="152"/>
      <w:bookmarkEnd w:id="153"/>
    </w:p>
    <w:p w14:paraId="7ECC6672">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4.3.1 在本章第 2.2.2 项规定的投标截止时间前，供应商可以修改或撤回已递交的投标文件。 </w:t>
      </w:r>
    </w:p>
    <w:p w14:paraId="57A6332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4.3.2 供应商修改或撤回已递交投标文件的书面通知应按照本章第 3.7项的要求签字盖章。 </w:t>
      </w:r>
    </w:p>
    <w:p w14:paraId="0A9CFA51">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4.3.3 修改的内容为投标文件的组成部分。修改的投标文件应按照本章第 3 条、第 4 条规定进行编制、密封、标记和递交，并标明“修改”字样。 </w:t>
      </w:r>
    </w:p>
    <w:p w14:paraId="0809E2B2">
      <w:pPr>
        <w:pStyle w:val="29"/>
        <w:spacing w:before="120" w:after="120" w:line="360" w:lineRule="auto"/>
        <w:ind w:right="-1029" w:rightChars="-490" w:firstLine="0" w:firstLineChars="0"/>
        <w:jc w:val="both"/>
        <w:rPr>
          <w:rFonts w:hint="eastAsia" w:asciiTheme="minorEastAsia" w:hAnsiTheme="minorEastAsia" w:eastAsiaTheme="minorEastAsia" w:cstheme="minorEastAsia"/>
          <w:sz w:val="30"/>
          <w:szCs w:val="30"/>
        </w:rPr>
      </w:pPr>
      <w:bookmarkStart w:id="154" w:name="_Toc426369508"/>
      <w:bookmarkStart w:id="155" w:name="_Toc32449"/>
      <w:bookmarkStart w:id="156" w:name="_Toc403122519"/>
      <w:bookmarkStart w:id="157" w:name="_Toc161588334"/>
      <w:bookmarkStart w:id="158" w:name="_Toc17545"/>
      <w:bookmarkStart w:id="159" w:name="_Toc5457"/>
      <w:bookmarkStart w:id="160" w:name="_Toc8875"/>
      <w:bookmarkStart w:id="161" w:name="_Toc161584012"/>
      <w:bookmarkStart w:id="162" w:name="_Toc18170"/>
      <w:bookmarkStart w:id="163" w:name="_Toc20359"/>
      <w:r>
        <w:rPr>
          <w:rFonts w:hint="eastAsia" w:asciiTheme="minorEastAsia" w:hAnsiTheme="minorEastAsia" w:eastAsiaTheme="minorEastAsia" w:cstheme="minorEastAsia"/>
          <w:sz w:val="30"/>
          <w:szCs w:val="30"/>
        </w:rPr>
        <w:t>5. 开标</w:t>
      </w:r>
      <w:bookmarkEnd w:id="154"/>
      <w:bookmarkEnd w:id="155"/>
      <w:bookmarkEnd w:id="156"/>
      <w:bookmarkEnd w:id="157"/>
      <w:bookmarkEnd w:id="158"/>
      <w:bookmarkEnd w:id="159"/>
      <w:bookmarkEnd w:id="160"/>
      <w:bookmarkEnd w:id="161"/>
      <w:bookmarkEnd w:id="162"/>
      <w:bookmarkEnd w:id="163"/>
    </w:p>
    <w:p w14:paraId="61F03A6D">
      <w:pPr>
        <w:spacing w:line="360" w:lineRule="auto"/>
        <w:ind w:firstLine="0" w:firstLineChars="0"/>
        <w:rPr>
          <w:rFonts w:asciiTheme="minorEastAsia" w:hAnsiTheme="minorEastAsia" w:eastAsiaTheme="minorEastAsia" w:cstheme="minorEastAsia"/>
          <w:b/>
          <w:bCs/>
          <w:sz w:val="24"/>
        </w:rPr>
      </w:pPr>
      <w:bookmarkStart w:id="164" w:name="_Toc426369509"/>
      <w:bookmarkStart w:id="165" w:name="_Toc279599799"/>
      <w:bookmarkStart w:id="166" w:name="_Toc403122520"/>
      <w:bookmarkStart w:id="167" w:name="_Toc274249603"/>
      <w:r>
        <w:rPr>
          <w:rFonts w:hint="eastAsia" w:asciiTheme="minorEastAsia" w:hAnsiTheme="minorEastAsia" w:eastAsiaTheme="minorEastAsia" w:cstheme="minorEastAsia"/>
          <w:b/>
          <w:bCs/>
          <w:sz w:val="24"/>
        </w:rPr>
        <w:t>5.</w:t>
      </w:r>
      <w:r>
        <w:rPr>
          <w:rFonts w:hint="eastAsia" w:asciiTheme="minorEastAsia" w:hAnsiTheme="minorEastAsia" w:eastAsiaTheme="minorEastAsia" w:cstheme="minorEastAsia"/>
          <w:b/>
          <w:bCs/>
          <w:sz w:val="24"/>
          <w:lang w:val="en-US" w:eastAsia="zh-CN"/>
        </w:rPr>
        <w:t>1</w:t>
      </w:r>
      <w:r>
        <w:rPr>
          <w:rFonts w:hint="eastAsia" w:asciiTheme="minorEastAsia" w:hAnsiTheme="minorEastAsia" w:eastAsiaTheme="minorEastAsia" w:cstheme="minorEastAsia"/>
          <w:b/>
          <w:bCs/>
          <w:sz w:val="24"/>
        </w:rPr>
        <w:t xml:space="preserve"> 开标时间和地点</w:t>
      </w:r>
      <w:bookmarkEnd w:id="164"/>
      <w:bookmarkEnd w:id="165"/>
      <w:bookmarkEnd w:id="166"/>
      <w:bookmarkEnd w:id="167"/>
    </w:p>
    <w:p w14:paraId="0C8F0647">
      <w:pPr>
        <w:keepNext w:val="0"/>
        <w:keepLines w:val="0"/>
        <w:pageBreakBefore w:val="0"/>
        <w:kinsoku/>
        <w:wordWrap/>
        <w:overflowPunct/>
        <w:topLinePunct w:val="0"/>
        <w:bidi w:val="0"/>
        <w:snapToGrid/>
        <w:spacing w:line="360" w:lineRule="auto"/>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见</w:t>
      </w:r>
      <w:r>
        <w:rPr>
          <w:rFonts w:hint="eastAsia" w:ascii="宋体" w:hAnsi="宋体" w:eastAsia="宋体" w:cs="宋体"/>
          <w:kern w:val="0"/>
          <w:sz w:val="21"/>
          <w:szCs w:val="21"/>
          <w:lang w:eastAsia="zh-CN"/>
        </w:rPr>
        <w:t>供应商</w:t>
      </w:r>
      <w:r>
        <w:rPr>
          <w:rFonts w:hint="eastAsia" w:ascii="宋体" w:hAnsi="宋体" w:eastAsia="宋体" w:cs="宋体"/>
          <w:kern w:val="0"/>
          <w:sz w:val="21"/>
          <w:szCs w:val="21"/>
        </w:rPr>
        <w:t>须知前附表。</w:t>
      </w:r>
    </w:p>
    <w:p w14:paraId="6A818E29">
      <w:pPr>
        <w:spacing w:line="360" w:lineRule="auto"/>
        <w:ind w:firstLine="0" w:firstLineChars="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5.2</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bCs/>
          <w:sz w:val="24"/>
          <w:szCs w:val="24"/>
        </w:rPr>
        <w:t xml:space="preserve">不足3家的，不得开标。  </w:t>
      </w:r>
    </w:p>
    <w:p w14:paraId="354E05D4">
      <w:pPr>
        <w:spacing w:line="360" w:lineRule="auto"/>
        <w:ind w:firstLine="0" w:firstLineChars="0"/>
        <w:rPr>
          <w:rFonts w:asciiTheme="minorEastAsia" w:hAnsiTheme="minorEastAsia" w:eastAsiaTheme="minorEastAsia" w:cstheme="minorEastAsia"/>
          <w:b/>
          <w:bCs/>
          <w:sz w:val="24"/>
        </w:rPr>
      </w:pPr>
      <w:bookmarkStart w:id="168" w:name="_Toc403122521"/>
      <w:bookmarkStart w:id="169" w:name="_Toc274249604"/>
      <w:bookmarkStart w:id="170" w:name="_Toc426369510"/>
      <w:bookmarkStart w:id="171" w:name="_Toc279599800"/>
      <w:r>
        <w:rPr>
          <w:rFonts w:hint="eastAsia" w:asciiTheme="minorEastAsia" w:hAnsiTheme="minorEastAsia" w:eastAsiaTheme="minorEastAsia" w:cstheme="minorEastAsia"/>
          <w:b/>
          <w:bCs/>
          <w:sz w:val="24"/>
        </w:rPr>
        <w:t>5.3开标程序</w:t>
      </w:r>
      <w:bookmarkEnd w:id="168"/>
      <w:bookmarkEnd w:id="169"/>
      <w:bookmarkEnd w:id="170"/>
      <w:bookmarkEnd w:id="171"/>
    </w:p>
    <w:p w14:paraId="7301A3C1">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bookmarkStart w:id="172" w:name="_Toc426369511"/>
      <w:r>
        <w:rPr>
          <w:rFonts w:hint="eastAsia" w:asciiTheme="minorEastAsia" w:hAnsiTheme="minorEastAsia" w:eastAsiaTheme="minorEastAsia" w:cstheme="minorEastAsia"/>
          <w:szCs w:val="21"/>
        </w:rPr>
        <w:t>5.3</w:t>
      </w:r>
      <w:r>
        <w:rPr>
          <w:rFonts w:hint="eastAsia" w:asciiTheme="minorEastAsia" w:hAnsiTheme="minorEastAsia" w:eastAsiaTheme="minorEastAsia" w:cstheme="minorEastAsia"/>
          <w:szCs w:val="21"/>
          <w:lang w:val="zh-CN"/>
        </w:rPr>
        <w:t>.1本</w:t>
      </w:r>
      <w:r>
        <w:rPr>
          <w:rFonts w:hint="eastAsia" w:asciiTheme="minorEastAsia" w:hAnsiTheme="minorEastAsia" w:eastAsiaTheme="minorEastAsia" w:cstheme="minorEastAsia"/>
          <w:szCs w:val="21"/>
        </w:rPr>
        <w:t>项目</w:t>
      </w:r>
      <w:r>
        <w:rPr>
          <w:rFonts w:hint="eastAsia" w:asciiTheme="minorEastAsia" w:hAnsiTheme="minorEastAsia" w:eastAsiaTheme="minorEastAsia" w:cstheme="minorEastAsia"/>
          <w:szCs w:val="21"/>
          <w:lang w:val="zh-CN"/>
        </w:rPr>
        <w:t>采用电子开标。投标截止时间到达后，各供应商对电子投标文件进行解密。解密完成后各供应商的电子投标文件的实质性内容将自动显示在网页中。供应商在投标截止时间前未上传电子投标文件的将被视为放弃投标。</w:t>
      </w:r>
    </w:p>
    <w:p w14:paraId="03325830">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主持人按下列程序进行开标：</w:t>
      </w:r>
    </w:p>
    <w:p w14:paraId="02B16D95">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（1）公布在投标截止时间前递交响应性文件的供应商名称；</w:t>
      </w:r>
    </w:p>
    <w:p w14:paraId="4F2EDE4B">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（2）供应商通过电子招标投标交易平台对已递交的电子响应性文件在规定时间内进行解密；</w:t>
      </w:r>
    </w:p>
    <w:p w14:paraId="1EB67866">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（3）批量导入文件；</w:t>
      </w:r>
    </w:p>
    <w:p w14:paraId="258D08F0">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（4）公布采购项目名称、供应商名称、合同履行期限等其他内容，并记录在案；</w:t>
      </w:r>
    </w:p>
    <w:p w14:paraId="1F4B2CFC">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（5）采购人代表、监督人等有关人员按具体现场系统情况在开标记录上签字确认；</w:t>
      </w:r>
    </w:p>
    <w:p w14:paraId="7D29F6DF">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（6）开标结束。</w:t>
      </w:r>
    </w:p>
    <w:p w14:paraId="425FB728">
      <w:pPr>
        <w:keepNext w:val="0"/>
        <w:keepLines w:val="0"/>
        <w:pageBreakBefore w:val="0"/>
        <w:kinsoku/>
        <w:wordWrap/>
        <w:overflowPunct/>
        <w:topLinePunct w:val="0"/>
        <w:bidi w:val="0"/>
        <w:snapToGrid/>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5.4 开标异议</w:t>
      </w:r>
      <w:bookmarkEnd w:id="172"/>
    </w:p>
    <w:p w14:paraId="48B6797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bookmarkStart w:id="173" w:name="_Toc21662"/>
      <w:bookmarkStart w:id="174" w:name="_Toc403122522"/>
      <w:bookmarkStart w:id="175" w:name="_Toc12881"/>
      <w:bookmarkStart w:id="176" w:name="_Toc426369512"/>
      <w:r>
        <w:rPr>
          <w:rFonts w:hint="eastAsia" w:asciiTheme="minorEastAsia" w:hAnsiTheme="minorEastAsia" w:eastAsiaTheme="minorEastAsia" w:cstheme="minorEastAsia"/>
          <w:szCs w:val="21"/>
        </w:rPr>
        <w:t>5.4.1</w:t>
      </w:r>
      <w:r>
        <w:rPr>
          <w:rFonts w:hint="eastAsia" w:asciiTheme="minorEastAsia" w:hAnsiTheme="minorEastAsia" w:eastAsiaTheme="minorEastAsia" w:cstheme="minorEastAsia"/>
          <w:szCs w:val="21"/>
          <w:lang w:val="zh-CN"/>
        </w:rPr>
        <w:t>供应商对开标有异议的，应当在开标现场提出（</w:t>
      </w:r>
      <w:bookmarkStart w:id="177" w:name="_Toc12998"/>
      <w:r>
        <w:rPr>
          <w:rFonts w:hint="eastAsia" w:asciiTheme="minorEastAsia" w:hAnsiTheme="minorEastAsia" w:eastAsiaTheme="minorEastAsia" w:cstheme="minorEastAsia"/>
          <w:szCs w:val="21"/>
          <w:lang w:val="zh-CN"/>
        </w:rPr>
        <w:t>语音异议</w:t>
      </w:r>
      <w:bookmarkEnd w:id="177"/>
      <w:r>
        <w:rPr>
          <w:rFonts w:hint="eastAsia" w:asciiTheme="minorEastAsia" w:hAnsiTheme="minorEastAsia" w:eastAsiaTheme="minorEastAsia" w:cstheme="minorEastAsia"/>
          <w:szCs w:val="21"/>
          <w:lang w:val="zh-CN"/>
        </w:rPr>
        <w:t>、</w:t>
      </w:r>
      <w:bookmarkStart w:id="178" w:name="_Toc20745"/>
      <w:r>
        <w:rPr>
          <w:rFonts w:hint="eastAsia" w:asciiTheme="minorEastAsia" w:hAnsiTheme="minorEastAsia" w:eastAsiaTheme="minorEastAsia" w:cstheme="minorEastAsia"/>
          <w:szCs w:val="21"/>
          <w:lang w:val="zh-CN"/>
        </w:rPr>
        <w:t>文字异议</w:t>
      </w:r>
      <w:bookmarkEnd w:id="178"/>
      <w:r>
        <w:rPr>
          <w:rFonts w:hint="eastAsia" w:asciiTheme="minorEastAsia" w:hAnsiTheme="minorEastAsia" w:eastAsiaTheme="minorEastAsia" w:cstheme="minorEastAsia"/>
          <w:szCs w:val="21"/>
          <w:lang w:val="zh-CN"/>
        </w:rPr>
        <w:t>），</w:t>
      </w:r>
      <w:r>
        <w:rPr>
          <w:rFonts w:hint="eastAsia" w:asciiTheme="minorEastAsia" w:hAnsiTheme="minorEastAsia" w:eastAsiaTheme="minorEastAsia" w:cstheme="minorEastAsia"/>
          <w:szCs w:val="21"/>
        </w:rPr>
        <w:t>采购</w:t>
      </w:r>
      <w:r>
        <w:rPr>
          <w:rFonts w:hint="eastAsia" w:asciiTheme="minorEastAsia" w:hAnsiTheme="minorEastAsia" w:eastAsiaTheme="minorEastAsia" w:cstheme="minorEastAsia"/>
          <w:szCs w:val="21"/>
          <w:lang w:val="zh-CN"/>
        </w:rPr>
        <w:t>人当场作出答复，并制作记录。</w:t>
      </w:r>
    </w:p>
    <w:p w14:paraId="029BCBDA">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rPr>
        <w:t>5.4.2</w:t>
      </w:r>
      <w:r>
        <w:rPr>
          <w:rFonts w:hint="eastAsia" w:asciiTheme="minorEastAsia" w:hAnsiTheme="minorEastAsia" w:eastAsiaTheme="minorEastAsia" w:cstheme="minorEastAsia"/>
          <w:szCs w:val="21"/>
          <w:lang w:val="zh-CN"/>
        </w:rPr>
        <w:t>开标异常处理</w:t>
      </w:r>
    </w:p>
    <w:p w14:paraId="31A9243E">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当出现以下情况时，应对未开标的项目中止电子开标，对原有资料及信息作出妥善保密处理，并在恢复正常后及时安排时间开标：</w:t>
      </w:r>
    </w:p>
    <w:p w14:paraId="53187985">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(l）系统服务器发生故障，无法访问或无法使用系统；</w:t>
      </w:r>
    </w:p>
    <w:p w14:paraId="7F782D5B">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rPr>
        <w:t>(2）</w:t>
      </w:r>
      <w:r>
        <w:rPr>
          <w:rFonts w:hint="eastAsia" w:asciiTheme="minorEastAsia" w:hAnsiTheme="minorEastAsia" w:eastAsiaTheme="minorEastAsia" w:cstheme="minorEastAsia"/>
          <w:szCs w:val="21"/>
          <w:lang w:val="zh-CN"/>
        </w:rPr>
        <w:t>系统的软件或数据库出现错误，不能进行正常操作；</w:t>
      </w:r>
    </w:p>
    <w:p w14:paraId="56D7E2E9">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w:t>
      </w:r>
      <w:r>
        <w:rPr>
          <w:rFonts w:hint="eastAsia" w:asciiTheme="minorEastAsia" w:hAnsiTheme="minorEastAsia" w:eastAsiaTheme="minorEastAsia" w:cstheme="minorEastAsia"/>
          <w:szCs w:val="21"/>
        </w:rPr>
        <w:t>3</w:t>
      </w:r>
      <w:r>
        <w:rPr>
          <w:rFonts w:hint="eastAsia" w:asciiTheme="minorEastAsia" w:hAnsiTheme="minorEastAsia" w:eastAsiaTheme="minorEastAsia" w:cstheme="minorEastAsia"/>
          <w:szCs w:val="21"/>
          <w:lang w:val="zh-CN"/>
        </w:rPr>
        <w:t>）系统发现有安全漏洞，有潜在的泄密危险；</w:t>
      </w:r>
    </w:p>
    <w:p w14:paraId="72E99ADE">
      <w:pPr>
        <w:keepNext w:val="0"/>
        <w:keepLines w:val="0"/>
        <w:pageBreakBefore w:val="0"/>
        <w:kinsoku/>
        <w:wordWrap/>
        <w:overflowPunct/>
        <w:topLinePunct w:val="0"/>
        <w:bidi w:val="0"/>
        <w:snapToGrid/>
        <w:spacing w:line="360" w:lineRule="auto"/>
        <w:ind w:left="105" w:leftChars="50" w:firstLine="210" w:firstLineChars="1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w:t>
      </w:r>
      <w:r>
        <w:rPr>
          <w:rFonts w:hint="eastAsia" w:asciiTheme="minorEastAsia" w:hAnsiTheme="minorEastAsia" w:eastAsiaTheme="minorEastAsia" w:cstheme="minorEastAsia"/>
          <w:szCs w:val="21"/>
        </w:rPr>
        <w:t>4</w:t>
      </w:r>
      <w:r>
        <w:rPr>
          <w:rFonts w:hint="eastAsia" w:asciiTheme="minorEastAsia" w:hAnsiTheme="minorEastAsia" w:eastAsiaTheme="minorEastAsia" w:cstheme="minorEastAsia"/>
          <w:szCs w:val="21"/>
          <w:lang w:val="zh-CN"/>
        </w:rPr>
        <w:t>）出现断电事故且短时间内无法恢复供电；</w:t>
      </w:r>
    </w:p>
    <w:p w14:paraId="13A0C492">
      <w:pPr>
        <w:keepNext w:val="0"/>
        <w:keepLines w:val="0"/>
        <w:pageBreakBefore w:val="0"/>
        <w:kinsoku/>
        <w:wordWrap/>
        <w:overflowPunct/>
        <w:topLinePunct w:val="0"/>
        <w:bidi w:val="0"/>
        <w:snapToGrid/>
        <w:spacing w:line="360" w:lineRule="auto"/>
        <w:ind w:left="105" w:leftChars="50" w:firstLine="210" w:firstLineChars="1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rPr>
        <w:t>（5）</w:t>
      </w:r>
      <w:r>
        <w:rPr>
          <w:rFonts w:hint="eastAsia" w:asciiTheme="minorEastAsia" w:hAnsiTheme="minorEastAsia" w:eastAsiaTheme="minorEastAsia" w:cstheme="minorEastAsia"/>
          <w:szCs w:val="21"/>
          <w:lang w:val="zh-CN"/>
        </w:rPr>
        <w:t>其他无法保证招投标过程正常进行的情形。</w:t>
      </w:r>
    </w:p>
    <w:p w14:paraId="6951FF8E">
      <w:pPr>
        <w:spacing w:line="360" w:lineRule="auto"/>
        <w:ind w:firstLine="0" w:firstLineChars="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5.</w:t>
      </w:r>
      <w:bookmarkStart w:id="179" w:name="_Toc9927"/>
      <w:bookmarkStart w:id="180" w:name="_Toc13445"/>
      <w:r>
        <w:rPr>
          <w:rFonts w:hint="eastAsia" w:asciiTheme="minorEastAsia" w:hAnsiTheme="minorEastAsia" w:eastAsiaTheme="minorEastAsia" w:cstheme="minorEastAsia"/>
          <w:b/>
          <w:bCs/>
          <w:szCs w:val="21"/>
        </w:rPr>
        <w:t>5 资格审查工作</w:t>
      </w:r>
      <w:bookmarkEnd w:id="179"/>
      <w:bookmarkEnd w:id="180"/>
    </w:p>
    <w:p w14:paraId="1E371A2B">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bookmarkStart w:id="181" w:name="_Toc18803"/>
      <w:bookmarkStart w:id="182" w:name="_Toc18806"/>
      <w:bookmarkStart w:id="183" w:name="_Toc25448"/>
      <w:bookmarkStart w:id="184" w:name="_Toc22488"/>
      <w:bookmarkStart w:id="185" w:name="_Toc18888"/>
      <w:bookmarkStart w:id="186" w:name="_Toc25275"/>
      <w:bookmarkStart w:id="187" w:name="_Toc15919"/>
      <w:r>
        <w:rPr>
          <w:rFonts w:hint="eastAsia" w:asciiTheme="minorEastAsia" w:hAnsiTheme="minorEastAsia" w:eastAsiaTheme="minorEastAsia" w:cstheme="minorEastAsia"/>
          <w:szCs w:val="21"/>
          <w:lang w:val="zh-CN"/>
        </w:rPr>
        <w:t>采购人或代理机构根据有关法律法规和招标文件的规定，对供应商的资格进行审查，审查每个供应商提交的资格证明材料是否齐全、完整、合法、有效。资格性审查通过不足3家的，将不再进行下一步评审。</w:t>
      </w:r>
      <w:bookmarkEnd w:id="181"/>
      <w:bookmarkEnd w:id="182"/>
      <w:bookmarkEnd w:id="183"/>
      <w:bookmarkEnd w:id="184"/>
      <w:bookmarkEnd w:id="185"/>
      <w:bookmarkEnd w:id="186"/>
      <w:bookmarkEnd w:id="187"/>
    </w:p>
    <w:p w14:paraId="41EF86FA">
      <w:pPr>
        <w:pStyle w:val="29"/>
        <w:spacing w:before="120" w:after="120" w:line="360" w:lineRule="auto"/>
        <w:ind w:right="-1029" w:rightChars="-490" w:firstLine="0" w:firstLineChars="0"/>
        <w:jc w:val="both"/>
        <w:rPr>
          <w:rFonts w:hint="eastAsia" w:asciiTheme="minorEastAsia" w:hAnsiTheme="minorEastAsia" w:eastAsiaTheme="minorEastAsia" w:cstheme="minorEastAsia"/>
          <w:sz w:val="30"/>
          <w:szCs w:val="30"/>
        </w:rPr>
      </w:pPr>
      <w:bookmarkStart w:id="188" w:name="_Toc14777"/>
      <w:bookmarkStart w:id="189" w:name="_Toc161588335"/>
      <w:bookmarkStart w:id="190" w:name="_Toc6889"/>
      <w:bookmarkStart w:id="191" w:name="_Toc161584013"/>
      <w:bookmarkStart w:id="192" w:name="_Toc21948"/>
      <w:bookmarkStart w:id="193" w:name="_Toc32766"/>
      <w:r>
        <w:rPr>
          <w:rFonts w:hint="eastAsia" w:asciiTheme="minorEastAsia" w:hAnsiTheme="minorEastAsia" w:eastAsiaTheme="minorEastAsia" w:cstheme="minorEastAsia"/>
          <w:sz w:val="30"/>
          <w:szCs w:val="30"/>
        </w:rPr>
        <w:t>6. 评标</w:t>
      </w:r>
      <w:bookmarkEnd w:id="173"/>
      <w:bookmarkEnd w:id="174"/>
      <w:bookmarkEnd w:id="175"/>
      <w:bookmarkEnd w:id="176"/>
      <w:bookmarkEnd w:id="188"/>
      <w:bookmarkEnd w:id="189"/>
      <w:bookmarkEnd w:id="190"/>
      <w:bookmarkEnd w:id="191"/>
      <w:bookmarkEnd w:id="192"/>
      <w:bookmarkEnd w:id="193"/>
    </w:p>
    <w:p w14:paraId="7E73CE07">
      <w:pPr>
        <w:spacing w:line="360" w:lineRule="auto"/>
        <w:ind w:firstLine="0" w:firstLineChars="0"/>
        <w:rPr>
          <w:rFonts w:asciiTheme="minorEastAsia" w:hAnsiTheme="minorEastAsia" w:eastAsiaTheme="minorEastAsia" w:cstheme="minorEastAsia"/>
          <w:b/>
          <w:bCs/>
          <w:sz w:val="24"/>
        </w:rPr>
      </w:pPr>
      <w:bookmarkStart w:id="194" w:name="_Toc426369513"/>
      <w:bookmarkStart w:id="195" w:name="_Toc274249606"/>
      <w:bookmarkStart w:id="196" w:name="_Toc279599802"/>
      <w:bookmarkStart w:id="197" w:name="_Toc403122523"/>
      <w:r>
        <w:rPr>
          <w:rFonts w:hint="eastAsia" w:asciiTheme="minorEastAsia" w:hAnsiTheme="minorEastAsia" w:eastAsiaTheme="minorEastAsia" w:cstheme="minorEastAsia"/>
          <w:b/>
          <w:bCs/>
          <w:sz w:val="24"/>
        </w:rPr>
        <w:t>6.1 评标委员会</w:t>
      </w:r>
      <w:bookmarkEnd w:id="194"/>
      <w:bookmarkEnd w:id="195"/>
      <w:bookmarkEnd w:id="196"/>
      <w:bookmarkEnd w:id="197"/>
    </w:p>
    <w:p w14:paraId="2FF22B0F">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6.1.1 评标由采购人依法组建的评标委员会负责。评标委员会由采购人代表和评</w:t>
      </w:r>
      <w:r>
        <w:rPr>
          <w:rFonts w:hint="eastAsia" w:asciiTheme="minorEastAsia" w:hAnsiTheme="minorEastAsia" w:eastAsiaTheme="minorEastAsia" w:cstheme="minorEastAsia"/>
          <w:szCs w:val="21"/>
          <w:lang w:val="en-US" w:eastAsia="zh-CN"/>
        </w:rPr>
        <w:t>标</w:t>
      </w:r>
      <w:r>
        <w:rPr>
          <w:rFonts w:hint="eastAsia" w:asciiTheme="minorEastAsia" w:hAnsiTheme="minorEastAsia" w:eastAsiaTheme="minorEastAsia" w:cstheme="minorEastAsia"/>
          <w:szCs w:val="21"/>
        </w:rPr>
        <w:t>专家组成。评标委员会成员人数以及评审专家的确定方式见供应商须知前附表。</w:t>
      </w:r>
    </w:p>
    <w:p w14:paraId="289EF20F">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6.1.2 评标委员会成员有下列情形之一的，应当回避： </w:t>
      </w:r>
    </w:p>
    <w:p w14:paraId="39DFF70C">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（1）采购人或供应商的主要负责人的近亲属； </w:t>
      </w:r>
    </w:p>
    <w:p w14:paraId="507261B4">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（2）项目主管部门或者行政监督部门的人员； </w:t>
      </w:r>
    </w:p>
    <w:p w14:paraId="33CD5D7C">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（3）与供应商有经济利益关系，可能影响对投标公正评审的； </w:t>
      </w:r>
    </w:p>
    <w:p w14:paraId="58862B53">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（4）曾因在招标、评标以及其他与招标投标有关活动中从事违法行为而受过行政处罚或刑事处罚的。 </w:t>
      </w:r>
    </w:p>
    <w:p w14:paraId="3101C699">
      <w:pPr>
        <w:spacing w:line="360" w:lineRule="auto"/>
        <w:ind w:firstLine="0" w:firstLineChars="0"/>
        <w:rPr>
          <w:rFonts w:asciiTheme="minorEastAsia" w:hAnsiTheme="minorEastAsia" w:eastAsiaTheme="minorEastAsia" w:cstheme="minorEastAsia"/>
          <w:b/>
          <w:bCs/>
          <w:sz w:val="24"/>
        </w:rPr>
      </w:pPr>
      <w:bookmarkStart w:id="198" w:name="_Toc279599803"/>
      <w:bookmarkStart w:id="199" w:name="_Toc274249607"/>
      <w:bookmarkStart w:id="200" w:name="_Toc403122524"/>
      <w:bookmarkStart w:id="201" w:name="_Toc426369514"/>
      <w:r>
        <w:rPr>
          <w:rFonts w:hint="eastAsia" w:asciiTheme="minorEastAsia" w:hAnsiTheme="minorEastAsia" w:eastAsiaTheme="minorEastAsia" w:cstheme="minorEastAsia"/>
          <w:b/>
          <w:bCs/>
          <w:sz w:val="24"/>
        </w:rPr>
        <w:t>6.2 评标原则</w:t>
      </w:r>
      <w:bookmarkEnd w:id="198"/>
      <w:bookmarkEnd w:id="199"/>
      <w:bookmarkEnd w:id="200"/>
      <w:bookmarkEnd w:id="201"/>
    </w:p>
    <w:p w14:paraId="745CEF5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评标活动遵循公平、公正、科学和择优的原则。 </w:t>
      </w:r>
    </w:p>
    <w:p w14:paraId="3CED236E">
      <w:pPr>
        <w:spacing w:line="360" w:lineRule="auto"/>
        <w:ind w:firstLine="0" w:firstLineChars="0"/>
        <w:rPr>
          <w:rFonts w:asciiTheme="minorEastAsia" w:hAnsiTheme="minorEastAsia" w:eastAsiaTheme="minorEastAsia" w:cstheme="minorEastAsia"/>
          <w:szCs w:val="21"/>
        </w:rPr>
      </w:pPr>
      <w:bookmarkStart w:id="202" w:name="_Toc274249608"/>
      <w:bookmarkStart w:id="203" w:name="_Toc279599804"/>
      <w:bookmarkStart w:id="204" w:name="_Toc403122525"/>
      <w:bookmarkStart w:id="205" w:name="_Toc426369515"/>
      <w:r>
        <w:rPr>
          <w:rFonts w:hint="eastAsia" w:asciiTheme="minorEastAsia" w:hAnsiTheme="minorEastAsia" w:eastAsiaTheme="minorEastAsia" w:cstheme="minorEastAsia"/>
          <w:b/>
          <w:bCs/>
          <w:sz w:val="24"/>
        </w:rPr>
        <w:t>6.3 评标</w:t>
      </w:r>
      <w:bookmarkEnd w:id="202"/>
      <w:bookmarkEnd w:id="203"/>
      <w:bookmarkEnd w:id="204"/>
      <w:bookmarkEnd w:id="205"/>
    </w:p>
    <w:p w14:paraId="48164242">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6.3.1</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在评审过程中，评标委员会发现</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有下列情形之一的，视为</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相互串通投标，按照无效投标处理并依据法律、法规追究其相关责任。具体表现形式如下：</w:t>
      </w:r>
    </w:p>
    <w:p w14:paraId="341C4268">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（1）同</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的投标文件由同一单位或者个人编制；</w:t>
      </w:r>
    </w:p>
    <w:p w14:paraId="3B167C24">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（2）不同</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委托同一单位或者个人办理投标事宜；</w:t>
      </w:r>
    </w:p>
    <w:p w14:paraId="1582080A">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（3）不同</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的投标文件载明的项目管理成员或者联系人员为同一人；</w:t>
      </w:r>
    </w:p>
    <w:p w14:paraId="7B5602C1">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（4）不同</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的投标文件异常一致或者投标报价呈规律性差异；</w:t>
      </w:r>
    </w:p>
    <w:p w14:paraId="6644DBC2">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（5）不同</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的投标文件相互混装；</w:t>
      </w:r>
    </w:p>
    <w:p w14:paraId="36DFE988">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（6）有证据证明</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与采购人、采购代理机构或者其他</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串通的其他情形；</w:t>
      </w:r>
    </w:p>
    <w:p w14:paraId="5B288237">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6.3.2</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评标委员会应当按照招标文件中规定的评标方法和标准，对符合性审查合格的投标文件进行商务和技术评估，综合比较与评价。招标文件没有规定的评标方法、评审因素和标准，不作为评标依据。</w:t>
      </w:r>
    </w:p>
    <w:p w14:paraId="7F06A048">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6.3.3</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评标时，评标委员会各成员应当独立对每个</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的投标文件进行评价，并汇总每个</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的得分。</w:t>
      </w:r>
    </w:p>
    <w:p w14:paraId="6BD1F808">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评标完成后，评标委员会应当向采购人提交书面评标报告和中标候选人名单。评标委员会推荐中标候选人的人数见</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须知前附表。</w:t>
      </w:r>
    </w:p>
    <w:p w14:paraId="028DA2EF">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6.3.3 评标委员会负责具体评标事务，并独立履行下列职责：</w:t>
      </w:r>
    </w:p>
    <w:p w14:paraId="7E00DC35">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（1）审查、评价投标文件是否符合招标文件的实质性要求；</w:t>
      </w:r>
    </w:p>
    <w:p w14:paraId="2B46F43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（2）要求</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对投标文件有关事项作出澄清或者说明；</w:t>
      </w:r>
    </w:p>
    <w:p w14:paraId="085DEA1B">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（3）对投标文件进行比较和评价；</w:t>
      </w:r>
    </w:p>
    <w:p w14:paraId="3DCBB94A">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（4）确定中标候选人名单；</w:t>
      </w:r>
    </w:p>
    <w:p w14:paraId="311DE431">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（5）向采购人、采购代理机构或者有关部门报告评标中发现的违法行为。</w:t>
      </w:r>
    </w:p>
    <w:p w14:paraId="10FFC8AE">
      <w:pPr>
        <w:autoSpaceDE w:val="0"/>
        <w:autoSpaceDN w:val="0"/>
        <w:adjustRightInd w:val="0"/>
        <w:spacing w:line="360" w:lineRule="auto"/>
        <w:ind w:right="-20" w:firstLine="0" w:firstLineChars="0"/>
        <w:jc w:val="left"/>
        <w:rPr>
          <w:rFonts w:ascii="宋体" w:hAnsi="宋体" w:cs="宋体"/>
          <w:b/>
          <w:bCs/>
          <w:spacing w:val="1"/>
          <w:kern w:val="0"/>
          <w:szCs w:val="21"/>
        </w:rPr>
      </w:pPr>
      <w:r>
        <w:rPr>
          <w:rFonts w:hint="eastAsia" w:ascii="宋体" w:hAnsi="宋体" w:cs="宋体"/>
          <w:b/>
          <w:bCs/>
          <w:spacing w:val="1"/>
          <w:kern w:val="0"/>
          <w:sz w:val="24"/>
        </w:rPr>
        <w:t>6.4</w:t>
      </w:r>
      <w:r>
        <w:rPr>
          <w:rFonts w:hint="eastAsia" w:ascii="宋体" w:hAnsi="宋体" w:cs="宋体"/>
          <w:b/>
          <w:bCs/>
          <w:spacing w:val="1"/>
          <w:kern w:val="0"/>
          <w:szCs w:val="21"/>
        </w:rPr>
        <w:t xml:space="preserve"> </w:t>
      </w:r>
      <w:r>
        <w:rPr>
          <w:rFonts w:hint="eastAsia" w:ascii="宋体" w:hAnsi="宋体" w:cs="宋体"/>
          <w:b/>
          <w:bCs/>
          <w:spacing w:val="1"/>
          <w:kern w:val="0"/>
          <w:sz w:val="24"/>
        </w:rPr>
        <w:t>废标</w:t>
      </w:r>
    </w:p>
    <w:p w14:paraId="2BDA3555">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招标采购中，出现下列情形之一的，应予废标：</w:t>
      </w:r>
    </w:p>
    <w:p w14:paraId="31555A92">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（1）符合专业条件的</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或者对招标文件作实质响应的</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不足三家的；</w:t>
      </w:r>
    </w:p>
    <w:p w14:paraId="14AB8C0A">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（2）出现影响采购公正的违法、违规行为的；</w:t>
      </w:r>
    </w:p>
    <w:p w14:paraId="619F33A3">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的报价均超过了采购预算，采购人不能支付的；</w:t>
      </w:r>
    </w:p>
    <w:p w14:paraId="0759EF57">
      <w:pPr>
        <w:keepNext w:val="0"/>
        <w:keepLines w:val="0"/>
        <w:pageBreakBefore w:val="0"/>
        <w:kinsoku/>
        <w:wordWrap/>
        <w:overflowPunct/>
        <w:topLinePunct w:val="0"/>
        <w:bidi w:val="0"/>
        <w:snapToGrid/>
        <w:spacing w:line="360" w:lineRule="auto"/>
        <w:ind w:firstLine="420" w:firstLineChars="200"/>
      </w:pPr>
      <w:r>
        <w:rPr>
          <w:rFonts w:hint="eastAsia" w:asciiTheme="minorEastAsia" w:hAnsiTheme="minorEastAsia" w:eastAsiaTheme="minorEastAsia" w:cstheme="minorEastAsia"/>
          <w:szCs w:val="21"/>
        </w:rPr>
        <w:t>（4）因重大变故，采购任务取消的。废标后，采购人应当将废标理由通知所有</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w:t>
      </w:r>
    </w:p>
    <w:p w14:paraId="45A095A0">
      <w:pPr>
        <w:pStyle w:val="29"/>
        <w:spacing w:before="120" w:after="120" w:line="360" w:lineRule="auto"/>
        <w:ind w:right="-1029" w:rightChars="-490" w:firstLine="0" w:firstLineChars="0"/>
        <w:jc w:val="both"/>
        <w:rPr>
          <w:rFonts w:hint="eastAsia" w:asciiTheme="minorEastAsia" w:hAnsiTheme="minorEastAsia" w:eastAsiaTheme="minorEastAsia" w:cstheme="minorEastAsia"/>
          <w:sz w:val="30"/>
          <w:szCs w:val="30"/>
        </w:rPr>
      </w:pPr>
      <w:bookmarkStart w:id="206" w:name="_Toc161588336"/>
      <w:bookmarkStart w:id="207" w:name="_Toc426369516"/>
      <w:bookmarkStart w:id="208" w:name="_Toc403122526"/>
      <w:bookmarkStart w:id="209" w:name="_Toc31176"/>
      <w:bookmarkStart w:id="210" w:name="_Toc161584014"/>
      <w:bookmarkStart w:id="211" w:name="_Toc12305"/>
      <w:bookmarkStart w:id="212" w:name="_Toc25623"/>
      <w:bookmarkStart w:id="213" w:name="_Toc22968"/>
      <w:bookmarkStart w:id="214" w:name="_Toc17811"/>
      <w:bookmarkStart w:id="215" w:name="_Toc26569"/>
      <w:r>
        <w:rPr>
          <w:rFonts w:hint="eastAsia" w:asciiTheme="minorEastAsia" w:hAnsiTheme="minorEastAsia" w:eastAsiaTheme="minorEastAsia" w:cstheme="minorEastAsia"/>
          <w:sz w:val="30"/>
          <w:szCs w:val="30"/>
        </w:rPr>
        <w:t>7. 合同授予</w:t>
      </w:r>
      <w:bookmarkEnd w:id="206"/>
      <w:bookmarkEnd w:id="207"/>
      <w:bookmarkEnd w:id="208"/>
      <w:bookmarkEnd w:id="209"/>
      <w:bookmarkEnd w:id="210"/>
      <w:bookmarkEnd w:id="211"/>
      <w:bookmarkEnd w:id="212"/>
      <w:bookmarkEnd w:id="213"/>
      <w:bookmarkEnd w:id="214"/>
      <w:bookmarkEnd w:id="215"/>
    </w:p>
    <w:p w14:paraId="1AB247A5">
      <w:pPr>
        <w:spacing w:line="360" w:lineRule="auto"/>
        <w:ind w:firstLine="0" w:firstLineChars="0"/>
        <w:rPr>
          <w:rFonts w:asciiTheme="minorEastAsia" w:hAnsiTheme="minorEastAsia" w:eastAsiaTheme="minorEastAsia" w:cstheme="minorEastAsia"/>
          <w:b/>
          <w:bCs/>
          <w:sz w:val="24"/>
        </w:rPr>
      </w:pPr>
      <w:bookmarkStart w:id="216" w:name="_Toc426369517"/>
      <w:bookmarkStart w:id="217" w:name="_Toc403122527"/>
      <w:bookmarkStart w:id="218" w:name="_Toc274249610"/>
      <w:bookmarkStart w:id="219" w:name="_Toc279599806"/>
      <w:r>
        <w:rPr>
          <w:rFonts w:hint="eastAsia" w:asciiTheme="minorEastAsia" w:hAnsiTheme="minorEastAsia" w:eastAsiaTheme="minorEastAsia" w:cstheme="minorEastAsia"/>
          <w:b/>
          <w:bCs/>
          <w:sz w:val="24"/>
        </w:rPr>
        <w:t>7.1 定标方式</w:t>
      </w:r>
      <w:bookmarkEnd w:id="216"/>
      <w:bookmarkEnd w:id="217"/>
      <w:bookmarkEnd w:id="218"/>
      <w:bookmarkEnd w:id="219"/>
    </w:p>
    <w:p w14:paraId="7AD17A1C">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7.1.1</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采购人依据评标委员会推荐的中标候选人确定中标人，评标委员会推荐中标人候选人的人数见供应商须知前附表。</w:t>
      </w:r>
    </w:p>
    <w:p w14:paraId="1DBF2D55">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7.1.2 中标或者成交</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拒绝与采购人签订合同的，采购人可以按照评审报告推荐的中标或者成交候选人名单排序，确定下一候选人为中标或者成交</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，也可以重新开展政府采购活动。</w:t>
      </w:r>
    </w:p>
    <w:p w14:paraId="79D23384">
      <w:pPr>
        <w:spacing w:line="360" w:lineRule="auto"/>
        <w:ind w:firstLine="0" w:firstLineChars="0"/>
        <w:rPr>
          <w:rFonts w:asciiTheme="minorEastAsia" w:hAnsiTheme="minorEastAsia" w:eastAsiaTheme="minorEastAsia" w:cstheme="minorEastAsia"/>
          <w:b/>
          <w:bCs/>
          <w:sz w:val="24"/>
        </w:rPr>
      </w:pPr>
      <w:bookmarkStart w:id="220" w:name="_Toc403122528"/>
      <w:bookmarkStart w:id="221" w:name="_Toc279599807"/>
      <w:bookmarkStart w:id="222" w:name="_Toc274249611"/>
      <w:bookmarkStart w:id="223" w:name="_Toc426369518"/>
      <w:r>
        <w:rPr>
          <w:rFonts w:hint="eastAsia" w:asciiTheme="minorEastAsia" w:hAnsiTheme="minorEastAsia" w:eastAsiaTheme="minorEastAsia" w:cstheme="minorEastAsia"/>
          <w:b/>
          <w:bCs/>
          <w:sz w:val="24"/>
        </w:rPr>
        <w:t>7.2 中标通知</w:t>
      </w:r>
      <w:bookmarkEnd w:id="220"/>
      <w:bookmarkEnd w:id="221"/>
      <w:bookmarkEnd w:id="222"/>
      <w:bookmarkEnd w:id="223"/>
    </w:p>
    <w:p w14:paraId="29FDBAB3">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7.2.1 在本章第3.3款规定的投标有效期内，采购人以书面形式向中标人发出中标通知书，同时将中标结果通知未中标的</w:t>
      </w:r>
      <w:r>
        <w:rPr>
          <w:rFonts w:hint="eastAsia" w:asciiTheme="minorEastAsia" w:hAnsiTheme="minorEastAsia" w:eastAsiaTheme="minorEastAsia" w:cstheme="minorEastAsia"/>
          <w:szCs w:val="21"/>
          <w:lang w:eastAsia="zh-CN"/>
        </w:rPr>
        <w:t>供应商</w:t>
      </w:r>
      <w:r>
        <w:rPr>
          <w:rFonts w:hint="eastAsia" w:asciiTheme="minorEastAsia" w:hAnsiTheme="minorEastAsia" w:eastAsiaTheme="minorEastAsia" w:cstheme="minorEastAsia"/>
          <w:szCs w:val="21"/>
        </w:rPr>
        <w:t xml:space="preserve">。 </w:t>
      </w:r>
    </w:p>
    <w:p w14:paraId="04987495">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7.2.2中标人在领取中标通知书后应及时到相关部门办理中标后的备案手续。</w:t>
      </w:r>
    </w:p>
    <w:p w14:paraId="6F7384AA">
      <w:pPr>
        <w:spacing w:line="360" w:lineRule="auto"/>
        <w:ind w:firstLine="0" w:firstLineChars="0"/>
        <w:rPr>
          <w:rFonts w:asciiTheme="minorEastAsia" w:hAnsiTheme="minorEastAsia" w:eastAsiaTheme="minorEastAsia" w:cstheme="minorEastAsia"/>
          <w:b/>
          <w:bCs/>
          <w:sz w:val="24"/>
          <w:highlight w:val="none"/>
        </w:rPr>
      </w:pPr>
      <w:bookmarkStart w:id="224" w:name="_Toc311550376"/>
      <w:bookmarkStart w:id="225" w:name="_Toc279599808"/>
      <w:bookmarkStart w:id="226" w:name="_Toc274249612"/>
      <w:bookmarkStart w:id="227" w:name="_Toc403122529"/>
      <w:bookmarkStart w:id="228" w:name="_Toc426369519"/>
      <w:r>
        <w:rPr>
          <w:rFonts w:hint="eastAsia" w:asciiTheme="minorEastAsia" w:hAnsiTheme="minorEastAsia" w:eastAsiaTheme="minorEastAsia" w:cstheme="minorEastAsia"/>
          <w:b/>
          <w:bCs/>
          <w:sz w:val="24"/>
        </w:rPr>
        <w:t>7.</w:t>
      </w:r>
      <w:r>
        <w:rPr>
          <w:rFonts w:hint="eastAsia" w:asciiTheme="minorEastAsia" w:hAnsiTheme="minorEastAsia" w:eastAsiaTheme="minorEastAsia" w:cstheme="minorEastAsia"/>
          <w:b/>
          <w:bCs/>
          <w:sz w:val="24"/>
          <w:highlight w:val="none"/>
        </w:rPr>
        <w:t>3履约</w:t>
      </w:r>
      <w:bookmarkEnd w:id="224"/>
      <w:bookmarkEnd w:id="225"/>
      <w:bookmarkEnd w:id="226"/>
      <w:r>
        <w:rPr>
          <w:rFonts w:hint="eastAsia" w:asciiTheme="minorEastAsia" w:hAnsiTheme="minorEastAsia" w:eastAsiaTheme="minorEastAsia" w:cstheme="minorEastAsia"/>
          <w:b/>
          <w:bCs/>
          <w:sz w:val="24"/>
          <w:highlight w:val="none"/>
        </w:rPr>
        <w:t>保证金</w:t>
      </w:r>
      <w:bookmarkEnd w:id="227"/>
      <w:bookmarkEnd w:id="228"/>
    </w:p>
    <w:p w14:paraId="744E0DBB">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7.3.1</w:t>
      </w:r>
      <w:r>
        <w:rPr>
          <w:rFonts w:hint="eastAsia" w:asciiTheme="minorEastAsia" w:hAnsiTheme="minorEastAsia" w:eastAsiaTheme="minorEastAsia" w:cstheme="minorEastAsia"/>
          <w:szCs w:val="21"/>
          <w:highlight w:val="none"/>
          <w:lang w:val="en-US" w:eastAsia="zh-CN"/>
        </w:rPr>
        <w:t xml:space="preserve"> </w:t>
      </w:r>
      <w:r>
        <w:rPr>
          <w:rFonts w:hint="eastAsia" w:asciiTheme="minorEastAsia" w:hAnsiTheme="minorEastAsia" w:eastAsiaTheme="minorEastAsia" w:cstheme="minorEastAsia"/>
          <w:szCs w:val="21"/>
          <w:highlight w:val="none"/>
        </w:rPr>
        <w:t>履约保证金：无</w:t>
      </w:r>
    </w:p>
    <w:p w14:paraId="2EB00F9C">
      <w:pPr>
        <w:keepNext w:val="0"/>
        <w:keepLines w:val="0"/>
        <w:pageBreakBefore w:val="0"/>
        <w:kinsoku/>
        <w:wordWrap/>
        <w:overflowPunct/>
        <w:topLinePunct w:val="0"/>
        <w:bidi w:val="0"/>
        <w:snapToGrid/>
        <w:spacing w:line="360" w:lineRule="auto"/>
        <w:ind w:firstLine="420" w:firstLineChars="20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7.3.2</w:t>
      </w:r>
      <w:r>
        <w:rPr>
          <w:rFonts w:hint="eastAsia" w:asciiTheme="minorEastAsia" w:hAnsiTheme="minorEastAsia" w:eastAsiaTheme="minorEastAsia" w:cstheme="minorEastAsia"/>
          <w:szCs w:val="21"/>
          <w:highlight w:val="none"/>
          <w:lang w:val="en-US" w:eastAsia="zh-CN"/>
        </w:rPr>
        <w:t xml:space="preserve"> </w:t>
      </w:r>
      <w:r>
        <w:rPr>
          <w:rFonts w:hint="eastAsia" w:asciiTheme="minorEastAsia" w:hAnsiTheme="minorEastAsia" w:eastAsiaTheme="minorEastAsia" w:cstheme="minorEastAsia"/>
          <w:szCs w:val="21"/>
          <w:highlight w:val="none"/>
        </w:rPr>
        <w:t>投标保证金：无</w:t>
      </w:r>
    </w:p>
    <w:p w14:paraId="6722EEBB">
      <w:pPr>
        <w:spacing w:line="360" w:lineRule="auto"/>
        <w:ind w:firstLine="420" w:firstLineChars="20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7.3.3</w:t>
      </w:r>
      <w:r>
        <w:rPr>
          <w:rFonts w:hint="eastAsia" w:asciiTheme="minorEastAsia" w:hAnsiTheme="minorEastAsia" w:eastAsiaTheme="minorEastAsia" w:cstheme="minorEastAsia"/>
          <w:szCs w:val="21"/>
          <w:highlight w:val="none"/>
          <w:lang w:val="en-US" w:eastAsia="zh-CN"/>
        </w:rPr>
        <w:t xml:space="preserve"> </w:t>
      </w:r>
      <w:r>
        <w:rPr>
          <w:rFonts w:hint="eastAsia" w:asciiTheme="minorEastAsia" w:hAnsiTheme="minorEastAsia" w:eastAsiaTheme="minorEastAsia" w:cstheme="minorEastAsia"/>
          <w:szCs w:val="21"/>
          <w:highlight w:val="none"/>
        </w:rPr>
        <w:t>质量保证金</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无</w:t>
      </w:r>
    </w:p>
    <w:p w14:paraId="356408F9">
      <w:pPr>
        <w:spacing w:line="360" w:lineRule="auto"/>
        <w:ind w:firstLine="0" w:firstLineChars="0"/>
        <w:rPr>
          <w:rFonts w:asciiTheme="minorEastAsia" w:hAnsiTheme="minorEastAsia" w:eastAsiaTheme="minorEastAsia" w:cstheme="minorEastAsia"/>
          <w:b/>
          <w:bCs/>
          <w:sz w:val="24"/>
        </w:rPr>
      </w:pPr>
      <w:bookmarkStart w:id="229" w:name="_Toc426369520"/>
      <w:bookmarkStart w:id="230" w:name="_Toc279599809"/>
      <w:bookmarkStart w:id="231" w:name="_Toc403122530"/>
      <w:bookmarkStart w:id="232" w:name="_Toc274249613"/>
      <w:r>
        <w:rPr>
          <w:rFonts w:hint="eastAsia" w:asciiTheme="minorEastAsia" w:hAnsiTheme="minorEastAsia" w:eastAsiaTheme="minorEastAsia" w:cstheme="minorEastAsia"/>
          <w:b/>
          <w:bCs/>
          <w:sz w:val="24"/>
        </w:rPr>
        <w:t>7.4 签订合同</w:t>
      </w:r>
      <w:bookmarkEnd w:id="229"/>
      <w:bookmarkEnd w:id="230"/>
      <w:bookmarkEnd w:id="231"/>
      <w:bookmarkEnd w:id="232"/>
    </w:p>
    <w:p w14:paraId="01D98CAD">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7.4.1 中标人的投标报价为中标价，中标价即为合同价（当中标人的投标报价高于控制价的95%时，该中标人的中标价按控制价的95%执行）。采购人和中标人应当自中标通知书发出之日起15日内，根据招标文件和中标人的投标文件订立书面合同。非因不可抗力因素放弃中标的，或排名第一的中标候选人未按规定期限与采购人签订合同的，应赔偿采购人由此造成的损失，损失费的计算方法为该中标候选人的投标价与重新确定的中标人中标价的差额，并处以采购金额千分之五以上千分之十以下罚款，将其列入不良行为记录名单，在1至3年内禁止参加政府采购活动，并予以通报。</w:t>
      </w:r>
    </w:p>
    <w:p w14:paraId="1A449A60">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7.4.2 发出中标通知书后，采购人无正当理由拒签合同的，给中标人造成损失的，还应当赔偿损失。</w:t>
      </w:r>
    </w:p>
    <w:p w14:paraId="0589799A">
      <w:pPr>
        <w:pStyle w:val="29"/>
        <w:spacing w:before="120" w:after="120" w:line="360" w:lineRule="auto"/>
        <w:ind w:right="-1029" w:rightChars="-490" w:firstLine="0" w:firstLineChars="0"/>
        <w:jc w:val="both"/>
        <w:rPr>
          <w:rFonts w:hint="eastAsia" w:asciiTheme="minorEastAsia" w:hAnsiTheme="minorEastAsia" w:eastAsiaTheme="minorEastAsia" w:cstheme="minorEastAsia"/>
          <w:sz w:val="30"/>
          <w:szCs w:val="30"/>
        </w:rPr>
      </w:pPr>
      <w:bookmarkStart w:id="233" w:name="_Toc426369521"/>
      <w:bookmarkStart w:id="234" w:name="_Toc161588337"/>
      <w:bookmarkStart w:id="235" w:name="_Toc15213"/>
      <w:bookmarkStart w:id="236" w:name="_Toc10417"/>
      <w:bookmarkStart w:id="237" w:name="_Toc10541"/>
      <w:bookmarkStart w:id="238" w:name="_Toc161584015"/>
      <w:bookmarkStart w:id="239" w:name="_Toc11920"/>
      <w:bookmarkStart w:id="240" w:name="_Toc403122531"/>
      <w:bookmarkStart w:id="241" w:name="_Toc28475"/>
      <w:bookmarkStart w:id="242" w:name="_Toc30009"/>
      <w:r>
        <w:rPr>
          <w:rFonts w:hint="eastAsia" w:asciiTheme="minorEastAsia" w:hAnsiTheme="minorEastAsia" w:eastAsiaTheme="minorEastAsia" w:cstheme="minorEastAsia"/>
          <w:sz w:val="30"/>
          <w:szCs w:val="30"/>
        </w:rPr>
        <w:t>8. 重新招标</w:t>
      </w:r>
      <w:bookmarkEnd w:id="233"/>
      <w:bookmarkEnd w:id="234"/>
      <w:bookmarkEnd w:id="235"/>
      <w:bookmarkEnd w:id="236"/>
      <w:bookmarkEnd w:id="237"/>
      <w:bookmarkEnd w:id="238"/>
      <w:bookmarkEnd w:id="239"/>
      <w:bookmarkEnd w:id="240"/>
      <w:bookmarkEnd w:id="241"/>
      <w:bookmarkEnd w:id="242"/>
    </w:p>
    <w:p w14:paraId="648C9A8A">
      <w:pPr>
        <w:spacing w:line="360" w:lineRule="auto"/>
        <w:ind w:firstLine="0" w:firstLineChars="0"/>
        <w:rPr>
          <w:rFonts w:asciiTheme="minorEastAsia" w:hAnsiTheme="minorEastAsia" w:eastAsiaTheme="minorEastAsia" w:cstheme="minorEastAsia"/>
          <w:b/>
          <w:bCs/>
          <w:sz w:val="24"/>
        </w:rPr>
      </w:pPr>
      <w:bookmarkStart w:id="243" w:name="_Toc274249615"/>
      <w:bookmarkStart w:id="244" w:name="_Toc403122532"/>
      <w:bookmarkStart w:id="245" w:name="_Toc426369522"/>
      <w:bookmarkStart w:id="246" w:name="_Toc279599811"/>
      <w:r>
        <w:rPr>
          <w:rFonts w:hint="eastAsia" w:asciiTheme="minorEastAsia" w:hAnsiTheme="minorEastAsia" w:eastAsiaTheme="minorEastAsia" w:cstheme="minorEastAsia"/>
          <w:b/>
          <w:bCs/>
          <w:sz w:val="24"/>
        </w:rPr>
        <w:t>8.1 重新招标</w:t>
      </w:r>
      <w:bookmarkEnd w:id="243"/>
      <w:bookmarkEnd w:id="244"/>
      <w:bookmarkEnd w:id="245"/>
      <w:bookmarkEnd w:id="246"/>
    </w:p>
    <w:p w14:paraId="44391BB4">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有下列情形之一的，采购人将重新招标： </w:t>
      </w:r>
    </w:p>
    <w:p w14:paraId="7FF5ABDA">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（1）投标截止时间止，供应商少于3个的； </w:t>
      </w:r>
    </w:p>
    <w:p w14:paraId="1ABDC3CF">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（2）经评标委员会评审后否决所有投标的。 </w:t>
      </w:r>
    </w:p>
    <w:p w14:paraId="072283C1">
      <w:pPr>
        <w:pStyle w:val="29"/>
        <w:spacing w:before="120" w:after="120" w:line="360" w:lineRule="auto"/>
        <w:ind w:right="-1029" w:rightChars="-490" w:firstLine="0" w:firstLineChars="0"/>
        <w:jc w:val="both"/>
        <w:rPr>
          <w:rFonts w:hint="eastAsia" w:asciiTheme="minorEastAsia" w:hAnsiTheme="minorEastAsia" w:eastAsiaTheme="minorEastAsia" w:cstheme="minorEastAsia"/>
          <w:sz w:val="30"/>
          <w:szCs w:val="30"/>
        </w:rPr>
      </w:pPr>
      <w:bookmarkStart w:id="247" w:name="_Toc27131"/>
      <w:bookmarkStart w:id="248" w:name="_Toc426369523"/>
      <w:bookmarkStart w:id="249" w:name="_Toc27398"/>
      <w:bookmarkStart w:id="250" w:name="_Toc161584016"/>
      <w:bookmarkStart w:id="251" w:name="_Toc161588338"/>
      <w:bookmarkStart w:id="252" w:name="_Toc10372"/>
      <w:bookmarkStart w:id="253" w:name="_Toc19595"/>
      <w:bookmarkStart w:id="254" w:name="_Toc15822"/>
      <w:bookmarkStart w:id="255" w:name="_Toc3760"/>
      <w:bookmarkStart w:id="256" w:name="_Toc403122533"/>
      <w:r>
        <w:rPr>
          <w:rFonts w:hint="eastAsia" w:asciiTheme="minorEastAsia" w:hAnsiTheme="minorEastAsia" w:eastAsiaTheme="minorEastAsia" w:cstheme="minorEastAsia"/>
          <w:sz w:val="30"/>
          <w:szCs w:val="30"/>
        </w:rPr>
        <w:t>9. 纪律和监督</w:t>
      </w:r>
      <w:bookmarkEnd w:id="247"/>
      <w:bookmarkEnd w:id="248"/>
      <w:bookmarkEnd w:id="249"/>
      <w:bookmarkEnd w:id="250"/>
      <w:bookmarkEnd w:id="251"/>
      <w:bookmarkEnd w:id="252"/>
      <w:bookmarkEnd w:id="253"/>
      <w:bookmarkEnd w:id="254"/>
      <w:bookmarkEnd w:id="255"/>
      <w:bookmarkEnd w:id="256"/>
    </w:p>
    <w:p w14:paraId="5C2BEFB8">
      <w:pPr>
        <w:spacing w:line="360" w:lineRule="auto"/>
        <w:ind w:firstLine="0" w:firstLineChars="0"/>
        <w:rPr>
          <w:rFonts w:asciiTheme="minorEastAsia" w:hAnsiTheme="minorEastAsia" w:eastAsiaTheme="minorEastAsia" w:cstheme="minorEastAsia"/>
          <w:b/>
          <w:bCs/>
          <w:sz w:val="24"/>
        </w:rPr>
      </w:pPr>
      <w:bookmarkStart w:id="257" w:name="_Toc274249618"/>
      <w:bookmarkStart w:id="258" w:name="_Toc279599814"/>
      <w:bookmarkStart w:id="259" w:name="_Toc426369524"/>
      <w:bookmarkStart w:id="260" w:name="_Toc403122534"/>
      <w:r>
        <w:rPr>
          <w:rFonts w:hint="eastAsia" w:asciiTheme="minorEastAsia" w:hAnsiTheme="minorEastAsia" w:eastAsiaTheme="minorEastAsia" w:cstheme="minorEastAsia"/>
          <w:b/>
          <w:bCs/>
          <w:sz w:val="24"/>
        </w:rPr>
        <w:t>9.1 对采购人的纪律要求</w:t>
      </w:r>
      <w:bookmarkEnd w:id="257"/>
      <w:bookmarkEnd w:id="258"/>
      <w:bookmarkEnd w:id="259"/>
      <w:bookmarkEnd w:id="260"/>
    </w:p>
    <w:p w14:paraId="364B31C5">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采购人不得泄漏招标投标活动中应当保密的情况和资料，不得与供应商串通损害国家利益、社会公共利益或者他人合法权益。 </w:t>
      </w:r>
    </w:p>
    <w:p w14:paraId="315E7C1B">
      <w:pPr>
        <w:spacing w:line="360" w:lineRule="auto"/>
        <w:ind w:firstLine="0" w:firstLineChars="0"/>
        <w:rPr>
          <w:rFonts w:asciiTheme="minorEastAsia" w:hAnsiTheme="minorEastAsia" w:eastAsiaTheme="minorEastAsia" w:cstheme="minorEastAsia"/>
          <w:b/>
          <w:bCs/>
          <w:sz w:val="24"/>
        </w:rPr>
      </w:pPr>
      <w:bookmarkStart w:id="261" w:name="_Toc274249619"/>
      <w:bookmarkStart w:id="262" w:name="_Toc426369525"/>
      <w:bookmarkStart w:id="263" w:name="_Toc279599815"/>
      <w:bookmarkStart w:id="264" w:name="_Toc403122535"/>
      <w:r>
        <w:rPr>
          <w:rFonts w:hint="eastAsia" w:asciiTheme="minorEastAsia" w:hAnsiTheme="minorEastAsia" w:eastAsiaTheme="minorEastAsia" w:cstheme="minorEastAsia"/>
          <w:b/>
          <w:bCs/>
          <w:sz w:val="24"/>
        </w:rPr>
        <w:t>9.2 对</w:t>
      </w:r>
      <w:r>
        <w:rPr>
          <w:rFonts w:hint="eastAsia" w:asciiTheme="minorEastAsia" w:hAnsiTheme="minorEastAsia" w:eastAsiaTheme="minorEastAsia" w:cstheme="minorEastAsia"/>
          <w:b/>
          <w:bCs/>
          <w:sz w:val="24"/>
          <w:lang w:eastAsia="zh-CN"/>
        </w:rPr>
        <w:t>供应商</w:t>
      </w:r>
      <w:r>
        <w:rPr>
          <w:rFonts w:hint="eastAsia" w:asciiTheme="minorEastAsia" w:hAnsiTheme="minorEastAsia" w:eastAsiaTheme="minorEastAsia" w:cstheme="minorEastAsia"/>
          <w:b/>
          <w:bCs/>
          <w:sz w:val="24"/>
        </w:rPr>
        <w:t>的纪律要求</w:t>
      </w:r>
      <w:bookmarkEnd w:id="261"/>
      <w:bookmarkEnd w:id="262"/>
      <w:bookmarkEnd w:id="263"/>
      <w:bookmarkEnd w:id="264"/>
    </w:p>
    <w:p w14:paraId="41A68914">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供应商不得相互串通投标或者与采购人串通投标，不得向采购人或者评标委员会成员行贿谋取中标，不得以他人名义投标或者以其他方式弄虚作假骗取中标；供应商不得以任何方式干扰、影响评标工作。</w:t>
      </w:r>
    </w:p>
    <w:p w14:paraId="232971C3">
      <w:pPr>
        <w:spacing w:line="360" w:lineRule="auto"/>
        <w:ind w:firstLine="0" w:firstLineChars="0"/>
        <w:rPr>
          <w:rFonts w:asciiTheme="minorEastAsia" w:hAnsiTheme="minorEastAsia" w:eastAsiaTheme="minorEastAsia" w:cstheme="minorEastAsia"/>
          <w:b/>
          <w:bCs/>
          <w:sz w:val="24"/>
        </w:rPr>
      </w:pPr>
      <w:bookmarkStart w:id="265" w:name="_Toc426369526"/>
      <w:bookmarkStart w:id="266" w:name="_Toc279599816"/>
      <w:bookmarkStart w:id="267" w:name="_Toc403122536"/>
      <w:bookmarkStart w:id="268" w:name="_Toc274249620"/>
      <w:r>
        <w:rPr>
          <w:rFonts w:hint="eastAsia" w:asciiTheme="minorEastAsia" w:hAnsiTheme="minorEastAsia" w:eastAsiaTheme="minorEastAsia" w:cstheme="minorEastAsia"/>
          <w:b/>
          <w:bCs/>
          <w:sz w:val="24"/>
        </w:rPr>
        <w:t>9.3 对评标委员会成员的纪律要求</w:t>
      </w:r>
      <w:bookmarkEnd w:id="265"/>
      <w:bookmarkEnd w:id="266"/>
      <w:bookmarkEnd w:id="267"/>
      <w:bookmarkEnd w:id="268"/>
    </w:p>
    <w:p w14:paraId="4C337919">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 </w:t>
      </w:r>
    </w:p>
    <w:p w14:paraId="7BF19AB8">
      <w:pPr>
        <w:spacing w:line="360" w:lineRule="auto"/>
        <w:ind w:firstLine="0" w:firstLineChars="0"/>
        <w:rPr>
          <w:rFonts w:asciiTheme="minorEastAsia" w:hAnsiTheme="minorEastAsia" w:eastAsiaTheme="minorEastAsia" w:cstheme="minorEastAsia"/>
          <w:b/>
          <w:bCs/>
          <w:sz w:val="24"/>
        </w:rPr>
      </w:pPr>
      <w:bookmarkStart w:id="269" w:name="_Toc403122537"/>
      <w:bookmarkStart w:id="270" w:name="_Toc274249621"/>
      <w:bookmarkStart w:id="271" w:name="_Toc279599817"/>
      <w:bookmarkStart w:id="272" w:name="_Toc426369527"/>
      <w:r>
        <w:rPr>
          <w:rFonts w:hint="eastAsia" w:asciiTheme="minorEastAsia" w:hAnsiTheme="minorEastAsia" w:eastAsiaTheme="minorEastAsia" w:cstheme="minorEastAsia"/>
          <w:b/>
          <w:bCs/>
          <w:sz w:val="24"/>
        </w:rPr>
        <w:t>9.4 对与评标活动有关的工作人员的纪律要求</w:t>
      </w:r>
      <w:bookmarkEnd w:id="269"/>
      <w:bookmarkEnd w:id="270"/>
      <w:bookmarkEnd w:id="271"/>
      <w:bookmarkEnd w:id="272"/>
    </w:p>
    <w:p w14:paraId="071EF7DC">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 </w:t>
      </w:r>
    </w:p>
    <w:p w14:paraId="66F5038A">
      <w:pPr>
        <w:spacing w:line="360" w:lineRule="auto"/>
        <w:ind w:firstLine="0" w:firstLineChars="0"/>
        <w:rPr>
          <w:rFonts w:asciiTheme="minorEastAsia" w:hAnsiTheme="minorEastAsia" w:eastAsiaTheme="minorEastAsia" w:cstheme="minorEastAsia"/>
          <w:b/>
          <w:bCs/>
          <w:sz w:val="24"/>
        </w:rPr>
      </w:pPr>
      <w:bookmarkStart w:id="273" w:name="_Toc403122538"/>
      <w:bookmarkStart w:id="274" w:name="_Toc274249622"/>
      <w:bookmarkStart w:id="275" w:name="_Toc426369528"/>
      <w:bookmarkStart w:id="276" w:name="_Toc279599818"/>
      <w:r>
        <w:rPr>
          <w:rFonts w:hint="eastAsia" w:asciiTheme="minorEastAsia" w:hAnsiTheme="minorEastAsia" w:eastAsiaTheme="minorEastAsia" w:cstheme="minorEastAsia"/>
          <w:b/>
          <w:bCs/>
          <w:sz w:val="24"/>
        </w:rPr>
        <w:t>9.5 投诉</w:t>
      </w:r>
      <w:bookmarkEnd w:id="273"/>
      <w:bookmarkEnd w:id="274"/>
      <w:bookmarkEnd w:id="275"/>
      <w:bookmarkEnd w:id="276"/>
    </w:p>
    <w:p w14:paraId="263D746E">
      <w:pPr>
        <w:keepNext w:val="0"/>
        <w:keepLines w:val="0"/>
        <w:pageBreakBefore w:val="0"/>
        <w:kinsoku/>
        <w:wordWrap/>
        <w:overflowPunct/>
        <w:topLinePunct w:val="0"/>
        <w:bidi w:val="0"/>
        <w:snapToGrid/>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供应商和其他利害关系人认为本次招标活动违反法律、法规和规章规定的，有权向有关行政监督部门投诉。 </w:t>
      </w:r>
    </w:p>
    <w:p w14:paraId="18A90D86">
      <w:pPr>
        <w:pStyle w:val="29"/>
        <w:numPr>
          <w:ilvl w:val="0"/>
          <w:numId w:val="0"/>
        </w:numPr>
        <w:spacing w:before="120" w:after="120" w:line="360" w:lineRule="auto"/>
        <w:ind w:right="-1029" w:rightChars="-490" w:firstLine="0" w:firstLineChars="0"/>
        <w:jc w:val="both"/>
        <w:rPr>
          <w:rFonts w:hint="eastAsia" w:asciiTheme="minorEastAsia" w:hAnsiTheme="minorEastAsia" w:eastAsiaTheme="minorEastAsia" w:cstheme="minorEastAsia"/>
          <w:sz w:val="30"/>
          <w:szCs w:val="30"/>
        </w:rPr>
      </w:pPr>
      <w:bookmarkStart w:id="277" w:name="_Toc25109"/>
      <w:bookmarkStart w:id="278" w:name="_Toc13539"/>
      <w:bookmarkStart w:id="279" w:name="_Toc9150"/>
      <w:bookmarkStart w:id="280" w:name="_Toc161588339"/>
      <w:bookmarkStart w:id="281" w:name="_Toc161584017"/>
      <w:bookmarkStart w:id="282" w:name="_Toc13281"/>
      <w:bookmarkStart w:id="283" w:name="_Toc10880"/>
      <w:bookmarkStart w:id="284" w:name="_Toc426369529"/>
      <w:bookmarkStart w:id="285" w:name="_Toc25080"/>
      <w:bookmarkStart w:id="286" w:name="_Toc403122539"/>
      <w:r>
        <w:rPr>
          <w:rFonts w:hint="eastAsia" w:asciiTheme="minorEastAsia" w:hAnsiTheme="minorEastAsia" w:eastAsiaTheme="minorEastAsia" w:cstheme="minorEastAsia"/>
          <w:b/>
          <w:kern w:val="2"/>
          <w:sz w:val="30"/>
          <w:szCs w:val="30"/>
          <w:lang w:val="en-US" w:eastAsia="zh-CN" w:bidi="ar-SA"/>
        </w:rPr>
        <w:t>10.</w:t>
      </w:r>
      <w:r>
        <w:rPr>
          <w:rFonts w:hint="eastAsia" w:asciiTheme="minorEastAsia" w:hAnsiTheme="minorEastAsia" w:eastAsiaTheme="minorEastAsia" w:cstheme="minorEastAsia"/>
          <w:sz w:val="30"/>
          <w:szCs w:val="30"/>
        </w:rPr>
        <w:t>需要补充的其他内容</w:t>
      </w:r>
      <w:bookmarkEnd w:id="277"/>
      <w:bookmarkEnd w:id="278"/>
      <w:bookmarkEnd w:id="279"/>
      <w:bookmarkEnd w:id="280"/>
      <w:bookmarkEnd w:id="281"/>
      <w:bookmarkEnd w:id="282"/>
      <w:bookmarkEnd w:id="283"/>
      <w:bookmarkEnd w:id="284"/>
      <w:bookmarkEnd w:id="285"/>
      <w:bookmarkEnd w:id="286"/>
    </w:p>
    <w:p w14:paraId="0C8069A9">
      <w:pPr>
        <w:spacing w:before="120" w:after="120" w:line="360" w:lineRule="auto"/>
        <w:ind w:right="-1029" w:rightChars="-490" w:firstLine="420" w:firstLineChars="2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rPr>
        <w:t>见</w:t>
      </w:r>
      <w:r>
        <w:rPr>
          <w:rFonts w:hint="eastAsia" w:asciiTheme="minorEastAsia" w:hAnsiTheme="minorEastAsia" w:eastAsiaTheme="minorEastAsia" w:cstheme="minorEastAsia"/>
          <w:kern w:val="2"/>
          <w:sz w:val="21"/>
          <w:szCs w:val="21"/>
          <w:lang w:eastAsia="zh-CN"/>
        </w:rPr>
        <w:t>供应商</w:t>
      </w:r>
      <w:r>
        <w:rPr>
          <w:rFonts w:hint="eastAsia" w:asciiTheme="minorEastAsia" w:hAnsiTheme="minorEastAsia" w:eastAsiaTheme="minorEastAsia" w:cstheme="minorEastAsia"/>
          <w:kern w:val="2"/>
          <w:sz w:val="21"/>
          <w:szCs w:val="21"/>
        </w:rPr>
        <w:t>须知前附表。</w:t>
      </w:r>
    </w:p>
    <w:p w14:paraId="40853260">
      <w:pPr>
        <w:pStyle w:val="51"/>
        <w:keepNext w:val="0"/>
        <w:keepLines w:val="0"/>
        <w:pageBreakBefore w:val="0"/>
        <w:kinsoku/>
        <w:wordWrap/>
        <w:overflowPunct/>
        <w:topLinePunct w:val="0"/>
        <w:bidi w:val="0"/>
        <w:snapToGrid/>
        <w:spacing w:line="360" w:lineRule="auto"/>
        <w:ind w:firstLine="482" w:firstLineChars="200"/>
        <w:rPr>
          <w:rFonts w:asciiTheme="minorEastAsia" w:hAnsiTheme="minorEastAsia" w:eastAsiaTheme="minorEastAsia" w:cstheme="minorEastAsia"/>
          <w:b/>
          <w:bCs/>
          <w:kern w:val="2"/>
          <w:sz w:val="24"/>
        </w:rPr>
      </w:pPr>
    </w:p>
    <w:p w14:paraId="1AD88DE5">
      <w:pPr>
        <w:pStyle w:val="15"/>
        <w:keepNext w:val="0"/>
        <w:keepLines w:val="0"/>
        <w:pageBreakBefore w:val="0"/>
        <w:kinsoku/>
        <w:wordWrap/>
        <w:overflowPunct/>
        <w:topLinePunct w:val="0"/>
        <w:bidi w:val="0"/>
        <w:snapToGrid/>
        <w:spacing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br w:type="page"/>
      </w:r>
    </w:p>
    <w:p w14:paraId="1E28C093">
      <w:pPr>
        <w:pStyle w:val="4"/>
        <w:spacing w:line="360" w:lineRule="auto"/>
        <w:ind w:right="-63" w:rightChars="-30"/>
        <w:rPr>
          <w:rFonts w:hint="eastAsia" w:ascii="Book Antiqua" w:hAnsi="Book Antiqua" w:eastAsia="宋体" w:cs="Times New Roman"/>
          <w:sz w:val="36"/>
          <w:szCs w:val="36"/>
        </w:rPr>
      </w:pPr>
      <w:bookmarkStart w:id="287" w:name="_Toc426369530"/>
      <w:bookmarkStart w:id="288" w:name="_Toc28433"/>
      <w:bookmarkStart w:id="289" w:name="_Toc403122540"/>
      <w:bookmarkStart w:id="290" w:name="_Toc23393"/>
      <w:bookmarkStart w:id="291" w:name="_Toc161588340"/>
      <w:bookmarkStart w:id="292" w:name="_Toc13215"/>
      <w:bookmarkStart w:id="293" w:name="_Toc9653"/>
      <w:r>
        <w:rPr>
          <w:rFonts w:hint="eastAsia" w:ascii="Book Antiqua" w:hAnsi="Book Antiqua" w:eastAsia="宋体" w:cs="Times New Roman"/>
          <w:b/>
          <w:sz w:val="36"/>
          <w:szCs w:val="36"/>
          <w:lang w:val="en-US" w:eastAsia="zh-CN"/>
        </w:rPr>
        <w:t xml:space="preserve">第三章 </w:t>
      </w:r>
      <w:r>
        <w:rPr>
          <w:rFonts w:hint="eastAsia" w:ascii="Book Antiqua" w:hAnsi="Book Antiqua" w:eastAsia="宋体" w:cs="Times New Roman"/>
          <w:sz w:val="36"/>
          <w:szCs w:val="36"/>
        </w:rPr>
        <w:t>评标办法</w:t>
      </w:r>
      <w:bookmarkEnd w:id="287"/>
      <w:bookmarkEnd w:id="288"/>
      <w:bookmarkEnd w:id="289"/>
      <w:r>
        <w:rPr>
          <w:rFonts w:hint="eastAsia" w:ascii="Book Antiqua" w:hAnsi="Book Antiqua" w:eastAsia="宋体" w:cs="Times New Roman"/>
          <w:sz w:val="36"/>
          <w:szCs w:val="36"/>
        </w:rPr>
        <w:t>（综合评分法）</w:t>
      </w:r>
      <w:bookmarkEnd w:id="290"/>
      <w:bookmarkEnd w:id="291"/>
      <w:bookmarkEnd w:id="292"/>
      <w:bookmarkEnd w:id="293"/>
    </w:p>
    <w:p w14:paraId="0FB5BCB4">
      <w:pPr>
        <w:pStyle w:val="29"/>
        <w:numPr>
          <w:ilvl w:val="0"/>
          <w:numId w:val="0"/>
        </w:numPr>
        <w:spacing w:before="120" w:after="120" w:line="360" w:lineRule="auto"/>
        <w:ind w:right="-1029" w:rightChars="-490"/>
        <w:jc w:val="center"/>
        <w:outlineLvl w:val="2"/>
        <w:rPr>
          <w:rFonts w:hint="eastAsia" w:asciiTheme="minorEastAsia" w:hAnsiTheme="minorEastAsia" w:eastAsiaTheme="minorEastAsia" w:cstheme="minorEastAsia"/>
          <w:sz w:val="30"/>
          <w:szCs w:val="30"/>
        </w:rPr>
      </w:pPr>
      <w:bookmarkStart w:id="294" w:name="_Toc30933"/>
      <w:bookmarkStart w:id="295" w:name="_Toc26637"/>
      <w:bookmarkStart w:id="296" w:name="_Toc16529"/>
      <w:bookmarkStart w:id="297" w:name="_Toc9744"/>
      <w:bookmarkStart w:id="298" w:name="_Toc17859"/>
      <w:bookmarkStart w:id="299" w:name="_Toc161588341"/>
      <w:bookmarkStart w:id="300" w:name="_Toc21885"/>
      <w:bookmarkStart w:id="301" w:name="_Toc21564"/>
      <w:bookmarkStart w:id="302" w:name="_Toc9561"/>
      <w:bookmarkStart w:id="303" w:name="_Toc29947"/>
      <w:bookmarkStart w:id="304" w:name="_Toc161584019"/>
      <w:bookmarkStart w:id="305" w:name="_Toc2761070"/>
      <w:r>
        <w:rPr>
          <w:rFonts w:hint="eastAsia" w:asciiTheme="minorEastAsia" w:hAnsiTheme="minorEastAsia" w:eastAsiaTheme="minorEastAsia" w:cstheme="minorEastAsia"/>
          <w:b/>
          <w:bCs w:val="0"/>
          <w:sz w:val="30"/>
          <w:szCs w:val="30"/>
        </w:rPr>
        <w:t>评分办法前附表</w:t>
      </w:r>
      <w:bookmarkEnd w:id="294"/>
      <w:bookmarkEnd w:id="295"/>
      <w:bookmarkEnd w:id="296"/>
      <w:bookmarkEnd w:id="297"/>
      <w:bookmarkEnd w:id="298"/>
      <w:bookmarkEnd w:id="299"/>
      <w:bookmarkEnd w:id="300"/>
      <w:bookmarkEnd w:id="301"/>
      <w:bookmarkEnd w:id="302"/>
      <w:bookmarkEnd w:id="303"/>
      <w:bookmarkEnd w:id="304"/>
      <w:bookmarkStart w:id="306" w:name="_Toc403122541"/>
      <w:bookmarkStart w:id="307" w:name="_Toc426369531"/>
      <w:bookmarkStart w:id="308" w:name="_Toc31084"/>
    </w:p>
    <w:tbl>
      <w:tblPr>
        <w:tblStyle w:val="33"/>
        <w:tblW w:w="9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095"/>
        <w:gridCol w:w="2084"/>
        <w:gridCol w:w="5104"/>
      </w:tblGrid>
      <w:tr w14:paraId="76D19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tcBorders>
              <w:tl2br w:val="nil"/>
              <w:tr2bl w:val="nil"/>
            </w:tcBorders>
            <w:vAlign w:val="center"/>
          </w:tcPr>
          <w:p w14:paraId="53CA237A">
            <w:pPr>
              <w:spacing w:line="360" w:lineRule="auto"/>
              <w:ind w:firstLine="0"/>
              <w:jc w:val="center"/>
              <w:rPr>
                <w:rFonts w:ascii="宋体" w:hAnsi="宋体" w:cs="宋体"/>
                <w:b/>
                <w:szCs w:val="21"/>
              </w:rPr>
            </w:pPr>
            <w:r>
              <w:rPr>
                <w:rFonts w:hint="eastAsia" w:ascii="宋体" w:hAnsi="宋体" w:cs="宋体"/>
                <w:b/>
                <w:bCs/>
                <w:kern w:val="0"/>
                <w:szCs w:val="21"/>
              </w:rPr>
              <w:t>审查主体</w:t>
            </w:r>
          </w:p>
        </w:tc>
        <w:tc>
          <w:tcPr>
            <w:tcW w:w="3179" w:type="dxa"/>
            <w:gridSpan w:val="2"/>
            <w:tcBorders>
              <w:tl2br w:val="nil"/>
              <w:tr2bl w:val="nil"/>
            </w:tcBorders>
            <w:vAlign w:val="center"/>
          </w:tcPr>
          <w:p w14:paraId="036F8136">
            <w:pPr>
              <w:spacing w:line="360" w:lineRule="auto"/>
              <w:ind w:firstLine="0"/>
              <w:jc w:val="center"/>
              <w:rPr>
                <w:rFonts w:ascii="宋体" w:hAnsi="宋体" w:cs="宋体"/>
                <w:b/>
                <w:szCs w:val="21"/>
              </w:rPr>
            </w:pPr>
            <w:r>
              <w:rPr>
                <w:rFonts w:hint="eastAsia" w:ascii="宋体" w:hAnsi="宋体" w:cs="宋体"/>
                <w:b/>
                <w:szCs w:val="21"/>
              </w:rPr>
              <w:t>评审因素</w:t>
            </w:r>
          </w:p>
        </w:tc>
        <w:tc>
          <w:tcPr>
            <w:tcW w:w="5104" w:type="dxa"/>
            <w:tcBorders>
              <w:tl2br w:val="nil"/>
              <w:tr2bl w:val="nil"/>
            </w:tcBorders>
            <w:vAlign w:val="center"/>
          </w:tcPr>
          <w:p w14:paraId="60716201">
            <w:pPr>
              <w:tabs>
                <w:tab w:val="left" w:pos="417"/>
                <w:tab w:val="center" w:pos="2999"/>
              </w:tabs>
              <w:spacing w:line="360" w:lineRule="auto"/>
              <w:ind w:firstLine="0"/>
              <w:jc w:val="center"/>
              <w:rPr>
                <w:rFonts w:ascii="宋体" w:hAnsi="宋体" w:cs="宋体"/>
                <w:b/>
                <w:szCs w:val="21"/>
              </w:rPr>
            </w:pPr>
            <w:r>
              <w:rPr>
                <w:rFonts w:hint="eastAsia" w:ascii="宋体" w:hAnsi="宋体" w:cs="宋体"/>
                <w:b/>
                <w:szCs w:val="21"/>
              </w:rPr>
              <w:t>评审标准</w:t>
            </w:r>
          </w:p>
        </w:tc>
      </w:tr>
      <w:tr w14:paraId="78676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restart"/>
            <w:tcBorders>
              <w:tl2br w:val="nil"/>
              <w:tr2bl w:val="nil"/>
            </w:tcBorders>
            <w:vAlign w:val="center"/>
          </w:tcPr>
          <w:p w14:paraId="1DE89A2C">
            <w:pPr>
              <w:spacing w:line="360" w:lineRule="auto"/>
              <w:jc w:val="center"/>
              <w:rPr>
                <w:rFonts w:ascii="宋体" w:hAnsi="宋体" w:cs="宋体"/>
                <w:szCs w:val="21"/>
              </w:rPr>
            </w:pPr>
            <w:r>
              <w:rPr>
                <w:rFonts w:hint="eastAsia" w:ascii="宋体" w:hAnsi="宋体" w:cs="宋体"/>
                <w:szCs w:val="21"/>
              </w:rPr>
              <w:t>资格审查小组</w:t>
            </w:r>
          </w:p>
        </w:tc>
        <w:tc>
          <w:tcPr>
            <w:tcW w:w="1095" w:type="dxa"/>
            <w:vMerge w:val="restart"/>
            <w:tcBorders>
              <w:tl2br w:val="nil"/>
              <w:tr2bl w:val="nil"/>
            </w:tcBorders>
            <w:vAlign w:val="center"/>
          </w:tcPr>
          <w:p w14:paraId="1E3BB6F9">
            <w:pPr>
              <w:spacing w:line="360" w:lineRule="auto"/>
              <w:jc w:val="center"/>
              <w:rPr>
                <w:rFonts w:ascii="宋体" w:hAnsi="宋体" w:cs="宋体"/>
                <w:szCs w:val="21"/>
              </w:rPr>
            </w:pPr>
            <w:r>
              <w:rPr>
                <w:rFonts w:hint="eastAsia" w:ascii="宋体" w:hAnsi="宋体" w:cs="宋体"/>
                <w:szCs w:val="21"/>
              </w:rPr>
              <w:t>资格评审标准</w:t>
            </w:r>
          </w:p>
        </w:tc>
        <w:tc>
          <w:tcPr>
            <w:tcW w:w="2084" w:type="dxa"/>
            <w:tcBorders>
              <w:tl2br w:val="nil"/>
              <w:tr2bl w:val="nil"/>
            </w:tcBorders>
            <w:vAlign w:val="center"/>
          </w:tcPr>
          <w:p w14:paraId="64ADFC09">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营业执照</w:t>
            </w:r>
          </w:p>
        </w:tc>
        <w:tc>
          <w:tcPr>
            <w:tcW w:w="5104" w:type="dxa"/>
            <w:tcBorders>
              <w:tl2br w:val="nil"/>
              <w:tr2bl w:val="nil"/>
            </w:tcBorders>
            <w:vAlign w:val="center"/>
          </w:tcPr>
          <w:p w14:paraId="1A4CFABB">
            <w:pPr>
              <w:spacing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提供政府采购供应商资格信用承诺函</w:t>
            </w:r>
          </w:p>
        </w:tc>
      </w:tr>
      <w:tr w14:paraId="09FE8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vAlign w:val="center"/>
          </w:tcPr>
          <w:p w14:paraId="52996FF7">
            <w:pPr>
              <w:spacing w:line="360" w:lineRule="auto"/>
              <w:jc w:val="center"/>
              <w:rPr>
                <w:rFonts w:ascii="宋体" w:hAnsi="宋体" w:cs="宋体"/>
                <w:szCs w:val="21"/>
              </w:rPr>
            </w:pPr>
          </w:p>
        </w:tc>
        <w:tc>
          <w:tcPr>
            <w:tcW w:w="1095" w:type="dxa"/>
            <w:vMerge w:val="continue"/>
            <w:tcBorders>
              <w:tl2br w:val="nil"/>
              <w:tr2bl w:val="nil"/>
            </w:tcBorders>
            <w:vAlign w:val="center"/>
          </w:tcPr>
          <w:p w14:paraId="3CADDB08">
            <w:pPr>
              <w:spacing w:line="360" w:lineRule="auto"/>
              <w:jc w:val="center"/>
              <w:rPr>
                <w:rFonts w:ascii="宋体" w:hAnsi="宋体" w:cs="宋体"/>
                <w:szCs w:val="21"/>
              </w:rPr>
            </w:pPr>
          </w:p>
        </w:tc>
        <w:tc>
          <w:tcPr>
            <w:tcW w:w="2084" w:type="dxa"/>
            <w:tcBorders>
              <w:tl2br w:val="nil"/>
              <w:tr2bl w:val="nil"/>
            </w:tcBorders>
            <w:vAlign w:val="center"/>
          </w:tcPr>
          <w:p w14:paraId="0666966D">
            <w:pPr>
              <w:spacing w:line="360" w:lineRule="auto"/>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《中华人民共和国政府采购法》第二十二条规定</w:t>
            </w:r>
          </w:p>
        </w:tc>
        <w:tc>
          <w:tcPr>
            <w:tcW w:w="5104" w:type="dxa"/>
            <w:tcBorders>
              <w:tl2br w:val="nil"/>
              <w:tr2bl w:val="nil"/>
            </w:tcBorders>
            <w:vAlign w:val="center"/>
          </w:tcPr>
          <w:p w14:paraId="1098CF88">
            <w:pPr>
              <w:spacing w:line="360"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提供政府采购供应商资格信用承诺函</w:t>
            </w:r>
          </w:p>
        </w:tc>
      </w:tr>
      <w:tr w14:paraId="010A7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vAlign w:val="center"/>
          </w:tcPr>
          <w:p w14:paraId="0E0D3390">
            <w:pPr>
              <w:spacing w:line="360" w:lineRule="auto"/>
              <w:jc w:val="center"/>
              <w:rPr>
                <w:rFonts w:ascii="宋体" w:hAnsi="宋体" w:cs="宋体"/>
                <w:szCs w:val="21"/>
              </w:rPr>
            </w:pPr>
          </w:p>
        </w:tc>
        <w:tc>
          <w:tcPr>
            <w:tcW w:w="1095" w:type="dxa"/>
            <w:vMerge w:val="continue"/>
            <w:tcBorders>
              <w:tl2br w:val="nil"/>
              <w:tr2bl w:val="nil"/>
            </w:tcBorders>
            <w:vAlign w:val="center"/>
          </w:tcPr>
          <w:p w14:paraId="170035BE">
            <w:pPr>
              <w:spacing w:line="360" w:lineRule="auto"/>
              <w:jc w:val="center"/>
              <w:rPr>
                <w:rFonts w:ascii="宋体" w:hAnsi="宋体" w:cs="宋体"/>
                <w:szCs w:val="21"/>
              </w:rPr>
            </w:pPr>
          </w:p>
        </w:tc>
        <w:tc>
          <w:tcPr>
            <w:tcW w:w="2084" w:type="dxa"/>
            <w:tcBorders>
              <w:tl2br w:val="nil"/>
              <w:tr2bl w:val="nil"/>
            </w:tcBorders>
            <w:vAlign w:val="center"/>
          </w:tcPr>
          <w:p w14:paraId="099A85E0">
            <w:pPr>
              <w:spacing w:line="360" w:lineRule="auto"/>
              <w:jc w:val="center"/>
              <w:rPr>
                <w:rFonts w:ascii="宋体" w:hAnsi="宋体" w:cs="宋体"/>
                <w:szCs w:val="21"/>
              </w:rPr>
            </w:pPr>
            <w:r>
              <w:rPr>
                <w:rFonts w:hint="eastAsia" w:ascii="宋体" w:hAnsi="宋体" w:cs="宋体"/>
                <w:szCs w:val="21"/>
              </w:rPr>
              <w:t>法定代表人证明或法人授权委托书</w:t>
            </w:r>
          </w:p>
        </w:tc>
        <w:tc>
          <w:tcPr>
            <w:tcW w:w="5104" w:type="dxa"/>
            <w:tcBorders>
              <w:tl2br w:val="nil"/>
              <w:tr2bl w:val="nil"/>
            </w:tcBorders>
            <w:vAlign w:val="center"/>
          </w:tcPr>
          <w:p w14:paraId="52DB3053">
            <w:pPr>
              <w:spacing w:line="360" w:lineRule="auto"/>
              <w:jc w:val="left"/>
              <w:rPr>
                <w:rFonts w:ascii="宋体" w:hAnsi="宋体" w:cs="宋体"/>
                <w:szCs w:val="21"/>
              </w:rPr>
            </w:pPr>
            <w:r>
              <w:rPr>
                <w:rFonts w:hint="eastAsia" w:ascii="宋体" w:hAnsi="宋体" w:cs="宋体"/>
                <w:szCs w:val="21"/>
              </w:rPr>
              <w:t>提供法定代表人（负责人）证明或法人授权委托书</w:t>
            </w:r>
          </w:p>
        </w:tc>
      </w:tr>
      <w:tr w14:paraId="53EF2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vAlign w:val="center"/>
          </w:tcPr>
          <w:p w14:paraId="58078E8C">
            <w:pPr>
              <w:spacing w:line="360" w:lineRule="auto"/>
              <w:jc w:val="center"/>
              <w:rPr>
                <w:rFonts w:ascii="宋体" w:hAnsi="宋体" w:cs="宋体"/>
                <w:szCs w:val="21"/>
              </w:rPr>
            </w:pPr>
          </w:p>
        </w:tc>
        <w:tc>
          <w:tcPr>
            <w:tcW w:w="1095" w:type="dxa"/>
            <w:vMerge w:val="continue"/>
            <w:tcBorders>
              <w:tl2br w:val="nil"/>
              <w:tr2bl w:val="nil"/>
            </w:tcBorders>
            <w:vAlign w:val="center"/>
          </w:tcPr>
          <w:p w14:paraId="4662D421">
            <w:pPr>
              <w:spacing w:line="360" w:lineRule="auto"/>
              <w:jc w:val="center"/>
              <w:rPr>
                <w:rFonts w:ascii="宋体" w:hAnsi="宋体" w:cs="宋体"/>
                <w:szCs w:val="21"/>
              </w:rPr>
            </w:pPr>
          </w:p>
        </w:tc>
        <w:tc>
          <w:tcPr>
            <w:tcW w:w="2084" w:type="dxa"/>
            <w:tcBorders>
              <w:tl2br w:val="nil"/>
              <w:tr2bl w:val="nil"/>
            </w:tcBorders>
            <w:vAlign w:val="center"/>
          </w:tcPr>
          <w:p w14:paraId="2D115553">
            <w:pPr>
              <w:spacing w:line="360" w:lineRule="auto"/>
              <w:jc w:val="center"/>
              <w:rPr>
                <w:rFonts w:ascii="宋体" w:hAnsi="宋体" w:cs="宋体"/>
                <w:szCs w:val="21"/>
              </w:rPr>
            </w:pPr>
            <w:r>
              <w:rPr>
                <w:rFonts w:hint="eastAsia" w:ascii="宋体" w:hAnsi="宋体" w:cs="宋体"/>
                <w:szCs w:val="21"/>
              </w:rPr>
              <w:t>信誉要求</w:t>
            </w:r>
          </w:p>
        </w:tc>
        <w:tc>
          <w:tcPr>
            <w:tcW w:w="5104" w:type="dxa"/>
            <w:tcBorders>
              <w:tl2br w:val="nil"/>
              <w:tr2bl w:val="nil"/>
            </w:tcBorders>
            <w:vAlign w:val="center"/>
          </w:tcPr>
          <w:p w14:paraId="3DDD78AF">
            <w:pPr>
              <w:spacing w:line="360" w:lineRule="auto"/>
              <w:jc w:val="left"/>
              <w:rPr>
                <w:rFonts w:ascii="宋体" w:hAnsi="宋体" w:cs="宋体"/>
                <w:szCs w:val="21"/>
              </w:rPr>
            </w:pPr>
            <w:r>
              <w:rPr>
                <w:rFonts w:hint="eastAsia" w:ascii="宋体" w:hAnsi="宋体" w:cs="宋体"/>
                <w:szCs w:val="21"/>
              </w:rPr>
              <w:t>符合第二章“供应商须知”第1.4.1项规定</w:t>
            </w:r>
          </w:p>
        </w:tc>
      </w:tr>
      <w:tr w14:paraId="0D918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restart"/>
            <w:tcBorders>
              <w:tl2br w:val="nil"/>
              <w:tr2bl w:val="nil"/>
            </w:tcBorders>
            <w:vAlign w:val="center"/>
          </w:tcPr>
          <w:p w14:paraId="1326B146">
            <w:pPr>
              <w:spacing w:line="360" w:lineRule="auto"/>
              <w:jc w:val="center"/>
              <w:rPr>
                <w:rFonts w:ascii="宋体" w:hAnsi="宋体" w:cs="宋体"/>
                <w:szCs w:val="21"/>
              </w:rPr>
            </w:pPr>
            <w:r>
              <w:rPr>
                <w:rFonts w:hint="eastAsia" w:ascii="宋体" w:hAnsi="宋体" w:cs="宋体"/>
                <w:szCs w:val="21"/>
              </w:rPr>
              <w:t>评标委员会</w:t>
            </w:r>
          </w:p>
        </w:tc>
        <w:tc>
          <w:tcPr>
            <w:tcW w:w="1095" w:type="dxa"/>
            <w:vMerge w:val="restart"/>
            <w:tcBorders>
              <w:tl2br w:val="nil"/>
              <w:tr2bl w:val="nil"/>
            </w:tcBorders>
            <w:vAlign w:val="center"/>
          </w:tcPr>
          <w:p w14:paraId="34C67575">
            <w:pPr>
              <w:spacing w:line="360" w:lineRule="auto"/>
              <w:jc w:val="center"/>
              <w:rPr>
                <w:rFonts w:ascii="宋体" w:hAnsi="宋体" w:cs="宋体"/>
                <w:szCs w:val="21"/>
              </w:rPr>
            </w:pPr>
            <w:r>
              <w:rPr>
                <w:rFonts w:hint="eastAsia" w:ascii="宋体" w:hAnsi="宋体" w:cs="宋体"/>
              </w:rPr>
              <w:t>符合性审查标准</w:t>
            </w:r>
          </w:p>
        </w:tc>
        <w:tc>
          <w:tcPr>
            <w:tcW w:w="2084" w:type="dxa"/>
            <w:tcBorders>
              <w:tl2br w:val="nil"/>
              <w:tr2bl w:val="nil"/>
            </w:tcBorders>
            <w:vAlign w:val="center"/>
          </w:tcPr>
          <w:p w14:paraId="5BC15D6A">
            <w:pPr>
              <w:spacing w:line="360" w:lineRule="auto"/>
              <w:jc w:val="center"/>
              <w:rPr>
                <w:rFonts w:hint="eastAsia" w:ascii="宋体" w:hAnsi="宋体" w:cs="宋体"/>
                <w:szCs w:val="21"/>
                <w:highlight w:val="none"/>
              </w:rPr>
            </w:pPr>
            <w:r>
              <w:rPr>
                <w:rFonts w:hint="eastAsia" w:ascii="宋体" w:hAnsi="宋体" w:cs="宋体"/>
                <w:szCs w:val="21"/>
                <w:highlight w:val="none"/>
              </w:rPr>
              <w:t>供应商名称</w:t>
            </w:r>
          </w:p>
        </w:tc>
        <w:tc>
          <w:tcPr>
            <w:tcW w:w="5104" w:type="dxa"/>
            <w:tcBorders>
              <w:tl2br w:val="nil"/>
              <w:tr2bl w:val="nil"/>
            </w:tcBorders>
            <w:vAlign w:val="center"/>
          </w:tcPr>
          <w:p w14:paraId="613CA9DF">
            <w:pPr>
              <w:spacing w:line="360" w:lineRule="auto"/>
              <w:jc w:val="left"/>
              <w:rPr>
                <w:rFonts w:ascii="宋体" w:hAnsi="宋体" w:cs="宋体"/>
                <w:szCs w:val="21"/>
                <w:highlight w:val="none"/>
              </w:rPr>
            </w:pPr>
            <w:r>
              <w:rPr>
                <w:rFonts w:hint="eastAsia" w:ascii="宋体" w:hAnsi="宋体" w:cs="宋体"/>
                <w:szCs w:val="21"/>
                <w:highlight w:val="none"/>
              </w:rPr>
              <w:t>与营业执照等证件一致</w:t>
            </w:r>
          </w:p>
        </w:tc>
      </w:tr>
      <w:tr w14:paraId="68C79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vAlign w:val="center"/>
          </w:tcPr>
          <w:p w14:paraId="65F56BA1">
            <w:pPr>
              <w:spacing w:line="360" w:lineRule="auto"/>
              <w:jc w:val="center"/>
              <w:rPr>
                <w:rFonts w:ascii="宋体" w:hAnsi="宋体" w:cs="宋体"/>
                <w:szCs w:val="21"/>
              </w:rPr>
            </w:pPr>
          </w:p>
        </w:tc>
        <w:tc>
          <w:tcPr>
            <w:tcW w:w="1095" w:type="dxa"/>
            <w:vMerge w:val="continue"/>
            <w:tcBorders>
              <w:tl2br w:val="nil"/>
              <w:tr2bl w:val="nil"/>
            </w:tcBorders>
            <w:vAlign w:val="center"/>
          </w:tcPr>
          <w:p w14:paraId="4369AA48">
            <w:pPr>
              <w:spacing w:line="360" w:lineRule="auto"/>
              <w:jc w:val="center"/>
              <w:rPr>
                <w:rFonts w:ascii="宋体" w:hAnsi="宋体" w:cs="宋体"/>
                <w:szCs w:val="21"/>
              </w:rPr>
            </w:pPr>
          </w:p>
        </w:tc>
        <w:tc>
          <w:tcPr>
            <w:tcW w:w="2084" w:type="dxa"/>
            <w:tcBorders>
              <w:tl2br w:val="nil"/>
              <w:tr2bl w:val="nil"/>
            </w:tcBorders>
            <w:vAlign w:val="center"/>
          </w:tcPr>
          <w:p w14:paraId="0124B917">
            <w:pPr>
              <w:spacing w:line="360" w:lineRule="auto"/>
              <w:jc w:val="center"/>
              <w:rPr>
                <w:rFonts w:hint="eastAsia" w:ascii="宋体" w:hAnsi="宋体" w:cs="宋体"/>
                <w:szCs w:val="21"/>
                <w:highlight w:val="none"/>
              </w:rPr>
            </w:pPr>
            <w:r>
              <w:rPr>
                <w:rFonts w:hint="eastAsia" w:ascii="宋体" w:hAnsi="宋体" w:cs="宋体"/>
                <w:szCs w:val="21"/>
                <w:highlight w:val="none"/>
              </w:rPr>
              <w:t>投标函签字盖章</w:t>
            </w:r>
          </w:p>
        </w:tc>
        <w:tc>
          <w:tcPr>
            <w:tcW w:w="5104" w:type="dxa"/>
            <w:tcBorders>
              <w:tl2br w:val="nil"/>
              <w:tr2bl w:val="nil"/>
            </w:tcBorders>
            <w:vAlign w:val="center"/>
          </w:tcPr>
          <w:p w14:paraId="51B60512">
            <w:pPr>
              <w:spacing w:line="360" w:lineRule="auto"/>
              <w:jc w:val="left"/>
              <w:rPr>
                <w:rFonts w:ascii="宋体" w:hAnsi="宋体" w:cs="宋体"/>
                <w:szCs w:val="21"/>
                <w:highlight w:val="none"/>
              </w:rPr>
            </w:pPr>
            <w:r>
              <w:rPr>
                <w:rFonts w:hint="eastAsia" w:ascii="宋体" w:hAnsi="宋体" w:cs="宋体"/>
                <w:szCs w:val="21"/>
                <w:highlight w:val="none"/>
              </w:rPr>
              <w:t>加盖单位公章并有法定代表人或其委托代理人签字或盖章</w:t>
            </w:r>
          </w:p>
        </w:tc>
      </w:tr>
      <w:tr w14:paraId="05A26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vAlign w:val="center"/>
          </w:tcPr>
          <w:p w14:paraId="00EDA6A4">
            <w:pPr>
              <w:spacing w:line="360" w:lineRule="auto"/>
              <w:jc w:val="center"/>
              <w:rPr>
                <w:rFonts w:ascii="宋体" w:hAnsi="宋体" w:cs="宋体"/>
                <w:szCs w:val="21"/>
              </w:rPr>
            </w:pPr>
          </w:p>
        </w:tc>
        <w:tc>
          <w:tcPr>
            <w:tcW w:w="1095" w:type="dxa"/>
            <w:vMerge w:val="continue"/>
            <w:tcBorders>
              <w:tl2br w:val="nil"/>
              <w:tr2bl w:val="nil"/>
            </w:tcBorders>
            <w:vAlign w:val="center"/>
          </w:tcPr>
          <w:p w14:paraId="079B454F">
            <w:pPr>
              <w:spacing w:line="360" w:lineRule="auto"/>
              <w:jc w:val="center"/>
              <w:rPr>
                <w:rFonts w:ascii="宋体" w:hAnsi="宋体" w:cs="宋体"/>
                <w:szCs w:val="21"/>
              </w:rPr>
            </w:pPr>
          </w:p>
        </w:tc>
        <w:tc>
          <w:tcPr>
            <w:tcW w:w="2084" w:type="dxa"/>
            <w:tcBorders>
              <w:tl2br w:val="nil"/>
              <w:tr2bl w:val="nil"/>
            </w:tcBorders>
            <w:vAlign w:val="center"/>
          </w:tcPr>
          <w:p w14:paraId="33693FD2">
            <w:pPr>
              <w:spacing w:line="360" w:lineRule="auto"/>
              <w:jc w:val="center"/>
              <w:rPr>
                <w:rFonts w:hint="eastAsia" w:ascii="宋体" w:hAnsi="宋体" w:cs="宋体"/>
                <w:szCs w:val="21"/>
                <w:highlight w:val="none"/>
              </w:rPr>
            </w:pPr>
            <w:r>
              <w:rPr>
                <w:rFonts w:hint="eastAsia" w:ascii="宋体" w:hAnsi="宋体" w:cs="宋体"/>
                <w:szCs w:val="21"/>
                <w:highlight w:val="none"/>
              </w:rPr>
              <w:t>投标文件格式</w:t>
            </w:r>
          </w:p>
        </w:tc>
        <w:tc>
          <w:tcPr>
            <w:tcW w:w="5104" w:type="dxa"/>
            <w:tcBorders>
              <w:tl2br w:val="nil"/>
              <w:tr2bl w:val="nil"/>
            </w:tcBorders>
            <w:vAlign w:val="center"/>
          </w:tcPr>
          <w:p w14:paraId="618C01EF">
            <w:pPr>
              <w:spacing w:line="360" w:lineRule="auto"/>
              <w:jc w:val="left"/>
              <w:rPr>
                <w:rFonts w:ascii="宋体" w:hAnsi="宋体" w:cs="宋体"/>
                <w:szCs w:val="21"/>
                <w:highlight w:val="none"/>
              </w:rPr>
            </w:pPr>
            <w:r>
              <w:rPr>
                <w:rFonts w:hint="eastAsia" w:ascii="宋体" w:hAnsi="宋体" w:cs="宋体"/>
                <w:szCs w:val="21"/>
                <w:highlight w:val="none"/>
              </w:rPr>
              <w:t>符合招标文件格式要求</w:t>
            </w:r>
          </w:p>
        </w:tc>
      </w:tr>
      <w:tr w14:paraId="0161D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vAlign w:val="center"/>
          </w:tcPr>
          <w:p w14:paraId="5FE96FA5">
            <w:pPr>
              <w:spacing w:line="360" w:lineRule="auto"/>
              <w:jc w:val="center"/>
              <w:rPr>
                <w:rFonts w:ascii="宋体" w:hAnsi="宋体" w:cs="宋体"/>
                <w:szCs w:val="21"/>
              </w:rPr>
            </w:pPr>
          </w:p>
        </w:tc>
        <w:tc>
          <w:tcPr>
            <w:tcW w:w="1095" w:type="dxa"/>
            <w:vMerge w:val="continue"/>
            <w:tcBorders>
              <w:tl2br w:val="nil"/>
              <w:tr2bl w:val="nil"/>
            </w:tcBorders>
            <w:vAlign w:val="center"/>
          </w:tcPr>
          <w:p w14:paraId="4E5F5E3C">
            <w:pPr>
              <w:spacing w:line="360" w:lineRule="auto"/>
              <w:jc w:val="center"/>
              <w:rPr>
                <w:rFonts w:ascii="宋体" w:hAnsi="宋体" w:cs="宋体"/>
                <w:szCs w:val="21"/>
              </w:rPr>
            </w:pPr>
          </w:p>
        </w:tc>
        <w:tc>
          <w:tcPr>
            <w:tcW w:w="2084" w:type="dxa"/>
            <w:tcBorders>
              <w:tl2br w:val="nil"/>
              <w:tr2bl w:val="nil"/>
            </w:tcBorders>
            <w:vAlign w:val="center"/>
          </w:tcPr>
          <w:p w14:paraId="18A74D9D">
            <w:pPr>
              <w:spacing w:line="360" w:lineRule="auto"/>
              <w:jc w:val="center"/>
              <w:rPr>
                <w:rFonts w:hint="eastAsia" w:ascii="宋体" w:hAnsi="宋体" w:cs="宋体"/>
                <w:szCs w:val="21"/>
                <w:highlight w:val="none"/>
              </w:rPr>
            </w:pPr>
            <w:r>
              <w:rPr>
                <w:rFonts w:hint="eastAsia" w:ascii="宋体" w:hAnsi="宋体" w:cs="宋体"/>
                <w:szCs w:val="21"/>
                <w:highlight w:val="none"/>
              </w:rPr>
              <w:t>报价唯一</w:t>
            </w:r>
          </w:p>
        </w:tc>
        <w:tc>
          <w:tcPr>
            <w:tcW w:w="5104" w:type="dxa"/>
            <w:tcBorders>
              <w:tl2br w:val="nil"/>
              <w:tr2bl w:val="nil"/>
            </w:tcBorders>
            <w:vAlign w:val="center"/>
          </w:tcPr>
          <w:p w14:paraId="6B5368E2">
            <w:pPr>
              <w:spacing w:line="360" w:lineRule="auto"/>
              <w:jc w:val="left"/>
              <w:rPr>
                <w:rFonts w:ascii="宋体" w:hAnsi="宋体" w:cs="宋体"/>
                <w:szCs w:val="21"/>
                <w:highlight w:val="none"/>
              </w:rPr>
            </w:pPr>
            <w:r>
              <w:rPr>
                <w:rFonts w:hint="eastAsia" w:ascii="宋体" w:hAnsi="宋体" w:cs="宋体"/>
                <w:szCs w:val="21"/>
                <w:highlight w:val="none"/>
              </w:rPr>
              <w:t>只能有一个有效报价</w:t>
            </w:r>
          </w:p>
        </w:tc>
      </w:tr>
      <w:tr w14:paraId="114BE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vAlign w:val="center"/>
          </w:tcPr>
          <w:p w14:paraId="651688F2">
            <w:pPr>
              <w:spacing w:line="360" w:lineRule="auto"/>
              <w:jc w:val="center"/>
              <w:rPr>
                <w:rFonts w:ascii="宋体" w:hAnsi="宋体" w:cs="宋体"/>
                <w:szCs w:val="21"/>
              </w:rPr>
            </w:pPr>
          </w:p>
        </w:tc>
        <w:tc>
          <w:tcPr>
            <w:tcW w:w="1095" w:type="dxa"/>
            <w:vMerge w:val="continue"/>
            <w:tcBorders>
              <w:tl2br w:val="nil"/>
              <w:tr2bl w:val="nil"/>
            </w:tcBorders>
            <w:vAlign w:val="center"/>
          </w:tcPr>
          <w:p w14:paraId="29326E17">
            <w:pPr>
              <w:spacing w:line="360" w:lineRule="auto"/>
              <w:jc w:val="center"/>
              <w:rPr>
                <w:rFonts w:ascii="宋体" w:hAnsi="宋体" w:cs="宋体"/>
                <w:szCs w:val="21"/>
              </w:rPr>
            </w:pPr>
          </w:p>
        </w:tc>
        <w:tc>
          <w:tcPr>
            <w:tcW w:w="2084" w:type="dxa"/>
            <w:tcBorders>
              <w:tl2br w:val="nil"/>
              <w:tr2bl w:val="nil"/>
            </w:tcBorders>
            <w:vAlign w:val="center"/>
          </w:tcPr>
          <w:p w14:paraId="58D876F6">
            <w:pPr>
              <w:spacing w:line="360" w:lineRule="auto"/>
              <w:jc w:val="center"/>
              <w:rPr>
                <w:rFonts w:hint="eastAsia" w:ascii="宋体" w:hAnsi="宋体" w:eastAsia="宋体" w:cs="宋体"/>
                <w:szCs w:val="21"/>
                <w:highlight w:val="none"/>
                <w:lang w:eastAsia="zh-CN"/>
              </w:rPr>
            </w:pPr>
            <w:r>
              <w:rPr>
                <w:rFonts w:hint="eastAsia" w:ascii="宋体" w:hAnsi="宋体" w:eastAsia="Arial" w:cs="宋体"/>
                <w:szCs w:val="21"/>
                <w:highlight w:val="none"/>
                <w:lang w:val="en-US" w:eastAsia="zh-CN"/>
              </w:rPr>
              <w:t>采购</w:t>
            </w:r>
            <w:r>
              <w:rPr>
                <w:rFonts w:hint="eastAsia" w:ascii="宋体" w:hAnsi="宋体" w:cs="宋体"/>
                <w:szCs w:val="21"/>
                <w:highlight w:val="none"/>
                <w:lang w:val="en-US" w:eastAsia="zh-CN"/>
              </w:rPr>
              <w:t>内容</w:t>
            </w:r>
          </w:p>
        </w:tc>
        <w:tc>
          <w:tcPr>
            <w:tcW w:w="5104" w:type="dxa"/>
            <w:tcBorders>
              <w:tl2br w:val="nil"/>
              <w:tr2bl w:val="nil"/>
            </w:tcBorders>
            <w:vAlign w:val="center"/>
          </w:tcPr>
          <w:p w14:paraId="51F07C5C">
            <w:pPr>
              <w:spacing w:line="360" w:lineRule="auto"/>
              <w:jc w:val="left"/>
              <w:rPr>
                <w:rFonts w:ascii="宋体" w:hAnsi="宋体" w:cs="宋体"/>
                <w:szCs w:val="21"/>
                <w:highlight w:val="none"/>
              </w:rPr>
            </w:pPr>
            <w:r>
              <w:rPr>
                <w:rFonts w:hint="eastAsia" w:ascii="宋体" w:hAnsi="宋体" w:cs="宋体"/>
                <w:szCs w:val="21"/>
                <w:highlight w:val="none"/>
              </w:rPr>
              <w:t>符合第二章“供应商须知”第 1.3.1 项规定</w:t>
            </w:r>
          </w:p>
        </w:tc>
      </w:tr>
      <w:tr w14:paraId="5940B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vAlign w:val="center"/>
          </w:tcPr>
          <w:p w14:paraId="5D9001D8">
            <w:pPr>
              <w:spacing w:line="360" w:lineRule="auto"/>
              <w:jc w:val="center"/>
              <w:rPr>
                <w:rFonts w:ascii="宋体" w:hAnsi="宋体" w:cs="宋体"/>
                <w:szCs w:val="21"/>
              </w:rPr>
            </w:pPr>
          </w:p>
        </w:tc>
        <w:tc>
          <w:tcPr>
            <w:tcW w:w="1095" w:type="dxa"/>
            <w:vMerge w:val="continue"/>
            <w:tcBorders>
              <w:tl2br w:val="nil"/>
              <w:tr2bl w:val="nil"/>
            </w:tcBorders>
            <w:vAlign w:val="center"/>
          </w:tcPr>
          <w:p w14:paraId="0DF5551D">
            <w:pPr>
              <w:spacing w:line="360" w:lineRule="auto"/>
              <w:jc w:val="center"/>
              <w:rPr>
                <w:rFonts w:ascii="宋体" w:hAnsi="宋体" w:cs="宋体"/>
                <w:szCs w:val="21"/>
              </w:rPr>
            </w:pPr>
          </w:p>
        </w:tc>
        <w:tc>
          <w:tcPr>
            <w:tcW w:w="2084" w:type="dxa"/>
            <w:tcBorders>
              <w:tl2br w:val="nil"/>
              <w:tr2bl w:val="nil"/>
            </w:tcBorders>
            <w:vAlign w:val="center"/>
          </w:tcPr>
          <w:p w14:paraId="5B330C97">
            <w:pPr>
              <w:spacing w:line="360" w:lineRule="auto"/>
              <w:ind w:firstLine="0" w:firstLineChars="0"/>
              <w:jc w:val="center"/>
              <w:rPr>
                <w:rFonts w:hint="eastAsia" w:ascii="宋体" w:hAnsi="宋体" w:eastAsia="Arial" w:cs="宋体"/>
                <w:szCs w:val="21"/>
                <w:highlight w:val="none"/>
                <w:lang w:val="en-US" w:eastAsia="zh-CN"/>
              </w:rPr>
            </w:pPr>
            <w:r>
              <w:rPr>
                <w:rFonts w:hint="eastAsia" w:ascii="宋体" w:hAnsi="宋体" w:eastAsia="Arial" w:cs="宋体"/>
                <w:szCs w:val="21"/>
                <w:highlight w:val="none"/>
                <w:lang w:val="en-US" w:eastAsia="zh-CN"/>
              </w:rPr>
              <w:t>供货安装期</w:t>
            </w:r>
          </w:p>
        </w:tc>
        <w:tc>
          <w:tcPr>
            <w:tcW w:w="5104" w:type="dxa"/>
            <w:tcBorders>
              <w:tl2br w:val="nil"/>
              <w:tr2bl w:val="nil"/>
            </w:tcBorders>
            <w:vAlign w:val="center"/>
          </w:tcPr>
          <w:p w14:paraId="33BE8042">
            <w:pPr>
              <w:spacing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符合第二章“供应商须知”第 1.3.2 项规定</w:t>
            </w:r>
          </w:p>
        </w:tc>
      </w:tr>
      <w:tr w14:paraId="56718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tcPr>
          <w:p w14:paraId="72DBEB89">
            <w:pPr>
              <w:spacing w:line="360" w:lineRule="auto"/>
              <w:jc w:val="center"/>
              <w:rPr>
                <w:rFonts w:ascii="宋体" w:hAnsi="宋体" w:cs="宋体"/>
                <w:szCs w:val="21"/>
              </w:rPr>
            </w:pPr>
          </w:p>
        </w:tc>
        <w:tc>
          <w:tcPr>
            <w:tcW w:w="1095" w:type="dxa"/>
            <w:vMerge w:val="continue"/>
            <w:tcBorders>
              <w:tl2br w:val="nil"/>
              <w:tr2bl w:val="nil"/>
            </w:tcBorders>
          </w:tcPr>
          <w:p w14:paraId="7169291F">
            <w:pPr>
              <w:spacing w:line="360" w:lineRule="auto"/>
              <w:jc w:val="center"/>
              <w:rPr>
                <w:rFonts w:ascii="宋体" w:hAnsi="宋体" w:cs="宋体"/>
                <w:szCs w:val="21"/>
              </w:rPr>
            </w:pPr>
          </w:p>
        </w:tc>
        <w:tc>
          <w:tcPr>
            <w:tcW w:w="2084" w:type="dxa"/>
            <w:tcBorders>
              <w:tl2br w:val="nil"/>
              <w:tr2bl w:val="nil"/>
            </w:tcBorders>
            <w:vAlign w:val="center"/>
          </w:tcPr>
          <w:p w14:paraId="64FF595B">
            <w:pPr>
              <w:spacing w:line="360" w:lineRule="auto"/>
              <w:ind w:firstLine="0" w:firstLineChars="0"/>
              <w:jc w:val="center"/>
              <w:rPr>
                <w:rFonts w:hint="default" w:ascii="宋体" w:hAnsi="宋体" w:eastAsia="宋体" w:cs="宋体"/>
                <w:highlight w:val="none"/>
                <w:lang w:val="en-US" w:eastAsia="zh-CN"/>
              </w:rPr>
            </w:pPr>
            <w:r>
              <w:rPr>
                <w:rFonts w:hint="eastAsia" w:ascii="宋体" w:hAnsi="宋体" w:cs="宋体"/>
                <w:highlight w:val="none"/>
              </w:rPr>
              <w:t>合同履行期限</w:t>
            </w:r>
          </w:p>
        </w:tc>
        <w:tc>
          <w:tcPr>
            <w:tcW w:w="5104" w:type="dxa"/>
            <w:tcBorders>
              <w:tl2br w:val="nil"/>
              <w:tr2bl w:val="nil"/>
            </w:tcBorders>
            <w:vAlign w:val="center"/>
          </w:tcPr>
          <w:p w14:paraId="56F2E7D6">
            <w:pPr>
              <w:spacing w:line="360" w:lineRule="auto"/>
              <w:jc w:val="left"/>
              <w:rPr>
                <w:rFonts w:ascii="宋体" w:hAnsi="宋体" w:cs="宋体"/>
                <w:szCs w:val="21"/>
                <w:highlight w:val="none"/>
              </w:rPr>
            </w:pPr>
            <w:r>
              <w:rPr>
                <w:rFonts w:hint="eastAsia" w:ascii="宋体" w:hAnsi="宋体" w:cs="宋体"/>
                <w:szCs w:val="21"/>
                <w:highlight w:val="none"/>
              </w:rPr>
              <w:t>符合第二章“供应商须知”第 1.3.</w:t>
            </w:r>
            <w:r>
              <w:rPr>
                <w:rFonts w:hint="eastAsia" w:ascii="宋体" w:hAnsi="宋体" w:cs="宋体"/>
                <w:szCs w:val="21"/>
                <w:highlight w:val="none"/>
                <w:lang w:val="en-US" w:eastAsia="zh-CN"/>
              </w:rPr>
              <w:t>3</w:t>
            </w:r>
            <w:r>
              <w:rPr>
                <w:rFonts w:hint="eastAsia" w:ascii="宋体" w:hAnsi="宋体" w:cs="宋体"/>
                <w:szCs w:val="21"/>
                <w:highlight w:val="none"/>
              </w:rPr>
              <w:t xml:space="preserve"> 项规定</w:t>
            </w:r>
          </w:p>
        </w:tc>
      </w:tr>
      <w:tr w14:paraId="04347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tcPr>
          <w:p w14:paraId="3434D92A">
            <w:pPr>
              <w:spacing w:line="360" w:lineRule="auto"/>
              <w:jc w:val="center"/>
              <w:rPr>
                <w:rFonts w:ascii="宋体" w:hAnsi="宋体" w:cs="宋体"/>
                <w:szCs w:val="21"/>
              </w:rPr>
            </w:pPr>
          </w:p>
        </w:tc>
        <w:tc>
          <w:tcPr>
            <w:tcW w:w="1095" w:type="dxa"/>
            <w:vMerge w:val="continue"/>
            <w:tcBorders>
              <w:tl2br w:val="nil"/>
              <w:tr2bl w:val="nil"/>
            </w:tcBorders>
          </w:tcPr>
          <w:p w14:paraId="1FD6A3B4">
            <w:pPr>
              <w:spacing w:line="360" w:lineRule="auto"/>
              <w:jc w:val="center"/>
              <w:rPr>
                <w:rFonts w:ascii="宋体" w:hAnsi="宋体" w:cs="宋体"/>
                <w:szCs w:val="21"/>
              </w:rPr>
            </w:pPr>
          </w:p>
        </w:tc>
        <w:tc>
          <w:tcPr>
            <w:tcW w:w="2084" w:type="dxa"/>
            <w:tcBorders>
              <w:tl2br w:val="nil"/>
              <w:tr2bl w:val="nil"/>
            </w:tcBorders>
            <w:vAlign w:val="center"/>
          </w:tcPr>
          <w:p w14:paraId="27F0AC93">
            <w:pPr>
              <w:spacing w:line="360" w:lineRule="auto"/>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质量标准</w:t>
            </w:r>
          </w:p>
        </w:tc>
        <w:tc>
          <w:tcPr>
            <w:tcW w:w="5104" w:type="dxa"/>
            <w:tcBorders>
              <w:tl2br w:val="nil"/>
              <w:tr2bl w:val="nil"/>
            </w:tcBorders>
            <w:vAlign w:val="center"/>
          </w:tcPr>
          <w:p w14:paraId="2EAF1ABC">
            <w:pPr>
              <w:spacing w:line="360" w:lineRule="auto"/>
              <w:jc w:val="left"/>
              <w:rPr>
                <w:rFonts w:ascii="宋体" w:hAnsi="宋体" w:cs="宋体"/>
                <w:szCs w:val="21"/>
                <w:highlight w:val="none"/>
              </w:rPr>
            </w:pPr>
            <w:r>
              <w:rPr>
                <w:rFonts w:hint="eastAsia" w:ascii="宋体" w:hAnsi="宋体" w:cs="宋体"/>
                <w:szCs w:val="21"/>
                <w:highlight w:val="none"/>
              </w:rPr>
              <w:t>符合第二章“供应商须知”第 1.3.</w:t>
            </w:r>
            <w:r>
              <w:rPr>
                <w:rFonts w:hint="eastAsia" w:ascii="宋体" w:hAnsi="宋体" w:cs="宋体"/>
                <w:szCs w:val="21"/>
                <w:highlight w:val="none"/>
                <w:lang w:val="en-US" w:eastAsia="zh-CN"/>
              </w:rPr>
              <w:t>4</w:t>
            </w:r>
            <w:r>
              <w:rPr>
                <w:rFonts w:hint="eastAsia" w:ascii="宋体" w:hAnsi="宋体" w:cs="宋体"/>
                <w:szCs w:val="21"/>
                <w:highlight w:val="none"/>
              </w:rPr>
              <w:t xml:space="preserve"> 项规定</w:t>
            </w:r>
          </w:p>
        </w:tc>
      </w:tr>
      <w:tr w14:paraId="70E6F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tcPr>
          <w:p w14:paraId="4979B3C3">
            <w:pPr>
              <w:spacing w:line="360" w:lineRule="auto"/>
              <w:jc w:val="center"/>
              <w:rPr>
                <w:rFonts w:ascii="宋体" w:hAnsi="宋体" w:cs="宋体"/>
                <w:szCs w:val="21"/>
              </w:rPr>
            </w:pPr>
          </w:p>
        </w:tc>
        <w:tc>
          <w:tcPr>
            <w:tcW w:w="1095" w:type="dxa"/>
            <w:vMerge w:val="continue"/>
            <w:tcBorders>
              <w:tl2br w:val="nil"/>
              <w:tr2bl w:val="nil"/>
            </w:tcBorders>
          </w:tcPr>
          <w:p w14:paraId="710AB82B">
            <w:pPr>
              <w:spacing w:line="360" w:lineRule="auto"/>
              <w:jc w:val="center"/>
              <w:rPr>
                <w:rFonts w:ascii="宋体" w:hAnsi="宋体" w:cs="宋体"/>
                <w:szCs w:val="21"/>
              </w:rPr>
            </w:pPr>
          </w:p>
        </w:tc>
        <w:tc>
          <w:tcPr>
            <w:tcW w:w="2084" w:type="dxa"/>
            <w:tcBorders>
              <w:tl2br w:val="nil"/>
              <w:tr2bl w:val="nil"/>
            </w:tcBorders>
            <w:vAlign w:val="center"/>
          </w:tcPr>
          <w:p w14:paraId="64707204">
            <w:pPr>
              <w:spacing w:line="360" w:lineRule="auto"/>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服务地点</w:t>
            </w:r>
          </w:p>
        </w:tc>
        <w:tc>
          <w:tcPr>
            <w:tcW w:w="5104" w:type="dxa"/>
            <w:tcBorders>
              <w:tl2br w:val="nil"/>
              <w:tr2bl w:val="nil"/>
            </w:tcBorders>
            <w:vAlign w:val="center"/>
          </w:tcPr>
          <w:p w14:paraId="4F4E3FB8">
            <w:pPr>
              <w:spacing w:line="360" w:lineRule="auto"/>
              <w:jc w:val="left"/>
              <w:rPr>
                <w:rFonts w:hint="eastAsia" w:ascii="宋体" w:hAnsi="宋体" w:cs="宋体"/>
                <w:szCs w:val="21"/>
                <w:highlight w:val="none"/>
              </w:rPr>
            </w:pPr>
            <w:r>
              <w:rPr>
                <w:rFonts w:hint="eastAsia" w:ascii="宋体" w:hAnsi="宋体" w:cs="宋体"/>
                <w:szCs w:val="21"/>
                <w:highlight w:val="none"/>
              </w:rPr>
              <w:t>符合第二章“供应商须知”第 1.</w:t>
            </w:r>
            <w:r>
              <w:rPr>
                <w:rFonts w:hint="eastAsia" w:ascii="宋体" w:hAnsi="宋体" w:eastAsia="宋体" w:cs="宋体"/>
                <w:szCs w:val="21"/>
                <w:highlight w:val="none"/>
                <w:lang w:val="en-US" w:eastAsia="zh-CN"/>
              </w:rPr>
              <w:t>1</w:t>
            </w:r>
            <w:r>
              <w:rPr>
                <w:rFonts w:hint="eastAsia" w:ascii="宋体" w:hAnsi="宋体" w:cs="宋体"/>
                <w:szCs w:val="21"/>
                <w:highlight w:val="none"/>
              </w:rPr>
              <w:t>.</w:t>
            </w:r>
            <w:r>
              <w:rPr>
                <w:rFonts w:hint="eastAsia" w:ascii="宋体" w:hAnsi="宋体" w:eastAsia="宋体" w:cs="宋体"/>
                <w:szCs w:val="21"/>
                <w:highlight w:val="none"/>
                <w:lang w:val="en-US" w:eastAsia="zh-CN"/>
              </w:rPr>
              <w:t>5</w:t>
            </w:r>
            <w:r>
              <w:rPr>
                <w:rFonts w:hint="eastAsia" w:ascii="宋体" w:hAnsi="宋体" w:cs="宋体"/>
                <w:szCs w:val="21"/>
                <w:highlight w:val="none"/>
              </w:rPr>
              <w:t xml:space="preserve"> 项规定</w:t>
            </w:r>
          </w:p>
        </w:tc>
      </w:tr>
      <w:tr w14:paraId="3B9C0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tcPr>
          <w:p w14:paraId="01969E33">
            <w:pPr>
              <w:spacing w:line="360" w:lineRule="auto"/>
              <w:jc w:val="center"/>
              <w:rPr>
                <w:rFonts w:ascii="宋体" w:hAnsi="宋体" w:cs="宋体"/>
                <w:szCs w:val="21"/>
              </w:rPr>
            </w:pPr>
          </w:p>
        </w:tc>
        <w:tc>
          <w:tcPr>
            <w:tcW w:w="1095" w:type="dxa"/>
            <w:vMerge w:val="continue"/>
            <w:tcBorders>
              <w:tl2br w:val="nil"/>
              <w:tr2bl w:val="nil"/>
            </w:tcBorders>
          </w:tcPr>
          <w:p w14:paraId="679C3E1F">
            <w:pPr>
              <w:spacing w:line="360" w:lineRule="auto"/>
              <w:jc w:val="center"/>
              <w:rPr>
                <w:rFonts w:ascii="宋体" w:hAnsi="宋体" w:cs="宋体"/>
                <w:szCs w:val="21"/>
              </w:rPr>
            </w:pPr>
          </w:p>
        </w:tc>
        <w:tc>
          <w:tcPr>
            <w:tcW w:w="2084" w:type="dxa"/>
            <w:tcBorders>
              <w:tl2br w:val="nil"/>
              <w:tr2bl w:val="nil"/>
            </w:tcBorders>
            <w:vAlign w:val="center"/>
          </w:tcPr>
          <w:p w14:paraId="47636E54">
            <w:pPr>
              <w:spacing w:line="360" w:lineRule="auto"/>
              <w:jc w:val="center"/>
              <w:rPr>
                <w:rFonts w:hint="eastAsia" w:ascii="宋体" w:hAnsi="宋体" w:cs="宋体"/>
                <w:szCs w:val="21"/>
                <w:highlight w:val="none"/>
              </w:rPr>
            </w:pPr>
            <w:r>
              <w:rPr>
                <w:rFonts w:hint="eastAsia" w:ascii="宋体" w:hAnsi="宋体" w:cs="宋体"/>
                <w:szCs w:val="21"/>
                <w:highlight w:val="none"/>
              </w:rPr>
              <w:t>投标有效期</w:t>
            </w:r>
          </w:p>
        </w:tc>
        <w:tc>
          <w:tcPr>
            <w:tcW w:w="5104" w:type="dxa"/>
            <w:tcBorders>
              <w:tl2br w:val="nil"/>
              <w:tr2bl w:val="nil"/>
            </w:tcBorders>
            <w:vAlign w:val="center"/>
          </w:tcPr>
          <w:p w14:paraId="7071669C">
            <w:pPr>
              <w:spacing w:line="360" w:lineRule="auto"/>
              <w:jc w:val="left"/>
              <w:rPr>
                <w:rFonts w:ascii="宋体" w:hAnsi="宋体" w:cs="宋体"/>
                <w:szCs w:val="21"/>
                <w:highlight w:val="none"/>
              </w:rPr>
            </w:pPr>
            <w:r>
              <w:rPr>
                <w:rFonts w:hint="eastAsia" w:ascii="宋体" w:hAnsi="宋体" w:cs="宋体"/>
                <w:szCs w:val="21"/>
                <w:highlight w:val="none"/>
              </w:rPr>
              <w:t>符合第二章“供应商须知”第 3.3.1 项规定</w:t>
            </w:r>
          </w:p>
        </w:tc>
      </w:tr>
      <w:tr w14:paraId="156E0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tcPr>
          <w:p w14:paraId="6C682596">
            <w:pPr>
              <w:spacing w:line="360" w:lineRule="auto"/>
              <w:jc w:val="center"/>
              <w:rPr>
                <w:rFonts w:ascii="宋体" w:hAnsi="宋体" w:cs="宋体"/>
                <w:szCs w:val="21"/>
              </w:rPr>
            </w:pPr>
          </w:p>
        </w:tc>
        <w:tc>
          <w:tcPr>
            <w:tcW w:w="1095" w:type="dxa"/>
            <w:vMerge w:val="continue"/>
            <w:tcBorders>
              <w:tl2br w:val="nil"/>
              <w:tr2bl w:val="nil"/>
            </w:tcBorders>
          </w:tcPr>
          <w:p w14:paraId="0351E432">
            <w:pPr>
              <w:spacing w:line="360" w:lineRule="auto"/>
              <w:jc w:val="center"/>
              <w:rPr>
                <w:rFonts w:ascii="宋体" w:hAnsi="宋体" w:cs="宋体"/>
                <w:szCs w:val="21"/>
              </w:rPr>
            </w:pPr>
          </w:p>
        </w:tc>
        <w:tc>
          <w:tcPr>
            <w:tcW w:w="2084" w:type="dxa"/>
            <w:tcBorders>
              <w:tl2br w:val="nil"/>
              <w:tr2bl w:val="nil"/>
            </w:tcBorders>
            <w:vAlign w:val="center"/>
          </w:tcPr>
          <w:p w14:paraId="143479ED">
            <w:pPr>
              <w:spacing w:line="360" w:lineRule="auto"/>
              <w:jc w:val="center"/>
              <w:rPr>
                <w:rFonts w:ascii="宋体" w:hAnsi="宋体" w:cs="宋体"/>
                <w:szCs w:val="21"/>
                <w:highlight w:val="none"/>
              </w:rPr>
            </w:pPr>
            <w:r>
              <w:rPr>
                <w:rFonts w:hint="eastAsia" w:ascii="宋体" w:hAnsi="宋体" w:cs="宋体"/>
                <w:szCs w:val="21"/>
                <w:highlight w:val="none"/>
              </w:rPr>
              <w:t>权利义务</w:t>
            </w:r>
          </w:p>
        </w:tc>
        <w:tc>
          <w:tcPr>
            <w:tcW w:w="5104" w:type="dxa"/>
            <w:tcBorders>
              <w:tl2br w:val="nil"/>
              <w:tr2bl w:val="nil"/>
            </w:tcBorders>
            <w:vAlign w:val="center"/>
          </w:tcPr>
          <w:p w14:paraId="7BD85BD9">
            <w:pPr>
              <w:spacing w:line="360" w:lineRule="auto"/>
              <w:jc w:val="left"/>
              <w:rPr>
                <w:rFonts w:ascii="宋体" w:hAnsi="宋体" w:cs="宋体"/>
                <w:szCs w:val="21"/>
                <w:highlight w:val="none"/>
              </w:rPr>
            </w:pPr>
            <w:r>
              <w:rPr>
                <w:rFonts w:hint="eastAsia" w:ascii="宋体" w:hAnsi="宋体" w:cs="宋体"/>
                <w:szCs w:val="21"/>
                <w:highlight w:val="none"/>
              </w:rPr>
              <w:t>符合第四章“合同条款及格式”规定</w:t>
            </w:r>
          </w:p>
        </w:tc>
      </w:tr>
      <w:tr w14:paraId="03F89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5" w:type="dxa"/>
            <w:vMerge w:val="continue"/>
            <w:tcBorders>
              <w:tl2br w:val="nil"/>
              <w:tr2bl w:val="nil"/>
            </w:tcBorders>
          </w:tcPr>
          <w:p w14:paraId="666D7A3D">
            <w:pPr>
              <w:spacing w:line="360" w:lineRule="auto"/>
              <w:jc w:val="center"/>
              <w:rPr>
                <w:rFonts w:ascii="宋体" w:hAnsi="宋体" w:cs="宋体"/>
                <w:szCs w:val="21"/>
              </w:rPr>
            </w:pPr>
          </w:p>
        </w:tc>
        <w:tc>
          <w:tcPr>
            <w:tcW w:w="1095" w:type="dxa"/>
            <w:vMerge w:val="continue"/>
            <w:tcBorders>
              <w:tl2br w:val="nil"/>
              <w:tr2bl w:val="nil"/>
            </w:tcBorders>
          </w:tcPr>
          <w:p w14:paraId="26D3B9D6">
            <w:pPr>
              <w:spacing w:line="360" w:lineRule="auto"/>
              <w:jc w:val="center"/>
              <w:rPr>
                <w:rFonts w:ascii="宋体" w:hAnsi="宋体" w:cs="宋体"/>
                <w:szCs w:val="21"/>
              </w:rPr>
            </w:pPr>
          </w:p>
        </w:tc>
        <w:tc>
          <w:tcPr>
            <w:tcW w:w="2084" w:type="dxa"/>
            <w:tcBorders>
              <w:tl2br w:val="nil"/>
              <w:tr2bl w:val="nil"/>
            </w:tcBorders>
            <w:vAlign w:val="center"/>
          </w:tcPr>
          <w:p w14:paraId="1C8CD2A8">
            <w:pPr>
              <w:spacing w:line="360" w:lineRule="auto"/>
              <w:jc w:val="center"/>
              <w:rPr>
                <w:rFonts w:ascii="宋体" w:hAnsi="宋体" w:cs="宋体"/>
                <w:szCs w:val="21"/>
                <w:highlight w:val="none"/>
              </w:rPr>
            </w:pPr>
            <w:r>
              <w:rPr>
                <w:rFonts w:hint="eastAsia" w:ascii="宋体" w:hAnsi="宋体" w:cs="宋体"/>
                <w:szCs w:val="21"/>
                <w:highlight w:val="none"/>
              </w:rPr>
              <w:t>投标文件的其他响应</w:t>
            </w:r>
          </w:p>
        </w:tc>
        <w:tc>
          <w:tcPr>
            <w:tcW w:w="5104" w:type="dxa"/>
            <w:tcBorders>
              <w:tl2br w:val="nil"/>
              <w:tr2bl w:val="nil"/>
            </w:tcBorders>
            <w:vAlign w:val="center"/>
          </w:tcPr>
          <w:p w14:paraId="04F75610">
            <w:pPr>
              <w:spacing w:line="360" w:lineRule="auto"/>
              <w:jc w:val="left"/>
              <w:rPr>
                <w:rFonts w:ascii="宋体" w:hAnsi="宋体" w:cs="宋体"/>
                <w:szCs w:val="21"/>
                <w:highlight w:val="none"/>
              </w:rPr>
            </w:pPr>
            <w:r>
              <w:rPr>
                <w:rFonts w:hint="eastAsia" w:ascii="宋体" w:hAnsi="宋体" w:cs="宋体"/>
                <w:szCs w:val="21"/>
                <w:highlight w:val="none"/>
              </w:rPr>
              <w:t>符合法律、法规和招标文件中规定的其他实质性要求的。</w:t>
            </w:r>
          </w:p>
        </w:tc>
      </w:tr>
    </w:tbl>
    <w:p w14:paraId="25922902">
      <w:pPr>
        <w:spacing w:line="360" w:lineRule="auto"/>
        <w:rPr>
          <w:rFonts w:hint="eastAsia" w:asciiTheme="minorEastAsia" w:hAnsiTheme="minorEastAsia" w:eastAsiaTheme="minorEastAsia" w:cstheme="minorEastAsia"/>
          <w:b/>
          <w:sz w:val="28"/>
          <w:szCs w:val="28"/>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720" w:num="1"/>
          <w:docGrid w:type="lines" w:linePitch="380" w:charSpace="0"/>
        </w:sectPr>
      </w:pPr>
    </w:p>
    <w:p w14:paraId="6CC295D2">
      <w:pPr>
        <w:pStyle w:val="29"/>
        <w:numPr>
          <w:ilvl w:val="0"/>
          <w:numId w:val="0"/>
        </w:numPr>
        <w:spacing w:before="120" w:after="120" w:line="360" w:lineRule="auto"/>
        <w:ind w:right="-1029" w:rightChars="-490"/>
        <w:jc w:val="center"/>
        <w:rPr>
          <w:rFonts w:hint="eastAsia" w:asciiTheme="minorEastAsia" w:hAnsiTheme="minorEastAsia" w:eastAsiaTheme="minorEastAsia" w:cstheme="minorEastAsia"/>
          <w:b/>
          <w:bCs w:val="0"/>
          <w:sz w:val="30"/>
          <w:szCs w:val="30"/>
        </w:rPr>
      </w:pPr>
      <w:bookmarkStart w:id="309" w:name="_Toc10850"/>
      <w:bookmarkStart w:id="310" w:name="_Toc27535"/>
      <w:bookmarkStart w:id="311" w:name="_Toc10093"/>
      <w:r>
        <w:rPr>
          <w:rFonts w:hint="eastAsia" w:asciiTheme="minorEastAsia" w:hAnsiTheme="minorEastAsia" w:eastAsiaTheme="minorEastAsia" w:cstheme="minorEastAsia"/>
          <w:b/>
          <w:bCs w:val="0"/>
          <w:sz w:val="30"/>
          <w:szCs w:val="30"/>
        </w:rPr>
        <w:t>评标准则和评标方法</w:t>
      </w:r>
      <w:bookmarkEnd w:id="309"/>
      <w:bookmarkEnd w:id="310"/>
      <w:bookmarkEnd w:id="311"/>
    </w:p>
    <w:tbl>
      <w:tblPr>
        <w:tblStyle w:val="33"/>
        <w:tblW w:w="86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639"/>
        <w:gridCol w:w="6757"/>
      </w:tblGrid>
      <w:tr w14:paraId="04ABC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80" w:type="dxa"/>
            <w:gridSpan w:val="3"/>
            <w:tcBorders>
              <w:tl2br w:val="nil"/>
              <w:tr2bl w:val="nil"/>
            </w:tcBorders>
            <w:vAlign w:val="center"/>
          </w:tcPr>
          <w:p w14:paraId="6F4C99FC">
            <w:pPr>
              <w:kinsoku/>
              <w:wordWrap w:val="0"/>
              <w:topLinePunct/>
              <w:spacing w:line="360" w:lineRule="auto"/>
              <w:rPr>
                <w:rFonts w:ascii="宋体" w:hAnsi="宋体" w:cs="宋体"/>
                <w:szCs w:val="21"/>
                <w:lang w:val="zh-TW" w:eastAsia="zh-TW"/>
              </w:rPr>
            </w:pPr>
            <w:r>
              <w:rPr>
                <w:rFonts w:hint="eastAsia" w:ascii="宋体" w:hAnsi="宋体" w:cs="宋体"/>
                <w:szCs w:val="21"/>
                <w:lang w:val="zh-TW" w:eastAsia="zh-TW"/>
              </w:rPr>
              <w:t>价格部分（</w:t>
            </w:r>
            <w:r>
              <w:rPr>
                <w:rFonts w:hint="eastAsia" w:ascii="宋体" w:hAnsi="宋体" w:cs="宋体"/>
                <w:szCs w:val="21"/>
                <w:lang w:val="en-US" w:eastAsia="zh-CN"/>
              </w:rPr>
              <w:t>5</w:t>
            </w:r>
            <w:r>
              <w:rPr>
                <w:rFonts w:hint="eastAsia" w:ascii="宋体" w:hAnsi="宋体" w:cs="宋体"/>
                <w:szCs w:val="21"/>
              </w:rPr>
              <w:t>0</w:t>
            </w:r>
            <w:r>
              <w:rPr>
                <w:rFonts w:hint="eastAsia" w:ascii="宋体" w:hAnsi="宋体" w:cs="宋体"/>
                <w:szCs w:val="21"/>
                <w:lang w:val="zh-TW" w:eastAsia="zh-TW"/>
              </w:rPr>
              <w:t>分）</w:t>
            </w:r>
          </w:p>
        </w:tc>
      </w:tr>
      <w:tr w14:paraId="52E0E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6814576C">
            <w:pPr>
              <w:kinsoku/>
              <w:wordWrap w:val="0"/>
              <w:topLinePunct/>
              <w:spacing w:line="360" w:lineRule="auto"/>
              <w:rPr>
                <w:rFonts w:ascii="宋体" w:hAnsi="宋体" w:cs="宋体"/>
                <w:b/>
                <w:bCs/>
                <w:szCs w:val="21"/>
                <w:lang w:val="zh-TW"/>
              </w:rPr>
            </w:pPr>
            <w:r>
              <w:rPr>
                <w:rFonts w:hint="eastAsia" w:ascii="宋体" w:hAnsi="宋体" w:cs="宋体"/>
                <w:b/>
                <w:bCs/>
                <w:szCs w:val="21"/>
                <w:lang w:val="zh-TW"/>
              </w:rPr>
              <w:t>评审因素</w:t>
            </w:r>
          </w:p>
        </w:tc>
        <w:tc>
          <w:tcPr>
            <w:tcW w:w="639" w:type="dxa"/>
            <w:tcBorders>
              <w:tl2br w:val="nil"/>
              <w:tr2bl w:val="nil"/>
            </w:tcBorders>
            <w:vAlign w:val="center"/>
          </w:tcPr>
          <w:p w14:paraId="1EF6E6C8">
            <w:pPr>
              <w:kinsoku/>
              <w:wordWrap w:val="0"/>
              <w:topLinePunct/>
              <w:spacing w:line="360" w:lineRule="auto"/>
              <w:rPr>
                <w:rFonts w:ascii="宋体" w:hAnsi="宋体" w:cs="宋体"/>
                <w:b/>
                <w:bCs/>
                <w:szCs w:val="21"/>
                <w:lang w:val="zh-TW"/>
              </w:rPr>
            </w:pPr>
            <w:r>
              <w:rPr>
                <w:rFonts w:hint="eastAsia" w:ascii="宋体" w:hAnsi="宋体" w:cs="宋体"/>
                <w:b/>
                <w:bCs/>
                <w:szCs w:val="21"/>
              </w:rPr>
              <w:t>分值</w:t>
            </w:r>
          </w:p>
        </w:tc>
        <w:tc>
          <w:tcPr>
            <w:tcW w:w="6757" w:type="dxa"/>
            <w:tcBorders>
              <w:tl2br w:val="nil"/>
              <w:tr2bl w:val="nil"/>
            </w:tcBorders>
            <w:vAlign w:val="center"/>
          </w:tcPr>
          <w:p w14:paraId="38A3C499">
            <w:pPr>
              <w:kinsoku/>
              <w:wordWrap w:val="0"/>
              <w:topLinePunct/>
              <w:spacing w:line="360" w:lineRule="auto"/>
              <w:jc w:val="center"/>
              <w:rPr>
                <w:rFonts w:ascii="宋体" w:hAnsi="宋体" w:cs="宋体"/>
                <w:b/>
                <w:bCs/>
                <w:szCs w:val="21"/>
                <w:lang w:val="zh-TW" w:eastAsia="zh-TW"/>
              </w:rPr>
            </w:pPr>
            <w:r>
              <w:rPr>
                <w:rFonts w:hint="eastAsia" w:ascii="宋体" w:hAnsi="宋体" w:cs="宋体"/>
                <w:b/>
                <w:bCs/>
                <w:szCs w:val="21"/>
                <w:lang w:val="zh-TW" w:eastAsia="zh-TW"/>
              </w:rPr>
              <w:t>评分标准</w:t>
            </w:r>
          </w:p>
        </w:tc>
      </w:tr>
      <w:tr w14:paraId="5BFBA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703A8392">
            <w:pPr>
              <w:kinsoku/>
              <w:wordWrap w:val="0"/>
              <w:topLinePunct/>
              <w:spacing w:line="360" w:lineRule="auto"/>
              <w:jc w:val="center"/>
              <w:rPr>
                <w:rFonts w:hint="eastAsia" w:ascii="宋体" w:hAnsi="宋体" w:cs="宋体"/>
                <w:szCs w:val="21"/>
                <w:lang w:val="zh-TW" w:eastAsia="zh-TW"/>
              </w:rPr>
            </w:pPr>
            <w:r>
              <w:rPr>
                <w:rFonts w:hint="eastAsia" w:ascii="宋体" w:hAnsi="宋体" w:cs="宋体"/>
                <w:szCs w:val="21"/>
                <w:lang w:val="zh-TW" w:eastAsia="zh-TW"/>
              </w:rPr>
              <w:t>报价得分</w:t>
            </w:r>
          </w:p>
          <w:p w14:paraId="15BA3423">
            <w:pPr>
              <w:kinsoku/>
              <w:wordWrap w:val="0"/>
              <w:topLinePunct/>
              <w:spacing w:line="360" w:lineRule="auto"/>
              <w:jc w:val="center"/>
              <w:rPr>
                <w:rFonts w:hint="eastAsia" w:ascii="宋体" w:hAnsi="宋体" w:cs="宋体"/>
                <w:szCs w:val="21"/>
                <w:lang w:val="zh-TW" w:eastAsia="zh-TW"/>
              </w:rPr>
            </w:pPr>
            <w:r>
              <w:rPr>
                <w:rFonts w:hint="eastAsia" w:ascii="宋体" w:hAnsi="宋体" w:cs="宋体"/>
                <w:szCs w:val="21"/>
                <w:lang w:val="zh-TW" w:eastAsia="zh-TW"/>
              </w:rPr>
              <w:t>（</w:t>
            </w:r>
            <w:r>
              <w:rPr>
                <w:rFonts w:hint="eastAsia" w:ascii="宋体" w:hAnsi="宋体" w:cs="宋体"/>
                <w:szCs w:val="21"/>
                <w:lang w:val="en-US" w:eastAsia="zh-CN"/>
              </w:rPr>
              <w:t>5</w:t>
            </w:r>
            <w:r>
              <w:rPr>
                <w:rFonts w:hint="eastAsia" w:ascii="宋体" w:hAnsi="宋体" w:cs="宋体"/>
                <w:szCs w:val="21"/>
                <w:lang w:eastAsia="zh-TW"/>
              </w:rPr>
              <w:t>0</w:t>
            </w:r>
            <w:r>
              <w:rPr>
                <w:rFonts w:hint="eastAsia" w:ascii="宋体" w:hAnsi="宋体" w:cs="宋体"/>
                <w:szCs w:val="21"/>
                <w:lang w:val="zh-TW" w:eastAsia="zh-TW"/>
              </w:rPr>
              <w:t>分）</w:t>
            </w:r>
          </w:p>
        </w:tc>
        <w:tc>
          <w:tcPr>
            <w:tcW w:w="639" w:type="dxa"/>
            <w:tcBorders>
              <w:tl2br w:val="nil"/>
              <w:tr2bl w:val="nil"/>
            </w:tcBorders>
            <w:vAlign w:val="center"/>
          </w:tcPr>
          <w:p w14:paraId="3FFA5394">
            <w:pPr>
              <w:kinsoku/>
              <w:wordWrap w:val="0"/>
              <w:topLinePunct/>
              <w:spacing w:line="360" w:lineRule="auto"/>
              <w:jc w:val="center"/>
              <w:rPr>
                <w:rFonts w:hint="eastAsia" w:ascii="宋体" w:hAnsi="宋体" w:cs="宋体"/>
                <w:szCs w:val="21"/>
                <w:lang w:val="zh-TW" w:eastAsia="zh-TW"/>
              </w:rPr>
            </w:pPr>
            <w:r>
              <w:rPr>
                <w:rFonts w:hint="eastAsia" w:ascii="宋体" w:hAnsi="宋体" w:cs="宋体"/>
                <w:szCs w:val="21"/>
                <w:lang w:val="en-US" w:eastAsia="zh-CN"/>
              </w:rPr>
              <w:t>5</w:t>
            </w:r>
            <w:r>
              <w:rPr>
                <w:rFonts w:hint="eastAsia" w:ascii="宋体" w:hAnsi="宋体" w:cs="宋体"/>
                <w:szCs w:val="21"/>
                <w:lang w:eastAsia="zh-TW"/>
              </w:rPr>
              <w:t>0</w:t>
            </w:r>
            <w:r>
              <w:rPr>
                <w:rFonts w:hint="eastAsia" w:ascii="宋体" w:hAnsi="宋体" w:cs="宋体"/>
                <w:szCs w:val="21"/>
                <w:lang w:val="zh-TW" w:eastAsia="zh-TW"/>
              </w:rPr>
              <w:t>分</w:t>
            </w:r>
          </w:p>
        </w:tc>
        <w:tc>
          <w:tcPr>
            <w:tcW w:w="6757" w:type="dxa"/>
            <w:tcBorders>
              <w:tl2br w:val="nil"/>
              <w:tr2bl w:val="nil"/>
            </w:tcBorders>
            <w:vAlign w:val="center"/>
          </w:tcPr>
          <w:tbl>
            <w:tblPr>
              <w:tblStyle w:val="33"/>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7"/>
            </w:tblGrid>
            <w:tr w14:paraId="082B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7" w:type="dxa"/>
                  <w:vAlign w:val="center"/>
                </w:tcPr>
                <w:p w14:paraId="361A6B70">
                  <w:pPr>
                    <w:widowControl/>
                    <w:kinsoku/>
                    <w:wordWrap w:val="0"/>
                    <w:autoSpaceDE/>
                    <w:autoSpaceDN/>
                    <w:adjustRightInd/>
                    <w:snapToGrid/>
                    <w:spacing w:before="0" w:line="240" w:lineRule="auto"/>
                    <w:ind w:left="0" w:firstLine="0" w:firstLineChars="0"/>
                    <w:jc w:val="left"/>
                    <w:textAlignment w:val="auto"/>
                    <w:outlineLvl w:val="9"/>
                    <w:rPr>
                      <w:rFonts w:hint="eastAsia" w:ascii="宋体" w:hAnsi="宋体" w:eastAsia="Arial" w:cs="宋体"/>
                      <w:snapToGrid w:val="0"/>
                      <w:color w:val="auto"/>
                      <w:spacing w:val="0"/>
                      <w:kern w:val="0"/>
                      <w:sz w:val="21"/>
                      <w:szCs w:val="21"/>
                      <w:highlight w:val="none"/>
                      <w:lang w:val="en-US" w:eastAsia="zh-TW" w:bidi="ar-SA"/>
                    </w:rPr>
                  </w:pPr>
                  <w:r>
                    <w:rPr>
                      <w:rFonts w:hint="eastAsia" w:ascii="宋体" w:hAnsi="宋体" w:cs="宋体"/>
                      <w:color w:val="auto"/>
                      <w:highlight w:val="none"/>
                      <w:lang w:eastAsia="zh-TW"/>
                    </w:rPr>
                    <w:t>价格分采用低价优先法计算，即满足招标文件要求且评标报价最低的评标报价为评标基准价，其价格分为满分。其他</w:t>
                  </w:r>
                  <w:r>
                    <w:rPr>
                      <w:rFonts w:hint="eastAsia" w:ascii="宋体" w:hAnsi="宋体" w:eastAsia="Arial" w:cs="宋体"/>
                      <w:color w:val="auto"/>
                      <w:highlight w:val="none"/>
                      <w:lang w:eastAsia="zh-TW"/>
                    </w:rPr>
                    <w:t>供应商</w:t>
                  </w:r>
                  <w:r>
                    <w:rPr>
                      <w:rFonts w:hint="eastAsia" w:ascii="宋体" w:hAnsi="宋体" w:cs="宋体"/>
                      <w:color w:val="auto"/>
                      <w:highlight w:val="none"/>
                      <w:lang w:eastAsia="zh-TW"/>
                    </w:rPr>
                    <w:t>的价格分统一按照下：</w:t>
                  </w:r>
                  <w:r>
                    <w:rPr>
                      <w:rFonts w:hint="eastAsia" w:ascii="宋体" w:hAnsi="宋体" w:eastAsia="Arial" w:cs="宋体"/>
                      <w:snapToGrid w:val="0"/>
                      <w:color w:val="auto"/>
                      <w:spacing w:val="0"/>
                      <w:kern w:val="0"/>
                      <w:sz w:val="21"/>
                      <w:szCs w:val="21"/>
                      <w:highlight w:val="none"/>
                      <w:lang w:val="en-US" w:eastAsia="zh-TW" w:bidi="ar-SA"/>
                    </w:rPr>
                    <w:t>投标报价得分=（评标基准价/投标报价）×</w:t>
                  </w:r>
                  <w:r>
                    <w:rPr>
                      <w:rFonts w:hint="eastAsia" w:ascii="宋体" w:hAnsi="宋体" w:eastAsia="宋体" w:cs="宋体"/>
                      <w:snapToGrid w:val="0"/>
                      <w:color w:val="auto"/>
                      <w:spacing w:val="0"/>
                      <w:kern w:val="0"/>
                      <w:sz w:val="21"/>
                      <w:szCs w:val="21"/>
                      <w:highlight w:val="none"/>
                      <w:lang w:val="en-US" w:eastAsia="zh-CN" w:bidi="ar-SA"/>
                    </w:rPr>
                    <w:t>5</w:t>
                  </w:r>
                  <w:r>
                    <w:rPr>
                      <w:rFonts w:hint="eastAsia" w:ascii="宋体" w:hAnsi="宋体" w:eastAsia="Arial" w:cs="宋体"/>
                      <w:snapToGrid w:val="0"/>
                      <w:color w:val="auto"/>
                      <w:spacing w:val="0"/>
                      <w:kern w:val="0"/>
                      <w:sz w:val="21"/>
                      <w:szCs w:val="21"/>
                      <w:highlight w:val="none"/>
                      <w:lang w:val="en-US" w:eastAsia="zh-TW" w:bidi="ar-SA"/>
                    </w:rPr>
                    <w:t>0，计算过程按四舍五入，保留两位小数。</w:t>
                  </w:r>
                </w:p>
                <w:p w14:paraId="26EF68BF">
                  <w:pPr>
                    <w:widowControl/>
                    <w:kinsoku/>
                    <w:wordWrap w:val="0"/>
                    <w:autoSpaceDE/>
                    <w:autoSpaceDN/>
                    <w:adjustRightInd/>
                    <w:snapToGrid/>
                    <w:spacing w:before="0" w:line="240" w:lineRule="auto"/>
                    <w:ind w:left="0" w:firstLine="0" w:firstLineChars="0"/>
                    <w:jc w:val="left"/>
                    <w:textAlignment w:val="auto"/>
                    <w:outlineLvl w:val="9"/>
                    <w:rPr>
                      <w:rFonts w:hint="eastAsia" w:ascii="宋体" w:hAnsi="宋体" w:eastAsia="Arial" w:cs="宋体"/>
                      <w:b w:val="0"/>
                      <w:snapToGrid w:val="0"/>
                      <w:color w:val="auto"/>
                      <w:kern w:val="0"/>
                      <w:sz w:val="21"/>
                      <w:szCs w:val="21"/>
                      <w:highlight w:val="none"/>
                      <w:lang w:val="en-US" w:eastAsia="zh-TW" w:bidi="ar-SA"/>
                    </w:rPr>
                  </w:pPr>
                  <w:r>
                    <w:rPr>
                      <w:rFonts w:hint="eastAsia" w:ascii="宋体" w:hAnsi="宋体" w:eastAsia="Arial" w:cs="宋体"/>
                      <w:b w:val="0"/>
                      <w:snapToGrid w:val="0"/>
                      <w:color w:val="auto"/>
                      <w:kern w:val="0"/>
                      <w:sz w:val="21"/>
                      <w:szCs w:val="21"/>
                      <w:highlight w:val="none"/>
                      <w:lang w:val="en-US" w:eastAsia="zh-TW" w:bidi="ar-SA"/>
                    </w:rPr>
                    <w:t>若</w:t>
                  </w:r>
                  <w:r>
                    <w:rPr>
                      <w:rFonts w:hint="eastAsia" w:ascii="宋体" w:hAnsi="宋体" w:eastAsia="宋体" w:cs="宋体"/>
                      <w:b w:val="0"/>
                      <w:snapToGrid w:val="0"/>
                      <w:color w:val="auto"/>
                      <w:kern w:val="0"/>
                      <w:sz w:val="21"/>
                      <w:szCs w:val="21"/>
                      <w:highlight w:val="none"/>
                      <w:lang w:val="en-US" w:eastAsia="zh-CN" w:bidi="ar-SA"/>
                    </w:rPr>
                    <w:t>供应商</w:t>
                  </w:r>
                  <w:r>
                    <w:rPr>
                      <w:rFonts w:hint="eastAsia" w:ascii="宋体" w:hAnsi="宋体" w:eastAsia="Arial" w:cs="宋体"/>
                      <w:b w:val="0"/>
                      <w:snapToGrid w:val="0"/>
                      <w:color w:val="auto"/>
                      <w:kern w:val="0"/>
                      <w:sz w:val="21"/>
                      <w:szCs w:val="21"/>
                      <w:highlight w:val="none"/>
                      <w:lang w:val="en-US" w:eastAsia="zh-TW" w:bidi="ar-SA"/>
                    </w:rPr>
                    <w:t>提供的货物生产商或制造商为小型或微型企业时，报价给予C1的价格扣除（C1的取值为20%），即：评标价＝投标报价（最后报价）×(1－C1）；小微企业应当提供《中小企业声明函》（见格式）</w:t>
                  </w:r>
                </w:p>
                <w:p w14:paraId="4D0F084C">
                  <w:pPr>
                    <w:kinsoku/>
                    <w:wordWrap w:val="0"/>
                    <w:autoSpaceDE/>
                    <w:autoSpaceDN/>
                    <w:adjustRightInd/>
                    <w:snapToGrid/>
                    <w:textAlignment w:val="auto"/>
                    <w:rPr>
                      <w:rFonts w:hint="eastAsia" w:ascii="宋体" w:hAnsi="宋体" w:cs="宋体"/>
                      <w:szCs w:val="21"/>
                      <w:highlight w:val="none"/>
                      <w:lang w:eastAsia="zh-TW"/>
                    </w:rPr>
                  </w:pPr>
                  <w:r>
                    <w:rPr>
                      <w:rFonts w:hint="eastAsia" w:ascii="宋体" w:hAnsi="宋体" w:eastAsia="Arial" w:cs="宋体"/>
                      <w:snapToGrid w:val="0"/>
                      <w:color w:val="auto"/>
                      <w:spacing w:val="0"/>
                      <w:kern w:val="0"/>
                      <w:sz w:val="21"/>
                      <w:szCs w:val="21"/>
                      <w:highlight w:val="none"/>
                      <w:lang w:val="en-US" w:eastAsia="zh-TW" w:bidi="ar-SA"/>
                    </w:rPr>
                    <w:t>注：评标委员会认为</w:t>
                  </w:r>
                  <w:r>
                    <w:rPr>
                      <w:rFonts w:hint="eastAsia" w:ascii="宋体" w:hAnsi="宋体" w:eastAsia="宋体" w:cs="宋体"/>
                      <w:snapToGrid w:val="0"/>
                      <w:color w:val="auto"/>
                      <w:spacing w:val="0"/>
                      <w:kern w:val="0"/>
                      <w:sz w:val="21"/>
                      <w:szCs w:val="21"/>
                      <w:highlight w:val="none"/>
                      <w:lang w:val="en-US" w:eastAsia="zh-CN" w:bidi="ar-SA"/>
                    </w:rPr>
                    <w:t>供应商</w:t>
                  </w:r>
                  <w:r>
                    <w:rPr>
                      <w:rFonts w:hint="eastAsia" w:ascii="宋体" w:hAnsi="宋体" w:eastAsia="Arial" w:cs="宋体"/>
                      <w:snapToGrid w:val="0"/>
                      <w:color w:val="auto"/>
                      <w:spacing w:val="0"/>
                      <w:kern w:val="0"/>
                      <w:sz w:val="21"/>
                      <w:szCs w:val="21"/>
                      <w:highlight w:val="none"/>
                      <w:lang w:val="en-US" w:eastAsia="zh-TW" w:bidi="ar-SA"/>
                    </w:rPr>
                    <w:t>的报价明显低于其他通过符合性审查</w:t>
                  </w:r>
                  <w:r>
                    <w:rPr>
                      <w:rFonts w:hint="eastAsia" w:ascii="宋体" w:hAnsi="宋体" w:eastAsia="宋体" w:cs="宋体"/>
                      <w:snapToGrid w:val="0"/>
                      <w:color w:val="auto"/>
                      <w:spacing w:val="0"/>
                      <w:kern w:val="0"/>
                      <w:sz w:val="21"/>
                      <w:szCs w:val="21"/>
                      <w:highlight w:val="none"/>
                      <w:lang w:val="en-US" w:eastAsia="zh-CN" w:bidi="ar-SA"/>
                    </w:rPr>
                    <w:t>供应商</w:t>
                  </w:r>
                  <w:r>
                    <w:rPr>
                      <w:rFonts w:hint="eastAsia" w:ascii="宋体" w:hAnsi="宋体" w:eastAsia="Arial" w:cs="宋体"/>
                      <w:snapToGrid w:val="0"/>
                      <w:color w:val="auto"/>
                      <w:spacing w:val="0"/>
                      <w:kern w:val="0"/>
                      <w:sz w:val="21"/>
                      <w:szCs w:val="21"/>
                      <w:highlight w:val="none"/>
                      <w:lang w:val="en-US" w:eastAsia="zh-TW" w:bidi="ar-SA"/>
                    </w:rPr>
                    <w:t>的报价，有可能影响产品质量或者不能诚信履约的，应当要求其在合理的时间内提供书面说明，并提交相关证明材料；</w:t>
                  </w:r>
                  <w:r>
                    <w:rPr>
                      <w:rFonts w:hint="eastAsia" w:ascii="宋体" w:hAnsi="宋体" w:eastAsia="宋体" w:cs="宋体"/>
                      <w:snapToGrid w:val="0"/>
                      <w:color w:val="auto"/>
                      <w:spacing w:val="0"/>
                      <w:kern w:val="0"/>
                      <w:sz w:val="21"/>
                      <w:szCs w:val="21"/>
                      <w:highlight w:val="none"/>
                      <w:lang w:val="en-US" w:eastAsia="zh-CN" w:bidi="ar-SA"/>
                    </w:rPr>
                    <w:t>供应商</w:t>
                  </w:r>
                  <w:r>
                    <w:rPr>
                      <w:rFonts w:hint="eastAsia" w:ascii="宋体" w:hAnsi="宋体" w:eastAsia="Arial" w:cs="宋体"/>
                      <w:snapToGrid w:val="0"/>
                      <w:color w:val="auto"/>
                      <w:spacing w:val="0"/>
                      <w:kern w:val="0"/>
                      <w:sz w:val="21"/>
                      <w:szCs w:val="21"/>
                      <w:highlight w:val="none"/>
                      <w:lang w:val="en-US" w:eastAsia="zh-TW" w:bidi="ar-SA"/>
                    </w:rPr>
                    <w:t>不能证明其报价合理性的，评标委员会应当将其作为无效投标处理。</w:t>
                  </w:r>
                </w:p>
              </w:tc>
            </w:tr>
          </w:tbl>
          <w:p w14:paraId="09383BC7">
            <w:pPr>
              <w:kinsoku/>
              <w:wordWrap w:val="0"/>
              <w:topLinePunct/>
              <w:autoSpaceDE/>
              <w:autoSpaceDN/>
              <w:adjustRightInd/>
              <w:snapToGrid/>
              <w:spacing w:line="360" w:lineRule="auto"/>
              <w:textAlignment w:val="auto"/>
              <w:rPr>
                <w:rFonts w:hint="eastAsia" w:ascii="宋体" w:hAnsi="宋体" w:cs="宋体"/>
                <w:szCs w:val="21"/>
                <w:highlight w:val="none"/>
                <w:lang w:eastAsia="zh-TW"/>
              </w:rPr>
            </w:pPr>
          </w:p>
        </w:tc>
      </w:tr>
      <w:tr w14:paraId="09555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80" w:type="dxa"/>
            <w:gridSpan w:val="3"/>
            <w:tcBorders>
              <w:tl2br w:val="nil"/>
              <w:tr2bl w:val="nil"/>
            </w:tcBorders>
            <w:vAlign w:val="center"/>
          </w:tcPr>
          <w:p w14:paraId="07B0CDBE">
            <w:pPr>
              <w:kinsoku/>
              <w:wordWrap w:val="0"/>
              <w:topLinePunct/>
              <w:spacing w:line="360" w:lineRule="auto"/>
              <w:rPr>
                <w:rFonts w:ascii="宋体" w:hAnsi="宋体" w:cs="宋体"/>
                <w:szCs w:val="21"/>
                <w:lang w:val="zh-TW" w:eastAsia="zh-TW"/>
              </w:rPr>
            </w:pPr>
            <w:r>
              <w:rPr>
                <w:rFonts w:hint="eastAsia" w:ascii="宋体" w:hAnsi="宋体" w:cs="宋体"/>
                <w:szCs w:val="21"/>
                <w:lang w:val="zh-TW" w:eastAsia="zh-TW"/>
              </w:rPr>
              <w:t>技术部分（</w:t>
            </w:r>
            <w:r>
              <w:rPr>
                <w:rFonts w:hint="eastAsia" w:ascii="宋体" w:hAnsi="宋体" w:cs="宋体"/>
                <w:szCs w:val="21"/>
                <w:lang w:val="en-US" w:eastAsia="zh-CN"/>
              </w:rPr>
              <w:t>35</w:t>
            </w:r>
            <w:r>
              <w:rPr>
                <w:rFonts w:hint="eastAsia" w:ascii="宋体" w:hAnsi="宋体" w:cs="宋体"/>
                <w:szCs w:val="21"/>
                <w:lang w:val="zh-TW" w:eastAsia="zh-TW"/>
              </w:rPr>
              <w:t>分）</w:t>
            </w:r>
          </w:p>
        </w:tc>
      </w:tr>
      <w:tr w14:paraId="45BA6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4E9DDF91">
            <w:pPr>
              <w:kinsoku/>
              <w:wordWrap w:val="0"/>
              <w:topLinePunct/>
              <w:spacing w:line="360" w:lineRule="auto"/>
              <w:rPr>
                <w:rFonts w:ascii="宋体" w:hAnsi="宋体" w:cs="宋体"/>
                <w:b/>
                <w:bCs/>
                <w:szCs w:val="21"/>
                <w:lang w:val="zh-TW" w:eastAsia="zh-TW"/>
              </w:rPr>
            </w:pPr>
            <w:r>
              <w:rPr>
                <w:rFonts w:hint="eastAsia" w:ascii="宋体" w:hAnsi="宋体" w:cs="宋体"/>
                <w:b/>
                <w:bCs/>
                <w:szCs w:val="21"/>
                <w:lang w:val="zh-TW"/>
              </w:rPr>
              <w:t>评审因素</w:t>
            </w:r>
          </w:p>
        </w:tc>
        <w:tc>
          <w:tcPr>
            <w:tcW w:w="639" w:type="dxa"/>
            <w:tcBorders>
              <w:tl2br w:val="nil"/>
              <w:tr2bl w:val="nil"/>
            </w:tcBorders>
            <w:vAlign w:val="center"/>
          </w:tcPr>
          <w:p w14:paraId="48D6EC3B">
            <w:pPr>
              <w:kinsoku/>
              <w:wordWrap w:val="0"/>
              <w:topLinePunct/>
              <w:spacing w:line="360" w:lineRule="auto"/>
              <w:rPr>
                <w:rFonts w:ascii="宋体" w:hAnsi="宋体" w:cs="宋体"/>
                <w:b/>
                <w:bCs/>
                <w:szCs w:val="21"/>
                <w:lang w:val="zh-TW" w:eastAsia="zh-TW"/>
              </w:rPr>
            </w:pPr>
            <w:r>
              <w:rPr>
                <w:rFonts w:hint="eastAsia" w:ascii="宋体" w:hAnsi="宋体" w:cs="宋体"/>
                <w:b/>
                <w:bCs/>
                <w:szCs w:val="21"/>
                <w:lang w:val="zh-TW" w:eastAsia="zh-TW"/>
              </w:rPr>
              <w:t>分值</w:t>
            </w:r>
          </w:p>
        </w:tc>
        <w:tc>
          <w:tcPr>
            <w:tcW w:w="6757" w:type="dxa"/>
            <w:tcBorders>
              <w:tl2br w:val="nil"/>
              <w:tr2bl w:val="nil"/>
            </w:tcBorders>
            <w:vAlign w:val="center"/>
          </w:tcPr>
          <w:p w14:paraId="36190515">
            <w:pPr>
              <w:kinsoku/>
              <w:wordWrap w:val="0"/>
              <w:topLinePunct/>
              <w:spacing w:line="360" w:lineRule="auto"/>
              <w:jc w:val="center"/>
              <w:rPr>
                <w:rFonts w:ascii="宋体" w:hAnsi="宋体" w:cs="宋体"/>
                <w:b/>
                <w:bCs/>
                <w:szCs w:val="21"/>
                <w:lang w:val="zh-TW" w:eastAsia="zh-TW"/>
              </w:rPr>
            </w:pPr>
            <w:r>
              <w:rPr>
                <w:rFonts w:hint="eastAsia" w:ascii="宋体" w:hAnsi="宋体" w:cs="宋体"/>
                <w:b/>
                <w:bCs/>
                <w:szCs w:val="21"/>
                <w:lang w:val="zh-TW" w:eastAsia="zh-TW"/>
              </w:rPr>
              <w:t>评分标准</w:t>
            </w:r>
          </w:p>
        </w:tc>
      </w:tr>
      <w:tr w14:paraId="37596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50C029E2">
            <w:pPr>
              <w:keepNext w:val="0"/>
              <w:keepLines w:val="0"/>
              <w:pageBreakBefore w:val="0"/>
              <w:widowControl/>
              <w:suppressLineNumbers w:val="0"/>
              <w:kinsoku/>
              <w:wordWrap w:val="0"/>
              <w:overflowPunct/>
              <w:topLinePunct/>
              <w:autoSpaceDE/>
              <w:autoSpaceDN/>
              <w:bidi w:val="0"/>
              <w:adjustRightInd/>
              <w:snapToGrid/>
              <w:spacing w:before="0" w:beforeAutospacing="0" w:after="0" w:afterAutospacing="0" w:line="360" w:lineRule="auto"/>
              <w:ind w:left="0" w:right="0"/>
              <w:jc w:val="center"/>
              <w:textAlignment w:val="auto"/>
              <w:rPr>
                <w:rFonts w:hint="eastAsia" w:ascii="宋体" w:hAnsi="宋体" w:eastAsia="Arial" w:cs="宋体"/>
                <w:color w:val="000000"/>
                <w:kern w:val="0"/>
                <w:szCs w:val="21"/>
                <w:lang w:val="en-US" w:eastAsia="zh-CN"/>
              </w:rPr>
            </w:pPr>
            <w:r>
              <w:rPr>
                <w:rFonts w:hint="eastAsia" w:ascii="宋体" w:hAnsi="宋体" w:eastAsia="Arial" w:cs="宋体"/>
                <w:color w:val="000000"/>
                <w:kern w:val="0"/>
                <w:szCs w:val="21"/>
                <w:lang w:val="en-US" w:eastAsia="zh-CN"/>
              </w:rPr>
              <w:t>技术参数</w:t>
            </w:r>
          </w:p>
          <w:p w14:paraId="28E03531">
            <w:pPr>
              <w:kinsoku/>
              <w:wordWrap w:val="0"/>
              <w:topLinePunct/>
              <w:spacing w:line="360" w:lineRule="auto"/>
              <w:jc w:val="center"/>
              <w:rPr>
                <w:rFonts w:hint="eastAsia" w:ascii="宋体" w:hAnsi="宋体" w:cs="宋体"/>
                <w:szCs w:val="21"/>
                <w:lang w:val="zh-TW" w:eastAsia="zh-TW"/>
              </w:rPr>
            </w:pPr>
            <w:r>
              <w:rPr>
                <w:rFonts w:hint="eastAsia" w:ascii="宋体" w:hAnsi="宋体" w:eastAsia="Arial" w:cs="宋体"/>
                <w:color w:val="000000"/>
                <w:kern w:val="0"/>
                <w:szCs w:val="21"/>
                <w:lang w:val="en-US" w:eastAsia="zh-CN"/>
              </w:rPr>
              <w:t>（20分）</w:t>
            </w:r>
          </w:p>
        </w:tc>
        <w:tc>
          <w:tcPr>
            <w:tcW w:w="639" w:type="dxa"/>
            <w:tcBorders>
              <w:tl2br w:val="nil"/>
              <w:tr2bl w:val="nil"/>
            </w:tcBorders>
            <w:vAlign w:val="center"/>
          </w:tcPr>
          <w:p w14:paraId="6234CF67">
            <w:pPr>
              <w:kinsoku/>
              <w:wordWrap w:val="0"/>
              <w:topLinePunct/>
              <w:spacing w:line="360" w:lineRule="auto"/>
              <w:jc w:val="center"/>
              <w:rPr>
                <w:rFonts w:hint="eastAsia" w:ascii="宋体" w:hAnsi="宋体" w:cs="宋体"/>
                <w:szCs w:val="21"/>
                <w:lang w:eastAsia="zh-TW"/>
              </w:rPr>
            </w:pPr>
            <w:r>
              <w:rPr>
                <w:rFonts w:hint="eastAsia" w:ascii="宋体" w:hAnsi="宋体" w:eastAsia="宋体" w:cs="宋体"/>
                <w:szCs w:val="21"/>
                <w:lang w:val="en-US" w:eastAsia="zh-CN"/>
              </w:rPr>
              <w:t>2</w:t>
            </w:r>
            <w:r>
              <w:rPr>
                <w:rFonts w:hint="eastAsia" w:ascii="宋体" w:hAnsi="宋体" w:cs="宋体"/>
                <w:szCs w:val="21"/>
                <w:lang w:eastAsia="zh-TW"/>
              </w:rPr>
              <w:t>0分</w:t>
            </w:r>
          </w:p>
        </w:tc>
        <w:tc>
          <w:tcPr>
            <w:tcW w:w="6757" w:type="dxa"/>
            <w:tcBorders>
              <w:tl2br w:val="nil"/>
              <w:tr2bl w:val="nil"/>
            </w:tcBorders>
            <w:vAlign w:val="center"/>
          </w:tcPr>
          <w:tbl>
            <w:tblPr>
              <w:tblStyle w:val="33"/>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7"/>
            </w:tblGrid>
            <w:tr w14:paraId="7540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7" w:type="dxa"/>
                  <w:vAlign w:val="center"/>
                </w:tcPr>
                <w:p w14:paraId="091D0F0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供应商所投硬件产品和软件系统技术参数、功能完全满足招标文件要求的得满分20分。加▲项为重要技术参数指标，每有一项参数负偏离扣2分;未加▲项为一般技术参数指标，每有一项负偏离扣1分，扣完为止。</w:t>
                  </w:r>
                </w:p>
                <w:p w14:paraId="4B69615E">
                  <w:pPr>
                    <w:kinsoku/>
                    <w:wordWrap w:val="0"/>
                    <w:autoSpaceDE/>
                    <w:autoSpaceDN/>
                    <w:adjustRightInd/>
                    <w:snapToGrid/>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注:技术参数要求提供证明材料的，应按要求提供，未按要求提供的，评标委员会将认定不满足该项要求。</w:t>
                  </w:r>
                </w:p>
              </w:tc>
            </w:tr>
          </w:tbl>
          <w:p w14:paraId="0550E448">
            <w:pPr>
              <w:kinsoku/>
              <w:wordWrap w:val="0"/>
              <w:topLinePunct w:val="0"/>
              <w:autoSpaceDE/>
              <w:autoSpaceDN/>
              <w:adjustRightInd/>
              <w:snapToGrid/>
              <w:spacing w:line="240" w:lineRule="auto"/>
              <w:textAlignment w:val="auto"/>
              <w:rPr>
                <w:rFonts w:hint="eastAsia" w:ascii="宋体" w:hAnsi="宋体" w:eastAsia="Arial" w:cs="宋体"/>
                <w:snapToGrid w:val="0"/>
                <w:color w:val="auto"/>
                <w:kern w:val="0"/>
                <w:szCs w:val="21"/>
                <w:highlight w:val="none"/>
                <w:lang w:val="en-US" w:eastAsia="zh-TW"/>
              </w:rPr>
            </w:pPr>
          </w:p>
        </w:tc>
      </w:tr>
      <w:tr w14:paraId="73DF2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09EE0382">
            <w:pPr>
              <w:keepNext w:val="0"/>
              <w:keepLines w:val="0"/>
              <w:pageBreakBefore w:val="0"/>
              <w:widowControl/>
              <w:suppressLineNumbers w:val="0"/>
              <w:kinsoku/>
              <w:wordWrap w:val="0"/>
              <w:overflowPunct/>
              <w:topLinePunct/>
              <w:autoSpaceDE/>
              <w:autoSpaceDN/>
              <w:bidi w:val="0"/>
              <w:adjustRightInd/>
              <w:snapToGrid/>
              <w:spacing w:before="0" w:beforeAutospacing="0" w:after="0" w:afterAutospacing="0" w:line="360" w:lineRule="auto"/>
              <w:ind w:left="0" w:right="0"/>
              <w:jc w:val="center"/>
              <w:textAlignment w:val="auto"/>
              <w:rPr>
                <w:rFonts w:hint="eastAsia" w:ascii="宋体" w:hAnsi="宋体" w:eastAsia="Arial" w:cs="宋体"/>
                <w:color w:val="000000"/>
                <w:kern w:val="0"/>
                <w:szCs w:val="21"/>
                <w:lang w:val="en-US" w:eastAsia="zh-CN"/>
              </w:rPr>
            </w:pPr>
            <w:r>
              <w:rPr>
                <w:rFonts w:hint="eastAsia" w:ascii="宋体" w:hAnsi="宋体" w:eastAsia="Arial" w:cs="宋体"/>
                <w:color w:val="000000"/>
                <w:kern w:val="0"/>
                <w:szCs w:val="21"/>
                <w:lang w:val="en-US" w:eastAsia="zh-CN"/>
              </w:rPr>
              <w:t>技术方案</w:t>
            </w:r>
          </w:p>
          <w:p w14:paraId="6EDBE266">
            <w:pPr>
              <w:kinsoku/>
              <w:wordWrap w:val="0"/>
              <w:topLinePunct/>
              <w:spacing w:line="360" w:lineRule="auto"/>
              <w:jc w:val="center"/>
              <w:rPr>
                <w:rFonts w:ascii="宋体" w:hAnsi="宋体" w:cs="宋体"/>
                <w:szCs w:val="21"/>
              </w:rPr>
            </w:pPr>
            <w:r>
              <w:rPr>
                <w:rFonts w:hint="eastAsia" w:ascii="宋体" w:hAnsi="宋体" w:eastAsia="Arial" w:cs="宋体"/>
                <w:color w:val="000000"/>
                <w:kern w:val="0"/>
                <w:szCs w:val="21"/>
                <w:lang w:val="en-US" w:eastAsia="zh-CN"/>
              </w:rPr>
              <w:t>（5分）</w:t>
            </w:r>
          </w:p>
        </w:tc>
        <w:tc>
          <w:tcPr>
            <w:tcW w:w="639" w:type="dxa"/>
            <w:tcBorders>
              <w:tl2br w:val="nil"/>
              <w:tr2bl w:val="nil"/>
            </w:tcBorders>
            <w:vAlign w:val="center"/>
          </w:tcPr>
          <w:p w14:paraId="3CDC8978">
            <w:pPr>
              <w:kinsoku/>
              <w:wordWrap w:val="0"/>
              <w:topLinePunct/>
              <w:spacing w:line="360" w:lineRule="auto"/>
              <w:jc w:val="center"/>
              <w:rPr>
                <w:rFonts w:hint="eastAsia" w:ascii="宋体" w:hAnsi="宋体" w:cs="宋体"/>
                <w:szCs w:val="21"/>
                <w:lang w:eastAsia="zh-TW"/>
              </w:rPr>
            </w:pPr>
            <w:r>
              <w:rPr>
                <w:rFonts w:hint="eastAsia" w:ascii="宋体" w:hAnsi="宋体" w:cs="宋体"/>
                <w:szCs w:val="21"/>
                <w:lang w:eastAsia="zh-TW"/>
              </w:rPr>
              <w:t>5分</w:t>
            </w:r>
          </w:p>
        </w:tc>
        <w:tc>
          <w:tcPr>
            <w:tcW w:w="6757" w:type="dxa"/>
            <w:tcBorders>
              <w:tl2br w:val="nil"/>
              <w:tr2bl w:val="nil"/>
            </w:tcBorders>
            <w:vAlign w:val="center"/>
          </w:tcPr>
          <w:p w14:paraId="4A785C6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针对本项目制定详细的总体技术方案，方案内容包含但不限于：建设原则、建设任务、总体架构、技术解决方案。根据供应商编制的方案进行评分：</w:t>
            </w:r>
          </w:p>
          <w:p w14:paraId="3F7A7ED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（1）方案内容齐全，描述合理、可行，常见性问题解决提升方案具体、有针对性，完全满足采购人项目建设需要,得5分；</w:t>
            </w:r>
          </w:p>
          <w:p w14:paraId="64183D7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（2）方案内容齐全，描述较合理、可行，常见性问题解决提升方案较可行，能满足采购人项目建设需要，得3分；</w:t>
            </w:r>
          </w:p>
          <w:p w14:paraId="67A9A24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（3）方案内容齐全，描述简单、可行性一般，常见性问题解决提升方案一般，基本满足采购人项目建设需要，得1分；</w:t>
            </w:r>
          </w:p>
          <w:p w14:paraId="2029F965">
            <w:pPr>
              <w:kinsoku/>
              <w:wordWrap w:val="0"/>
              <w:rPr>
                <w:rFonts w:hint="eastAsia" w:ascii="宋体" w:hAnsi="宋体" w:eastAsia="Arial" w:cs="宋体"/>
                <w:snapToGrid w:val="0"/>
                <w:color w:val="auto"/>
                <w:kern w:val="0"/>
                <w:szCs w:val="21"/>
                <w:highlight w:val="none"/>
                <w:lang w:eastAsia="zh-TW"/>
              </w:rPr>
            </w:pPr>
            <w:r>
              <w:rPr>
                <w:rFonts w:hint="eastAsia" w:ascii="宋体" w:hAnsi="宋体" w:eastAsia="Arial" w:cs="宋体"/>
                <w:snapToGrid w:val="0"/>
                <w:color w:val="auto"/>
                <w:kern w:val="0"/>
                <w:szCs w:val="21"/>
                <w:highlight w:val="none"/>
                <w:lang w:val="en-US" w:eastAsia="zh-TW"/>
              </w:rPr>
              <w:t>（4）未提供该方案，得0分。</w:t>
            </w:r>
          </w:p>
        </w:tc>
      </w:tr>
      <w:tr w14:paraId="3F19B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379DACE1">
            <w:pPr>
              <w:kinsoku/>
              <w:wordWrap w:val="0"/>
              <w:topLinePunct/>
              <w:spacing w:line="360" w:lineRule="auto"/>
              <w:jc w:val="center"/>
              <w:rPr>
                <w:rFonts w:hint="eastAsia" w:ascii="宋体" w:hAnsi="宋体" w:eastAsia="Arial" w:cs="宋体"/>
                <w:color w:val="000000"/>
                <w:kern w:val="0"/>
                <w:szCs w:val="21"/>
                <w:lang w:val="en-US" w:eastAsia="zh-CN"/>
              </w:rPr>
            </w:pPr>
            <w:r>
              <w:rPr>
                <w:rFonts w:hint="eastAsia" w:ascii="宋体" w:hAnsi="宋体" w:eastAsia="Arial" w:cs="宋体"/>
                <w:color w:val="000000"/>
                <w:kern w:val="0"/>
                <w:szCs w:val="21"/>
                <w:lang w:val="en-US" w:eastAsia="zh-CN"/>
              </w:rPr>
              <w:t>实施方案</w:t>
            </w:r>
          </w:p>
          <w:p w14:paraId="5C261BDA">
            <w:pPr>
              <w:kinsoku/>
              <w:wordWrap w:val="0"/>
              <w:topLinePunct/>
              <w:spacing w:line="360" w:lineRule="auto"/>
              <w:jc w:val="center"/>
              <w:rPr>
                <w:rFonts w:ascii="宋体" w:hAnsi="宋体" w:cs="宋体"/>
                <w:szCs w:val="21"/>
              </w:rPr>
            </w:pPr>
            <w:r>
              <w:rPr>
                <w:rFonts w:hint="eastAsia" w:ascii="宋体" w:hAnsi="宋体" w:cs="宋体"/>
                <w:szCs w:val="21"/>
              </w:rPr>
              <w:t>（5分）</w:t>
            </w:r>
          </w:p>
        </w:tc>
        <w:tc>
          <w:tcPr>
            <w:tcW w:w="639" w:type="dxa"/>
            <w:tcBorders>
              <w:tl2br w:val="nil"/>
              <w:tr2bl w:val="nil"/>
            </w:tcBorders>
            <w:vAlign w:val="center"/>
          </w:tcPr>
          <w:p w14:paraId="6B074ED8">
            <w:pPr>
              <w:kinsoku/>
              <w:wordWrap w:val="0"/>
              <w:topLinePunct/>
              <w:spacing w:line="360" w:lineRule="auto"/>
              <w:jc w:val="center"/>
              <w:rPr>
                <w:rFonts w:hint="eastAsia" w:ascii="宋体" w:hAnsi="宋体" w:cs="宋体"/>
                <w:szCs w:val="21"/>
                <w:lang w:eastAsia="zh-TW"/>
              </w:rPr>
            </w:pPr>
            <w:r>
              <w:rPr>
                <w:rFonts w:hint="eastAsia" w:ascii="宋体" w:hAnsi="宋体" w:cs="宋体"/>
                <w:szCs w:val="21"/>
                <w:lang w:eastAsia="zh-TW"/>
              </w:rPr>
              <w:t>5分</w:t>
            </w:r>
          </w:p>
        </w:tc>
        <w:tc>
          <w:tcPr>
            <w:tcW w:w="6757" w:type="dxa"/>
            <w:tcBorders>
              <w:tl2br w:val="nil"/>
              <w:tr2bl w:val="nil"/>
            </w:tcBorders>
            <w:vAlign w:val="center"/>
          </w:tcPr>
          <w:p w14:paraId="0C7FBC3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eastAsia="zh-TW"/>
              </w:rPr>
              <w:t>针对本项目制定详细的</w:t>
            </w:r>
            <w:r>
              <w:rPr>
                <w:rFonts w:hint="eastAsia" w:ascii="宋体" w:hAnsi="宋体" w:eastAsia="Arial" w:cs="宋体"/>
                <w:snapToGrid w:val="0"/>
                <w:color w:val="auto"/>
                <w:kern w:val="0"/>
                <w:szCs w:val="21"/>
                <w:highlight w:val="none"/>
                <w:lang w:val="en-US" w:eastAsia="zh-TW"/>
              </w:rPr>
              <w:t>实施方案，方案内容包含但不限于：实施计划、设备供货、设备安装调试。根据供应商编制的方案进行评分：</w:t>
            </w:r>
          </w:p>
          <w:p w14:paraId="5D9206F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（1）方案内容非常完整、详实，有很强的针对性和可操作性，得5分；</w:t>
            </w:r>
          </w:p>
          <w:p w14:paraId="37BAE56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（2）方案内容完整、详实可行，有较强的针对性和可操作性，得3分；</w:t>
            </w:r>
          </w:p>
          <w:p w14:paraId="45DEA17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（3）方案内容简单，有一定可行性，基本符合采购需求，得1分；</w:t>
            </w:r>
          </w:p>
          <w:p w14:paraId="29CE56F0">
            <w:pPr>
              <w:kinsoku/>
              <w:wordWrap w:val="0"/>
              <w:rPr>
                <w:rFonts w:hint="eastAsia" w:ascii="宋体" w:hAnsi="宋体" w:eastAsia="Arial" w:cs="宋体"/>
                <w:snapToGrid w:val="0"/>
                <w:color w:val="auto"/>
                <w:kern w:val="0"/>
                <w:szCs w:val="21"/>
                <w:highlight w:val="none"/>
                <w:lang w:eastAsia="zh-TW"/>
              </w:rPr>
            </w:pPr>
            <w:r>
              <w:rPr>
                <w:rFonts w:hint="eastAsia" w:ascii="宋体" w:hAnsi="宋体" w:eastAsia="Arial" w:cs="宋体"/>
                <w:snapToGrid w:val="0"/>
                <w:color w:val="auto"/>
                <w:kern w:val="0"/>
                <w:szCs w:val="21"/>
                <w:highlight w:val="none"/>
                <w:lang w:val="en-US" w:eastAsia="zh-TW"/>
              </w:rPr>
              <w:t>（4）未提供该方案，得0分；</w:t>
            </w:r>
          </w:p>
        </w:tc>
      </w:tr>
      <w:tr w14:paraId="300E4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545E4236">
            <w:pPr>
              <w:kinsoku/>
              <w:wordWrap w:val="0"/>
              <w:topLinePunct/>
              <w:spacing w:line="360" w:lineRule="auto"/>
              <w:jc w:val="center"/>
              <w:rPr>
                <w:rFonts w:hint="eastAsia" w:ascii="宋体" w:hAnsi="宋体" w:eastAsia="Arial" w:cs="宋体"/>
                <w:color w:val="000000"/>
                <w:kern w:val="0"/>
                <w:szCs w:val="21"/>
                <w:lang w:val="en-US" w:eastAsia="zh-CN"/>
              </w:rPr>
            </w:pPr>
            <w:r>
              <w:rPr>
                <w:rFonts w:hint="eastAsia" w:ascii="宋体" w:hAnsi="宋体" w:eastAsia="Arial" w:cs="宋体"/>
                <w:color w:val="000000"/>
                <w:kern w:val="0"/>
                <w:szCs w:val="21"/>
                <w:lang w:val="en-US" w:eastAsia="zh-CN"/>
              </w:rPr>
              <w:t>售后方案</w:t>
            </w:r>
          </w:p>
          <w:p w14:paraId="51BBF919">
            <w:pPr>
              <w:kinsoku/>
              <w:wordWrap w:val="0"/>
              <w:topLinePunct/>
              <w:spacing w:line="360" w:lineRule="auto"/>
              <w:jc w:val="center"/>
              <w:rPr>
                <w:rFonts w:ascii="宋体" w:hAnsi="宋体" w:cs="宋体"/>
                <w:szCs w:val="21"/>
              </w:rPr>
            </w:pPr>
            <w:r>
              <w:rPr>
                <w:rFonts w:hint="eastAsia" w:ascii="宋体" w:hAnsi="宋体" w:cs="宋体"/>
                <w:szCs w:val="21"/>
              </w:rPr>
              <w:t>（5分）</w:t>
            </w:r>
          </w:p>
        </w:tc>
        <w:tc>
          <w:tcPr>
            <w:tcW w:w="639" w:type="dxa"/>
            <w:tcBorders>
              <w:tl2br w:val="nil"/>
              <w:tr2bl w:val="nil"/>
            </w:tcBorders>
            <w:vAlign w:val="center"/>
          </w:tcPr>
          <w:p w14:paraId="7D1B43F0">
            <w:pPr>
              <w:kinsoku/>
              <w:wordWrap w:val="0"/>
              <w:topLinePunct/>
              <w:spacing w:line="360" w:lineRule="auto"/>
              <w:jc w:val="center"/>
              <w:rPr>
                <w:rFonts w:hint="eastAsia" w:ascii="宋体" w:hAnsi="宋体" w:cs="宋体"/>
                <w:szCs w:val="21"/>
                <w:lang w:eastAsia="zh-TW"/>
              </w:rPr>
            </w:pPr>
            <w:r>
              <w:rPr>
                <w:rFonts w:hint="eastAsia" w:ascii="宋体" w:hAnsi="宋体" w:cs="宋体"/>
                <w:szCs w:val="21"/>
                <w:lang w:eastAsia="zh-TW"/>
              </w:rPr>
              <w:t>5分</w:t>
            </w:r>
          </w:p>
        </w:tc>
        <w:tc>
          <w:tcPr>
            <w:tcW w:w="6757" w:type="dxa"/>
            <w:tcBorders>
              <w:tl2br w:val="nil"/>
              <w:tr2bl w:val="nil"/>
            </w:tcBorders>
            <w:vAlign w:val="center"/>
          </w:tcPr>
          <w:p w14:paraId="5FC97BC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eastAsia="zh-TW"/>
              </w:rPr>
              <w:t>针对本项目制定详细的</w:t>
            </w:r>
            <w:r>
              <w:rPr>
                <w:rFonts w:hint="eastAsia" w:ascii="宋体" w:hAnsi="宋体" w:eastAsia="Arial" w:cs="宋体"/>
                <w:snapToGrid w:val="0"/>
                <w:color w:val="auto"/>
                <w:kern w:val="0"/>
                <w:szCs w:val="21"/>
                <w:highlight w:val="none"/>
                <w:lang w:val="en-US" w:eastAsia="zh-TW"/>
              </w:rPr>
              <w:t>售后服务方案，方案内容包含但不限于：常见性故障解决方案、售后服务体系、客户服务标准、故障处理流程。根据供应商编制的方案进行评分：</w:t>
            </w:r>
          </w:p>
          <w:p w14:paraId="7AF8766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 xml:space="preserve">（1）售后服务制度完善，售后服务内容完整、明确，故障处理时间优于招标文件要求，服务保障措施完善，得5分；  </w:t>
            </w:r>
          </w:p>
          <w:p w14:paraId="5E9D88E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 xml:space="preserve">（2）售后服务制度基本完善，售后服务内容基本完整，故障处理时间满足招标文件要求，服务保障措施基本完善，得3分； </w:t>
            </w:r>
          </w:p>
          <w:p w14:paraId="74A70FA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 xml:space="preserve">（3）售后服务制度简单，售后服务内容含糊、不明确，服务保障措施欠缺，得1分； </w:t>
            </w:r>
          </w:p>
          <w:p w14:paraId="54E7963B">
            <w:pPr>
              <w:kinsoku/>
              <w:wordWrap w:val="0"/>
              <w:rPr>
                <w:rFonts w:hint="eastAsia" w:ascii="宋体" w:hAnsi="宋体" w:eastAsia="Arial" w:cs="宋体"/>
                <w:snapToGrid w:val="0"/>
                <w:color w:val="auto"/>
                <w:kern w:val="0"/>
                <w:szCs w:val="21"/>
                <w:highlight w:val="none"/>
                <w:lang w:eastAsia="zh-TW"/>
              </w:rPr>
            </w:pPr>
            <w:r>
              <w:rPr>
                <w:rFonts w:hint="eastAsia" w:ascii="宋体" w:hAnsi="宋体" w:eastAsia="Arial" w:cs="宋体"/>
                <w:snapToGrid w:val="0"/>
                <w:color w:val="auto"/>
                <w:kern w:val="0"/>
                <w:szCs w:val="21"/>
                <w:highlight w:val="none"/>
                <w:lang w:val="en-US" w:eastAsia="zh-TW"/>
              </w:rPr>
              <w:t>（4）未提供该方案，得0分。</w:t>
            </w:r>
          </w:p>
        </w:tc>
      </w:tr>
      <w:tr w14:paraId="0EE28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80" w:type="dxa"/>
            <w:gridSpan w:val="3"/>
            <w:tcBorders>
              <w:tl2br w:val="nil"/>
              <w:tr2bl w:val="nil"/>
            </w:tcBorders>
            <w:vAlign w:val="center"/>
          </w:tcPr>
          <w:p w14:paraId="06117DE9">
            <w:pPr>
              <w:kinsoku/>
              <w:wordWrap w:val="0"/>
              <w:topLinePunct/>
              <w:spacing w:line="360" w:lineRule="auto"/>
              <w:rPr>
                <w:rFonts w:ascii="宋体" w:hAnsi="宋体" w:cs="宋体"/>
                <w:szCs w:val="21"/>
                <w:lang w:val="zh-TW" w:eastAsia="zh-TW"/>
              </w:rPr>
            </w:pPr>
            <w:r>
              <w:rPr>
                <w:rFonts w:hint="eastAsia" w:ascii="宋体" w:hAnsi="宋体" w:cs="宋体"/>
                <w:szCs w:val="21"/>
              </w:rPr>
              <w:t>综合</w:t>
            </w:r>
            <w:r>
              <w:rPr>
                <w:rFonts w:hint="eastAsia" w:ascii="宋体" w:hAnsi="宋体" w:cs="宋体"/>
                <w:szCs w:val="21"/>
                <w:lang w:val="zh-TW" w:eastAsia="zh-TW"/>
              </w:rPr>
              <w:t>部分（</w:t>
            </w:r>
            <w:r>
              <w:rPr>
                <w:rFonts w:hint="eastAsia" w:ascii="宋体" w:hAnsi="宋体" w:cs="宋体"/>
                <w:szCs w:val="21"/>
                <w:lang w:val="en-US" w:eastAsia="zh-CN"/>
              </w:rPr>
              <w:t>15</w:t>
            </w:r>
            <w:r>
              <w:rPr>
                <w:rFonts w:hint="eastAsia" w:ascii="宋体" w:hAnsi="宋体" w:cs="宋体"/>
                <w:szCs w:val="21"/>
                <w:lang w:val="zh-TW" w:eastAsia="zh-TW"/>
              </w:rPr>
              <w:t>分）</w:t>
            </w:r>
          </w:p>
        </w:tc>
      </w:tr>
      <w:tr w14:paraId="17288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522217D8">
            <w:pPr>
              <w:kinsoku/>
              <w:wordWrap w:val="0"/>
              <w:topLinePunct/>
              <w:spacing w:line="360" w:lineRule="auto"/>
              <w:jc w:val="center"/>
              <w:rPr>
                <w:rFonts w:ascii="宋体" w:hAnsi="宋体" w:cs="宋体"/>
                <w:b/>
                <w:bCs/>
                <w:szCs w:val="21"/>
              </w:rPr>
            </w:pPr>
            <w:r>
              <w:rPr>
                <w:rFonts w:hint="eastAsia" w:ascii="宋体" w:hAnsi="宋体" w:cs="宋体"/>
                <w:b/>
                <w:bCs/>
                <w:szCs w:val="21"/>
                <w:lang w:val="zh-TW"/>
              </w:rPr>
              <w:t>评审因素</w:t>
            </w:r>
          </w:p>
        </w:tc>
        <w:tc>
          <w:tcPr>
            <w:tcW w:w="639" w:type="dxa"/>
            <w:tcBorders>
              <w:tl2br w:val="nil"/>
              <w:tr2bl w:val="nil"/>
            </w:tcBorders>
            <w:vAlign w:val="center"/>
          </w:tcPr>
          <w:p w14:paraId="7AD2714C">
            <w:pPr>
              <w:kinsoku/>
              <w:wordWrap w:val="0"/>
              <w:topLinePunct/>
              <w:spacing w:line="360" w:lineRule="auto"/>
              <w:jc w:val="center"/>
              <w:rPr>
                <w:rFonts w:ascii="宋体" w:hAnsi="宋体" w:cs="宋体"/>
                <w:b/>
                <w:bCs/>
                <w:szCs w:val="21"/>
              </w:rPr>
            </w:pPr>
            <w:r>
              <w:rPr>
                <w:rFonts w:hint="eastAsia" w:ascii="宋体" w:hAnsi="宋体" w:cs="宋体"/>
                <w:b/>
                <w:bCs/>
                <w:szCs w:val="21"/>
                <w:lang w:val="zh-TW" w:eastAsia="zh-TW"/>
              </w:rPr>
              <w:t>分值</w:t>
            </w:r>
          </w:p>
        </w:tc>
        <w:tc>
          <w:tcPr>
            <w:tcW w:w="6757" w:type="dxa"/>
            <w:tcBorders>
              <w:tl2br w:val="nil"/>
              <w:tr2bl w:val="nil"/>
            </w:tcBorders>
            <w:vAlign w:val="center"/>
          </w:tcPr>
          <w:p w14:paraId="418D7BFB">
            <w:pPr>
              <w:kinsoku/>
              <w:wordWrap w:val="0"/>
              <w:topLinePunct/>
              <w:spacing w:line="360" w:lineRule="auto"/>
              <w:jc w:val="center"/>
              <w:rPr>
                <w:rFonts w:ascii="宋体" w:hAnsi="宋体" w:cs="宋体"/>
                <w:b/>
                <w:bCs/>
                <w:szCs w:val="21"/>
                <w:lang w:eastAsia="zh-TW"/>
              </w:rPr>
            </w:pPr>
            <w:r>
              <w:rPr>
                <w:rFonts w:hint="eastAsia" w:ascii="宋体" w:hAnsi="宋体" w:cs="宋体"/>
                <w:b/>
                <w:bCs/>
                <w:szCs w:val="21"/>
                <w:lang w:val="zh-TW" w:eastAsia="zh-TW"/>
              </w:rPr>
              <w:t>评分标准</w:t>
            </w:r>
          </w:p>
        </w:tc>
      </w:tr>
      <w:tr w14:paraId="18B8E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07F10B02">
            <w:pPr>
              <w:keepNext w:val="0"/>
              <w:keepLines w:val="0"/>
              <w:pageBreakBefore w:val="0"/>
              <w:widowControl/>
              <w:suppressLineNumbers w:val="0"/>
              <w:kinsoku/>
              <w:wordWrap w:val="0"/>
              <w:overflowPunct/>
              <w:topLinePunct/>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kern w:val="2"/>
                <w:szCs w:val="21"/>
                <w:lang w:val="en-US" w:eastAsia="zh-CN"/>
              </w:rPr>
            </w:pPr>
            <w:r>
              <w:rPr>
                <w:rFonts w:hint="eastAsia" w:ascii="宋体" w:hAnsi="宋体" w:eastAsia="宋体" w:cs="宋体"/>
                <w:kern w:val="2"/>
                <w:szCs w:val="21"/>
                <w:lang w:val="en-US" w:eastAsia="zh-CN"/>
              </w:rPr>
              <w:t>企业实力</w:t>
            </w:r>
          </w:p>
          <w:p w14:paraId="5931ABED">
            <w:pPr>
              <w:kinsoku/>
              <w:wordWrap w:val="0"/>
              <w:topLinePunct/>
              <w:spacing w:line="360" w:lineRule="auto"/>
              <w:jc w:val="center"/>
              <w:rPr>
                <w:rFonts w:hint="eastAsia" w:ascii="宋体" w:hAnsi="宋体" w:eastAsia="宋体" w:cs="宋体"/>
                <w:szCs w:val="21"/>
              </w:rPr>
            </w:pPr>
            <w:r>
              <w:rPr>
                <w:rFonts w:hint="eastAsia" w:ascii="宋体" w:hAnsi="宋体" w:eastAsia="宋体" w:cs="宋体"/>
                <w:kern w:val="2"/>
                <w:szCs w:val="21"/>
                <w:lang w:val="en-US" w:eastAsia="zh-CN"/>
              </w:rPr>
              <w:t>（10分）</w:t>
            </w:r>
          </w:p>
        </w:tc>
        <w:tc>
          <w:tcPr>
            <w:tcW w:w="639" w:type="dxa"/>
            <w:tcBorders>
              <w:tl2br w:val="nil"/>
              <w:tr2bl w:val="nil"/>
            </w:tcBorders>
            <w:vAlign w:val="center"/>
          </w:tcPr>
          <w:p w14:paraId="2CE9E309">
            <w:pPr>
              <w:kinsoku/>
              <w:wordWrap w:val="0"/>
              <w:topLinePunct/>
              <w:spacing w:line="360" w:lineRule="auto"/>
              <w:jc w:val="center"/>
              <w:rPr>
                <w:rFonts w:hint="eastAsia" w:ascii="宋体" w:hAnsi="宋体" w:eastAsia="宋体" w:cs="宋体"/>
                <w:szCs w:val="21"/>
                <w:lang w:eastAsia="zh-TW"/>
              </w:rPr>
            </w:pPr>
            <w:r>
              <w:rPr>
                <w:rFonts w:hint="eastAsia" w:ascii="宋体" w:hAnsi="宋体" w:eastAsia="宋体" w:cs="宋体"/>
                <w:szCs w:val="21"/>
                <w:lang w:val="en-US" w:eastAsia="zh-TW"/>
              </w:rPr>
              <w:t>10</w:t>
            </w:r>
            <w:r>
              <w:rPr>
                <w:rFonts w:hint="eastAsia" w:ascii="宋体" w:hAnsi="宋体" w:eastAsia="宋体" w:cs="宋体"/>
                <w:szCs w:val="21"/>
                <w:lang w:eastAsia="zh-TW"/>
              </w:rPr>
              <w:t>分</w:t>
            </w:r>
          </w:p>
        </w:tc>
        <w:tc>
          <w:tcPr>
            <w:tcW w:w="6757" w:type="dxa"/>
            <w:tcBorders>
              <w:tl2br w:val="nil"/>
              <w:tr2bl w:val="nil"/>
            </w:tcBorders>
            <w:vAlign w:val="center"/>
          </w:tcPr>
          <w:p w14:paraId="346FDC14">
            <w:pPr>
              <w:widowControl/>
              <w:kinsoku/>
              <w:wordWrap w:val="0"/>
              <w:autoSpaceDE/>
              <w:autoSpaceDN/>
              <w:adjustRightInd/>
              <w:snapToGrid/>
              <w:jc w:val="left"/>
              <w:textAlignment w:val="auto"/>
              <w:rPr>
                <w:rFonts w:hint="eastAsia" w:ascii="宋体" w:hAnsi="宋体" w:eastAsia="Arial" w:cs="宋体"/>
                <w:snapToGrid w:val="0"/>
                <w:color w:val="auto"/>
                <w:kern w:val="0"/>
                <w:szCs w:val="21"/>
                <w:highlight w:val="none"/>
                <w:lang w:val="en-US" w:eastAsia="zh-TW"/>
              </w:rPr>
            </w:pPr>
            <w:r>
              <w:rPr>
                <w:rFonts w:hint="eastAsia" w:ascii="宋体" w:hAnsi="宋体" w:eastAsia="Arial" w:cs="宋体"/>
                <w:snapToGrid w:val="0"/>
                <w:color w:val="auto"/>
                <w:kern w:val="0"/>
                <w:szCs w:val="21"/>
                <w:highlight w:val="none"/>
                <w:lang w:val="en-US" w:eastAsia="zh-TW"/>
              </w:rPr>
              <w:t>供应商</w:t>
            </w:r>
            <w:r>
              <w:rPr>
                <w:rFonts w:hint="eastAsia" w:ascii="宋体" w:hAnsi="宋体" w:eastAsia="Arial" w:cs="宋体"/>
                <w:color w:val="auto"/>
                <w:szCs w:val="21"/>
                <w:highlight w:val="none"/>
                <w:lang w:val="en-US" w:eastAsia="zh-TW"/>
              </w:rPr>
              <w:t>具有质量管理体系认证、环境管理体系认证、信息技术服务管理体系认证、信息安全管理体系认证、数据储存安全管理体系认证证书的，每具有一项得</w:t>
            </w:r>
            <w:r>
              <w:rPr>
                <w:rFonts w:hint="eastAsia" w:ascii="宋体" w:hAnsi="宋体" w:eastAsia="Arial" w:cs="宋体"/>
                <w:snapToGrid w:val="0"/>
                <w:color w:val="auto"/>
                <w:kern w:val="0"/>
                <w:szCs w:val="21"/>
                <w:highlight w:val="none"/>
                <w:lang w:val="en-US" w:eastAsia="zh-TW"/>
              </w:rPr>
              <w:t>2</w:t>
            </w:r>
            <w:r>
              <w:rPr>
                <w:rFonts w:hint="eastAsia" w:ascii="宋体" w:hAnsi="宋体" w:eastAsia="Arial" w:cs="宋体"/>
                <w:color w:val="auto"/>
                <w:szCs w:val="21"/>
                <w:highlight w:val="none"/>
                <w:lang w:val="en-US" w:eastAsia="zh-TW"/>
              </w:rPr>
              <w:t>分，总共</w:t>
            </w:r>
            <w:r>
              <w:rPr>
                <w:rFonts w:hint="eastAsia" w:ascii="宋体" w:hAnsi="宋体" w:eastAsia="Arial" w:cs="宋体"/>
                <w:snapToGrid w:val="0"/>
                <w:color w:val="auto"/>
                <w:kern w:val="0"/>
                <w:szCs w:val="21"/>
                <w:highlight w:val="none"/>
                <w:lang w:val="en-US" w:eastAsia="zh-TW"/>
              </w:rPr>
              <w:t>10</w:t>
            </w:r>
            <w:r>
              <w:rPr>
                <w:rFonts w:hint="eastAsia" w:ascii="宋体" w:hAnsi="宋体" w:eastAsia="Arial" w:cs="宋体"/>
                <w:color w:val="auto"/>
                <w:szCs w:val="21"/>
                <w:highlight w:val="none"/>
                <w:lang w:val="en-US" w:eastAsia="zh-TW"/>
              </w:rPr>
              <w:t>分，未提供不得分</w:t>
            </w:r>
            <w:r>
              <w:rPr>
                <w:rFonts w:hint="eastAsia" w:ascii="宋体" w:hAnsi="宋体" w:eastAsia="Arial" w:cs="宋体"/>
                <w:snapToGrid w:val="0"/>
                <w:color w:val="auto"/>
                <w:kern w:val="0"/>
                <w:szCs w:val="21"/>
                <w:highlight w:val="none"/>
                <w:lang w:val="en-US" w:eastAsia="zh-TW"/>
              </w:rPr>
              <w:t>。</w:t>
            </w:r>
          </w:p>
          <w:p w14:paraId="72150F98">
            <w:pPr>
              <w:widowControl/>
              <w:kinsoku/>
              <w:wordWrap w:val="0"/>
              <w:autoSpaceDE/>
              <w:autoSpaceDN/>
              <w:adjustRightInd/>
              <w:snapToGrid/>
              <w:jc w:val="left"/>
              <w:textAlignment w:val="auto"/>
              <w:rPr>
                <w:rFonts w:hint="eastAsia" w:ascii="宋体" w:hAnsi="宋体" w:eastAsia="Arial" w:cs="宋体"/>
                <w:snapToGrid w:val="0"/>
                <w:color w:val="auto"/>
                <w:kern w:val="0"/>
                <w:szCs w:val="21"/>
                <w:highlight w:val="none"/>
                <w:lang w:eastAsia="zh-TW"/>
              </w:rPr>
            </w:pPr>
            <w:r>
              <w:rPr>
                <w:rFonts w:hint="eastAsia" w:ascii="宋体" w:hAnsi="宋体" w:eastAsia="Arial" w:cs="宋体"/>
                <w:snapToGrid w:val="0"/>
                <w:color w:val="auto"/>
                <w:kern w:val="0"/>
                <w:szCs w:val="21"/>
                <w:highlight w:val="none"/>
                <w:lang w:eastAsia="zh-TW"/>
              </w:rPr>
              <w:t>备注：以上证明材料需在投标文件中附证书原件扫描件，并加盖公章。</w:t>
            </w:r>
          </w:p>
        </w:tc>
      </w:tr>
      <w:tr w14:paraId="4FDF8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4" w:type="dxa"/>
            <w:tcBorders>
              <w:tl2br w:val="nil"/>
              <w:tr2bl w:val="nil"/>
            </w:tcBorders>
            <w:vAlign w:val="center"/>
          </w:tcPr>
          <w:p w14:paraId="5E068727">
            <w:pPr>
              <w:kinsoku/>
              <w:wordWrap w:val="0"/>
              <w:topLinePunct/>
              <w:spacing w:line="360"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企业业绩</w:t>
            </w:r>
          </w:p>
          <w:p w14:paraId="1CD67778">
            <w:pPr>
              <w:kinsoku/>
              <w:wordWrap w:val="0"/>
              <w:topLinePunct/>
              <w:spacing w:line="360"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(5分)</w:t>
            </w:r>
          </w:p>
        </w:tc>
        <w:tc>
          <w:tcPr>
            <w:tcW w:w="639" w:type="dxa"/>
            <w:tcBorders>
              <w:tl2br w:val="nil"/>
              <w:tr2bl w:val="nil"/>
            </w:tcBorders>
            <w:vAlign w:val="center"/>
          </w:tcPr>
          <w:p w14:paraId="09242E48">
            <w:pPr>
              <w:kinsoku/>
              <w:wordWrap w:val="0"/>
              <w:topLinePunct/>
              <w:spacing w:line="360" w:lineRule="auto"/>
              <w:jc w:val="center"/>
              <w:rPr>
                <w:rFonts w:hint="eastAsia" w:ascii="宋体" w:hAnsi="宋体" w:eastAsia="宋体" w:cs="宋体"/>
                <w:szCs w:val="21"/>
                <w:lang w:eastAsia="zh-TW"/>
              </w:rPr>
            </w:pPr>
            <w:r>
              <w:rPr>
                <w:rFonts w:hint="eastAsia" w:ascii="宋体" w:hAnsi="宋体" w:eastAsia="宋体" w:cs="宋体"/>
                <w:szCs w:val="21"/>
                <w:lang w:val="en-US" w:eastAsia="zh-TW"/>
              </w:rPr>
              <w:t>5</w:t>
            </w:r>
            <w:r>
              <w:rPr>
                <w:rFonts w:hint="eastAsia" w:ascii="宋体" w:hAnsi="宋体" w:eastAsia="宋体" w:cs="宋体"/>
                <w:szCs w:val="21"/>
                <w:lang w:eastAsia="zh-TW"/>
              </w:rPr>
              <w:t>分</w:t>
            </w:r>
          </w:p>
        </w:tc>
        <w:tc>
          <w:tcPr>
            <w:tcW w:w="6757" w:type="dxa"/>
            <w:tcBorders>
              <w:tl2br w:val="nil"/>
              <w:tr2bl w:val="nil"/>
            </w:tcBorders>
            <w:vAlign w:val="center"/>
          </w:tcPr>
          <w:p w14:paraId="52AD2C22">
            <w:pPr>
              <w:widowControl/>
              <w:kinsoku/>
              <w:wordWrap w:val="0"/>
              <w:autoSpaceDE/>
              <w:autoSpaceDN/>
              <w:adjustRightInd/>
              <w:snapToGrid/>
              <w:jc w:val="left"/>
              <w:textAlignment w:val="auto"/>
              <w:rPr>
                <w:rFonts w:hint="eastAsia" w:ascii="宋体" w:hAnsi="宋体" w:eastAsia="Arial" w:cs="宋体"/>
                <w:snapToGrid w:val="0"/>
                <w:color w:val="auto"/>
                <w:kern w:val="0"/>
                <w:szCs w:val="21"/>
                <w:highlight w:val="none"/>
                <w:lang w:eastAsia="zh-TW"/>
              </w:rPr>
            </w:pPr>
            <w:r>
              <w:rPr>
                <w:rFonts w:hint="eastAsia" w:ascii="宋体" w:hAnsi="宋体" w:eastAsia="Arial" w:cs="宋体"/>
                <w:snapToGrid w:val="0"/>
                <w:color w:val="auto"/>
                <w:kern w:val="0"/>
                <w:szCs w:val="21"/>
                <w:highlight w:val="none"/>
                <w:lang w:eastAsia="zh-TW"/>
              </w:rPr>
              <w:t xml:space="preserve">供应商提供 2022年1月1日（以合同签订时间为准）以来类似项目业绩合同，每个合同得 </w:t>
            </w:r>
            <w:r>
              <w:rPr>
                <w:rFonts w:hint="eastAsia" w:ascii="宋体" w:hAnsi="宋体" w:eastAsia="Arial" w:cs="宋体"/>
                <w:snapToGrid w:val="0"/>
                <w:color w:val="auto"/>
                <w:kern w:val="0"/>
                <w:szCs w:val="21"/>
                <w:highlight w:val="none"/>
                <w:lang w:val="en-US" w:eastAsia="zh-TW"/>
              </w:rPr>
              <w:t>2.5</w:t>
            </w:r>
            <w:r>
              <w:rPr>
                <w:rFonts w:hint="eastAsia" w:ascii="宋体" w:hAnsi="宋体" w:eastAsia="Arial" w:cs="宋体"/>
                <w:snapToGrid w:val="0"/>
                <w:color w:val="auto"/>
                <w:kern w:val="0"/>
                <w:szCs w:val="21"/>
                <w:highlight w:val="none"/>
                <w:lang w:eastAsia="zh-TW"/>
              </w:rPr>
              <w:t xml:space="preserve">分，满分 </w:t>
            </w:r>
            <w:r>
              <w:rPr>
                <w:rFonts w:hint="eastAsia" w:ascii="宋体" w:hAnsi="宋体" w:eastAsia="Arial" w:cs="宋体"/>
                <w:snapToGrid w:val="0"/>
                <w:color w:val="auto"/>
                <w:kern w:val="0"/>
                <w:szCs w:val="21"/>
                <w:highlight w:val="none"/>
                <w:lang w:val="en-US" w:eastAsia="zh-TW"/>
              </w:rPr>
              <w:t>5</w:t>
            </w:r>
            <w:r>
              <w:rPr>
                <w:rFonts w:hint="eastAsia" w:ascii="宋体" w:hAnsi="宋体" w:eastAsia="Arial" w:cs="宋体"/>
                <w:snapToGrid w:val="0"/>
                <w:color w:val="auto"/>
                <w:kern w:val="0"/>
                <w:szCs w:val="21"/>
                <w:highlight w:val="none"/>
                <w:lang w:eastAsia="zh-TW"/>
              </w:rPr>
              <w:t xml:space="preserve"> 分。 </w:t>
            </w:r>
          </w:p>
          <w:p w14:paraId="23339EF3">
            <w:pPr>
              <w:widowControl/>
              <w:kinsoku/>
              <w:wordWrap w:val="0"/>
              <w:autoSpaceDE/>
              <w:autoSpaceDN/>
              <w:adjustRightInd/>
              <w:snapToGrid/>
              <w:jc w:val="left"/>
              <w:textAlignment w:val="auto"/>
              <w:rPr>
                <w:rFonts w:hint="eastAsia" w:ascii="宋体" w:hAnsi="宋体" w:eastAsia="Arial" w:cs="宋体"/>
                <w:snapToGrid w:val="0"/>
                <w:color w:val="auto"/>
                <w:kern w:val="0"/>
                <w:szCs w:val="21"/>
                <w:highlight w:val="none"/>
                <w:lang w:eastAsia="zh-TW"/>
              </w:rPr>
            </w:pPr>
            <w:r>
              <w:rPr>
                <w:rFonts w:hint="eastAsia" w:ascii="宋体" w:hAnsi="宋体" w:eastAsia="Arial" w:cs="宋体"/>
                <w:snapToGrid w:val="0"/>
                <w:color w:val="auto"/>
                <w:kern w:val="0"/>
                <w:szCs w:val="21"/>
                <w:highlight w:val="none"/>
                <w:lang w:eastAsia="zh-TW"/>
              </w:rPr>
              <w:t>注：以上证明材料投标文件内须附合同关键页复印件或扫描件（合同关键页包括合同首页、采购内容、双方签字盖章页等）并加盖供应商公章，否则不得分。</w:t>
            </w:r>
          </w:p>
        </w:tc>
      </w:tr>
    </w:tbl>
    <w:p w14:paraId="2CCB4495">
      <w:pPr>
        <w:keepNext w:val="0"/>
        <w:keepLines w:val="0"/>
        <w:pageBreakBefore w:val="0"/>
        <w:kinsoku/>
        <w:overflowPunct/>
        <w:topLinePunct w:val="0"/>
        <w:bidi w:val="0"/>
        <w:spacing w:line="360" w:lineRule="auto"/>
        <w:textAlignment w:val="auto"/>
        <w:rPr>
          <w:rFonts w:ascii="宋体" w:hAnsi="宋体" w:cs="仿宋_GB2312"/>
          <w:b/>
          <w:sz w:val="28"/>
          <w:szCs w:val="28"/>
        </w:rPr>
      </w:pPr>
      <w:bookmarkStart w:id="312" w:name="_Toc161584021"/>
      <w:bookmarkStart w:id="313" w:name="_Toc466017207"/>
      <w:bookmarkStart w:id="314" w:name="_Toc7951"/>
      <w:bookmarkStart w:id="315" w:name="_Toc13195"/>
      <w:bookmarkStart w:id="316" w:name="_Toc161584020"/>
      <w:bookmarkStart w:id="317" w:name="_Toc21064"/>
      <w:bookmarkStart w:id="318" w:name="_Toc465502579"/>
      <w:bookmarkStart w:id="319" w:name="_Toc6843"/>
      <w:bookmarkStart w:id="320" w:name="_Toc454147538"/>
      <w:bookmarkStart w:id="321" w:name="_Toc454147539"/>
      <w:bookmarkStart w:id="322" w:name="_Toc466017208"/>
      <w:bookmarkStart w:id="323" w:name="_Toc15449"/>
      <w:bookmarkStart w:id="324" w:name="_Toc161588345"/>
      <w:bookmarkStart w:id="325" w:name="_Toc465502580"/>
      <w:bookmarkStart w:id="326" w:name="_Toc19403"/>
      <w:bookmarkStart w:id="327" w:name="_Toc161588344"/>
      <w:r>
        <w:rPr>
          <w:rFonts w:hint="eastAsia" w:ascii="宋体" w:hAnsi="宋体" w:cs="仿宋_GB2312"/>
          <w:b/>
          <w:sz w:val="28"/>
          <w:szCs w:val="28"/>
        </w:rPr>
        <w:br w:type="page"/>
      </w:r>
    </w:p>
    <w:p w14:paraId="605819EB">
      <w:pPr>
        <w:keepNext w:val="0"/>
        <w:keepLines w:val="0"/>
        <w:pageBreakBefore w:val="0"/>
        <w:widowControl w:val="0"/>
        <w:tabs>
          <w:tab w:val="left" w:pos="170"/>
          <w:tab w:val="left" w:pos="303"/>
          <w:tab w:val="left" w:pos="420"/>
        </w:tabs>
        <w:kinsoku/>
        <w:wordWrap w:val="0"/>
        <w:overflowPunct/>
        <w:topLinePunct w:val="0"/>
        <w:bidi w:val="0"/>
        <w:adjustRightInd w:val="0"/>
        <w:snapToGrid w:val="0"/>
        <w:spacing w:line="360" w:lineRule="auto"/>
        <w:textAlignment w:val="auto"/>
        <w:outlineLvl w:val="1"/>
        <w:rPr>
          <w:rFonts w:ascii="宋体" w:hAnsi="宋体" w:cs="仿宋_GB2312"/>
          <w:b/>
          <w:sz w:val="28"/>
          <w:szCs w:val="28"/>
        </w:rPr>
      </w:pPr>
      <w:bookmarkStart w:id="328" w:name="_Toc27351"/>
      <w:bookmarkStart w:id="329" w:name="_Toc5288"/>
      <w:bookmarkStart w:id="330" w:name="_Toc14649"/>
      <w:r>
        <w:rPr>
          <w:rFonts w:hint="eastAsia" w:ascii="宋体" w:hAnsi="宋体" w:cs="仿宋_GB2312"/>
          <w:b/>
          <w:sz w:val="28"/>
          <w:szCs w:val="28"/>
        </w:rPr>
        <w:t>1.评审标准</w:t>
      </w:r>
      <w:bookmarkEnd w:id="328"/>
      <w:bookmarkEnd w:id="329"/>
      <w:bookmarkEnd w:id="330"/>
    </w:p>
    <w:p w14:paraId="1040CDF0">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szCs w:val="21"/>
        </w:rPr>
      </w:pPr>
      <w:r>
        <w:rPr>
          <w:rFonts w:hint="eastAsia" w:ascii="宋体" w:hAnsi="宋体" w:cs="宋体"/>
          <w:szCs w:val="21"/>
        </w:rPr>
        <w:t>1.1 评标过程将遵循“公平、公正、科学、择优”的原则进行。</w:t>
      </w:r>
    </w:p>
    <w:p w14:paraId="4391D3A9">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szCs w:val="21"/>
        </w:rPr>
      </w:pPr>
      <w:r>
        <w:rPr>
          <w:rFonts w:hint="eastAsia" w:ascii="宋体" w:hAnsi="宋体" w:cs="宋体"/>
          <w:szCs w:val="21"/>
        </w:rPr>
        <w:t>1.2 评标将严格按照招标文件的要求和条件进行。</w:t>
      </w:r>
    </w:p>
    <w:p w14:paraId="2B2AFEA8">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szCs w:val="21"/>
        </w:rPr>
      </w:pPr>
      <w:r>
        <w:rPr>
          <w:rFonts w:hint="eastAsia" w:ascii="宋体" w:hAnsi="宋体" w:cs="宋体"/>
          <w:szCs w:val="21"/>
        </w:rPr>
        <w:t>1.3 本次评标采用综合评分法。</w:t>
      </w:r>
    </w:p>
    <w:p w14:paraId="1C7B99C3">
      <w:pPr>
        <w:keepNext w:val="0"/>
        <w:keepLines w:val="0"/>
        <w:pageBreakBefore w:val="0"/>
        <w:widowControl w:val="0"/>
        <w:tabs>
          <w:tab w:val="left" w:pos="170"/>
          <w:tab w:val="left" w:pos="303"/>
          <w:tab w:val="left" w:pos="420"/>
        </w:tabs>
        <w:kinsoku/>
        <w:wordWrap w:val="0"/>
        <w:overflowPunct/>
        <w:topLinePunct w:val="0"/>
        <w:bidi w:val="0"/>
        <w:adjustRightInd w:val="0"/>
        <w:snapToGrid w:val="0"/>
        <w:spacing w:line="360" w:lineRule="auto"/>
        <w:textAlignment w:val="auto"/>
        <w:outlineLvl w:val="1"/>
        <w:rPr>
          <w:rFonts w:ascii="宋体" w:hAnsi="宋体" w:cs="宋体"/>
          <w:b/>
          <w:sz w:val="28"/>
          <w:szCs w:val="28"/>
        </w:rPr>
      </w:pPr>
      <w:bookmarkStart w:id="331" w:name="_Toc21320"/>
      <w:bookmarkStart w:id="332" w:name="_Toc4511"/>
      <w:bookmarkStart w:id="333" w:name="_Toc30715"/>
      <w:r>
        <w:rPr>
          <w:rFonts w:hint="eastAsia" w:ascii="宋体" w:hAnsi="宋体" w:cs="宋体"/>
          <w:b/>
          <w:sz w:val="28"/>
          <w:szCs w:val="28"/>
        </w:rPr>
        <w:t>2.评标程序</w:t>
      </w:r>
      <w:bookmarkEnd w:id="331"/>
      <w:bookmarkEnd w:id="332"/>
      <w:bookmarkEnd w:id="333"/>
    </w:p>
    <w:p w14:paraId="39A5BBB4">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szCs w:val="21"/>
        </w:rPr>
      </w:pPr>
      <w:r>
        <w:rPr>
          <w:rFonts w:hint="eastAsia" w:ascii="宋体" w:hAnsi="宋体" w:cs="宋体"/>
          <w:szCs w:val="21"/>
        </w:rPr>
        <w:t>2.1 资格评审标准：详见《评分办法前附表》中资格评审标准。</w:t>
      </w:r>
    </w:p>
    <w:p w14:paraId="35BF0094">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2.2 评分标准：详见《评分办法前附表》报价部分、技术部分、综合部分评审因素。</w:t>
      </w:r>
    </w:p>
    <w:p w14:paraId="745D65A2">
      <w:pPr>
        <w:tabs>
          <w:tab w:val="left" w:pos="170"/>
          <w:tab w:val="left" w:pos="303"/>
          <w:tab w:val="left" w:pos="420"/>
        </w:tabs>
        <w:wordWrap w:val="0"/>
        <w:adjustRightInd w:val="0"/>
        <w:snapToGrid w:val="0"/>
        <w:spacing w:line="360" w:lineRule="auto"/>
        <w:outlineLvl w:val="1"/>
        <w:rPr>
          <w:rFonts w:hint="eastAsia" w:ascii="宋体" w:hAnsi="宋体" w:eastAsia="宋体" w:cs="宋体"/>
          <w:b/>
          <w:sz w:val="28"/>
          <w:szCs w:val="28"/>
          <w:lang w:val="en-US" w:eastAsia="zh-CN"/>
        </w:rPr>
      </w:pPr>
      <w:bookmarkStart w:id="334" w:name="_Toc8847"/>
      <w:bookmarkStart w:id="335" w:name="_Toc8592"/>
      <w:r>
        <w:rPr>
          <w:rFonts w:hint="eastAsia" w:ascii="宋体" w:hAnsi="宋体" w:cs="宋体"/>
          <w:b/>
          <w:sz w:val="28"/>
          <w:szCs w:val="28"/>
          <w:lang w:val="en-US" w:eastAsia="zh-CN"/>
        </w:rPr>
        <w:t>3.评审</w:t>
      </w:r>
      <w:bookmarkEnd w:id="334"/>
      <w:bookmarkEnd w:id="335"/>
    </w:p>
    <w:p w14:paraId="0B1CE454">
      <w:pPr>
        <w:keepNext w:val="0"/>
        <w:keepLines w:val="0"/>
        <w:pageBreakBefore w:val="0"/>
        <w:widowControl w:val="0"/>
        <w:kinsoku/>
        <w:wordWrap w:val="0"/>
        <w:overflowPunct/>
        <w:topLinePunct w:val="0"/>
        <w:bidi w:val="0"/>
        <w:adjustRightInd w:val="0"/>
        <w:snapToGrid w:val="0"/>
        <w:spacing w:line="360" w:lineRule="auto"/>
        <w:ind w:firstLine="422" w:firstLineChars="200"/>
        <w:textAlignment w:val="auto"/>
        <w:rPr>
          <w:rFonts w:hint="eastAsia" w:ascii="宋体" w:hAnsi="宋体" w:cs="宋体"/>
          <w:b/>
          <w:bCs/>
          <w:szCs w:val="21"/>
        </w:rPr>
      </w:pPr>
      <w:r>
        <w:rPr>
          <w:rFonts w:hint="eastAsia" w:ascii="宋体" w:hAnsi="宋体" w:cs="宋体"/>
          <w:b/>
          <w:bCs/>
          <w:szCs w:val="21"/>
        </w:rPr>
        <w:t>3.1初步评审</w:t>
      </w:r>
    </w:p>
    <w:p w14:paraId="1D6414D8">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szCs w:val="21"/>
        </w:rPr>
        <w:t xml:space="preserve">3.1.1 </w:t>
      </w:r>
      <w:r>
        <w:rPr>
          <w:rFonts w:hint="eastAsia" w:ascii="宋体" w:hAnsi="宋体" w:cs="宋体"/>
          <w:szCs w:val="21"/>
          <w:lang w:val="zh-CN"/>
        </w:rPr>
        <w:t>采购人或代理机构可以要求供应商提交第二章“供应商须知”规定的有关证明。采购人或代理机构依据本章第2.1款规定的标准对投标文件进行资格评审。有一项</w:t>
      </w:r>
      <w:r>
        <w:rPr>
          <w:rFonts w:hint="eastAsia" w:ascii="宋体" w:hAnsi="宋体" w:cs="宋体"/>
          <w:lang w:val="zh-CN"/>
        </w:rPr>
        <w:t>不符合资格评审标准的，作无效投标处理。</w:t>
      </w:r>
    </w:p>
    <w:p w14:paraId="2913D997">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3.1.2 </w:t>
      </w:r>
      <w:r>
        <w:rPr>
          <w:rFonts w:hint="eastAsia" w:ascii="宋体" w:hAnsi="宋体" w:cs="宋体"/>
          <w:lang w:val="zh-CN"/>
        </w:rPr>
        <w:t>投标文件属下列情况之一的，应当在资格性、符合性检查时按照无效投标处理：</w:t>
      </w:r>
    </w:p>
    <w:p w14:paraId="0525954C">
      <w:pPr>
        <w:keepNext w:val="0"/>
        <w:keepLines w:val="0"/>
        <w:pageBreakBefore w:val="0"/>
        <w:widowControl w:val="0"/>
        <w:numPr>
          <w:ilvl w:val="0"/>
          <w:numId w:val="4"/>
        </w:numPr>
        <w:kinsoku/>
        <w:wordWrap w:val="0"/>
        <w:overflowPunct/>
        <w:topLinePunct w:val="0"/>
        <w:autoSpaceDE w:val="0"/>
        <w:autoSpaceDN w:val="0"/>
        <w:bidi w:val="0"/>
        <w:adjustRightInd w:val="0"/>
        <w:snapToGrid w:val="0"/>
        <w:spacing w:line="360" w:lineRule="auto"/>
        <w:jc w:val="left"/>
        <w:textAlignment w:val="auto"/>
        <w:rPr>
          <w:rFonts w:ascii="宋体" w:hAnsi="宋体" w:cs="宋体"/>
        </w:rPr>
      </w:pPr>
      <w:r>
        <w:rPr>
          <w:rFonts w:hint="eastAsia" w:ascii="宋体" w:hAnsi="宋体" w:cs="宋体"/>
        </w:rPr>
        <w:t>未按照招标文件规定要求签署、盖章的；</w:t>
      </w:r>
    </w:p>
    <w:p w14:paraId="7F5F5BCB">
      <w:pPr>
        <w:keepNext w:val="0"/>
        <w:keepLines w:val="0"/>
        <w:pageBreakBefore w:val="0"/>
        <w:widowControl w:val="0"/>
        <w:numPr>
          <w:ilvl w:val="0"/>
          <w:numId w:val="4"/>
        </w:numPr>
        <w:kinsoku/>
        <w:wordWrap w:val="0"/>
        <w:overflowPunct/>
        <w:topLinePunct w:val="0"/>
        <w:autoSpaceDE w:val="0"/>
        <w:autoSpaceDN w:val="0"/>
        <w:bidi w:val="0"/>
        <w:adjustRightInd w:val="0"/>
        <w:snapToGrid w:val="0"/>
        <w:spacing w:line="360" w:lineRule="auto"/>
        <w:jc w:val="left"/>
        <w:textAlignment w:val="auto"/>
        <w:rPr>
          <w:rFonts w:ascii="宋体" w:hAnsi="宋体" w:cs="宋体"/>
        </w:rPr>
      </w:pPr>
      <w:r>
        <w:rPr>
          <w:rFonts w:hint="eastAsia" w:ascii="宋体" w:hAnsi="宋体" w:cs="宋体"/>
        </w:rPr>
        <w:t>不具备招标文件中规定资格要求的；</w:t>
      </w:r>
    </w:p>
    <w:p w14:paraId="357BFB10">
      <w:pPr>
        <w:keepNext w:val="0"/>
        <w:keepLines w:val="0"/>
        <w:pageBreakBefore w:val="0"/>
        <w:widowControl w:val="0"/>
        <w:numPr>
          <w:ilvl w:val="0"/>
          <w:numId w:val="4"/>
        </w:numPr>
        <w:kinsoku/>
        <w:wordWrap w:val="0"/>
        <w:overflowPunct/>
        <w:topLinePunct w:val="0"/>
        <w:autoSpaceDE w:val="0"/>
        <w:autoSpaceDN w:val="0"/>
        <w:bidi w:val="0"/>
        <w:adjustRightInd w:val="0"/>
        <w:snapToGrid w:val="0"/>
        <w:spacing w:line="360" w:lineRule="auto"/>
        <w:jc w:val="left"/>
        <w:textAlignment w:val="auto"/>
        <w:rPr>
          <w:rFonts w:ascii="宋体" w:hAnsi="宋体" w:cs="宋体"/>
        </w:rPr>
      </w:pPr>
      <w:r>
        <w:rPr>
          <w:rFonts w:hint="eastAsia" w:ascii="宋体" w:hAnsi="宋体" w:cs="宋体"/>
        </w:rPr>
        <w:t>不符合法律、法规和招标文件中规定的其他实质性要求的。</w:t>
      </w:r>
    </w:p>
    <w:p w14:paraId="178941F9">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rPr>
      </w:pPr>
      <w:r>
        <w:rPr>
          <w:rFonts w:hint="eastAsia" w:ascii="宋体" w:hAnsi="宋体" w:cs="宋体"/>
        </w:rPr>
        <w:t>3.1.3 投标文件中开标一览表（报价表）内容与投标文件中相应内容不一致的，以开标一览表（报价表）为准；大写金额和小写金额不一致的，以大写金额为准；单价金额小数点或者百分比有明显错位的，以开标一览表的总价为准，并修改单价；总价金额与按单价汇总金额不一致的，以单价金额计算结果为准。</w:t>
      </w:r>
    </w:p>
    <w:p w14:paraId="165613B8">
      <w:pPr>
        <w:keepNext w:val="0"/>
        <w:keepLines w:val="0"/>
        <w:pageBreakBefore w:val="0"/>
        <w:widowControl w:val="0"/>
        <w:kinsoku/>
        <w:wordWrap w:val="0"/>
        <w:overflowPunct/>
        <w:topLinePunct w:val="0"/>
        <w:bidi w:val="0"/>
        <w:adjustRightInd w:val="0"/>
        <w:snapToGrid w:val="0"/>
        <w:spacing w:line="360" w:lineRule="auto"/>
        <w:ind w:firstLine="482"/>
        <w:textAlignment w:val="auto"/>
        <w:rPr>
          <w:rFonts w:ascii="宋体" w:hAnsi="宋体" w:cs="宋体"/>
        </w:rPr>
      </w:pPr>
      <w:r>
        <w:rPr>
          <w:rFonts w:hint="eastAsia" w:ascii="宋体" w:hAnsi="宋体" w:cs="宋体"/>
        </w:rPr>
        <w:t>同时出现两种以上不一致的，按照上述规定的顺序修正。评标委员会应当以书面形式要求</w:t>
      </w:r>
      <w:r>
        <w:rPr>
          <w:rFonts w:hint="eastAsia" w:ascii="宋体" w:hAnsi="宋体" w:eastAsia="宋体" w:cs="宋体"/>
          <w:lang w:eastAsia="zh-CN"/>
        </w:rPr>
        <w:t>供应商</w:t>
      </w:r>
      <w:r>
        <w:rPr>
          <w:rFonts w:hint="eastAsia" w:ascii="宋体" w:hAnsi="宋体" w:cs="宋体"/>
        </w:rPr>
        <w:t>作出必要的澄清、说明或者补正。</w:t>
      </w:r>
      <w:r>
        <w:rPr>
          <w:rFonts w:hint="eastAsia" w:ascii="宋体" w:hAnsi="宋体" w:eastAsia="宋体" w:cs="宋体"/>
          <w:lang w:eastAsia="zh-CN"/>
        </w:rPr>
        <w:t>供应商</w:t>
      </w:r>
      <w:r>
        <w:rPr>
          <w:rFonts w:hint="eastAsia" w:ascii="宋体" w:hAnsi="宋体" w:cs="宋体"/>
        </w:rPr>
        <w:t>的澄清、说明或者补正应当采用书面形式</w:t>
      </w:r>
      <w:r>
        <w:rPr>
          <w:rFonts w:hint="eastAsia" w:ascii="宋体" w:hAnsi="宋体" w:cs="宋体"/>
          <w:strike w:val="0"/>
          <w:highlight w:val="none"/>
        </w:rPr>
        <w:t>。</w:t>
      </w:r>
      <w:r>
        <w:rPr>
          <w:rFonts w:hint="eastAsia" w:ascii="宋体" w:hAnsi="宋体" w:eastAsia="宋体" w:cs="宋体"/>
          <w:lang w:eastAsia="zh-CN"/>
        </w:rPr>
        <w:t>供应商</w:t>
      </w:r>
      <w:r>
        <w:rPr>
          <w:rFonts w:hint="eastAsia" w:ascii="宋体" w:hAnsi="宋体" w:cs="宋体"/>
        </w:rPr>
        <w:t>的澄清、说明或者补正不得超出投标文件的范围或者改变投标文件的实质性内容。</w:t>
      </w:r>
    </w:p>
    <w:p w14:paraId="1307294C">
      <w:pPr>
        <w:keepNext w:val="0"/>
        <w:keepLines w:val="0"/>
        <w:pageBreakBefore w:val="0"/>
        <w:widowControl w:val="0"/>
        <w:kinsoku/>
        <w:wordWrap w:val="0"/>
        <w:overflowPunct/>
        <w:topLinePunct w:val="0"/>
        <w:bidi w:val="0"/>
        <w:adjustRightInd w:val="0"/>
        <w:snapToGrid w:val="0"/>
        <w:spacing w:line="360" w:lineRule="auto"/>
        <w:ind w:firstLine="482"/>
        <w:textAlignment w:val="auto"/>
        <w:rPr>
          <w:rFonts w:ascii="宋体" w:hAnsi="宋体" w:cs="宋体"/>
        </w:rPr>
      </w:pPr>
      <w:r>
        <w:rPr>
          <w:rFonts w:hint="eastAsia" w:ascii="宋体" w:hAnsi="宋体" w:cs="宋体"/>
        </w:rPr>
        <w:t>修正后的报价经</w:t>
      </w:r>
      <w:r>
        <w:rPr>
          <w:rFonts w:hint="eastAsia" w:ascii="宋体" w:hAnsi="宋体" w:eastAsia="宋体" w:cs="宋体"/>
          <w:lang w:eastAsia="zh-CN"/>
        </w:rPr>
        <w:t>供应商</w:t>
      </w:r>
      <w:r>
        <w:rPr>
          <w:rFonts w:hint="eastAsia" w:ascii="宋体" w:hAnsi="宋体" w:cs="宋体"/>
          <w:lang w:val="zh-CN"/>
        </w:rPr>
        <w:t>书面</w:t>
      </w:r>
      <w:r>
        <w:rPr>
          <w:rFonts w:hint="eastAsia" w:ascii="宋体" w:hAnsi="宋体" w:cs="宋体"/>
        </w:rPr>
        <w:t>确认后产生约束力，</w:t>
      </w:r>
      <w:r>
        <w:rPr>
          <w:rFonts w:hint="eastAsia" w:ascii="宋体" w:hAnsi="宋体" w:eastAsia="宋体" w:cs="宋体"/>
          <w:lang w:eastAsia="zh-CN"/>
        </w:rPr>
        <w:t>供应商</w:t>
      </w:r>
      <w:r>
        <w:rPr>
          <w:rFonts w:hint="eastAsia" w:ascii="宋体" w:hAnsi="宋体" w:cs="宋体"/>
        </w:rPr>
        <w:t>不确认的，其投标无效。</w:t>
      </w:r>
    </w:p>
    <w:p w14:paraId="0B59A89B">
      <w:pPr>
        <w:keepNext w:val="0"/>
        <w:keepLines w:val="0"/>
        <w:pageBreakBefore w:val="0"/>
        <w:widowControl w:val="0"/>
        <w:kinsoku/>
        <w:wordWrap w:val="0"/>
        <w:overflowPunct/>
        <w:topLinePunct w:val="0"/>
        <w:bidi w:val="0"/>
        <w:adjustRightInd w:val="0"/>
        <w:snapToGrid w:val="0"/>
        <w:spacing w:line="360" w:lineRule="auto"/>
        <w:ind w:firstLine="422" w:firstLineChars="200"/>
        <w:textAlignment w:val="auto"/>
        <w:rPr>
          <w:rFonts w:hint="eastAsia" w:ascii="宋体" w:hAnsi="宋体" w:cs="宋体"/>
          <w:b/>
          <w:bCs/>
          <w:szCs w:val="21"/>
        </w:rPr>
      </w:pPr>
      <w:r>
        <w:rPr>
          <w:rFonts w:hint="eastAsia" w:ascii="宋体" w:hAnsi="宋体" w:cs="宋体"/>
          <w:b/>
          <w:bCs/>
          <w:szCs w:val="21"/>
        </w:rPr>
        <w:t>3.2 详细评审</w:t>
      </w:r>
    </w:p>
    <w:p w14:paraId="0C9F167D">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3.2.1 </w:t>
      </w:r>
      <w:r>
        <w:rPr>
          <w:rFonts w:hint="eastAsia" w:ascii="宋体" w:hAnsi="宋体" w:cs="宋体"/>
          <w:lang w:val="zh-CN"/>
        </w:rPr>
        <w:t>评标委员会按本章第2.2款的评分标准进行打分，并计算出综合评审得分。</w:t>
      </w:r>
    </w:p>
    <w:p w14:paraId="04AC67E0">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3.2.2 </w:t>
      </w:r>
      <w:r>
        <w:rPr>
          <w:rFonts w:hint="eastAsia" w:ascii="宋体" w:hAnsi="宋体" w:cs="宋体"/>
          <w:lang w:val="zh-CN"/>
        </w:rPr>
        <w:t>评标委员会发现供应商的投标总报价</w:t>
      </w:r>
      <w:r>
        <w:rPr>
          <w:rFonts w:hint="eastAsia" w:ascii="宋体" w:hAnsi="宋体" w:cs="宋体"/>
        </w:rPr>
        <w:t>高</w:t>
      </w:r>
      <w:r>
        <w:rPr>
          <w:rFonts w:hint="eastAsia" w:ascii="宋体" w:hAnsi="宋体" w:cs="宋体"/>
          <w:lang w:val="zh-CN"/>
        </w:rPr>
        <w:t>于</w:t>
      </w:r>
      <w:r>
        <w:rPr>
          <w:rFonts w:hint="eastAsia" w:ascii="宋体" w:hAnsi="宋体" w:cs="宋体"/>
        </w:rPr>
        <w:t>招标文件规定的控制价</w:t>
      </w:r>
      <w:r>
        <w:rPr>
          <w:rFonts w:hint="eastAsia" w:ascii="宋体" w:hAnsi="宋体" w:cs="宋体"/>
          <w:lang w:val="zh-CN"/>
        </w:rPr>
        <w:t>，评标委员会应按无效投标处理。</w:t>
      </w:r>
    </w:p>
    <w:p w14:paraId="20C43799">
      <w:pPr>
        <w:keepNext w:val="0"/>
        <w:keepLines w:val="0"/>
        <w:pageBreakBefore w:val="0"/>
        <w:widowControl w:val="0"/>
        <w:kinsoku/>
        <w:wordWrap w:val="0"/>
        <w:overflowPunct/>
        <w:topLinePunct w:val="0"/>
        <w:bidi w:val="0"/>
        <w:adjustRightInd w:val="0"/>
        <w:snapToGrid w:val="0"/>
        <w:spacing w:line="360" w:lineRule="auto"/>
        <w:ind w:firstLine="422" w:firstLineChars="200"/>
        <w:textAlignment w:val="auto"/>
        <w:rPr>
          <w:rFonts w:hint="eastAsia" w:ascii="宋体" w:hAnsi="宋体" w:cs="宋体"/>
          <w:b/>
          <w:bCs/>
          <w:szCs w:val="21"/>
        </w:rPr>
      </w:pPr>
      <w:r>
        <w:rPr>
          <w:rFonts w:hint="eastAsia" w:ascii="宋体" w:hAnsi="宋体" w:cs="宋体"/>
          <w:b/>
          <w:bCs/>
          <w:szCs w:val="21"/>
        </w:rPr>
        <w:t>3.3 投标文件的澄清和补正</w:t>
      </w:r>
    </w:p>
    <w:p w14:paraId="1A1C5A7C">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3.3.1 </w:t>
      </w:r>
      <w:r>
        <w:rPr>
          <w:rFonts w:hint="eastAsia" w:ascii="宋体" w:hAnsi="宋体" w:cs="宋体"/>
          <w:lang w:val="zh-CN"/>
        </w:rPr>
        <w:t>在评标过程中，评标委员会可以书面形式要求供应商对所提交投标文件中不明确的内容进行书面澄清或说明，或者对细微偏差进行补正。</w:t>
      </w:r>
    </w:p>
    <w:p w14:paraId="2F6FCF0B">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3.3.2 </w:t>
      </w:r>
      <w:r>
        <w:rPr>
          <w:rFonts w:hint="eastAsia" w:ascii="宋体" w:hAnsi="宋体" w:cs="宋体"/>
          <w:lang w:val="zh-CN"/>
        </w:rPr>
        <w:t>澄清、说明和补正不得改变投标文件的实质性内容（算术性错误修正的除外）。供应商的书面澄清、说明和补正属于投标文件的组成部分。</w:t>
      </w:r>
    </w:p>
    <w:p w14:paraId="59D022DE">
      <w:pPr>
        <w:keepNext w:val="0"/>
        <w:keepLines w:val="0"/>
        <w:pageBreakBefore w:val="0"/>
        <w:widowControl w:val="0"/>
        <w:kinsoku/>
        <w:wordWrap w:val="0"/>
        <w:overflowPunct/>
        <w:topLinePunct w:val="0"/>
        <w:bidi w:val="0"/>
        <w:adjustRightInd w:val="0"/>
        <w:snapToGrid w:val="0"/>
        <w:spacing w:line="360" w:lineRule="auto"/>
        <w:ind w:firstLine="422" w:firstLineChars="200"/>
        <w:textAlignment w:val="auto"/>
        <w:rPr>
          <w:rFonts w:hint="eastAsia" w:ascii="宋体" w:hAnsi="宋体" w:cs="宋体"/>
          <w:b/>
          <w:bCs/>
          <w:szCs w:val="21"/>
        </w:rPr>
      </w:pPr>
      <w:r>
        <w:rPr>
          <w:rFonts w:hint="eastAsia" w:ascii="宋体" w:hAnsi="宋体" w:cs="宋体"/>
          <w:b/>
          <w:bCs/>
          <w:szCs w:val="21"/>
        </w:rPr>
        <w:t>3.4 评标结果</w:t>
      </w:r>
    </w:p>
    <w:p w14:paraId="6E675C05">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rPr>
      </w:pPr>
      <w:r>
        <w:rPr>
          <w:rFonts w:hint="eastAsia" w:ascii="宋体" w:hAnsi="宋体" w:cs="宋体"/>
        </w:rPr>
        <w:t xml:space="preserve">3.4.1 </w:t>
      </w:r>
      <w:r>
        <w:rPr>
          <w:rFonts w:hint="eastAsia" w:ascii="宋体" w:hAnsi="宋体" w:cs="宋体"/>
          <w:lang w:val="zh-CN"/>
        </w:rPr>
        <w:t>供应商得分=投标报价得分+</w:t>
      </w:r>
      <w:r>
        <w:rPr>
          <w:rFonts w:hint="eastAsia" w:ascii="宋体" w:hAnsi="宋体" w:cs="宋体"/>
        </w:rPr>
        <w:t>技术部分得分</w:t>
      </w:r>
      <w:r>
        <w:rPr>
          <w:rFonts w:hint="eastAsia" w:ascii="宋体" w:hAnsi="宋体" w:cs="宋体"/>
          <w:lang w:val="zh-CN"/>
        </w:rPr>
        <w:t>+</w:t>
      </w:r>
      <w:r>
        <w:rPr>
          <w:rFonts w:hint="eastAsia" w:ascii="宋体" w:hAnsi="宋体" w:cs="宋体"/>
        </w:rPr>
        <w:t>综合部分得分</w:t>
      </w:r>
    </w:p>
    <w:p w14:paraId="34D62A4C">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3.4.2 </w:t>
      </w:r>
      <w:r>
        <w:rPr>
          <w:rFonts w:hint="eastAsia" w:ascii="宋体" w:hAnsi="宋体" w:cs="宋体"/>
          <w:lang w:val="zh-CN"/>
        </w:rPr>
        <w:t>供应商最终得分为评标委员会完成评审后该供应商所有评分的算术平均值，作为该供应商最终得分。</w:t>
      </w:r>
    </w:p>
    <w:p w14:paraId="5444DAD8">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3.4.3 </w:t>
      </w:r>
      <w:r>
        <w:rPr>
          <w:rFonts w:hint="eastAsia" w:ascii="宋体" w:hAnsi="宋体" w:cs="宋体"/>
          <w:lang w:val="zh-CN"/>
        </w:rPr>
        <w:t>供应商最终得分相同的，投标报价</w:t>
      </w:r>
      <w:r>
        <w:rPr>
          <w:rFonts w:hint="eastAsia" w:ascii="宋体" w:hAnsi="宋体" w:cs="宋体"/>
        </w:rPr>
        <w:t>低</w:t>
      </w:r>
      <w:r>
        <w:rPr>
          <w:rFonts w:hint="eastAsia" w:ascii="宋体" w:hAnsi="宋体" w:cs="宋体"/>
          <w:lang w:val="zh-CN"/>
        </w:rPr>
        <w:t>的优先，</w:t>
      </w:r>
      <w:r>
        <w:rPr>
          <w:rFonts w:hint="eastAsia" w:ascii="宋体" w:hAnsi="宋体" w:cs="宋体"/>
        </w:rPr>
        <w:t>投标报价也相同的以技术得分高的优先，技术得分也相同的由采购人自行确定</w:t>
      </w:r>
      <w:r>
        <w:rPr>
          <w:rFonts w:hint="eastAsia" w:ascii="宋体" w:hAnsi="宋体" w:cs="宋体"/>
          <w:lang w:val="zh-CN"/>
        </w:rPr>
        <w:t>。</w:t>
      </w:r>
    </w:p>
    <w:p w14:paraId="0BDF4835">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3.4.4 </w:t>
      </w:r>
      <w:r>
        <w:rPr>
          <w:rFonts w:hint="eastAsia" w:ascii="宋体" w:hAnsi="宋体" w:cs="宋体"/>
          <w:lang w:val="zh-CN"/>
        </w:rPr>
        <w:t>计分过程中按四舍五入的法则，最终结果取至小数点后两位。</w:t>
      </w:r>
    </w:p>
    <w:p w14:paraId="2391D9EE">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3.4.5 </w:t>
      </w:r>
      <w:r>
        <w:rPr>
          <w:rFonts w:hint="eastAsia" w:ascii="宋体" w:hAnsi="宋体" w:cs="宋体"/>
          <w:lang w:val="zh-CN"/>
        </w:rPr>
        <w:t>评标委员会按照得分由高到低的顺序推荐</w:t>
      </w:r>
      <w:r>
        <w:rPr>
          <w:rFonts w:hint="eastAsia" w:ascii="宋体" w:hAnsi="宋体" w:cs="宋体"/>
        </w:rPr>
        <w:t>3名</w:t>
      </w:r>
      <w:r>
        <w:rPr>
          <w:rFonts w:hint="eastAsia" w:ascii="宋体" w:hAnsi="宋体" w:cs="宋体"/>
          <w:lang w:val="zh-CN"/>
        </w:rPr>
        <w:t>中标候选人。</w:t>
      </w:r>
    </w:p>
    <w:p w14:paraId="19273CE5">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3.4.6 </w:t>
      </w:r>
      <w:r>
        <w:rPr>
          <w:rFonts w:hint="eastAsia" w:ascii="宋体" w:hAnsi="宋体" w:cs="宋体"/>
          <w:lang w:val="zh-CN"/>
        </w:rPr>
        <w:t>评标委员会完成评标后，应当向采购人提交书面评标报告。</w:t>
      </w:r>
    </w:p>
    <w:p w14:paraId="59FE82F9">
      <w:pPr>
        <w:keepNext w:val="0"/>
        <w:keepLines w:val="0"/>
        <w:pageBreakBefore w:val="0"/>
        <w:widowControl w:val="0"/>
        <w:kinsoku/>
        <w:wordWrap w:val="0"/>
        <w:overflowPunct/>
        <w:topLinePunct w:val="0"/>
        <w:bidi w:val="0"/>
        <w:adjustRightInd w:val="0"/>
        <w:snapToGrid w:val="0"/>
        <w:spacing w:line="360" w:lineRule="auto"/>
        <w:ind w:firstLine="422" w:firstLineChars="200"/>
        <w:textAlignment w:val="auto"/>
        <w:rPr>
          <w:rFonts w:hint="eastAsia" w:ascii="宋体" w:hAnsi="宋体" w:cs="宋体"/>
          <w:b/>
          <w:bCs/>
          <w:szCs w:val="21"/>
          <w:lang w:val="zh-CN"/>
        </w:rPr>
      </w:pPr>
      <w:r>
        <w:rPr>
          <w:rFonts w:hint="eastAsia" w:ascii="宋体" w:hAnsi="宋体" w:cs="宋体"/>
          <w:b/>
          <w:bCs/>
          <w:szCs w:val="21"/>
        </w:rPr>
        <w:t xml:space="preserve">3.5 </w:t>
      </w:r>
      <w:r>
        <w:rPr>
          <w:rFonts w:hint="eastAsia" w:ascii="宋体" w:hAnsi="宋体" w:cs="宋体"/>
          <w:b/>
          <w:bCs/>
          <w:szCs w:val="21"/>
          <w:lang w:val="zh-CN"/>
        </w:rPr>
        <w:t>顺延中标人或重新招标</w:t>
      </w:r>
    </w:p>
    <w:p w14:paraId="5E86EC00">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lang w:val="zh-CN"/>
        </w:rPr>
        <w:t>中标人因不可抗力不能履行政府采购合同的，采购人可以与排位在中标人之后第一位的中标候选人签订政府采购合同，或者重新采购。</w:t>
      </w:r>
    </w:p>
    <w:p w14:paraId="1D0685BC">
      <w:pPr>
        <w:keepNext w:val="0"/>
        <w:keepLines w:val="0"/>
        <w:pageBreakBefore w:val="0"/>
        <w:widowControl w:val="0"/>
        <w:kinsoku/>
        <w:wordWrap w:val="0"/>
        <w:overflowPunct/>
        <w:topLinePunct w:val="0"/>
        <w:bidi w:val="0"/>
        <w:adjustRightInd w:val="0"/>
        <w:snapToGrid w:val="0"/>
        <w:spacing w:line="360" w:lineRule="auto"/>
        <w:ind w:firstLine="422" w:firstLineChars="200"/>
        <w:textAlignment w:val="auto"/>
        <w:rPr>
          <w:rFonts w:hint="eastAsia" w:ascii="宋体" w:hAnsi="宋体" w:cs="宋体"/>
          <w:b/>
          <w:bCs/>
          <w:szCs w:val="21"/>
        </w:rPr>
      </w:pPr>
      <w:r>
        <w:rPr>
          <w:rFonts w:hint="eastAsia" w:ascii="宋体" w:hAnsi="宋体" w:cs="宋体"/>
          <w:b/>
          <w:bCs/>
          <w:szCs w:val="21"/>
        </w:rPr>
        <w:t>3.6 保密及其他注意事项</w:t>
      </w:r>
    </w:p>
    <w:p w14:paraId="6F4AB297">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3.6.1 </w:t>
      </w:r>
      <w:r>
        <w:rPr>
          <w:rFonts w:hint="eastAsia" w:ascii="宋体" w:hAnsi="宋体" w:cs="宋体"/>
          <w:lang w:val="zh-CN"/>
        </w:rPr>
        <w:t>在评标期间，投标企业不得向评标委员会成员询问评标情况，不得进行旨在影响中标结果的活动。</w:t>
      </w:r>
    </w:p>
    <w:p w14:paraId="1F5C8331">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rPr>
          <w:rFonts w:ascii="宋体" w:hAnsi="宋体" w:cs="宋体"/>
          <w:lang w:val="zh-CN"/>
        </w:rPr>
      </w:pPr>
      <w:r>
        <w:rPr>
          <w:rFonts w:hint="eastAsia" w:ascii="宋体" w:hAnsi="宋体" w:cs="宋体"/>
        </w:rPr>
        <w:t xml:space="preserve">3.6.2 </w:t>
      </w:r>
      <w:r>
        <w:rPr>
          <w:rFonts w:hint="eastAsia" w:ascii="宋体" w:hAnsi="宋体" w:cs="宋体"/>
          <w:lang w:val="zh-CN"/>
        </w:rPr>
        <w:t>在评标结束后，凡与评标情况有接触的任何人不得也不应将评标情况扩散出评标委员会成员之外。</w:t>
      </w:r>
    </w:p>
    <w:p w14:paraId="3020E738">
      <w:pPr>
        <w:wordWrap w:val="0"/>
        <w:adjustRightInd w:val="0"/>
        <w:snapToGrid w:val="0"/>
        <w:spacing w:line="360" w:lineRule="auto"/>
        <w:ind w:firstLine="420" w:firstLineChars="200"/>
        <w:rPr>
          <w:rFonts w:hint="eastAsia" w:ascii="宋体" w:hAnsi="宋体" w:cs="宋体"/>
          <w:sz w:val="21"/>
          <w:szCs w:val="24"/>
        </w:rPr>
      </w:pPr>
      <w:r>
        <w:rPr>
          <w:rFonts w:hint="eastAsia" w:ascii="宋体" w:hAnsi="宋体" w:cs="宋体"/>
          <w:lang w:val="zh-CN"/>
        </w:rPr>
        <w:t>3.6.3招标代理机构不向落标方解释落标原因，不退还投标文件。</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25B9ABDB">
      <w:pPr>
        <w:keepNext w:val="0"/>
        <w:keepLines w:val="0"/>
        <w:pageBreakBefore w:val="0"/>
        <w:widowControl w:val="0"/>
        <w:tabs>
          <w:tab w:val="left" w:pos="720"/>
        </w:tabs>
        <w:kinsoku/>
        <w:overflowPunct/>
        <w:topLinePunct w:val="0"/>
        <w:bidi w:val="0"/>
        <w:spacing w:line="360" w:lineRule="auto"/>
        <w:ind w:firstLine="420" w:firstLineChars="200"/>
        <w:textAlignment w:val="auto"/>
        <w:rPr>
          <w:rFonts w:asciiTheme="minorEastAsia" w:hAnsiTheme="minorEastAsia" w:eastAsiaTheme="minorEastAsia" w:cstheme="minorEastAsia"/>
          <w:szCs w:val="28"/>
        </w:rPr>
      </w:pPr>
      <w:r>
        <w:rPr>
          <w:rFonts w:hint="eastAsia" w:asciiTheme="minorEastAsia" w:hAnsiTheme="minorEastAsia" w:eastAsiaTheme="minorEastAsia" w:cstheme="minorEastAsia"/>
          <w:bCs/>
          <w:kern w:val="0"/>
          <w:szCs w:val="21"/>
        </w:rPr>
        <w:br w:type="page"/>
      </w:r>
    </w:p>
    <w:p w14:paraId="75196F85">
      <w:pPr>
        <w:pStyle w:val="4"/>
        <w:spacing w:line="360" w:lineRule="auto"/>
        <w:ind w:right="-63" w:rightChars="-30"/>
        <w:rPr>
          <w:rFonts w:hint="eastAsia" w:ascii="Book Antiqua" w:hAnsi="Book Antiqua" w:eastAsia="宋体" w:cs="Times New Roman"/>
          <w:bCs/>
          <w:sz w:val="36"/>
          <w:szCs w:val="36"/>
        </w:rPr>
      </w:pPr>
      <w:bookmarkStart w:id="336" w:name="_Toc16055"/>
      <w:bookmarkStart w:id="337" w:name="_Toc28334"/>
      <w:bookmarkStart w:id="338" w:name="_Toc7178"/>
      <w:r>
        <w:rPr>
          <w:rFonts w:hint="eastAsia" w:ascii="Book Antiqua" w:hAnsi="Book Antiqua" w:eastAsia="宋体" w:cs="Times New Roman"/>
          <w:sz w:val="36"/>
          <w:szCs w:val="36"/>
          <w:lang w:val="en-US" w:eastAsia="zh-CN"/>
        </w:rPr>
        <w:t>第四章</w:t>
      </w:r>
      <w:r>
        <w:rPr>
          <w:rFonts w:hint="eastAsia" w:ascii="Book Antiqua" w:hAnsi="Book Antiqua" w:eastAsia="宋体" w:cs="Times New Roman"/>
          <w:sz w:val="36"/>
          <w:szCs w:val="36"/>
        </w:rPr>
        <w:t xml:space="preserve"> </w:t>
      </w:r>
      <w:bookmarkStart w:id="339" w:name="_Toc161588347"/>
      <w:r>
        <w:rPr>
          <w:rFonts w:hint="eastAsia" w:ascii="Book Antiqua" w:hAnsi="Book Antiqua" w:eastAsia="宋体" w:cs="Times New Roman"/>
          <w:sz w:val="36"/>
          <w:szCs w:val="36"/>
        </w:rPr>
        <w:t>合同条款及格式</w:t>
      </w:r>
      <w:bookmarkEnd w:id="306"/>
      <w:bookmarkEnd w:id="307"/>
      <w:bookmarkEnd w:id="308"/>
      <w:bookmarkEnd w:id="336"/>
      <w:bookmarkEnd w:id="337"/>
      <w:bookmarkEnd w:id="338"/>
      <w:bookmarkEnd w:id="339"/>
      <w:bookmarkStart w:id="340" w:name="_Toc161588348"/>
      <w:bookmarkStart w:id="341" w:name="_Toc12807"/>
    </w:p>
    <w:p w14:paraId="7E71DDFA">
      <w:pPr>
        <w:pageBreakBefore w:val="0"/>
        <w:kinsoku/>
        <w:overflowPunct/>
        <w:topLinePunct w:val="0"/>
        <w:autoSpaceDE/>
        <w:autoSpaceDN/>
        <w:bidi w:val="0"/>
        <w:spacing w:line="360" w:lineRule="auto"/>
        <w:jc w:val="center"/>
        <w:textAlignment w:val="auto"/>
        <w:rPr>
          <w:rFonts w:hint="eastAsia" w:ascii="宋体" w:hAnsi="宋体" w:cs="宋体"/>
          <w:b/>
          <w:sz w:val="28"/>
          <w:szCs w:val="28"/>
        </w:rPr>
      </w:pPr>
      <w:r>
        <w:rPr>
          <w:rFonts w:hint="eastAsia" w:ascii="宋体" w:hAnsi="宋体" w:cs="宋体"/>
          <w:b/>
          <w:sz w:val="28"/>
          <w:szCs w:val="28"/>
        </w:rPr>
        <w:t>（仅供参考</w:t>
      </w:r>
      <w:r>
        <w:rPr>
          <w:rFonts w:hint="eastAsia" w:ascii="宋体" w:hAnsi="宋体" w:cs="宋体"/>
          <w:b/>
          <w:sz w:val="28"/>
          <w:szCs w:val="28"/>
          <w:lang w:eastAsia="zh-CN"/>
        </w:rPr>
        <w:t>，</w:t>
      </w:r>
      <w:r>
        <w:rPr>
          <w:rFonts w:hint="eastAsia" w:ascii="宋体" w:hAnsi="宋体" w:cs="宋体"/>
          <w:b/>
          <w:sz w:val="28"/>
          <w:szCs w:val="28"/>
          <w:lang w:val="en-US" w:eastAsia="zh-CN"/>
        </w:rPr>
        <w:t>以最终签订合同为准</w:t>
      </w:r>
      <w:r>
        <w:rPr>
          <w:rFonts w:hint="eastAsia" w:ascii="宋体" w:hAnsi="宋体" w:cs="宋体"/>
          <w:b/>
          <w:sz w:val="28"/>
          <w:szCs w:val="28"/>
        </w:rPr>
        <w:t>）</w:t>
      </w:r>
    </w:p>
    <w:p w14:paraId="26F3F4B2">
      <w:pPr>
        <w:pStyle w:val="31"/>
        <w:rPr>
          <w:rFonts w:hint="eastAsia" w:ascii="宋体" w:hAnsi="宋体" w:cs="宋体"/>
          <w:b/>
          <w:sz w:val="28"/>
          <w:szCs w:val="28"/>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720" w:num="1"/>
          <w:docGrid w:type="lines" w:linePitch="380" w:charSpace="0"/>
        </w:sectPr>
      </w:pPr>
    </w:p>
    <w:p w14:paraId="633007FE">
      <w:pPr>
        <w:pageBreakBefore w:val="0"/>
        <w:tabs>
          <w:tab w:val="left" w:pos="42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36"/>
          <w:szCs w:val="44"/>
          <w:highlight w:val="none"/>
          <w:lang w:eastAsia="zh-CN"/>
        </w:rPr>
      </w:pPr>
      <w:r>
        <w:rPr>
          <w:rFonts w:hint="eastAsia" w:ascii="宋体" w:hAnsi="宋体" w:cs="宋体"/>
          <w:b/>
          <w:bCs/>
          <w:sz w:val="32"/>
          <w:szCs w:val="40"/>
          <w:highlight w:val="none"/>
          <w:u w:val="single"/>
          <w:lang w:val="en-US" w:eastAsia="zh-CN"/>
        </w:rPr>
        <w:t>博爱县城市生命线系统暨运行管理服务平台项目（一期）</w:t>
      </w:r>
    </w:p>
    <w:p w14:paraId="2CCB4DDA">
      <w:pPr>
        <w:pageBreakBefore w:val="0"/>
        <w:tabs>
          <w:tab w:val="left" w:pos="42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24"/>
          <w:highlight w:val="none"/>
        </w:rPr>
      </w:pPr>
      <w:r>
        <w:rPr>
          <w:rFonts w:hint="eastAsia" w:ascii="宋体" w:hAnsi="宋体" w:eastAsia="宋体" w:cs="宋体"/>
          <w:b/>
          <w:bCs/>
          <w:sz w:val="36"/>
          <w:szCs w:val="44"/>
          <w:highlight w:val="none"/>
        </w:rPr>
        <w:t>合同书</w:t>
      </w:r>
    </w:p>
    <w:p w14:paraId="4203F880">
      <w:pPr>
        <w:pageBreakBefore w:val="0"/>
        <w:tabs>
          <w:tab w:val="left" w:pos="420"/>
        </w:tabs>
        <w:kinsoku/>
        <w:overflowPunct/>
        <w:topLinePunct w:val="0"/>
        <w:autoSpaceDE/>
        <w:autoSpaceDN/>
        <w:bidi w:val="0"/>
        <w:adjustRightInd w:val="0"/>
        <w:snapToGrid w:val="0"/>
        <w:spacing w:line="360" w:lineRule="auto"/>
        <w:ind w:firstLine="480" w:firstLineChars="200"/>
        <w:jc w:val="right"/>
        <w:textAlignment w:val="auto"/>
        <w:rPr>
          <w:rFonts w:hint="eastAsia" w:ascii="宋体" w:hAnsi="宋体" w:eastAsia="宋体" w:cs="宋体"/>
          <w:sz w:val="24"/>
          <w:highlight w:val="none"/>
        </w:rPr>
      </w:pPr>
      <w:r>
        <w:rPr>
          <w:rFonts w:hint="eastAsia" w:ascii="宋体" w:hAnsi="宋体" w:eastAsia="宋体" w:cs="宋体"/>
          <w:sz w:val="24"/>
          <w:highlight w:val="none"/>
        </w:rPr>
        <w:t>合同编号：</w:t>
      </w:r>
    </w:p>
    <w:p w14:paraId="2AB4D07C">
      <w:pPr>
        <w:pageBreakBefore w:val="0"/>
        <w:tabs>
          <w:tab w:val="left" w:pos="420"/>
        </w:tabs>
        <w:kinsoku/>
        <w:overflowPunct/>
        <w:topLinePunct w:val="0"/>
        <w:autoSpaceDE/>
        <w:autoSpaceDN/>
        <w:bidi w:val="0"/>
        <w:adjustRightInd w:val="0"/>
        <w:snapToGrid w:val="0"/>
        <w:spacing w:line="360" w:lineRule="auto"/>
        <w:ind w:left="0"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需方（甲方）：</w:t>
      </w:r>
      <w:r>
        <w:rPr>
          <w:rFonts w:hint="eastAsia" w:ascii="宋体" w:hAnsi="宋体" w:eastAsia="宋体" w:cs="宋体"/>
          <w:sz w:val="24"/>
          <w:szCs w:val="24"/>
          <w:highlight w:val="none"/>
          <w:u w:val="single"/>
          <w:lang w:val="en-US" w:eastAsia="zh-CN"/>
        </w:rPr>
        <w:t xml:space="preserve">                   </w:t>
      </w:r>
    </w:p>
    <w:p w14:paraId="1E8CE6AD">
      <w:pPr>
        <w:pageBreakBefore w:val="0"/>
        <w:tabs>
          <w:tab w:val="left" w:pos="420"/>
        </w:tabs>
        <w:kinsoku/>
        <w:overflowPunct/>
        <w:topLinePunct w:val="0"/>
        <w:autoSpaceDE/>
        <w:autoSpaceDN/>
        <w:bidi w:val="0"/>
        <w:adjustRightInd w:val="0"/>
        <w:snapToGrid w:val="0"/>
        <w:spacing w:line="360" w:lineRule="auto"/>
        <w:ind w:left="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供方（乙方）：</w:t>
      </w:r>
      <w:r>
        <w:rPr>
          <w:rFonts w:hint="eastAsia" w:ascii="宋体" w:hAnsi="宋体" w:eastAsia="宋体" w:cs="宋体"/>
          <w:sz w:val="24"/>
          <w:szCs w:val="24"/>
          <w:highlight w:val="none"/>
          <w:u w:val="single"/>
          <w:lang w:val="en-US" w:eastAsia="zh-CN"/>
        </w:rPr>
        <w:t xml:space="preserve">                   </w:t>
      </w:r>
    </w:p>
    <w:p w14:paraId="76442AE9">
      <w:pPr>
        <w:keepNext w:val="0"/>
        <w:keepLines w:val="0"/>
        <w:pageBreakBefore w:val="0"/>
        <w:widowControl w:val="0"/>
        <w:tabs>
          <w:tab w:val="left" w:pos="420"/>
        </w:tabs>
        <w:kinsoku/>
        <w:wordWrap w:val="0"/>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根据《中华人民共和国政府采购法》、《中华人民共和国</w:t>
      </w:r>
      <w:r>
        <w:rPr>
          <w:rFonts w:hint="eastAsia" w:ascii="宋体" w:hAnsi="宋体" w:eastAsia="宋体" w:cs="宋体"/>
          <w:sz w:val="24"/>
          <w:szCs w:val="24"/>
          <w:highlight w:val="none"/>
          <w:lang w:val="en-US" w:eastAsia="zh-CN"/>
        </w:rPr>
        <w:t>民法典</w:t>
      </w:r>
      <w:r>
        <w:rPr>
          <w:rFonts w:hint="eastAsia" w:ascii="宋体" w:hAnsi="宋体" w:eastAsia="宋体" w:cs="宋体"/>
          <w:sz w:val="24"/>
          <w:szCs w:val="24"/>
          <w:highlight w:val="none"/>
        </w:rPr>
        <w:t>》及</w:t>
      </w:r>
      <w:r>
        <w:rPr>
          <w:rFonts w:hint="eastAsia" w:ascii="宋体" w:hAnsi="宋体" w:cs="宋体"/>
          <w:sz w:val="24"/>
          <w:szCs w:val="24"/>
          <w:highlight w:val="none"/>
          <w:u w:val="single"/>
          <w:lang w:val="en-US" w:eastAsia="zh-CN"/>
        </w:rPr>
        <w:t>博爱县城市生命线系统暨运行管理服务平台项目（一期）</w:t>
      </w:r>
      <w:r>
        <w:rPr>
          <w:rFonts w:hint="eastAsia" w:ascii="宋体" w:hAnsi="宋体" w:eastAsia="宋体" w:cs="宋体"/>
          <w:sz w:val="24"/>
          <w:szCs w:val="24"/>
          <w:highlight w:val="none"/>
        </w:rPr>
        <w:t>（项目编号：</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FED9DA9">
      <w:pPr>
        <w:keepNext w:val="0"/>
        <w:keepLines w:val="0"/>
        <w:pageBreakBefore w:val="0"/>
        <w:widowControl w:val="0"/>
        <w:numPr>
          <w:ilvl w:val="0"/>
          <w:numId w:val="5"/>
        </w:numPr>
        <w:tabs>
          <w:tab w:val="left" w:pos="420"/>
        </w:tabs>
        <w:kinsoku/>
        <w:wordWrap/>
        <w:overflowPunct/>
        <w:topLinePunct w:val="0"/>
        <w:autoSpaceDE/>
        <w:autoSpaceDN/>
        <w:bidi w:val="0"/>
        <w:adjustRightInd w:val="0"/>
        <w:snapToGrid/>
        <w:spacing w:line="360" w:lineRule="auto"/>
        <w:textAlignment w:val="auto"/>
        <w:rPr>
          <w:rFonts w:hint="eastAsia" w:ascii="宋体" w:hAnsi="宋体" w:eastAsia="宋体" w:cs="宋体"/>
          <w:b/>
          <w:bCs/>
          <w:sz w:val="24"/>
          <w:szCs w:val="24"/>
          <w:highlight w:val="none"/>
        </w:rPr>
      </w:pPr>
      <w:bookmarkStart w:id="342" w:name="_Toc217446107"/>
      <w:r>
        <w:rPr>
          <w:rFonts w:hint="eastAsia" w:ascii="宋体" w:hAnsi="宋体" w:eastAsia="宋体" w:cs="宋体"/>
          <w:b/>
          <w:bCs/>
          <w:sz w:val="24"/>
          <w:szCs w:val="24"/>
          <w:highlight w:val="none"/>
        </w:rPr>
        <w:t>合同</w:t>
      </w:r>
      <w:bookmarkEnd w:id="342"/>
      <w:r>
        <w:rPr>
          <w:rFonts w:hint="eastAsia" w:ascii="宋体" w:hAnsi="宋体" w:cs="宋体"/>
          <w:b/>
          <w:bCs/>
          <w:sz w:val="24"/>
          <w:szCs w:val="24"/>
          <w:highlight w:val="none"/>
          <w:lang w:val="en-US" w:eastAsia="zh-CN"/>
        </w:rPr>
        <w:t>金额</w:t>
      </w:r>
    </w:p>
    <w:p w14:paraId="2902C0E2">
      <w:pPr>
        <w:tabs>
          <w:tab w:val="left" w:pos="420"/>
        </w:tabs>
        <w:wordWrap w:val="0"/>
        <w:adjustRightIn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合同金额为含税金额（大写）：__________元（￥_________人民币)，包含试运行期及运维期 3 年的免费运维服务费用。最终结算金额以项目竣工结算审核价为准。</w:t>
      </w:r>
    </w:p>
    <w:p w14:paraId="6D64570E">
      <w:pPr>
        <w:pageBreakBefore w:val="0"/>
        <w:numPr>
          <w:ilvl w:val="0"/>
          <w:numId w:val="0"/>
        </w:numPr>
        <w:tabs>
          <w:tab w:val="left" w:pos="420"/>
        </w:tabs>
        <w:kinsoku/>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二、</w:t>
      </w:r>
      <w:r>
        <w:rPr>
          <w:rFonts w:hint="eastAsia" w:ascii="宋体" w:hAnsi="宋体" w:cs="宋体"/>
          <w:b/>
          <w:bCs/>
          <w:sz w:val="24"/>
          <w:szCs w:val="24"/>
          <w:highlight w:val="none"/>
          <w:lang w:val="en-US" w:eastAsia="zh-CN"/>
        </w:rPr>
        <w:t>服务范围</w:t>
      </w:r>
    </w:p>
    <w:p w14:paraId="7DA271DC">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乙方提供以下服务：指和本项目相关的服务，详见附件。</w:t>
      </w:r>
    </w:p>
    <w:p w14:paraId="2DAF2605">
      <w:pPr>
        <w:pageBreakBefore w:val="0"/>
        <w:numPr>
          <w:ilvl w:val="0"/>
          <w:numId w:val="0"/>
        </w:numPr>
        <w:tabs>
          <w:tab w:val="left" w:pos="420"/>
        </w:tabs>
        <w:kinsoku/>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三、</w:t>
      </w:r>
      <w:r>
        <w:rPr>
          <w:rFonts w:hint="eastAsia" w:ascii="宋体" w:hAnsi="宋体" w:cs="宋体"/>
          <w:b/>
          <w:bCs/>
          <w:sz w:val="24"/>
          <w:szCs w:val="24"/>
          <w:highlight w:val="none"/>
          <w:lang w:val="en-US" w:eastAsia="zh-CN"/>
        </w:rPr>
        <w:t>服务期限</w:t>
      </w:r>
    </w:p>
    <w:p w14:paraId="52B52FF2">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服务期限自合同签订之日起至运维期满止。</w:t>
      </w:r>
      <w:r>
        <w:rPr>
          <w:rFonts w:hint="eastAsia" w:ascii="宋体" w:hAnsi="宋体" w:cs="宋体"/>
          <w:sz w:val="24"/>
          <w:highlight w:val="none"/>
        </w:rPr>
        <w:t>项目经上级验收合格后进入运维期，运维期3年。</w:t>
      </w:r>
    </w:p>
    <w:p w14:paraId="774BCF12">
      <w:pPr>
        <w:pageBreakBefore w:val="0"/>
        <w:numPr>
          <w:ilvl w:val="0"/>
          <w:numId w:val="0"/>
        </w:numPr>
        <w:tabs>
          <w:tab w:val="left" w:pos="420"/>
        </w:tabs>
        <w:kinsoku/>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四、交付与验收</w:t>
      </w:r>
    </w:p>
    <w:p w14:paraId="5BF77014">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cs="宋体"/>
          <w:sz w:val="24"/>
          <w:highlight w:val="none"/>
        </w:rPr>
        <w:t>供货安装期</w:t>
      </w:r>
      <w:r>
        <w:rPr>
          <w:rFonts w:hint="eastAsia" w:ascii="宋体" w:hAnsi="宋体" w:eastAsia="宋体" w:cs="宋体"/>
          <w:sz w:val="24"/>
          <w:szCs w:val="24"/>
          <w:highlight w:val="none"/>
        </w:rPr>
        <w:t>（三个月）</w:t>
      </w:r>
    </w:p>
    <w:p w14:paraId="4593EEA8">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年</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月</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日—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年</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月</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日</w:t>
      </w:r>
    </w:p>
    <w:p w14:paraId="7BCD2630">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2.交付</w:t>
      </w:r>
    </w:p>
    <w:p w14:paraId="1E01B69F">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2.1 乙方应在交付前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日内，以书面方式通知甲方并出具监理方意见。甲方应当在接到通知的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个工作日内安排接受交付。乙方在交付前应当对所交付的项目进行功能和运行检测，以确认交付项目符合本合同的规定。</w:t>
      </w:r>
    </w:p>
    <w:p w14:paraId="037E7343">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eastAsia="宋体" w:cs="宋体"/>
          <w:sz w:val="24"/>
          <w:szCs w:val="24"/>
          <w:highlight w:val="none"/>
        </w:rPr>
        <w:t>2.2 如果由于甲方的原因而导致交付不能按时进行，由甲方出具相应</w:t>
      </w:r>
      <w:r>
        <w:rPr>
          <w:rFonts w:hint="eastAsia" w:ascii="宋体" w:hAnsi="宋体" w:cs="宋体"/>
          <w:sz w:val="24"/>
          <w:highlight w:val="none"/>
        </w:rPr>
        <w:t>延期证明，乙方将按延期时间顺延交付。</w:t>
      </w:r>
    </w:p>
    <w:p w14:paraId="39A948CB">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3.交付内容</w:t>
      </w:r>
    </w:p>
    <w:p w14:paraId="614DF238">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乙方需向甲方交付的文档内容包括：应用软件需求规格说明书和开发实施计划、实施方案、应用软件测试方案和测试报告，应用软件建设过程中的工程周报、培训记录，应用软件用户操作手册、系统安装介质和应用软件开发成果，城市运行管理服务指挥手册等甲方要求的或符合甲方合同目的实现的有关内容。以上内容需经监理方签字盖章。</w:t>
      </w:r>
    </w:p>
    <w:p w14:paraId="5A124161">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交付形式：包括但不限于计算机光盘、移动存储介质、纸介质共同形成的材料。</w:t>
      </w:r>
    </w:p>
    <w:p w14:paraId="04D82343">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4.验收</w:t>
      </w:r>
    </w:p>
    <w:p w14:paraId="2592D0CE">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default" w:ascii="宋体" w:hAnsi="宋体" w:cs="宋体"/>
          <w:sz w:val="24"/>
          <w:highlight w:val="none"/>
        </w:rPr>
      </w:pPr>
      <w:r>
        <w:rPr>
          <w:rFonts w:hint="eastAsia" w:ascii="宋体" w:hAnsi="宋体" w:cs="宋体"/>
          <w:sz w:val="24"/>
          <w:highlight w:val="none"/>
        </w:rPr>
        <w:t>项目验收分为项目建设情况初验（简称“项目初验”）、项目运行情况自验（简称“项目自验”）和项目验收三个步骤。项目初验由甲方验收组、乙方验收组和监理单位验收组等三个方面的人员组成进行初验；项目自验由甲方组织</w:t>
      </w:r>
      <w:r>
        <w:rPr>
          <w:rFonts w:hint="eastAsia" w:ascii="宋体" w:hAnsi="宋体" w:cs="宋体"/>
          <w:sz w:val="24"/>
          <w:highlight w:val="none"/>
          <w:lang w:val="en-US" w:eastAsia="zh-CN"/>
        </w:rPr>
        <w:t>相关</w:t>
      </w:r>
      <w:r>
        <w:rPr>
          <w:rFonts w:hint="eastAsia" w:ascii="宋体" w:hAnsi="宋体" w:cs="宋体"/>
          <w:sz w:val="24"/>
          <w:highlight w:val="none"/>
        </w:rPr>
        <w:t>专家（不少于 3 人）进行自验；项目验收由</w:t>
      </w:r>
      <w:r>
        <w:rPr>
          <w:rFonts w:hint="eastAsia" w:ascii="宋体" w:hAnsi="宋体" w:cs="宋体"/>
          <w:sz w:val="24"/>
          <w:highlight w:val="none"/>
          <w:lang w:val="en-US" w:eastAsia="zh-CN"/>
        </w:rPr>
        <w:t>上级单位</w:t>
      </w:r>
      <w:r>
        <w:rPr>
          <w:rFonts w:hint="eastAsia" w:ascii="宋体" w:hAnsi="宋体" w:cs="宋体"/>
          <w:sz w:val="24"/>
          <w:highlight w:val="none"/>
        </w:rPr>
        <w:t>组织相关专家进行验收。</w:t>
      </w:r>
      <w:r>
        <w:rPr>
          <w:rFonts w:hint="eastAsia" w:ascii="宋体" w:hAnsi="宋体" w:cs="宋体"/>
          <w:sz w:val="24"/>
          <w:highlight w:val="none"/>
          <w:lang w:eastAsia="zh-CN"/>
        </w:rPr>
        <w:t>（</w:t>
      </w:r>
      <w:r>
        <w:rPr>
          <w:rFonts w:hint="eastAsia" w:ascii="宋体" w:hAnsi="宋体" w:cs="宋体"/>
          <w:sz w:val="24"/>
          <w:highlight w:val="none"/>
          <w:lang w:val="en-US" w:eastAsia="zh-CN"/>
        </w:rPr>
        <w:t>验收过程中所产生的费用，由乙方全部承担）</w:t>
      </w:r>
    </w:p>
    <w:p w14:paraId="47DDACB7">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甲方验收组：由</w:t>
      </w:r>
      <w:r>
        <w:rPr>
          <w:rFonts w:hint="eastAsia" w:ascii="宋体" w:hAnsi="宋体" w:cs="宋体"/>
          <w:sz w:val="24"/>
          <w:highlight w:val="none"/>
          <w:lang w:val="en-US" w:eastAsia="zh-CN"/>
        </w:rPr>
        <w:t>博爱县</w:t>
      </w:r>
      <w:r>
        <w:rPr>
          <w:rFonts w:hint="eastAsia" w:ascii="宋体" w:hAnsi="宋体" w:cs="宋体"/>
          <w:sz w:val="24"/>
          <w:highlight w:val="none"/>
        </w:rPr>
        <w:t>城管局数字化城管技术专家/业务专家代表、业务操作人员代表、系统管理维护人员等组成。</w:t>
      </w:r>
    </w:p>
    <w:p w14:paraId="6508DFFE">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乙方验收组：由项目经理、软件开发组组长和各小组组长、软件开发组软件工程师和测试工程师代表、系统集成组长、项目管理部主要负责人等组成。</w:t>
      </w:r>
    </w:p>
    <w:p w14:paraId="2ED9ACD2">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监理验收组：由监理单位总监理工程师、监理工程师等组成。</w:t>
      </w:r>
    </w:p>
    <w:p w14:paraId="5F45C964">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项目自验及项目验收组：由</w:t>
      </w:r>
      <w:r>
        <w:rPr>
          <w:rFonts w:hint="eastAsia" w:ascii="宋体" w:hAnsi="宋体" w:cs="宋体"/>
          <w:sz w:val="24"/>
          <w:highlight w:val="none"/>
          <w:lang w:val="en-US" w:eastAsia="zh-CN"/>
        </w:rPr>
        <w:t>上级单位</w:t>
      </w:r>
      <w:r>
        <w:rPr>
          <w:rFonts w:hint="eastAsia" w:ascii="宋体" w:hAnsi="宋体" w:cs="宋体"/>
          <w:sz w:val="24"/>
          <w:highlight w:val="none"/>
        </w:rPr>
        <w:t>专家组成。</w:t>
      </w:r>
    </w:p>
    <w:p w14:paraId="07FD86B4">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4.1 项目初验</w:t>
      </w:r>
    </w:p>
    <w:p w14:paraId="2CDCBAB9">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项目设备全部安装调试到位且系统功能基本建设完成后，对照《河南省城市运行管理服务平台验收办法（试行）》（豫建城管〔2025〕41 号），由甲方组织相关人员共同验收并形成书面记录，初验通过后进入试运行。</w:t>
      </w:r>
    </w:p>
    <w:p w14:paraId="6891F18D">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4.2 项目自验</w:t>
      </w:r>
    </w:p>
    <w:p w14:paraId="432B4DB9">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 xml:space="preserve">系统试运行三个月后，甲方应及时进行项目自验。乙方应当以书面形式向甲方递交自验通知书，甲方在收到自验通知书后的 </w:t>
      </w:r>
      <w:r>
        <w:rPr>
          <w:rFonts w:hint="eastAsia" w:ascii="宋体" w:hAnsi="宋体" w:cs="宋体"/>
          <w:sz w:val="24"/>
          <w:highlight w:val="none"/>
          <w:lang w:eastAsia="zh-CN"/>
        </w:rPr>
        <w:t xml:space="preserve"> </w:t>
      </w:r>
      <w:r>
        <w:rPr>
          <w:rFonts w:hint="eastAsia" w:ascii="宋体" w:hAnsi="宋体" w:cs="宋体"/>
          <w:sz w:val="24"/>
          <w:highlight w:val="none"/>
          <w:lang w:val="en-US" w:eastAsia="zh-CN"/>
        </w:rPr>
        <w:t xml:space="preserve">  </w:t>
      </w:r>
      <w:r>
        <w:rPr>
          <w:rFonts w:hint="eastAsia" w:ascii="宋体" w:hAnsi="宋体" w:cs="宋体"/>
          <w:sz w:val="24"/>
          <w:highlight w:val="none"/>
        </w:rPr>
        <w:t xml:space="preserve"> 个工作日内，确定具体日期，由甲方委托</w:t>
      </w:r>
      <w:r>
        <w:rPr>
          <w:rFonts w:hint="eastAsia" w:ascii="宋体" w:hAnsi="宋体" w:cs="宋体"/>
          <w:sz w:val="24"/>
          <w:highlight w:val="none"/>
          <w:lang w:val="en-US" w:eastAsia="zh-CN"/>
        </w:rPr>
        <w:t>上级单位</w:t>
      </w:r>
      <w:r>
        <w:rPr>
          <w:rFonts w:hint="eastAsia" w:ascii="宋体" w:hAnsi="宋体" w:cs="宋体"/>
          <w:sz w:val="24"/>
          <w:highlight w:val="none"/>
        </w:rPr>
        <w:t>专家组进行自验，对此乙方应当配合。</w:t>
      </w:r>
    </w:p>
    <w:p w14:paraId="34749BAF">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4.2.1 如果属于乙方原因致使系统未能通过自验，乙方应当排除故障，并自行承担相关费用，同时延长试运行期，直至系统完全符合项目自验标准。</w:t>
      </w:r>
    </w:p>
    <w:p w14:paraId="54D77CA7">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4.3 项目验收</w:t>
      </w:r>
    </w:p>
    <w:p w14:paraId="0CB5082E">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项目自验结束后，由甲方向</w:t>
      </w:r>
      <w:r>
        <w:rPr>
          <w:rFonts w:hint="eastAsia" w:ascii="宋体" w:hAnsi="宋体" w:cs="宋体"/>
          <w:sz w:val="24"/>
          <w:highlight w:val="none"/>
          <w:lang w:val="en-US" w:eastAsia="zh-CN"/>
        </w:rPr>
        <w:t>上级单位</w:t>
      </w:r>
      <w:r>
        <w:rPr>
          <w:rFonts w:hint="eastAsia" w:ascii="宋体" w:hAnsi="宋体" w:cs="宋体"/>
          <w:sz w:val="24"/>
          <w:highlight w:val="none"/>
        </w:rPr>
        <w:t>提交验收申请，</w:t>
      </w:r>
      <w:r>
        <w:rPr>
          <w:rFonts w:hint="eastAsia" w:ascii="宋体" w:hAnsi="宋体" w:cs="宋体"/>
          <w:sz w:val="24"/>
          <w:highlight w:val="none"/>
          <w:lang w:val="en-US" w:eastAsia="zh-CN"/>
        </w:rPr>
        <w:t>上级单位</w:t>
      </w:r>
      <w:r>
        <w:rPr>
          <w:rFonts w:hint="eastAsia" w:ascii="宋体" w:hAnsi="宋体" w:cs="宋体"/>
          <w:sz w:val="24"/>
          <w:highlight w:val="none"/>
        </w:rPr>
        <w:t>组织验收，本项目以此次验收结果为最终目标。</w:t>
      </w:r>
    </w:p>
    <w:p w14:paraId="77782F25">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highlight w:val="none"/>
        </w:rPr>
        <w:t>4.4 乙方须免费提供原系统涉及的数据、软件、设备及系统的迁移，保证甲方正常使用。</w:t>
      </w:r>
    </w:p>
    <w:p w14:paraId="66E3DEB8">
      <w:pPr>
        <w:pageBreakBefore w:val="0"/>
        <w:numPr>
          <w:ilvl w:val="0"/>
          <w:numId w:val="0"/>
        </w:numPr>
        <w:tabs>
          <w:tab w:val="left" w:pos="420"/>
        </w:tabs>
        <w:kinsoku/>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五、</w:t>
      </w:r>
      <w:r>
        <w:rPr>
          <w:rFonts w:hint="eastAsia" w:ascii="宋体" w:hAnsi="宋体" w:cs="宋体"/>
          <w:b/>
          <w:bCs/>
          <w:sz w:val="24"/>
          <w:szCs w:val="24"/>
          <w:highlight w:val="none"/>
          <w:lang w:val="en-US" w:eastAsia="zh-CN"/>
        </w:rPr>
        <w:t>付款方式</w:t>
      </w:r>
    </w:p>
    <w:p w14:paraId="4EB6355D">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highlight w:val="none"/>
        </w:rPr>
        <w:t>项目实施建设完成经初验后进入试运行（试运行期间费用由供应商承担），试运行3个月后，筹备进行项目上级验收工作，上级验收通过后，支付50%；通过上级验收之日起，开始计入运维服务期，第一年运维期满支付合同价款的30%；第三年运维期满支付剩余价款。</w:t>
      </w:r>
    </w:p>
    <w:p w14:paraId="2D60C925">
      <w:pPr>
        <w:pageBreakBefore w:val="0"/>
        <w:numPr>
          <w:ilvl w:val="0"/>
          <w:numId w:val="0"/>
        </w:numPr>
        <w:tabs>
          <w:tab w:val="left" w:pos="420"/>
        </w:tabs>
        <w:kinsoku/>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六、</w:t>
      </w:r>
      <w:r>
        <w:rPr>
          <w:rFonts w:hint="eastAsia" w:ascii="宋体" w:hAnsi="宋体" w:cs="宋体"/>
          <w:b/>
          <w:bCs/>
          <w:color w:val="auto"/>
          <w:sz w:val="24"/>
          <w:szCs w:val="24"/>
          <w:highlight w:val="none"/>
          <w:lang w:val="en-US" w:eastAsia="zh-CN"/>
        </w:rPr>
        <w:t>后期服务</w:t>
      </w:r>
    </w:p>
    <w:p w14:paraId="1B08DD55">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1.乙方提供服务的质量保证期为通过</w:t>
      </w:r>
      <w:r>
        <w:rPr>
          <w:rFonts w:hint="eastAsia" w:ascii="宋体" w:hAnsi="宋体" w:cs="宋体"/>
          <w:color w:val="auto"/>
          <w:sz w:val="24"/>
          <w:szCs w:val="24"/>
          <w:highlight w:val="none"/>
          <w:lang w:val="en-US" w:eastAsia="zh-CN"/>
        </w:rPr>
        <w:t>上级验收</w:t>
      </w:r>
      <w:r>
        <w:rPr>
          <w:rFonts w:hint="eastAsia" w:ascii="宋体" w:hAnsi="宋体" w:eastAsia="宋体" w:cs="宋体"/>
          <w:color w:val="auto"/>
          <w:sz w:val="24"/>
          <w:szCs w:val="24"/>
          <w:highlight w:val="none"/>
        </w:rPr>
        <w:t>之日起 3 年。若国家有明确规定的质量保证期高于此质量保证期的，执行国家规定。</w:t>
      </w:r>
    </w:p>
    <w:p w14:paraId="02405469">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2.服务期内，乙方应提供相关服务支持。对甲方所反映的任何服务问题在 2 小时之内做出及时响应，在 8 小时之内赶到现场实地解决问题。若问题在 48 小时后仍无法解决，乙方应免费提供服务的替换方案，直至服务恢复正常。</w:t>
      </w:r>
    </w:p>
    <w:p w14:paraId="2D85C6FB">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3.乙方必须遵守甲方的有关管理制度、操作规程。</w:t>
      </w:r>
    </w:p>
    <w:p w14:paraId="3B64D86D">
      <w:pPr>
        <w:pageBreakBefore w:val="0"/>
        <w:numPr>
          <w:ilvl w:val="0"/>
          <w:numId w:val="0"/>
        </w:numPr>
        <w:tabs>
          <w:tab w:val="left" w:pos="420"/>
        </w:tabs>
        <w:kinsoku/>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七、</w:t>
      </w:r>
      <w:r>
        <w:rPr>
          <w:rFonts w:hint="eastAsia" w:ascii="宋体" w:hAnsi="宋体" w:cs="宋体"/>
          <w:b/>
          <w:bCs/>
          <w:color w:val="auto"/>
          <w:sz w:val="24"/>
          <w:szCs w:val="24"/>
          <w:highlight w:val="none"/>
          <w:lang w:val="en-US" w:eastAsia="zh-CN"/>
        </w:rPr>
        <w:t>人员培训</w:t>
      </w:r>
    </w:p>
    <w:p w14:paraId="6107B69C">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了保证系统稳定运行，提高系统使用效率，乙方需要对甲方提供全方位的培训，培训对象包括甲方的操作人员、信息采集员、各级平台操作人员、各专业部门操作人员、各级领导和系统管理人员，培训次数不少于</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2 次，每次培训时间不少于 1 小时。通过培训，使受训的技术人员能够了解和熟悉整个系统的结构及其功能，掌握系统安装、检测、维护和排除故障的基本技术和技巧，熟悉系统的设计原理和工作方式，掌握系统的工作流程和操作方法，协助甲方建立一支技术过硬、业务精通的应用及维护队伍。</w:t>
      </w:r>
    </w:p>
    <w:p w14:paraId="25B89C46">
      <w:pPr>
        <w:pageBreakBefore w:val="0"/>
        <w:numPr>
          <w:ilvl w:val="0"/>
          <w:numId w:val="0"/>
        </w:numPr>
        <w:tabs>
          <w:tab w:val="left" w:pos="420"/>
        </w:tabs>
        <w:kinsoku/>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八、知识产权归属</w:t>
      </w:r>
    </w:p>
    <w:p w14:paraId="7EEB37B1">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1.乙方需确保提供的货物或系统无任何产权纠纷，并确保正常使用。否则需向甲方承担合同标的额 20%的违约金，并赔偿因此造成的损失</w:t>
      </w:r>
      <w:r>
        <w:rPr>
          <w:rFonts w:hint="eastAsia" w:ascii="宋体" w:hAnsi="宋体" w:cs="宋体"/>
          <w:sz w:val="24"/>
          <w:szCs w:val="24"/>
          <w:highlight w:val="none"/>
          <w:lang w:eastAsia="zh-CN"/>
        </w:rPr>
        <w:t>。</w:t>
      </w:r>
    </w:p>
    <w:p w14:paraId="3D888933">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2.本项目形成的数据资产、定制化软件源码、设计文档等知识产权归甲方所有。未经甲方书面授权或同意，乙方不得将其交由第三方使用。</w:t>
      </w:r>
    </w:p>
    <w:p w14:paraId="79EB4D48">
      <w:pPr>
        <w:pageBreakBefore w:val="0"/>
        <w:numPr>
          <w:ilvl w:val="0"/>
          <w:numId w:val="0"/>
        </w:numPr>
        <w:tabs>
          <w:tab w:val="left" w:pos="420"/>
        </w:tabs>
        <w:kinsoku/>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九、</w:t>
      </w:r>
      <w:r>
        <w:rPr>
          <w:rFonts w:hint="eastAsia" w:ascii="宋体" w:hAnsi="宋体" w:cs="宋体"/>
          <w:b/>
          <w:bCs/>
          <w:sz w:val="24"/>
          <w:szCs w:val="24"/>
          <w:highlight w:val="none"/>
          <w:lang w:val="en-US" w:eastAsia="zh-CN"/>
        </w:rPr>
        <w:t>保密</w:t>
      </w:r>
    </w:p>
    <w:p w14:paraId="1E48ED39">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eastAsia="宋体" w:cs="宋体"/>
          <w:sz w:val="24"/>
          <w:szCs w:val="24"/>
          <w:highlight w:val="none"/>
        </w:rPr>
        <w:t>对于甲方提供的任何以口头、书面、图表或电子形式存在的以下情形，</w:t>
      </w:r>
      <w:r>
        <w:rPr>
          <w:rFonts w:hint="eastAsia" w:ascii="宋体" w:hAnsi="宋体" w:cs="宋体"/>
          <w:sz w:val="24"/>
          <w:highlight w:val="none"/>
        </w:rPr>
        <w:t>乙方有保密的义务，未经甲方书面同意，不得向社会公众或第三方通过任何途径出示、泄露，不得许可使用，不得对以下信息进行复制、传播、销售等。本保密条款不因本合同的无效、终止、解除、撤销而失去效力：</w:t>
      </w:r>
    </w:p>
    <w:p w14:paraId="5259F5EF">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1.任何涉及甲方过去、现在或未来的计划、规章制度、操作规程、处理手段、财务信息；</w:t>
      </w:r>
    </w:p>
    <w:p w14:paraId="09148B17">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2.任何与甲方的技术措施、技术方案、软件应用及开发、硬件设备的品种、质量、数量、品牌等相关信息；</w:t>
      </w:r>
    </w:p>
    <w:p w14:paraId="115904C5">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3.任何与甲方的技术秘密或专有知识、文件、报告、数据、客户软件、流程图、数据库、发明、知识及贸易秘密相关信息，无论上述信息是否享有知识产权；</w:t>
      </w:r>
    </w:p>
    <w:p w14:paraId="6A32CCDB">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cs="宋体"/>
          <w:sz w:val="24"/>
          <w:highlight w:val="none"/>
        </w:rPr>
        <w:t>4.有特殊保密要求，甲乙双方另行签订补充合同。</w:t>
      </w:r>
    </w:p>
    <w:p w14:paraId="654F1851">
      <w:pPr>
        <w:pageBreakBefore w:val="0"/>
        <w:tabs>
          <w:tab w:val="left" w:pos="420"/>
        </w:tabs>
        <w:kinsoku/>
        <w:overflowPunct/>
        <w:topLinePunct w:val="0"/>
        <w:autoSpaceDE/>
        <w:autoSpaceDN/>
        <w:bidi w:val="0"/>
        <w:adjustRightInd w:val="0"/>
        <w:snapToGrid w:val="0"/>
        <w:spacing w:line="360" w:lineRule="auto"/>
        <w:ind w:left="0" w:firstLine="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十、违约责任与赔偿损失</w:t>
      </w:r>
    </w:p>
    <w:p w14:paraId="0D700B0A">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1.乙方提供的服务不符合本合同规定的，甲方有权拒收，并且乙方须向甲方支付本合同总价 5%的违约金。</w:t>
      </w:r>
    </w:p>
    <w:p w14:paraId="726B44DE">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2.乙方未能按本合同规定的交货时间提供服务，从逾期之日起每日按本合同总价 1‰ 的数额向甲方支付违约金；逾期半个月以上的，甲方有权终止合同，由此造成的甲方经济损失由乙方承担。</w:t>
      </w:r>
    </w:p>
    <w:p w14:paraId="314ABC17">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3.甲方无正当理由拒绝接受服务，甲方向乙方偿付本合同总价 5%的违约金。甲方如逾期付款，则每日按本合同总价的 1‰向乙方偿付违约金（因财政拨款问题导致的延期支付，甲方不承担任何违约责任，且乙方应保证在合同期间不间断持续供货及服务）。</w:t>
      </w:r>
    </w:p>
    <w:p w14:paraId="5029131A">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4.未经甲方书面授权或同意，乙方不得以任何方式将项目转交给第三方或由第三方提供相关服务，否则，甲方有权单方解除本合同，并要求乙方承担本合同总价 30%的违约金。</w:t>
      </w:r>
    </w:p>
    <w:p w14:paraId="19F6F99A">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5.对甲方所反映的任何服务问题在 48 小时后仍无法解决，且乙方超过 72 小时仍未能免费提供合适的替换方案的，从 72 小时后起，乙方须每日按本合同总价 0.1‰的数额向甲方支付违约金，直至服务恢复正常。</w:t>
      </w:r>
    </w:p>
    <w:p w14:paraId="1132242E">
      <w:pPr>
        <w:pageBreakBefore w:val="0"/>
        <w:numPr>
          <w:ilvl w:val="0"/>
          <w:numId w:val="0"/>
        </w:numPr>
        <w:tabs>
          <w:tab w:val="left" w:pos="420"/>
        </w:tabs>
        <w:kinsoku/>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highlight w:val="none"/>
        </w:rPr>
      </w:pPr>
      <w:r>
        <w:rPr>
          <w:rFonts w:hint="eastAsia" w:ascii="宋体" w:hAnsi="宋体" w:cs="宋体"/>
          <w:sz w:val="24"/>
          <w:highlight w:val="none"/>
        </w:rPr>
        <w:t>6.其它违约责任按《中华人民共和国民法典》处理。</w:t>
      </w:r>
    </w:p>
    <w:p w14:paraId="0326AAD5">
      <w:pPr>
        <w:keepNext w:val="0"/>
        <w:keepLines w:val="0"/>
        <w:widowControl/>
        <w:suppressLineNumbers w:val="0"/>
        <w:tabs>
          <w:tab w:val="left" w:pos="420"/>
        </w:tabs>
        <w:adjustRightInd w:val="0"/>
        <w:snapToGrid w:val="0"/>
        <w:spacing w:line="360" w:lineRule="auto"/>
        <w:jc w:val="left"/>
        <w:rPr>
          <w:rFonts w:hint="eastAsia" w:ascii="宋体" w:hAnsi="宋体" w:cs="宋体"/>
          <w:b/>
          <w:bCs/>
          <w:sz w:val="24"/>
          <w:highlight w:val="none"/>
        </w:rPr>
      </w:pPr>
      <w:r>
        <w:rPr>
          <w:rFonts w:hint="eastAsia" w:ascii="宋体" w:hAnsi="宋体" w:eastAsia="宋体" w:cs="宋体"/>
          <w:b/>
          <w:bCs/>
          <w:color w:val="auto"/>
          <w:kern w:val="2"/>
          <w:sz w:val="24"/>
          <w:szCs w:val="24"/>
          <w:highlight w:val="none"/>
          <w:lang w:val="en-US" w:eastAsia="zh-CN" w:bidi="ar"/>
        </w:rPr>
        <w:t xml:space="preserve">十一、争议的解决 </w:t>
      </w:r>
    </w:p>
    <w:p w14:paraId="7E9EA41D">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eastAsia="宋体" w:cs="宋体"/>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本合同的签订和履行适用中华人民共和国法律，因履行合同发生的争议，由甲乙双方直接协商解决，如协商不成可向甲方所在地人民法院起诉解决。</w:t>
      </w:r>
    </w:p>
    <w:p w14:paraId="0E2EEF3F">
      <w:pPr>
        <w:keepNext w:val="0"/>
        <w:keepLines w:val="0"/>
        <w:widowControl/>
        <w:suppressLineNumbers w:val="0"/>
        <w:tabs>
          <w:tab w:val="left" w:pos="420"/>
        </w:tabs>
        <w:adjustRightInd w:val="0"/>
        <w:snapToGrid w:val="0"/>
        <w:spacing w:line="360" w:lineRule="auto"/>
        <w:jc w:val="left"/>
        <w:rPr>
          <w:rFonts w:hint="eastAsia" w:ascii="宋体" w:hAnsi="宋体" w:cs="宋体"/>
          <w:b/>
          <w:bCs/>
          <w:sz w:val="24"/>
          <w:highlight w:val="none"/>
          <w:lang w:bidi="ar"/>
        </w:rPr>
      </w:pPr>
      <w:r>
        <w:rPr>
          <w:rFonts w:hint="eastAsia" w:ascii="宋体" w:hAnsi="宋体" w:eastAsia="宋体" w:cs="宋体"/>
          <w:b/>
          <w:bCs/>
          <w:color w:val="auto"/>
          <w:kern w:val="2"/>
          <w:sz w:val="24"/>
          <w:szCs w:val="24"/>
          <w:highlight w:val="none"/>
          <w:lang w:val="en-US" w:eastAsia="zh-CN" w:bidi="ar"/>
        </w:rPr>
        <w:t xml:space="preserve">十二、不可抗力 </w:t>
      </w:r>
    </w:p>
    <w:p w14:paraId="53796B64">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r>
        <w:rPr>
          <w:rFonts w:hint="eastAsia" w:ascii="宋体" w:hAnsi="宋体" w:eastAsia="宋体" w:cs="宋体"/>
          <w:color w:val="auto"/>
          <w:kern w:val="2"/>
          <w:sz w:val="24"/>
          <w:szCs w:val="24"/>
          <w:highlight w:val="none"/>
          <w:lang w:val="en-US" w:eastAsia="zh-CN" w:bidi="ar"/>
        </w:rPr>
        <w:t>1.定义：本合同所称不可抗力指签订合同时不可预见、不可避免且不可克服的客观事件，包括自然灾害、政府行为、社会异常事件及网络安全重大事故等。（具体定义依据《民法典》等法律法规对不可抗力的规定）</w:t>
      </w:r>
    </w:p>
    <w:p w14:paraId="68BEAA7F">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r>
        <w:rPr>
          <w:rFonts w:hint="eastAsia" w:ascii="宋体" w:hAnsi="宋体" w:eastAsia="宋体" w:cs="宋体"/>
          <w:color w:val="auto"/>
          <w:kern w:val="2"/>
          <w:sz w:val="24"/>
          <w:szCs w:val="24"/>
          <w:highlight w:val="none"/>
          <w:lang w:val="en-US" w:eastAsia="zh-CN" w:bidi="ar"/>
        </w:rPr>
        <w:t>2.通知义务：受影响方应在事件发生后 5 个工作日内书面通知对方，并提交相关证明。</w:t>
      </w:r>
    </w:p>
    <w:p w14:paraId="6A28574B">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r>
        <w:rPr>
          <w:rFonts w:hint="eastAsia" w:ascii="宋体" w:hAnsi="宋体" w:eastAsia="宋体" w:cs="宋体"/>
          <w:color w:val="auto"/>
          <w:kern w:val="2"/>
          <w:sz w:val="24"/>
          <w:szCs w:val="24"/>
          <w:highlight w:val="none"/>
          <w:lang w:val="en-US" w:eastAsia="zh-CN" w:bidi="ar"/>
        </w:rPr>
        <w:t xml:space="preserve">3.合同处理：事件持续不超过 30 日的，双方协商顺延项目工期；超过 30 日的，任何一方可书面通知解除合同，已完成工作按实结算。 </w:t>
      </w:r>
    </w:p>
    <w:p w14:paraId="1173E82D">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r>
        <w:rPr>
          <w:rFonts w:hint="eastAsia" w:ascii="宋体" w:hAnsi="宋体" w:eastAsia="宋体" w:cs="宋体"/>
          <w:color w:val="auto"/>
          <w:kern w:val="2"/>
          <w:sz w:val="24"/>
          <w:szCs w:val="24"/>
          <w:highlight w:val="none"/>
          <w:lang w:val="en-US" w:eastAsia="zh-CN" w:bidi="ar"/>
        </w:rPr>
        <w:t xml:space="preserve">4.责任限制：因不可抗力造成的损失，双方互不索赔，但应尽力减少损失。 </w:t>
      </w:r>
    </w:p>
    <w:p w14:paraId="1B48EDD6">
      <w:pPr>
        <w:keepNext w:val="0"/>
        <w:keepLines w:val="0"/>
        <w:widowControl/>
        <w:suppressLineNumbers w:val="0"/>
        <w:tabs>
          <w:tab w:val="left" w:pos="420"/>
        </w:tabs>
        <w:adjustRightInd w:val="0"/>
        <w:snapToGrid w:val="0"/>
        <w:spacing w:line="360" w:lineRule="auto"/>
        <w:jc w:val="left"/>
        <w:rPr>
          <w:rFonts w:hint="eastAsia" w:ascii="宋体" w:hAnsi="宋体" w:cs="宋体"/>
          <w:b/>
          <w:bCs/>
          <w:sz w:val="24"/>
          <w:highlight w:val="none"/>
          <w:lang w:bidi="ar"/>
        </w:rPr>
      </w:pPr>
      <w:r>
        <w:rPr>
          <w:rFonts w:hint="eastAsia" w:ascii="宋体" w:hAnsi="宋体" w:eastAsia="宋体" w:cs="宋体"/>
          <w:b/>
          <w:bCs/>
          <w:color w:val="auto"/>
          <w:kern w:val="2"/>
          <w:sz w:val="24"/>
          <w:szCs w:val="24"/>
          <w:highlight w:val="none"/>
          <w:lang w:val="en-US" w:eastAsia="zh-CN" w:bidi="ar"/>
        </w:rPr>
        <w:t xml:space="preserve">十三、税费 </w:t>
      </w:r>
    </w:p>
    <w:p w14:paraId="52D05D6D">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r>
        <w:rPr>
          <w:rFonts w:hint="eastAsia" w:ascii="宋体" w:hAnsi="宋体" w:eastAsia="宋体" w:cs="宋体"/>
          <w:color w:val="auto"/>
          <w:kern w:val="2"/>
          <w:sz w:val="24"/>
          <w:szCs w:val="24"/>
          <w:highlight w:val="none"/>
          <w:lang w:val="en-US" w:eastAsia="zh-CN" w:bidi="ar"/>
        </w:rPr>
        <w:t>在中国境内、外发生的与本合同执行有关的一切税费均由乙方负担。</w:t>
      </w:r>
    </w:p>
    <w:p w14:paraId="69861156">
      <w:pPr>
        <w:keepNext w:val="0"/>
        <w:keepLines w:val="0"/>
        <w:widowControl/>
        <w:suppressLineNumbers w:val="0"/>
        <w:tabs>
          <w:tab w:val="left" w:pos="420"/>
        </w:tabs>
        <w:adjustRightInd w:val="0"/>
        <w:snapToGrid w:val="0"/>
        <w:spacing w:line="360" w:lineRule="auto"/>
        <w:jc w:val="left"/>
        <w:rPr>
          <w:rFonts w:hint="eastAsia" w:ascii="宋体" w:hAnsi="宋体" w:cs="宋体"/>
          <w:b/>
          <w:bCs/>
          <w:sz w:val="24"/>
          <w:highlight w:val="none"/>
          <w:lang w:bidi="ar"/>
        </w:rPr>
      </w:pPr>
      <w:r>
        <w:rPr>
          <w:rFonts w:hint="eastAsia" w:ascii="宋体" w:hAnsi="宋体" w:eastAsia="宋体" w:cs="宋体"/>
          <w:b/>
          <w:bCs/>
          <w:color w:val="auto"/>
          <w:kern w:val="2"/>
          <w:sz w:val="24"/>
          <w:szCs w:val="24"/>
          <w:highlight w:val="none"/>
          <w:lang w:val="en-US" w:eastAsia="zh-CN" w:bidi="ar"/>
        </w:rPr>
        <w:t xml:space="preserve">十四、其它 </w:t>
      </w:r>
    </w:p>
    <w:p w14:paraId="339A1292">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r>
        <w:rPr>
          <w:rFonts w:hint="eastAsia" w:ascii="宋体" w:hAnsi="宋体" w:eastAsia="宋体" w:cs="宋体"/>
          <w:color w:val="auto"/>
          <w:kern w:val="2"/>
          <w:sz w:val="24"/>
          <w:szCs w:val="24"/>
          <w:highlight w:val="none"/>
          <w:lang w:val="en-US" w:eastAsia="zh-CN" w:bidi="ar"/>
        </w:rPr>
        <w:t xml:space="preserve">与本次采购活动有关的文件及附件是本合同不可分割的组成部分，与本合同具有同等法律效力，这些文件包括但不限于：1.本项目招标文件；2.中标人投标文件；3.乙方在投标时的书面承诺；4.中标通知书；5.合同补充条款或说明；6.相关附件及电子版资料。 </w:t>
      </w:r>
    </w:p>
    <w:p w14:paraId="741B158D">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r>
        <w:rPr>
          <w:rFonts w:hint="eastAsia" w:ascii="宋体" w:hAnsi="宋体" w:eastAsia="宋体" w:cs="宋体"/>
          <w:color w:val="auto"/>
          <w:kern w:val="2"/>
          <w:sz w:val="24"/>
          <w:szCs w:val="24"/>
          <w:highlight w:val="none"/>
          <w:lang w:val="en-US" w:eastAsia="zh-CN" w:bidi="ar"/>
        </w:rPr>
        <w:t>如一方地址、电话、传真号码有变更，应在变更当日内书面通知对方，否则，应承担相应责任。</w:t>
      </w:r>
    </w:p>
    <w:p w14:paraId="42F0863F">
      <w:pPr>
        <w:keepNext w:val="0"/>
        <w:keepLines w:val="0"/>
        <w:widowControl/>
        <w:suppressLineNumbers w:val="0"/>
        <w:tabs>
          <w:tab w:val="left" w:pos="420"/>
        </w:tabs>
        <w:adjustRightInd w:val="0"/>
        <w:snapToGrid w:val="0"/>
        <w:spacing w:line="360" w:lineRule="auto"/>
        <w:jc w:val="left"/>
        <w:rPr>
          <w:rFonts w:hint="eastAsia" w:ascii="宋体" w:hAnsi="宋体" w:cs="宋体"/>
          <w:b/>
          <w:bCs/>
          <w:sz w:val="24"/>
          <w:highlight w:val="none"/>
          <w:lang w:bidi="ar"/>
        </w:rPr>
      </w:pPr>
      <w:r>
        <w:rPr>
          <w:rFonts w:hint="eastAsia" w:ascii="宋体" w:hAnsi="宋体" w:eastAsia="宋体" w:cs="宋体"/>
          <w:b/>
          <w:bCs/>
          <w:color w:val="auto"/>
          <w:kern w:val="2"/>
          <w:sz w:val="24"/>
          <w:szCs w:val="24"/>
          <w:highlight w:val="none"/>
          <w:lang w:val="en-US" w:eastAsia="zh-CN" w:bidi="ar"/>
        </w:rPr>
        <w:t xml:space="preserve">十五、合同生效 </w:t>
      </w:r>
    </w:p>
    <w:p w14:paraId="23D30DC6">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r>
        <w:rPr>
          <w:rFonts w:hint="eastAsia" w:ascii="宋体" w:hAnsi="宋体" w:eastAsia="宋体" w:cs="宋体"/>
          <w:color w:val="auto"/>
          <w:kern w:val="2"/>
          <w:sz w:val="24"/>
          <w:szCs w:val="24"/>
          <w:highlight w:val="none"/>
          <w:lang w:val="en-US" w:eastAsia="zh-CN" w:bidi="ar"/>
        </w:rPr>
        <w:t xml:space="preserve">1.本合同在甲乙双方法人代表或其授权代表签字盖章后生效。 </w:t>
      </w:r>
    </w:p>
    <w:p w14:paraId="5D81C7A4">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r>
        <w:rPr>
          <w:rFonts w:hint="eastAsia" w:ascii="宋体" w:hAnsi="宋体" w:eastAsia="宋体" w:cs="宋体"/>
          <w:color w:val="auto"/>
          <w:kern w:val="2"/>
          <w:sz w:val="24"/>
          <w:szCs w:val="24"/>
          <w:highlight w:val="none"/>
          <w:lang w:val="en-US" w:eastAsia="zh-CN" w:bidi="ar"/>
        </w:rPr>
        <w:t>2.本合同一式八份，甲乙双方各持四份。</w:t>
      </w:r>
    </w:p>
    <w:p w14:paraId="23051095">
      <w:pPr>
        <w:keepNext w:val="0"/>
        <w:keepLines w:val="0"/>
        <w:widowControl/>
        <w:numPr>
          <w:ilvl w:val="0"/>
          <w:numId w:val="0"/>
        </w:numPr>
        <w:suppressLineNumbers w:val="0"/>
        <w:tabs>
          <w:tab w:val="left" w:pos="420"/>
        </w:tabs>
        <w:adjustRightInd w:val="0"/>
        <w:snapToGrid w:val="0"/>
        <w:spacing w:line="360" w:lineRule="auto"/>
        <w:ind w:firstLine="480" w:firstLineChars="200"/>
        <w:jc w:val="left"/>
        <w:rPr>
          <w:rFonts w:hint="eastAsia" w:ascii="宋体" w:hAnsi="宋体" w:cs="宋体"/>
          <w:sz w:val="24"/>
          <w:highlight w:val="none"/>
          <w:lang w:bidi="ar"/>
        </w:rPr>
      </w:pPr>
    </w:p>
    <w:p w14:paraId="36B3B5FD">
      <w:pPr>
        <w:pStyle w:val="81"/>
        <w:pageBreakBefore w:val="0"/>
        <w:widowControl w:val="0"/>
        <w:kinsoku/>
        <w:wordWrap/>
        <w:overflowPunct/>
        <w:topLinePunct w:val="0"/>
        <w:autoSpaceDE/>
        <w:autoSpaceDN/>
        <w:bidi w:val="0"/>
        <w:adjustRightInd w:val="0"/>
        <w:snapToGrid/>
        <w:spacing w:after="0" w:line="360" w:lineRule="auto"/>
        <w:ind w:left="0" w:firstLine="480" w:firstLineChars="200"/>
        <w:textAlignment w:val="auto"/>
        <w:rPr>
          <w:rFonts w:hint="eastAsia" w:ascii="宋体" w:hAnsi="宋体" w:eastAsia="宋体" w:cs="宋体"/>
          <w:sz w:val="24"/>
          <w:szCs w:val="24"/>
          <w:highlight w:val="none"/>
          <w:lang w:eastAsia="zh-CN"/>
        </w:rPr>
      </w:pPr>
    </w:p>
    <w:p w14:paraId="2AD96B03">
      <w:pPr>
        <w:pageBreakBefore w:val="0"/>
        <w:widowControl w:val="0"/>
        <w:tabs>
          <w:tab w:val="left" w:pos="420"/>
        </w:tabs>
        <w:kinsoku/>
        <w:wordWrap/>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甲方：   （盖章）   </w:t>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乙方：   （盖章）</w:t>
      </w:r>
    </w:p>
    <w:p w14:paraId="705A0622">
      <w:pPr>
        <w:pageBreakBefore w:val="0"/>
        <w:widowControl w:val="0"/>
        <w:tabs>
          <w:tab w:val="left" w:pos="420"/>
        </w:tabs>
        <w:kinsoku/>
        <w:wordWrap/>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法定代表人/单位负责人</w:t>
      </w:r>
      <w:r>
        <w:rPr>
          <w:rFonts w:hint="eastAsia" w:ascii="宋体" w:hAnsi="宋体" w:eastAsia="宋体" w:cs="宋体"/>
          <w:sz w:val="24"/>
          <w:szCs w:val="24"/>
          <w:highlight w:val="none"/>
        </w:rPr>
        <w:t xml:space="preserve">（授权代表）：    </w:t>
      </w:r>
      <w:r>
        <w:rPr>
          <w:rFonts w:hint="eastAsia" w:ascii="宋体" w:hAnsi="宋体" w:eastAsia="宋体" w:cs="宋体"/>
          <w:sz w:val="24"/>
          <w:szCs w:val="24"/>
          <w:highlight w:val="none"/>
          <w:lang w:eastAsia="zh-CN"/>
        </w:rPr>
        <w:t>法定代表人/单位负责人</w:t>
      </w:r>
      <w:r>
        <w:rPr>
          <w:rFonts w:hint="eastAsia" w:ascii="宋体" w:hAnsi="宋体" w:eastAsia="宋体" w:cs="宋体"/>
          <w:sz w:val="24"/>
          <w:szCs w:val="24"/>
          <w:highlight w:val="none"/>
        </w:rPr>
        <w:t>（授权代表）：</w:t>
      </w:r>
    </w:p>
    <w:p w14:paraId="6DB0EB65">
      <w:pPr>
        <w:pageBreakBefore w:val="0"/>
        <w:widowControl w:val="0"/>
        <w:tabs>
          <w:tab w:val="left" w:pos="420"/>
        </w:tabs>
        <w:kinsoku/>
        <w:wordWrap/>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地    址：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地    址：</w:t>
      </w:r>
    </w:p>
    <w:p w14:paraId="64F0C41E">
      <w:pPr>
        <w:pageBreakBefore w:val="0"/>
        <w:widowControl w:val="0"/>
        <w:tabs>
          <w:tab w:val="left" w:pos="420"/>
        </w:tabs>
        <w:kinsoku/>
        <w:wordWrap/>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开户银行：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开户银行：</w:t>
      </w:r>
    </w:p>
    <w:p w14:paraId="73D18707">
      <w:pPr>
        <w:pageBreakBefore w:val="0"/>
        <w:widowControl w:val="0"/>
        <w:tabs>
          <w:tab w:val="left" w:pos="420"/>
        </w:tabs>
        <w:kinsoku/>
        <w:wordWrap/>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账号：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账号：</w:t>
      </w:r>
    </w:p>
    <w:p w14:paraId="3C7AE058">
      <w:pPr>
        <w:pageBreakBefore w:val="0"/>
        <w:widowControl w:val="0"/>
        <w:tabs>
          <w:tab w:val="left" w:pos="420"/>
        </w:tabs>
        <w:kinsoku/>
        <w:wordWrap/>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电    话：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电    话：</w:t>
      </w:r>
    </w:p>
    <w:p w14:paraId="2E5F36F0">
      <w:pPr>
        <w:pageBreakBefore w:val="0"/>
        <w:widowControl w:val="0"/>
        <w:tabs>
          <w:tab w:val="left" w:pos="420"/>
        </w:tabs>
        <w:kinsoku/>
        <w:wordWrap/>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传    真：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传    真：</w:t>
      </w:r>
    </w:p>
    <w:p w14:paraId="796A789E">
      <w:pPr>
        <w:pageBreakBefore w:val="0"/>
        <w:kinsoku/>
        <w:overflowPunct/>
        <w:topLinePunct w:val="0"/>
        <w:autoSpaceDE/>
        <w:autoSpaceDN/>
        <w:bidi w:val="0"/>
        <w:spacing w:line="360" w:lineRule="auto"/>
        <w:ind w:firstLine="480" w:firstLineChars="200"/>
        <w:textAlignment w:val="auto"/>
        <w:rPr>
          <w:rFonts w:ascii="宋体" w:hAnsi="宋体"/>
          <w:bCs/>
          <w:szCs w:val="21"/>
        </w:rPr>
      </w:pPr>
      <w:r>
        <w:rPr>
          <w:rFonts w:hint="eastAsia" w:ascii="宋体" w:hAnsi="宋体" w:eastAsia="宋体" w:cs="宋体"/>
          <w:sz w:val="24"/>
          <w:szCs w:val="24"/>
          <w:highlight w:val="none"/>
        </w:rPr>
        <w:t>签约日期：</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日 </w:t>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rPr>
        <w:tab/>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签约日期：</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w:t>
      </w:r>
    </w:p>
    <w:p w14:paraId="79F6173C">
      <w:pPr>
        <w:ind w:firstLine="643"/>
        <w:jc w:val="center"/>
        <w:rPr>
          <w:b/>
          <w:bCs/>
          <w:sz w:val="32"/>
          <w:szCs w:val="32"/>
        </w:rPr>
      </w:pPr>
    </w:p>
    <w:p w14:paraId="13014428">
      <w:pPr>
        <w:rPr>
          <w:b/>
          <w:bCs/>
          <w:sz w:val="32"/>
          <w:szCs w:val="32"/>
        </w:rPr>
      </w:pPr>
    </w:p>
    <w:p w14:paraId="6F69876B">
      <w:pPr>
        <w:rPr>
          <w:b/>
          <w:bCs/>
          <w:sz w:val="32"/>
          <w:szCs w:val="32"/>
        </w:rPr>
      </w:pPr>
    </w:p>
    <w:p w14:paraId="533F8012">
      <w:pPr>
        <w:rPr>
          <w:b/>
          <w:bCs/>
          <w:sz w:val="32"/>
          <w:szCs w:val="32"/>
        </w:rPr>
      </w:pPr>
    </w:p>
    <w:p w14:paraId="64976A84">
      <w:pPr>
        <w:ind w:firstLine="643"/>
        <w:jc w:val="center"/>
        <w:rPr>
          <w:b/>
          <w:bCs/>
          <w:sz w:val="32"/>
          <w:szCs w:val="32"/>
        </w:rPr>
      </w:pPr>
    </w:p>
    <w:p w14:paraId="4ACC99EE">
      <w:pPr>
        <w:ind w:firstLine="643"/>
        <w:jc w:val="center"/>
        <w:rPr>
          <w:b/>
          <w:bCs/>
          <w:sz w:val="32"/>
          <w:szCs w:val="32"/>
        </w:rPr>
      </w:pPr>
    </w:p>
    <w:p w14:paraId="277AE4C1">
      <w:pPr>
        <w:rPr>
          <w:b/>
          <w:bCs/>
          <w:sz w:val="32"/>
          <w:szCs w:val="32"/>
        </w:rPr>
      </w:pPr>
      <w:r>
        <w:rPr>
          <w:rFonts w:hint="eastAsia"/>
          <w:b/>
          <w:bCs/>
          <w:sz w:val="32"/>
          <w:szCs w:val="32"/>
        </w:rPr>
        <w:br w:type="page"/>
      </w:r>
    </w:p>
    <w:p w14:paraId="5D46F405">
      <w:pPr>
        <w:pStyle w:val="4"/>
        <w:spacing w:line="360" w:lineRule="auto"/>
        <w:jc w:val="center"/>
        <w:rPr>
          <w:rFonts w:hint="eastAsia" w:ascii="Book Antiqua" w:hAnsi="Book Antiqua" w:eastAsia="宋体" w:cs="Times New Roman"/>
          <w:b/>
          <w:bCs/>
          <w:sz w:val="36"/>
          <w:szCs w:val="36"/>
        </w:rPr>
      </w:pPr>
      <w:bookmarkStart w:id="343" w:name="_Toc25923"/>
      <w:bookmarkStart w:id="344" w:name="_Toc7221"/>
      <w:bookmarkStart w:id="345" w:name="_Toc23729"/>
      <w:r>
        <w:rPr>
          <w:rFonts w:hint="eastAsia" w:ascii="Book Antiqua" w:hAnsi="Book Antiqua" w:eastAsia="宋体" w:cs="Times New Roman"/>
          <w:b/>
          <w:bCs/>
          <w:sz w:val="36"/>
          <w:szCs w:val="36"/>
        </w:rPr>
        <w:t>第五章 采购内容及要求</w:t>
      </w:r>
      <w:bookmarkEnd w:id="340"/>
      <w:bookmarkEnd w:id="341"/>
      <w:bookmarkEnd w:id="343"/>
      <w:bookmarkEnd w:id="344"/>
      <w:bookmarkEnd w:id="345"/>
    </w:p>
    <w:p w14:paraId="695F37B4">
      <w:pPr>
        <w:pStyle w:val="29"/>
        <w:numPr>
          <w:ilvl w:val="0"/>
          <w:numId w:val="0"/>
        </w:numPr>
        <w:spacing w:line="360" w:lineRule="auto"/>
        <w:ind w:right="-63" w:rightChars="-30" w:firstLine="602" w:firstLineChars="200"/>
        <w:jc w:val="center"/>
        <w:rPr>
          <w:rFonts w:hint="eastAsia" w:ascii="宋体" w:hAnsi="宋体" w:eastAsia="宋体" w:cs="宋体"/>
          <w:b/>
          <w:bCs/>
          <w:color w:val="auto"/>
          <w:spacing w:val="0"/>
          <w:sz w:val="30"/>
          <w:szCs w:val="30"/>
          <w:highlight w:val="none"/>
          <w:lang w:val="en-US" w:eastAsia="zh-CN"/>
        </w:rPr>
      </w:pPr>
      <w:bookmarkStart w:id="346" w:name="_Toc21635"/>
      <w:bookmarkStart w:id="347" w:name="_Toc9830"/>
      <w:bookmarkStart w:id="348" w:name="_Toc29161"/>
      <w:bookmarkStart w:id="349" w:name="_Toc426369533"/>
      <w:bookmarkStart w:id="350" w:name="_Toc403122572"/>
      <w:bookmarkStart w:id="351" w:name="_Toc7906"/>
      <w:r>
        <w:rPr>
          <w:rFonts w:hint="eastAsia" w:ascii="宋体" w:hAnsi="宋体" w:eastAsia="宋体" w:cs="宋体"/>
          <w:b/>
          <w:bCs/>
          <w:color w:val="auto"/>
          <w:spacing w:val="0"/>
          <w:sz w:val="30"/>
          <w:szCs w:val="30"/>
          <w:highlight w:val="none"/>
          <w:lang w:eastAsia="zh-CN"/>
        </w:rPr>
        <w:t>博爱县城市生命线系统暨运行管理服务平台项目（一期）</w:t>
      </w:r>
      <w:r>
        <w:rPr>
          <w:rFonts w:hint="eastAsia" w:ascii="宋体" w:hAnsi="宋体" w:eastAsia="宋体" w:cs="宋体"/>
          <w:b/>
          <w:bCs/>
          <w:color w:val="auto"/>
          <w:spacing w:val="0"/>
          <w:sz w:val="30"/>
          <w:szCs w:val="30"/>
          <w:highlight w:val="none"/>
          <w:lang w:val="en-US" w:eastAsia="zh-CN"/>
        </w:rPr>
        <w:t>技术参数要求</w:t>
      </w:r>
      <w:bookmarkEnd w:id="346"/>
      <w:bookmarkEnd w:id="347"/>
      <w:bookmarkEnd w:id="348"/>
    </w:p>
    <w:tbl>
      <w:tblPr>
        <w:tblStyle w:val="33"/>
        <w:tblW w:w="104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676"/>
        <w:gridCol w:w="18"/>
        <w:gridCol w:w="980"/>
        <w:gridCol w:w="1118"/>
        <w:gridCol w:w="6261"/>
        <w:gridCol w:w="722"/>
        <w:gridCol w:w="655"/>
      </w:tblGrid>
      <w:tr w14:paraId="3C3E6C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31DB3033">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第一部分：城市生命线前端监测感知体系</w:t>
            </w:r>
          </w:p>
        </w:tc>
      </w:tr>
      <w:tr w14:paraId="4AE3F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76" w:type="dxa"/>
            <w:tcBorders>
              <w:tl2br w:val="nil"/>
              <w:tr2bl w:val="nil"/>
            </w:tcBorders>
            <w:shd w:val="clear" w:color="auto" w:fill="auto"/>
            <w:noWrap/>
            <w:vAlign w:val="center"/>
          </w:tcPr>
          <w:p w14:paraId="35CA4A03">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序号</w:t>
            </w:r>
          </w:p>
        </w:tc>
        <w:tc>
          <w:tcPr>
            <w:tcW w:w="2116" w:type="dxa"/>
            <w:gridSpan w:val="3"/>
            <w:tcBorders>
              <w:tl2br w:val="nil"/>
              <w:tr2bl w:val="nil"/>
            </w:tcBorders>
            <w:shd w:val="clear" w:color="auto" w:fill="auto"/>
            <w:noWrap/>
            <w:vAlign w:val="center"/>
          </w:tcPr>
          <w:p w14:paraId="0B86D533">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设备名称</w:t>
            </w:r>
          </w:p>
        </w:tc>
        <w:tc>
          <w:tcPr>
            <w:tcW w:w="6261" w:type="dxa"/>
            <w:tcBorders>
              <w:tl2br w:val="nil"/>
              <w:tr2bl w:val="nil"/>
            </w:tcBorders>
            <w:shd w:val="clear" w:color="auto" w:fill="auto"/>
            <w:noWrap/>
            <w:vAlign w:val="center"/>
          </w:tcPr>
          <w:p w14:paraId="257F5721">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技术参数要求</w:t>
            </w:r>
          </w:p>
        </w:tc>
        <w:tc>
          <w:tcPr>
            <w:tcW w:w="722" w:type="dxa"/>
            <w:tcBorders>
              <w:tl2br w:val="nil"/>
              <w:tr2bl w:val="nil"/>
            </w:tcBorders>
            <w:shd w:val="clear" w:color="auto" w:fill="auto"/>
            <w:noWrap/>
            <w:vAlign w:val="center"/>
          </w:tcPr>
          <w:p w14:paraId="3BBD61F6">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数量</w:t>
            </w:r>
          </w:p>
        </w:tc>
        <w:tc>
          <w:tcPr>
            <w:tcW w:w="655" w:type="dxa"/>
            <w:tcBorders>
              <w:tl2br w:val="nil"/>
              <w:tr2bl w:val="nil"/>
            </w:tcBorders>
            <w:shd w:val="clear" w:color="auto" w:fill="auto"/>
            <w:noWrap/>
            <w:vAlign w:val="center"/>
          </w:tcPr>
          <w:p w14:paraId="2D0A9389">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单位</w:t>
            </w:r>
          </w:p>
        </w:tc>
      </w:tr>
      <w:tr w14:paraId="52B8A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715A14B9">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一、燃气监测感知体系</w:t>
            </w:r>
          </w:p>
        </w:tc>
      </w:tr>
      <w:tr w14:paraId="7CB49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76" w:type="dxa"/>
            <w:tcBorders>
              <w:tl2br w:val="nil"/>
              <w:tr2bl w:val="nil"/>
            </w:tcBorders>
            <w:shd w:val="clear" w:color="auto" w:fill="auto"/>
            <w:noWrap/>
            <w:vAlign w:val="center"/>
          </w:tcPr>
          <w:p w14:paraId="5FDC15F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98" w:type="dxa"/>
            <w:gridSpan w:val="2"/>
            <w:tcBorders>
              <w:tl2br w:val="nil"/>
              <w:tr2bl w:val="nil"/>
            </w:tcBorders>
            <w:shd w:val="clear" w:color="auto" w:fill="auto"/>
            <w:vAlign w:val="center"/>
          </w:tcPr>
          <w:p w14:paraId="5956389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燃气管网地下相邻空间监测</w:t>
            </w:r>
          </w:p>
        </w:tc>
        <w:tc>
          <w:tcPr>
            <w:tcW w:w="1118" w:type="dxa"/>
            <w:tcBorders>
              <w:tl2br w:val="nil"/>
              <w:tr2bl w:val="nil"/>
            </w:tcBorders>
            <w:shd w:val="clear" w:color="auto" w:fill="auto"/>
            <w:vAlign w:val="center"/>
          </w:tcPr>
          <w:p w14:paraId="500A078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可燃气体浓度监测设备</w:t>
            </w:r>
          </w:p>
        </w:tc>
        <w:tc>
          <w:tcPr>
            <w:tcW w:w="6261" w:type="dxa"/>
            <w:tcBorders>
              <w:tl2br w:val="nil"/>
              <w:tr2bl w:val="nil"/>
            </w:tcBorders>
            <w:shd w:val="clear" w:color="auto" w:fill="auto"/>
            <w:vAlign w:val="center"/>
          </w:tcPr>
          <w:p w14:paraId="17848816">
            <w:pPr>
              <w:keepNext w:val="0"/>
              <w:keepLines w:val="0"/>
              <w:widowControl/>
              <w:numPr>
                <w:ilvl w:val="0"/>
                <w:numId w:val="6"/>
              </w:numPr>
              <w:suppressLineNumbers w:val="0"/>
              <w:kinsoku/>
              <w:wordWrap w:val="0"/>
              <w:spacing w:line="360" w:lineRule="auto"/>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监测原理：可调谐二极管激光吸收光谱技术(TDLAS)；</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（2）通讯方式：4G cat1</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（3）检测精度：≥3%LEL；</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（4）监测范围：0-100%LEL；</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（5）响应时间：≤15s；</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（6）采集间隔：≤30min（可调）；</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（7）工作电源：一次性锂亚电池供电，工作电压DC7.2V；</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▲（8）传感器使用年限：正常工作不小于10年（含10年）；</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（9）设备必须具有防爆合格证，防爆等级不低于Ex ib ⅡC T4 Gb；</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（10）防水等级IP68：设备在1.1米水深条件下，泡水超30天无进水；</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 xml:space="preserve">（11）设备做过超600h中性盐雾试验，结果需为外观无破坏； </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▲（12）设备水浸报警检测：设备具备水浸报警检测功能，报警后立即进行数据上传；</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▲（13）设备能耐受2个循环的交变湿热试验</w:t>
            </w:r>
            <w:r>
              <w:rPr>
                <w:rFonts w:hint="eastAsia" w:ascii="宋体" w:hAnsi="宋体" w:eastAsia="宋体" w:cs="宋体"/>
                <w:b/>
                <w:bCs/>
                <w:i w:val="0"/>
                <w:iCs w:val="0"/>
                <w:snapToGrid w:val="0"/>
                <w:color w:val="auto"/>
                <w:kern w:val="0"/>
                <w:sz w:val="21"/>
                <w:szCs w:val="21"/>
                <w:highlight w:val="none"/>
                <w:u w:val="none"/>
                <w:lang w:val="en-US" w:eastAsia="zh-CN" w:bidi="ar"/>
              </w:rPr>
              <w:t>（需提供检测报告）</w:t>
            </w:r>
            <w:r>
              <w:rPr>
                <w:rFonts w:hint="eastAsia" w:ascii="宋体" w:hAnsi="宋体" w:eastAsia="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▲（14）井盖异动报警上传：该仪器具有井盖异动报警功能，报警数据实时上传。</w:t>
            </w:r>
          </w:p>
        </w:tc>
        <w:tc>
          <w:tcPr>
            <w:tcW w:w="722" w:type="dxa"/>
            <w:tcBorders>
              <w:tl2br w:val="nil"/>
              <w:tr2bl w:val="nil"/>
            </w:tcBorders>
            <w:shd w:val="clear" w:color="auto" w:fill="auto"/>
            <w:noWrap/>
            <w:vAlign w:val="center"/>
          </w:tcPr>
          <w:p w14:paraId="47E1F869">
            <w:pPr>
              <w:keepNext w:val="0"/>
              <w:keepLines w:val="0"/>
              <w:widowControl/>
              <w:suppressLineNumbers w:val="0"/>
              <w:kinsoku/>
              <w:wordWrap w:val="0"/>
              <w:spacing w:line="360"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655" w:type="dxa"/>
            <w:tcBorders>
              <w:tl2br w:val="nil"/>
              <w:tr2bl w:val="nil"/>
            </w:tcBorders>
            <w:shd w:val="clear" w:color="auto" w:fill="auto"/>
            <w:noWrap/>
            <w:vAlign w:val="center"/>
          </w:tcPr>
          <w:p w14:paraId="7AEDC9B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6800EC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76" w:type="dxa"/>
            <w:tcBorders>
              <w:tl2br w:val="nil"/>
              <w:tr2bl w:val="nil"/>
            </w:tcBorders>
            <w:shd w:val="clear" w:color="auto" w:fill="auto"/>
            <w:noWrap/>
            <w:vAlign w:val="center"/>
          </w:tcPr>
          <w:p w14:paraId="26C99460">
            <w:pPr>
              <w:keepNext w:val="0"/>
              <w:keepLines w:val="0"/>
              <w:widowControl/>
              <w:suppressLineNumbers w:val="0"/>
              <w:kinsoku/>
              <w:wordWrap w:val="0"/>
              <w:spacing w:line="360" w:lineRule="auto"/>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2116" w:type="dxa"/>
            <w:gridSpan w:val="3"/>
            <w:tcBorders>
              <w:tl2br w:val="nil"/>
              <w:tr2bl w:val="nil"/>
            </w:tcBorders>
            <w:shd w:val="clear" w:color="auto" w:fill="auto"/>
            <w:vAlign w:val="center"/>
          </w:tcPr>
          <w:p w14:paraId="4D647660">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与燃气企业已建系统实现对接</w:t>
            </w:r>
          </w:p>
        </w:tc>
        <w:tc>
          <w:tcPr>
            <w:tcW w:w="6261" w:type="dxa"/>
            <w:tcBorders>
              <w:tl2br w:val="nil"/>
              <w:tr2bl w:val="nil"/>
            </w:tcBorders>
            <w:shd w:val="clear" w:color="auto" w:fill="auto"/>
            <w:vAlign w:val="center"/>
          </w:tcPr>
          <w:p w14:paraId="4C9BB5EA">
            <w:pPr>
              <w:keepNext w:val="0"/>
              <w:keepLines w:val="0"/>
              <w:widowControl/>
              <w:numPr>
                <w:ilvl w:val="-1"/>
                <w:numId w:val="0"/>
              </w:numPr>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与管道燃气企业、瓶装液化气企业已建系统进行对接，接入场站、管网、调压柜及附属设施的运行监测数据、设备报警信息等数据，实现与城市生命线运行监测系统对接。</w:t>
            </w:r>
          </w:p>
        </w:tc>
        <w:tc>
          <w:tcPr>
            <w:tcW w:w="722" w:type="dxa"/>
            <w:tcBorders>
              <w:tl2br w:val="nil"/>
              <w:tr2bl w:val="nil"/>
            </w:tcBorders>
            <w:shd w:val="clear" w:color="auto" w:fill="auto"/>
            <w:noWrap/>
            <w:vAlign w:val="center"/>
          </w:tcPr>
          <w:p w14:paraId="03B98C80">
            <w:pPr>
              <w:keepNext w:val="0"/>
              <w:keepLines w:val="0"/>
              <w:widowControl/>
              <w:suppressLineNumbers w:val="0"/>
              <w:kinsoku/>
              <w:wordWrap w:val="0"/>
              <w:spacing w:line="360" w:lineRule="auto"/>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6ACAC828">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107DF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7CB6A981">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二、排水监测感知体系</w:t>
            </w:r>
          </w:p>
        </w:tc>
      </w:tr>
      <w:tr w14:paraId="311F04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76" w:type="dxa"/>
            <w:tcBorders>
              <w:tl2br w:val="nil"/>
              <w:tr2bl w:val="nil"/>
            </w:tcBorders>
            <w:shd w:val="clear" w:color="auto" w:fill="auto"/>
            <w:noWrap/>
            <w:vAlign w:val="center"/>
          </w:tcPr>
          <w:p w14:paraId="0AD23B3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98" w:type="dxa"/>
            <w:gridSpan w:val="2"/>
            <w:vMerge w:val="restart"/>
            <w:tcBorders>
              <w:tl2br w:val="nil"/>
              <w:tr2bl w:val="nil"/>
            </w:tcBorders>
            <w:shd w:val="clear" w:color="auto" w:fill="auto"/>
            <w:vAlign w:val="center"/>
          </w:tcPr>
          <w:p w14:paraId="22D3AD4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易涝点</w:t>
            </w:r>
          </w:p>
        </w:tc>
        <w:tc>
          <w:tcPr>
            <w:tcW w:w="1118" w:type="dxa"/>
            <w:tcBorders>
              <w:tl2br w:val="nil"/>
              <w:tr2bl w:val="nil"/>
            </w:tcBorders>
            <w:shd w:val="clear" w:color="auto" w:fill="auto"/>
            <w:noWrap/>
            <w:vAlign w:val="center"/>
          </w:tcPr>
          <w:p w14:paraId="1B039F9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水位计</w:t>
            </w:r>
          </w:p>
        </w:tc>
        <w:tc>
          <w:tcPr>
            <w:tcW w:w="6261" w:type="dxa"/>
            <w:tcBorders>
              <w:tl2br w:val="nil"/>
              <w:tr2bl w:val="nil"/>
            </w:tcBorders>
            <w:shd w:val="clear" w:color="auto" w:fill="auto"/>
            <w:vAlign w:val="center"/>
          </w:tcPr>
          <w:p w14:paraId="174F0D0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（1）测量方式：电容感应+压力感应；</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（2）分辨率：≤0.0lm；</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（3）上传频率：水位变化超过1cm，1分钟能上报，水位无变化5分钟上报，无积水6小时报一次；</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（4）防护等级:IP68；</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（5）网络:NB-IOT\LORA。</w:t>
            </w:r>
          </w:p>
        </w:tc>
        <w:tc>
          <w:tcPr>
            <w:tcW w:w="722" w:type="dxa"/>
            <w:tcBorders>
              <w:tl2br w:val="nil"/>
              <w:tr2bl w:val="nil"/>
            </w:tcBorders>
            <w:shd w:val="clear" w:color="auto" w:fill="auto"/>
            <w:noWrap/>
            <w:vAlign w:val="center"/>
          </w:tcPr>
          <w:p w14:paraId="3BF43A6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655" w:type="dxa"/>
            <w:tcBorders>
              <w:tl2br w:val="nil"/>
              <w:tr2bl w:val="nil"/>
            </w:tcBorders>
            <w:shd w:val="clear" w:color="auto" w:fill="auto"/>
            <w:noWrap/>
            <w:vAlign w:val="center"/>
          </w:tcPr>
          <w:p w14:paraId="26AD832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207011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76" w:type="dxa"/>
            <w:tcBorders>
              <w:tl2br w:val="nil"/>
              <w:tr2bl w:val="nil"/>
            </w:tcBorders>
            <w:shd w:val="clear" w:color="auto" w:fill="auto"/>
            <w:noWrap/>
            <w:vAlign w:val="center"/>
          </w:tcPr>
          <w:p w14:paraId="44160029">
            <w:pPr>
              <w:keepNext w:val="0"/>
              <w:keepLines w:val="0"/>
              <w:widowControl/>
              <w:suppressLineNumbers w:val="0"/>
              <w:kinsoku/>
              <w:wordWrap w:val="0"/>
              <w:spacing w:line="360" w:lineRule="auto"/>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98" w:type="dxa"/>
            <w:gridSpan w:val="2"/>
            <w:vMerge w:val="continue"/>
            <w:tcBorders>
              <w:tl2br w:val="nil"/>
              <w:tr2bl w:val="nil"/>
            </w:tcBorders>
            <w:shd w:val="clear" w:color="auto" w:fill="auto"/>
            <w:vAlign w:val="center"/>
          </w:tcPr>
          <w:p w14:paraId="556A3992">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1118" w:type="dxa"/>
            <w:tcBorders>
              <w:tl2br w:val="nil"/>
              <w:tr2bl w:val="nil"/>
            </w:tcBorders>
            <w:shd w:val="clear" w:color="auto" w:fill="auto"/>
            <w:noWrap/>
            <w:vAlign w:val="center"/>
          </w:tcPr>
          <w:p w14:paraId="2057D4A2">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雨水排口视频监控</w:t>
            </w:r>
          </w:p>
        </w:tc>
        <w:tc>
          <w:tcPr>
            <w:tcW w:w="6261" w:type="dxa"/>
            <w:tcBorders>
              <w:tl2br w:val="nil"/>
              <w:tr2bl w:val="nil"/>
            </w:tcBorders>
            <w:shd w:val="clear" w:color="auto" w:fill="auto"/>
            <w:vAlign w:val="center"/>
          </w:tcPr>
          <w:p w14:paraId="5260CD89">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1、像素：≥400万像素；</w:t>
            </w:r>
          </w:p>
          <w:p w14:paraId="56DFB898">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2、传感器：1/2.7”CMOS传感器；</w:t>
            </w:r>
          </w:p>
          <w:p w14:paraId="0A81454D">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3、焦距：≥4mm；</w:t>
            </w:r>
          </w:p>
          <w:p w14:paraId="2394A1F5">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4、对角视场：≥104°；</w:t>
            </w:r>
          </w:p>
          <w:p w14:paraId="5F2AF5AE">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5、最低照度：≥0.1lux，0.001lux (IR ON)；</w:t>
            </w:r>
          </w:p>
          <w:p w14:paraId="16504E19">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6、夜视距离：≥50米；</w:t>
            </w:r>
          </w:p>
          <w:p w14:paraId="47F743E8">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7、夜视模式：全彩；</w:t>
            </w:r>
          </w:p>
          <w:p w14:paraId="2EACB8DE">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8、帧速度：≥15fps；</w:t>
            </w:r>
          </w:p>
          <w:p w14:paraId="1EEE163D">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9、视频编码：H.265、H.264；</w:t>
            </w:r>
          </w:p>
          <w:p w14:paraId="7C7E03CD">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10、前端存储：云存储，TF卡(MAX128G)；</w:t>
            </w:r>
          </w:p>
          <w:p w14:paraId="5B5B623E">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11、工作温度：-30℃~60℃，湿度小于95%(无凝结)；</w:t>
            </w:r>
          </w:p>
          <w:p w14:paraId="3AE90AC7">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12、供电电源：POE 48V 0.35A；</w:t>
            </w:r>
          </w:p>
          <w:p w14:paraId="2B99A788">
            <w:pPr>
              <w:keepNext w:val="0"/>
              <w:keepLines w:val="0"/>
              <w:widowControl/>
              <w:suppressLineNumbers w:val="0"/>
              <w:kinsoku/>
              <w:wordWrap w:val="0"/>
              <w:spacing w:line="360" w:lineRule="auto"/>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13、防水防尘：IP67；</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14、包含立杆、支架、伸杆、地笼、防水、避雷装置以及安装调试、前段取电。</w:t>
            </w:r>
          </w:p>
        </w:tc>
        <w:tc>
          <w:tcPr>
            <w:tcW w:w="722" w:type="dxa"/>
            <w:tcBorders>
              <w:tl2br w:val="nil"/>
              <w:tr2bl w:val="nil"/>
            </w:tcBorders>
            <w:shd w:val="clear" w:color="auto" w:fill="auto"/>
            <w:noWrap/>
            <w:vAlign w:val="center"/>
          </w:tcPr>
          <w:p w14:paraId="0DDD2CE5">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2</w:t>
            </w:r>
          </w:p>
        </w:tc>
        <w:tc>
          <w:tcPr>
            <w:tcW w:w="655" w:type="dxa"/>
            <w:tcBorders>
              <w:tl2br w:val="nil"/>
              <w:tr2bl w:val="nil"/>
            </w:tcBorders>
            <w:shd w:val="clear" w:color="auto" w:fill="auto"/>
            <w:noWrap/>
            <w:vAlign w:val="center"/>
          </w:tcPr>
          <w:p w14:paraId="123A0654">
            <w:pPr>
              <w:keepNext w:val="0"/>
              <w:keepLines w:val="0"/>
              <w:widowControl/>
              <w:suppressLineNumbers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2"/>
                <w:szCs w:val="22"/>
                <w:highlight w:val="none"/>
                <w:u w:val="none"/>
                <w:lang w:val="en-US" w:eastAsia="zh-CN" w:bidi="ar"/>
              </w:rPr>
              <w:t>套</w:t>
            </w:r>
          </w:p>
        </w:tc>
      </w:tr>
      <w:tr w14:paraId="61B8B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76" w:type="dxa"/>
            <w:tcBorders>
              <w:tl2br w:val="nil"/>
              <w:tr2bl w:val="nil"/>
            </w:tcBorders>
            <w:shd w:val="clear" w:color="auto" w:fill="auto"/>
            <w:noWrap/>
            <w:vAlign w:val="center"/>
          </w:tcPr>
          <w:p w14:paraId="4C94712B">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color w:val="auto"/>
                <w:kern w:val="2"/>
                <w:sz w:val="21"/>
                <w:szCs w:val="21"/>
                <w:highlight w:val="none"/>
                <w:u w:val="none"/>
                <w:lang w:val="en-US" w:eastAsia="zh-CN" w:bidi="ar"/>
              </w:rPr>
            </w:pPr>
            <w:r>
              <w:rPr>
                <w:rFonts w:hint="eastAsia" w:ascii="宋体" w:hAnsi="宋体" w:eastAsia="宋体" w:cs="宋体"/>
                <w:i w:val="0"/>
                <w:iCs w:val="0"/>
                <w:snapToGrid/>
                <w:color w:val="auto"/>
                <w:kern w:val="2"/>
                <w:sz w:val="21"/>
                <w:szCs w:val="21"/>
                <w:highlight w:val="none"/>
                <w:u w:val="none"/>
                <w:lang w:val="en-US" w:eastAsia="zh-CN" w:bidi="ar"/>
              </w:rPr>
              <w:t>3</w:t>
            </w:r>
          </w:p>
        </w:tc>
        <w:tc>
          <w:tcPr>
            <w:tcW w:w="2116" w:type="dxa"/>
            <w:gridSpan w:val="3"/>
            <w:tcBorders>
              <w:tl2br w:val="nil"/>
              <w:tr2bl w:val="nil"/>
            </w:tcBorders>
            <w:shd w:val="clear" w:color="auto" w:fill="auto"/>
            <w:vAlign w:val="center"/>
          </w:tcPr>
          <w:p w14:paraId="5A1E7752">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与污水处理企业已建系统对接</w:t>
            </w:r>
          </w:p>
        </w:tc>
        <w:tc>
          <w:tcPr>
            <w:tcW w:w="6261" w:type="dxa"/>
            <w:tcBorders>
              <w:tl2br w:val="nil"/>
              <w:tr2bl w:val="nil"/>
            </w:tcBorders>
            <w:shd w:val="clear" w:color="auto" w:fill="auto"/>
            <w:vAlign w:val="center"/>
          </w:tcPr>
          <w:p w14:paraId="5EB69E34">
            <w:pPr>
              <w:keepNext w:val="0"/>
              <w:keepLines w:val="0"/>
              <w:widowControl/>
              <w:numPr>
                <w:ilvl w:val="-1"/>
                <w:numId w:val="0"/>
              </w:numPr>
              <w:suppressLineNumbers w:val="0"/>
              <w:kinsoku/>
              <w:wordWrap w:val="0"/>
              <w:spacing w:line="360" w:lineRule="auto"/>
              <w:ind w:left="0" w:leftChars="0" w:firstLine="0" w:firstLineChars="0"/>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与污水处理企业已建设的管理系统进行对接，将污水处理厂运行监控数据对接至城市生命线运行监测系统。</w:t>
            </w:r>
          </w:p>
        </w:tc>
        <w:tc>
          <w:tcPr>
            <w:tcW w:w="722" w:type="dxa"/>
            <w:tcBorders>
              <w:tl2br w:val="nil"/>
              <w:tr2bl w:val="nil"/>
            </w:tcBorders>
            <w:shd w:val="clear" w:color="auto" w:fill="auto"/>
            <w:noWrap/>
            <w:vAlign w:val="center"/>
          </w:tcPr>
          <w:p w14:paraId="04FB2362">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color w:val="auto"/>
                <w:kern w:val="2"/>
                <w:sz w:val="21"/>
                <w:szCs w:val="21"/>
                <w:highlight w:val="none"/>
                <w:u w:val="none"/>
                <w:lang w:val="en-US" w:eastAsia="zh-CN" w:bidi="ar"/>
              </w:rPr>
            </w:pPr>
            <w:r>
              <w:rPr>
                <w:rFonts w:hint="eastAsia" w:ascii="宋体" w:hAnsi="宋体" w:eastAsia="宋体" w:cs="宋体"/>
                <w:i w:val="0"/>
                <w:iCs w:val="0"/>
                <w:snapToGrid/>
                <w:color w:val="auto"/>
                <w:kern w:val="2"/>
                <w:sz w:val="21"/>
                <w:szCs w:val="21"/>
                <w:highlight w:val="none"/>
                <w:u w:val="none"/>
                <w:lang w:val="en-US" w:eastAsia="zh-CN" w:bidi="ar"/>
              </w:rPr>
              <w:t>1</w:t>
            </w:r>
          </w:p>
        </w:tc>
        <w:tc>
          <w:tcPr>
            <w:tcW w:w="655" w:type="dxa"/>
            <w:tcBorders>
              <w:tl2br w:val="nil"/>
              <w:tr2bl w:val="nil"/>
            </w:tcBorders>
            <w:shd w:val="clear" w:color="auto" w:fill="auto"/>
            <w:noWrap/>
            <w:vAlign w:val="center"/>
          </w:tcPr>
          <w:p w14:paraId="7C2F8640">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color w:val="auto"/>
                <w:kern w:val="2"/>
                <w:sz w:val="21"/>
                <w:szCs w:val="21"/>
                <w:highlight w:val="none"/>
                <w:u w:val="none"/>
                <w:lang w:val="en-US" w:eastAsia="zh-CN" w:bidi="ar"/>
              </w:rPr>
            </w:pPr>
            <w:r>
              <w:rPr>
                <w:rFonts w:hint="eastAsia" w:ascii="宋体" w:hAnsi="宋体" w:eastAsia="宋体" w:cs="宋体"/>
                <w:i w:val="0"/>
                <w:iCs w:val="0"/>
                <w:snapToGrid/>
                <w:color w:val="auto"/>
                <w:kern w:val="2"/>
                <w:sz w:val="21"/>
                <w:szCs w:val="21"/>
                <w:highlight w:val="none"/>
                <w:u w:val="none"/>
                <w:lang w:val="en-US" w:eastAsia="zh-CN" w:bidi="ar"/>
              </w:rPr>
              <w:t>项</w:t>
            </w:r>
          </w:p>
        </w:tc>
      </w:tr>
      <w:tr w14:paraId="79D43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29071B59">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三、供水监测感知体系</w:t>
            </w:r>
          </w:p>
        </w:tc>
      </w:tr>
      <w:tr w14:paraId="01A12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02AA69D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2098" w:type="dxa"/>
            <w:gridSpan w:val="2"/>
            <w:tcBorders>
              <w:tl2br w:val="nil"/>
              <w:tr2bl w:val="nil"/>
            </w:tcBorders>
            <w:shd w:val="clear" w:color="auto" w:fill="auto"/>
            <w:vAlign w:val="center"/>
          </w:tcPr>
          <w:p w14:paraId="79519015">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与供水公司已建系统对接</w:t>
            </w:r>
          </w:p>
        </w:tc>
        <w:tc>
          <w:tcPr>
            <w:tcW w:w="6261" w:type="dxa"/>
            <w:tcBorders>
              <w:tl2br w:val="nil"/>
              <w:tr2bl w:val="nil"/>
            </w:tcBorders>
            <w:shd w:val="clear" w:color="auto" w:fill="auto"/>
            <w:vAlign w:val="center"/>
          </w:tcPr>
          <w:p w14:paraId="54354534">
            <w:pPr>
              <w:keepNext w:val="0"/>
              <w:keepLines w:val="0"/>
              <w:widowControl/>
              <w:numPr>
                <w:ilvl w:val="-1"/>
                <w:numId w:val="0"/>
              </w:numPr>
              <w:suppressLineNumbers w:val="0"/>
              <w:kinsoku/>
              <w:wordWrap w:val="0"/>
              <w:spacing w:line="360" w:lineRule="auto"/>
              <w:jc w:val="left"/>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与水务公司已建设的供水管理系统进行对接，将供水厂运行监控数据，以及已建的管网压力点监测数据对接至城市生命线运行监测系统。</w:t>
            </w:r>
          </w:p>
        </w:tc>
        <w:tc>
          <w:tcPr>
            <w:tcW w:w="722" w:type="dxa"/>
            <w:tcBorders>
              <w:tl2br w:val="nil"/>
              <w:tr2bl w:val="nil"/>
            </w:tcBorders>
            <w:shd w:val="clear" w:color="auto" w:fill="auto"/>
            <w:noWrap/>
            <w:vAlign w:val="center"/>
          </w:tcPr>
          <w:p w14:paraId="4DD9DBB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7844F7B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2C54D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7089A500">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四、供热监测感知体系</w:t>
            </w:r>
          </w:p>
        </w:tc>
      </w:tr>
      <w:tr w14:paraId="6FE70B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986F4D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2098" w:type="dxa"/>
            <w:gridSpan w:val="2"/>
            <w:tcBorders>
              <w:tl2br w:val="nil"/>
              <w:tr2bl w:val="nil"/>
            </w:tcBorders>
            <w:shd w:val="clear" w:color="auto" w:fill="auto"/>
            <w:noWrap/>
            <w:vAlign w:val="center"/>
          </w:tcPr>
          <w:p w14:paraId="4EF0136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与热力公司已建系统对接</w:t>
            </w:r>
          </w:p>
        </w:tc>
        <w:tc>
          <w:tcPr>
            <w:tcW w:w="6261" w:type="dxa"/>
            <w:tcBorders>
              <w:tl2br w:val="nil"/>
              <w:tr2bl w:val="nil"/>
            </w:tcBorders>
            <w:shd w:val="clear" w:color="auto" w:fill="auto"/>
            <w:vAlign w:val="center"/>
          </w:tcPr>
          <w:p w14:paraId="576A36C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与热力公司已建设的信息管理系统，将换热站压力、流量、温度等各项监测数据，以及已建的管网监测设备数据对接至城市生命线运行监测系统。</w:t>
            </w:r>
          </w:p>
        </w:tc>
        <w:tc>
          <w:tcPr>
            <w:tcW w:w="722" w:type="dxa"/>
            <w:tcBorders>
              <w:tl2br w:val="nil"/>
              <w:tr2bl w:val="nil"/>
            </w:tcBorders>
            <w:shd w:val="clear" w:color="auto" w:fill="auto"/>
            <w:noWrap/>
            <w:vAlign w:val="center"/>
          </w:tcPr>
          <w:p w14:paraId="6F4D336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24DA40D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01B84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36444995">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五、桥梁监测感知体系</w:t>
            </w:r>
          </w:p>
        </w:tc>
      </w:tr>
      <w:tr w14:paraId="54BA8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3B74E53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80" w:type="dxa"/>
            <w:tcBorders>
              <w:tl2br w:val="nil"/>
              <w:tr2bl w:val="nil"/>
            </w:tcBorders>
            <w:shd w:val="clear" w:color="auto" w:fill="auto"/>
            <w:vAlign w:val="center"/>
          </w:tcPr>
          <w:p w14:paraId="4595DDD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应变监测</w:t>
            </w:r>
          </w:p>
        </w:tc>
        <w:tc>
          <w:tcPr>
            <w:tcW w:w="1118" w:type="dxa"/>
            <w:tcBorders>
              <w:tl2br w:val="nil"/>
              <w:tr2bl w:val="nil"/>
            </w:tcBorders>
            <w:shd w:val="clear" w:color="auto" w:fill="auto"/>
            <w:vAlign w:val="center"/>
          </w:tcPr>
          <w:p w14:paraId="2348C5F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表面式应变计（带测温）</w:t>
            </w:r>
          </w:p>
        </w:tc>
        <w:tc>
          <w:tcPr>
            <w:tcW w:w="6261" w:type="dxa"/>
            <w:tcBorders>
              <w:tl2br w:val="nil"/>
              <w:tr2bl w:val="nil"/>
            </w:tcBorders>
            <w:shd w:val="clear" w:color="auto" w:fill="auto"/>
            <w:vAlign w:val="top"/>
          </w:tcPr>
          <w:p w14:paraId="0F3BF7E8">
            <w:pPr>
              <w:keepNext w:val="0"/>
              <w:keepLines w:val="0"/>
              <w:widowControl/>
              <w:suppressLineNumbers w:val="0"/>
              <w:kinsoku/>
              <w:wordWrap w:val="0"/>
              <w:spacing w:line="360" w:lineRule="auto"/>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1、标准量程：3000</w:t>
            </w:r>
            <w:r>
              <w:rPr>
                <w:rStyle w:val="68"/>
                <w:rFonts w:hint="eastAsia" w:ascii="宋体" w:hAnsi="宋体" w:eastAsia="宋体" w:cs="宋体"/>
                <w:snapToGrid w:val="0"/>
                <w:color w:val="auto"/>
                <w:sz w:val="21"/>
                <w:szCs w:val="21"/>
                <w:highlight w:val="none"/>
                <w:lang w:val="en-US" w:eastAsia="zh-CN" w:bidi="ar"/>
              </w:rPr>
              <w:t>με</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2、非线性度：直线：≤1%FS； 多项式：≤0.1%FS</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3、分 辨 力：≤0.125%FS</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4、温度范围：-20℃～+80℃</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5、标    距：150mm</w:t>
            </w:r>
          </w:p>
        </w:tc>
        <w:tc>
          <w:tcPr>
            <w:tcW w:w="722" w:type="dxa"/>
            <w:tcBorders>
              <w:tl2br w:val="nil"/>
              <w:tr2bl w:val="nil"/>
            </w:tcBorders>
            <w:shd w:val="clear" w:color="auto" w:fill="auto"/>
            <w:noWrap/>
            <w:vAlign w:val="center"/>
          </w:tcPr>
          <w:p w14:paraId="4F549573">
            <w:pPr>
              <w:keepNext w:val="0"/>
              <w:keepLines w:val="0"/>
              <w:widowControl/>
              <w:suppressLineNumbers w:val="0"/>
              <w:kinsoku/>
              <w:wordWrap w:val="0"/>
              <w:spacing w:line="360"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655" w:type="dxa"/>
            <w:tcBorders>
              <w:tl2br w:val="nil"/>
              <w:tr2bl w:val="nil"/>
            </w:tcBorders>
            <w:shd w:val="clear" w:color="auto" w:fill="auto"/>
            <w:noWrap/>
            <w:vAlign w:val="center"/>
          </w:tcPr>
          <w:p w14:paraId="2759C19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37196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DA8CD4C">
            <w:pPr>
              <w:keepNext w:val="0"/>
              <w:keepLines w:val="0"/>
              <w:widowControl/>
              <w:suppressLineNumbers w:val="0"/>
              <w:kinsoku/>
              <w:wordWrap w:val="0"/>
              <w:spacing w:line="360" w:lineRule="auto"/>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80" w:type="dxa"/>
            <w:tcBorders>
              <w:tl2br w:val="nil"/>
              <w:tr2bl w:val="nil"/>
            </w:tcBorders>
            <w:shd w:val="clear" w:color="auto" w:fill="auto"/>
            <w:vAlign w:val="center"/>
          </w:tcPr>
          <w:p w14:paraId="230B688E">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主梁振动监测</w:t>
            </w:r>
          </w:p>
        </w:tc>
        <w:tc>
          <w:tcPr>
            <w:tcW w:w="1118" w:type="dxa"/>
            <w:tcBorders>
              <w:tl2br w:val="nil"/>
              <w:tr2bl w:val="nil"/>
            </w:tcBorders>
            <w:shd w:val="clear" w:color="auto" w:fill="auto"/>
            <w:vAlign w:val="center"/>
          </w:tcPr>
          <w:p w14:paraId="18FFA4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振动加速度计</w:t>
            </w:r>
          </w:p>
        </w:tc>
        <w:tc>
          <w:tcPr>
            <w:tcW w:w="6261" w:type="dxa"/>
            <w:tcBorders>
              <w:tl2br w:val="nil"/>
              <w:tr2bl w:val="nil"/>
            </w:tcBorders>
            <w:shd w:val="clear" w:color="auto" w:fill="auto"/>
            <w:vAlign w:val="top"/>
          </w:tcPr>
          <w:p w14:paraId="62226117">
            <w:pPr>
              <w:keepNext w:val="0"/>
              <w:keepLines w:val="0"/>
              <w:widowControl/>
              <w:suppressLineNumbers w:val="0"/>
              <w:kinsoku/>
              <w:wordWrap w:val="0"/>
              <w:spacing w:line="360" w:lineRule="auto"/>
              <w:jc w:val="left"/>
              <w:textAlignment w:val="top"/>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1、测量范围：0~100Hz</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2、灵 敏 度：≥4V/g</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3、灵敏度误差：&lt;1%FS</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4、量程：±2g</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5、电压输出范围：±8V</w:t>
            </w:r>
          </w:p>
        </w:tc>
        <w:tc>
          <w:tcPr>
            <w:tcW w:w="722" w:type="dxa"/>
            <w:tcBorders>
              <w:tl2br w:val="nil"/>
              <w:tr2bl w:val="nil"/>
            </w:tcBorders>
            <w:shd w:val="clear" w:color="auto" w:fill="auto"/>
            <w:noWrap/>
            <w:vAlign w:val="center"/>
          </w:tcPr>
          <w:p w14:paraId="18B09A89">
            <w:pPr>
              <w:keepNext w:val="0"/>
              <w:keepLines w:val="0"/>
              <w:widowControl/>
              <w:suppressLineNumbers w:val="0"/>
              <w:kinsoku/>
              <w:wordWrap w:val="0"/>
              <w:spacing w:line="360" w:lineRule="auto"/>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2D1AC1CC">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7F8C0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6B5E46CB">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w:t>
            </w:r>
          </w:p>
        </w:tc>
        <w:tc>
          <w:tcPr>
            <w:tcW w:w="980" w:type="dxa"/>
            <w:tcBorders>
              <w:tl2br w:val="nil"/>
              <w:tr2bl w:val="nil"/>
            </w:tcBorders>
            <w:shd w:val="clear" w:color="auto" w:fill="auto"/>
            <w:vAlign w:val="center"/>
          </w:tcPr>
          <w:p w14:paraId="6089DF18">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color w:val="auto"/>
                <w:sz w:val="21"/>
                <w:szCs w:val="21"/>
                <w:highlight w:val="none"/>
                <w:u w:val="none"/>
                <w:lang w:eastAsia="zh-CN"/>
              </w:rPr>
            </w:pPr>
            <w:r>
              <w:rPr>
                <w:rFonts w:hint="eastAsia" w:ascii="宋体" w:hAnsi="宋体" w:eastAsia="宋体" w:cs="宋体"/>
                <w:b w:val="0"/>
                <w:bCs w:val="0"/>
                <w:i w:val="0"/>
                <w:iCs w:val="0"/>
                <w:color w:val="auto"/>
                <w:sz w:val="21"/>
                <w:szCs w:val="21"/>
                <w:highlight w:val="none"/>
                <w:u w:val="none"/>
                <w:lang w:eastAsia="zh-CN"/>
              </w:rPr>
              <w:t>主梁竖向位移</w:t>
            </w:r>
          </w:p>
        </w:tc>
        <w:tc>
          <w:tcPr>
            <w:tcW w:w="1118" w:type="dxa"/>
            <w:tcBorders>
              <w:tl2br w:val="nil"/>
              <w:tr2bl w:val="nil"/>
            </w:tcBorders>
            <w:shd w:val="clear" w:color="auto" w:fill="auto"/>
            <w:vAlign w:val="center"/>
          </w:tcPr>
          <w:p w14:paraId="432AAAFF">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snapToGrid w:val="0"/>
                <w:color w:val="auto"/>
                <w:kern w:val="0"/>
                <w:sz w:val="21"/>
                <w:szCs w:val="21"/>
                <w:highlight w:val="none"/>
                <w:u w:val="none"/>
                <w:lang w:val="en-US" w:eastAsia="zh-CN" w:bidi="ar"/>
              </w:rPr>
              <w:t>静力水准仪</w:t>
            </w:r>
          </w:p>
        </w:tc>
        <w:tc>
          <w:tcPr>
            <w:tcW w:w="6261" w:type="dxa"/>
            <w:tcBorders>
              <w:tl2br w:val="nil"/>
              <w:tr2bl w:val="nil"/>
            </w:tcBorders>
            <w:shd w:val="clear" w:color="auto" w:fill="auto"/>
            <w:vAlign w:val="top"/>
          </w:tcPr>
          <w:p w14:paraId="0CC00889">
            <w:pPr>
              <w:keepNext w:val="0"/>
              <w:keepLines w:val="0"/>
              <w:widowControl/>
              <w:numPr>
                <w:ilvl w:val="0"/>
                <w:numId w:val="7"/>
              </w:numPr>
              <w:suppressLineNumbers w:val="0"/>
              <w:kinsoku/>
              <w:wordWrap w:val="0"/>
              <w:spacing w:line="360" w:lineRule="auto"/>
              <w:jc w:val="left"/>
              <w:textAlignment w:val="top"/>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测量范围：50~2000mm</w:t>
            </w:r>
          </w:p>
          <w:p w14:paraId="08BDDDA2">
            <w:pPr>
              <w:keepNext w:val="0"/>
              <w:keepLines w:val="0"/>
              <w:widowControl/>
              <w:numPr>
                <w:ilvl w:val="0"/>
                <w:numId w:val="0"/>
              </w:numPr>
              <w:suppressLineNumbers w:val="0"/>
              <w:kinsoku/>
              <w:wordWrap w:val="0"/>
              <w:spacing w:line="360" w:lineRule="auto"/>
              <w:jc w:val="left"/>
              <w:textAlignment w:val="top"/>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2、测量精度：±0.1％ FS（仅传感器）</w:t>
            </w:r>
            <w:r>
              <w:rPr>
                <w:rFonts w:hint="eastAsia" w:ascii="宋体" w:hAnsi="宋体" w:eastAsia="宋体" w:cs="宋体"/>
                <w:b w:val="0"/>
                <w:bCs w:val="0"/>
                <w:i w:val="0"/>
                <w:iCs w:val="0"/>
                <w:snapToGrid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snapToGrid w:val="0"/>
                <w:color w:val="auto"/>
                <w:kern w:val="0"/>
                <w:sz w:val="21"/>
                <w:szCs w:val="21"/>
                <w:highlight w:val="none"/>
                <w:u w:val="none"/>
                <w:lang w:val="en-US" w:eastAsia="zh-CN" w:bidi="ar"/>
              </w:rPr>
              <w:t>3、分辨力</w:t>
            </w:r>
            <w:r>
              <w:rPr>
                <w:rStyle w:val="76"/>
                <w:rFonts w:hint="eastAsia" w:ascii="宋体" w:hAnsi="宋体" w:eastAsia="宋体" w:cs="宋体"/>
                <w:b w:val="0"/>
                <w:bCs w:val="0"/>
                <w:snapToGrid w:val="0"/>
                <w:color w:val="auto"/>
                <w:sz w:val="21"/>
                <w:szCs w:val="21"/>
                <w:highlight w:val="none"/>
                <w:lang w:val="en-US" w:eastAsia="zh-CN" w:bidi="ar"/>
              </w:rPr>
              <w:t xml:space="preserve"> </w:t>
            </w:r>
            <w:r>
              <w:rPr>
                <w:rFonts w:hint="eastAsia" w:ascii="宋体" w:hAnsi="宋体" w:eastAsia="宋体" w:cs="宋体"/>
                <w:b w:val="0"/>
                <w:bCs w:val="0"/>
                <w:i w:val="0"/>
                <w:iCs w:val="0"/>
                <w:snapToGrid w:val="0"/>
                <w:color w:val="auto"/>
                <w:kern w:val="0"/>
                <w:sz w:val="21"/>
                <w:szCs w:val="21"/>
                <w:highlight w:val="none"/>
                <w:u w:val="none"/>
                <w:lang w:val="en-US" w:eastAsia="zh-CN" w:bidi="ar"/>
              </w:rPr>
              <w:t>：≤0.01％ FS</w:t>
            </w:r>
            <w:r>
              <w:rPr>
                <w:rFonts w:hint="eastAsia" w:ascii="宋体" w:hAnsi="宋体" w:eastAsia="宋体" w:cs="宋体"/>
                <w:b w:val="0"/>
                <w:bCs w:val="0"/>
                <w:i w:val="0"/>
                <w:iCs w:val="0"/>
                <w:snapToGrid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snapToGrid w:val="0"/>
                <w:color w:val="auto"/>
                <w:kern w:val="0"/>
                <w:sz w:val="21"/>
                <w:szCs w:val="21"/>
                <w:highlight w:val="none"/>
                <w:u w:val="none"/>
                <w:lang w:val="en-US" w:eastAsia="zh-CN" w:bidi="ar"/>
              </w:rPr>
              <w:t>4、输出方式：RS485（MODBUS）</w:t>
            </w:r>
            <w:r>
              <w:rPr>
                <w:rFonts w:hint="eastAsia" w:ascii="宋体" w:hAnsi="宋体" w:eastAsia="宋体" w:cs="宋体"/>
                <w:b w:val="0"/>
                <w:bCs w:val="0"/>
                <w:i w:val="0"/>
                <w:iCs w:val="0"/>
                <w:snapToGrid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snapToGrid w:val="0"/>
                <w:color w:val="auto"/>
                <w:kern w:val="0"/>
                <w:sz w:val="21"/>
                <w:szCs w:val="21"/>
                <w:highlight w:val="none"/>
                <w:u w:val="none"/>
                <w:lang w:val="en-US" w:eastAsia="zh-CN" w:bidi="ar"/>
              </w:rPr>
              <w:t>5、供电：12V，≤25mA</w:t>
            </w:r>
          </w:p>
        </w:tc>
        <w:tc>
          <w:tcPr>
            <w:tcW w:w="722" w:type="dxa"/>
            <w:tcBorders>
              <w:tl2br w:val="nil"/>
              <w:tr2bl w:val="nil"/>
            </w:tcBorders>
            <w:shd w:val="clear" w:color="auto" w:fill="auto"/>
            <w:noWrap/>
            <w:vAlign w:val="center"/>
          </w:tcPr>
          <w:p w14:paraId="5D98BF4E">
            <w:pPr>
              <w:keepNext w:val="0"/>
              <w:keepLines w:val="0"/>
              <w:widowControl/>
              <w:suppressLineNumbers w:val="0"/>
              <w:kinsoku/>
              <w:wordWrap w:val="0"/>
              <w:spacing w:line="360" w:lineRule="auto"/>
              <w:jc w:val="center"/>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w:t>
            </w:r>
          </w:p>
        </w:tc>
        <w:tc>
          <w:tcPr>
            <w:tcW w:w="655" w:type="dxa"/>
            <w:tcBorders>
              <w:tl2br w:val="nil"/>
              <w:tr2bl w:val="nil"/>
            </w:tcBorders>
            <w:shd w:val="clear" w:color="auto" w:fill="auto"/>
            <w:noWrap/>
            <w:vAlign w:val="center"/>
          </w:tcPr>
          <w:p w14:paraId="647F117C">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套</w:t>
            </w:r>
          </w:p>
        </w:tc>
      </w:tr>
      <w:tr w14:paraId="1209D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7E382BB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w:t>
            </w:r>
          </w:p>
        </w:tc>
        <w:tc>
          <w:tcPr>
            <w:tcW w:w="980" w:type="dxa"/>
            <w:tcBorders>
              <w:tl2br w:val="nil"/>
              <w:tr2bl w:val="nil"/>
            </w:tcBorders>
            <w:shd w:val="clear" w:color="auto" w:fill="auto"/>
            <w:vAlign w:val="center"/>
          </w:tcPr>
          <w:p w14:paraId="1569905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温湿度监测</w:t>
            </w:r>
          </w:p>
        </w:tc>
        <w:tc>
          <w:tcPr>
            <w:tcW w:w="1118" w:type="dxa"/>
            <w:tcBorders>
              <w:tl2br w:val="nil"/>
              <w:tr2bl w:val="nil"/>
            </w:tcBorders>
            <w:shd w:val="clear" w:color="auto" w:fill="auto"/>
            <w:vAlign w:val="center"/>
          </w:tcPr>
          <w:p w14:paraId="686D1E1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温湿度计</w:t>
            </w:r>
          </w:p>
        </w:tc>
        <w:tc>
          <w:tcPr>
            <w:tcW w:w="6261" w:type="dxa"/>
            <w:tcBorders>
              <w:tl2br w:val="nil"/>
              <w:tr2bl w:val="nil"/>
            </w:tcBorders>
            <w:shd w:val="clear" w:color="auto" w:fill="auto"/>
            <w:vAlign w:val="center"/>
          </w:tcPr>
          <w:p w14:paraId="69E78CA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1、测量范围：-40℃~+80℃ ；0~100%RH</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2、误差：±0.2℃ ；±2%（≤80%时）</w:t>
            </w:r>
            <w:r>
              <w:rPr>
                <w:rStyle w:val="76"/>
                <w:rFonts w:hint="eastAsia" w:ascii="宋体" w:hAnsi="宋体" w:eastAsia="宋体" w:cs="宋体"/>
                <w:snapToGrid w:val="0"/>
                <w:color w:val="auto"/>
                <w:sz w:val="21"/>
                <w:szCs w:val="21"/>
                <w:highlight w:val="none"/>
                <w:lang w:val="en-US" w:eastAsia="zh-CN" w:bidi="ar"/>
              </w:rPr>
              <w:t xml:space="preserve"> </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3、分辨率：≤0.1℃ ；0.1%</w:t>
            </w:r>
          </w:p>
        </w:tc>
        <w:tc>
          <w:tcPr>
            <w:tcW w:w="722" w:type="dxa"/>
            <w:tcBorders>
              <w:tl2br w:val="nil"/>
              <w:tr2bl w:val="nil"/>
            </w:tcBorders>
            <w:shd w:val="clear" w:color="auto" w:fill="auto"/>
            <w:noWrap/>
            <w:vAlign w:val="center"/>
          </w:tcPr>
          <w:p w14:paraId="386B639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1CD743D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2852B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5C03FDA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w:t>
            </w:r>
          </w:p>
        </w:tc>
        <w:tc>
          <w:tcPr>
            <w:tcW w:w="980" w:type="dxa"/>
            <w:vMerge w:val="restart"/>
            <w:tcBorders>
              <w:tl2br w:val="nil"/>
              <w:tr2bl w:val="nil"/>
            </w:tcBorders>
            <w:shd w:val="clear" w:color="auto" w:fill="auto"/>
            <w:vAlign w:val="center"/>
          </w:tcPr>
          <w:p w14:paraId="60DC0B7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采集系统</w:t>
            </w:r>
          </w:p>
        </w:tc>
        <w:tc>
          <w:tcPr>
            <w:tcW w:w="1118" w:type="dxa"/>
            <w:tcBorders>
              <w:tl2br w:val="nil"/>
              <w:tr2bl w:val="nil"/>
            </w:tcBorders>
            <w:shd w:val="clear" w:color="auto" w:fill="auto"/>
            <w:vAlign w:val="center"/>
          </w:tcPr>
          <w:p w14:paraId="76CFF4F5">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en-US" w:bidi="ar-SA"/>
              </w:rPr>
            </w:pPr>
            <w:r>
              <w:rPr>
                <w:rFonts w:hint="eastAsia" w:ascii="宋体" w:hAnsi="宋体" w:eastAsia="宋体" w:cs="宋体"/>
                <w:i w:val="0"/>
                <w:iCs w:val="0"/>
                <w:snapToGrid w:val="0"/>
                <w:color w:val="000000" w:themeColor="text1"/>
                <w:kern w:val="0"/>
                <w:sz w:val="21"/>
                <w:szCs w:val="21"/>
                <w:highlight w:val="none"/>
                <w:u w:val="none"/>
                <w:lang w:val="en-US" w:eastAsia="zh-CN" w:bidi="ar"/>
              </w:rPr>
              <w:t>数字智能采集终端</w:t>
            </w:r>
          </w:p>
        </w:tc>
        <w:tc>
          <w:tcPr>
            <w:tcW w:w="6261" w:type="dxa"/>
            <w:tcBorders>
              <w:tl2br w:val="nil"/>
              <w:tr2bl w:val="nil"/>
            </w:tcBorders>
            <w:shd w:val="clear" w:color="auto" w:fill="auto"/>
            <w:vAlign w:val="center"/>
          </w:tcPr>
          <w:p w14:paraId="386ABDCB">
            <w:pPr>
              <w:keepNext w:val="0"/>
              <w:keepLines w:val="0"/>
              <w:widowControl/>
              <w:suppressLineNumbers w:val="0"/>
              <w:spacing w:line="360" w:lineRule="auto"/>
              <w:jc w:val="left"/>
            </w:pPr>
            <w:r>
              <w:rPr>
                <w:rFonts w:hint="eastAsia" w:ascii="宋体" w:hAnsi="宋体" w:eastAsia="宋体" w:cs="宋体"/>
                <w:snapToGrid w:val="0"/>
                <w:color w:val="000000"/>
                <w:kern w:val="0"/>
                <w:sz w:val="21"/>
                <w:szCs w:val="21"/>
                <w:lang w:val="en-US" w:eastAsia="zh-CN" w:bidi="ar"/>
              </w:rPr>
              <w:t xml:space="preserve">1、通道数：16 </w:t>
            </w:r>
          </w:p>
          <w:p w14:paraId="0D92895B">
            <w:pPr>
              <w:keepNext w:val="0"/>
              <w:keepLines w:val="0"/>
              <w:widowControl/>
              <w:suppressLineNumbers w:val="0"/>
              <w:spacing w:line="360" w:lineRule="auto"/>
              <w:jc w:val="left"/>
            </w:pPr>
            <w:r>
              <w:rPr>
                <w:rFonts w:hint="eastAsia" w:ascii="宋体" w:hAnsi="宋体" w:eastAsia="宋体" w:cs="宋体"/>
                <w:snapToGrid w:val="0"/>
                <w:color w:val="000000"/>
                <w:kern w:val="0"/>
                <w:sz w:val="21"/>
                <w:szCs w:val="21"/>
                <w:lang w:val="en-US" w:eastAsia="zh-CN" w:bidi="ar"/>
              </w:rPr>
              <w:t xml:space="preserve">2、工作方式：异步半双工 </w:t>
            </w:r>
          </w:p>
          <w:p w14:paraId="4EA64A3C">
            <w:pPr>
              <w:keepNext w:val="0"/>
              <w:keepLines w:val="0"/>
              <w:widowControl/>
              <w:suppressLineNumbers w:val="0"/>
              <w:spacing w:line="360" w:lineRule="auto"/>
              <w:jc w:val="left"/>
            </w:pPr>
            <w:r>
              <w:rPr>
                <w:rFonts w:hint="eastAsia" w:ascii="宋体" w:hAnsi="宋体" w:eastAsia="宋体" w:cs="宋体"/>
                <w:snapToGrid w:val="0"/>
                <w:color w:val="000000"/>
                <w:kern w:val="0"/>
                <w:sz w:val="21"/>
                <w:szCs w:val="21"/>
                <w:lang w:val="en-US" w:eastAsia="zh-CN" w:bidi="ar"/>
              </w:rPr>
              <w:t xml:space="preserve">3、信号输入范围：RS485 </w:t>
            </w:r>
          </w:p>
          <w:p w14:paraId="5D0BFC60">
            <w:pPr>
              <w:keepNext w:val="0"/>
              <w:keepLines w:val="0"/>
              <w:widowControl/>
              <w:suppressLineNumbers w:val="0"/>
              <w:spacing w:line="360" w:lineRule="auto"/>
              <w:jc w:val="left"/>
            </w:pPr>
            <w:r>
              <w:rPr>
                <w:rFonts w:hint="eastAsia" w:ascii="宋体" w:hAnsi="宋体" w:eastAsia="宋体" w:cs="宋体"/>
                <w:snapToGrid w:val="0"/>
                <w:color w:val="000000"/>
                <w:kern w:val="0"/>
                <w:sz w:val="21"/>
                <w:szCs w:val="21"/>
                <w:lang w:val="en-US" w:eastAsia="zh-CN" w:bidi="ar"/>
              </w:rPr>
              <w:t xml:space="preserve">4、工作电压：9~36V </w:t>
            </w:r>
          </w:p>
          <w:p w14:paraId="460A68EC">
            <w:pPr>
              <w:keepNext w:val="0"/>
              <w:keepLines w:val="0"/>
              <w:widowControl/>
              <w:suppressLineNumbers w:val="0"/>
              <w:spacing w:line="360" w:lineRule="auto"/>
              <w:jc w:val="left"/>
            </w:pPr>
            <w:r>
              <w:rPr>
                <w:rFonts w:hint="eastAsia" w:ascii="宋体" w:hAnsi="宋体" w:eastAsia="宋体" w:cs="宋体"/>
                <w:snapToGrid w:val="0"/>
                <w:color w:val="000000"/>
                <w:kern w:val="0"/>
                <w:sz w:val="21"/>
                <w:szCs w:val="21"/>
                <w:lang w:val="en-US" w:eastAsia="zh-CN" w:bidi="ar"/>
              </w:rPr>
              <w:t xml:space="preserve">5、通讯速率：300bps-115.2Kbps </w:t>
            </w:r>
          </w:p>
          <w:p w14:paraId="77B45311">
            <w:pPr>
              <w:keepNext w:val="0"/>
              <w:keepLines w:val="0"/>
              <w:widowControl/>
              <w:suppressLineNumbers w:val="0"/>
              <w:spacing w:line="360" w:lineRule="auto"/>
              <w:jc w:val="left"/>
            </w:pPr>
            <w:r>
              <w:rPr>
                <w:rFonts w:hint="eastAsia" w:ascii="宋体" w:hAnsi="宋体" w:eastAsia="宋体" w:cs="宋体"/>
                <w:snapToGrid w:val="0"/>
                <w:color w:val="000000"/>
                <w:kern w:val="0"/>
                <w:sz w:val="21"/>
                <w:szCs w:val="21"/>
                <w:lang w:val="en-US" w:eastAsia="zh-CN" w:bidi="ar"/>
              </w:rPr>
              <w:t xml:space="preserve">6、工作温度：-40~70℃ </w:t>
            </w:r>
          </w:p>
          <w:p w14:paraId="0497CB0D">
            <w:pPr>
              <w:keepNext w:val="0"/>
              <w:keepLines w:val="0"/>
              <w:widowControl/>
              <w:suppressLineNumbers w:val="0"/>
              <w:spacing w:line="360" w:lineRule="auto"/>
              <w:jc w:val="left"/>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snapToGrid w:val="0"/>
                <w:color w:val="000000"/>
                <w:kern w:val="0"/>
                <w:sz w:val="21"/>
                <w:szCs w:val="21"/>
                <w:lang w:val="en-US" w:eastAsia="zh-CN" w:bidi="ar"/>
              </w:rPr>
              <w:t>7、防护等级：≥IP65</w:t>
            </w:r>
          </w:p>
        </w:tc>
        <w:tc>
          <w:tcPr>
            <w:tcW w:w="722" w:type="dxa"/>
            <w:tcBorders>
              <w:tl2br w:val="nil"/>
              <w:tr2bl w:val="nil"/>
            </w:tcBorders>
            <w:shd w:val="clear" w:color="auto" w:fill="auto"/>
            <w:noWrap/>
            <w:vAlign w:val="center"/>
          </w:tcPr>
          <w:p w14:paraId="75159C0F">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en-US"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26E961F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29F3FA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3E76ADB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80" w:type="dxa"/>
            <w:vMerge w:val="continue"/>
            <w:tcBorders>
              <w:tl2br w:val="nil"/>
              <w:tr2bl w:val="nil"/>
            </w:tcBorders>
            <w:shd w:val="clear" w:color="auto" w:fill="auto"/>
            <w:vAlign w:val="center"/>
          </w:tcPr>
          <w:p w14:paraId="5B87AF7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B128299">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en-US" w:bidi="ar-SA"/>
              </w:rPr>
            </w:pPr>
            <w:r>
              <w:rPr>
                <w:rFonts w:hint="eastAsia" w:ascii="宋体" w:hAnsi="宋体" w:eastAsia="宋体" w:cs="宋体"/>
                <w:i w:val="0"/>
                <w:iCs w:val="0"/>
                <w:snapToGrid w:val="0"/>
                <w:color w:val="auto"/>
                <w:kern w:val="0"/>
                <w:sz w:val="21"/>
                <w:szCs w:val="21"/>
                <w:highlight w:val="none"/>
                <w:u w:val="none"/>
                <w:lang w:val="en-US" w:eastAsia="zh-CN" w:bidi="ar"/>
              </w:rPr>
              <w:t>振动采集仪</w:t>
            </w:r>
          </w:p>
        </w:tc>
        <w:tc>
          <w:tcPr>
            <w:tcW w:w="6261" w:type="dxa"/>
            <w:tcBorders>
              <w:tl2br w:val="nil"/>
              <w:tr2bl w:val="nil"/>
            </w:tcBorders>
            <w:shd w:val="clear" w:color="auto" w:fill="auto"/>
            <w:vAlign w:val="center"/>
          </w:tcPr>
          <w:p w14:paraId="06BD8B79">
            <w:pPr>
              <w:keepNext w:val="0"/>
              <w:keepLines w:val="0"/>
              <w:widowControl/>
              <w:suppressLineNumbers w:val="0"/>
              <w:spacing w:line="360" w:lineRule="auto"/>
              <w:jc w:val="left"/>
            </w:pPr>
            <w:r>
              <w:rPr>
                <w:rFonts w:hint="eastAsia" w:ascii="宋体" w:hAnsi="宋体" w:eastAsia="宋体" w:cs="宋体"/>
                <w:snapToGrid w:val="0"/>
                <w:color w:val="000000"/>
                <w:kern w:val="0"/>
                <w:sz w:val="21"/>
                <w:szCs w:val="21"/>
                <w:lang w:val="en-US" w:eastAsia="zh-CN" w:bidi="ar"/>
              </w:rPr>
              <w:t xml:space="preserve">1、通道数：8 </w:t>
            </w:r>
          </w:p>
          <w:p w14:paraId="5AD0E6FA">
            <w:pPr>
              <w:keepNext w:val="0"/>
              <w:keepLines w:val="0"/>
              <w:widowControl/>
              <w:suppressLineNumbers w:val="0"/>
              <w:spacing w:line="360" w:lineRule="auto"/>
              <w:jc w:val="left"/>
            </w:pPr>
            <w:r>
              <w:rPr>
                <w:rFonts w:hint="eastAsia" w:ascii="宋体" w:hAnsi="宋体" w:eastAsia="宋体" w:cs="宋体"/>
                <w:snapToGrid w:val="0"/>
                <w:color w:val="000000"/>
                <w:kern w:val="0"/>
                <w:sz w:val="21"/>
                <w:szCs w:val="21"/>
                <w:lang w:val="en-US" w:eastAsia="zh-CN" w:bidi="ar"/>
              </w:rPr>
              <w:t xml:space="preserve">2、采样频率：≤64Hz </w:t>
            </w:r>
          </w:p>
          <w:p w14:paraId="2D1E41D4">
            <w:pPr>
              <w:keepNext w:val="0"/>
              <w:keepLines w:val="0"/>
              <w:widowControl/>
              <w:suppressLineNumbers w:val="0"/>
              <w:spacing w:line="360" w:lineRule="auto"/>
              <w:jc w:val="left"/>
            </w:pPr>
            <w:r>
              <w:rPr>
                <w:rFonts w:hint="eastAsia" w:ascii="宋体" w:hAnsi="宋体" w:eastAsia="宋体" w:cs="宋体"/>
                <w:snapToGrid w:val="0"/>
                <w:color w:val="000000"/>
                <w:kern w:val="0"/>
                <w:sz w:val="21"/>
                <w:szCs w:val="21"/>
                <w:lang w:val="en-US" w:eastAsia="zh-CN" w:bidi="ar"/>
              </w:rPr>
              <w:t xml:space="preserve">3、防护：15KV ESD 保护（包括输入输出及 SIM 卡接口） </w:t>
            </w:r>
          </w:p>
          <w:p w14:paraId="56A9C1F2">
            <w:pPr>
              <w:keepNext w:val="0"/>
              <w:keepLines w:val="0"/>
              <w:widowControl/>
              <w:suppressLineNumbers w:val="0"/>
              <w:spacing w:line="360" w:lineRule="auto"/>
              <w:jc w:val="left"/>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snapToGrid w:val="0"/>
                <w:color w:val="000000"/>
                <w:kern w:val="0"/>
                <w:sz w:val="21"/>
                <w:szCs w:val="21"/>
                <w:lang w:val="en-US" w:eastAsia="zh-CN" w:bidi="ar"/>
              </w:rPr>
              <w:t>4、电源内置反相保护和过压保护 。</w:t>
            </w:r>
          </w:p>
        </w:tc>
        <w:tc>
          <w:tcPr>
            <w:tcW w:w="722" w:type="dxa"/>
            <w:tcBorders>
              <w:tl2br w:val="nil"/>
              <w:tr2bl w:val="nil"/>
            </w:tcBorders>
            <w:shd w:val="clear" w:color="auto" w:fill="auto"/>
            <w:noWrap/>
            <w:vAlign w:val="center"/>
          </w:tcPr>
          <w:p w14:paraId="5EFB5F60">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en-US" w:bidi="ar-SA"/>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04E9CAC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2C3D07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3711990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w:t>
            </w:r>
          </w:p>
        </w:tc>
        <w:tc>
          <w:tcPr>
            <w:tcW w:w="2098" w:type="dxa"/>
            <w:gridSpan w:val="2"/>
            <w:tcBorders>
              <w:tl2br w:val="nil"/>
              <w:tr2bl w:val="nil"/>
            </w:tcBorders>
            <w:shd w:val="clear" w:color="auto" w:fill="auto"/>
            <w:vAlign w:val="center"/>
          </w:tcPr>
          <w:p w14:paraId="571CD4A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val="0"/>
                <w:bCs w:val="0"/>
                <w:i w:val="0"/>
                <w:iCs w:val="0"/>
                <w:snapToGrid w:val="0"/>
                <w:color w:val="auto"/>
                <w:kern w:val="0"/>
                <w:sz w:val="21"/>
                <w:szCs w:val="21"/>
                <w:highlight w:val="none"/>
                <w:u w:val="none"/>
                <w:lang w:val="en-US" w:eastAsia="zh-CN" w:bidi="ar"/>
              </w:rPr>
              <w:t>供电系统</w:t>
            </w:r>
          </w:p>
        </w:tc>
        <w:tc>
          <w:tcPr>
            <w:tcW w:w="6261" w:type="dxa"/>
            <w:tcBorders>
              <w:tl2br w:val="nil"/>
              <w:tr2bl w:val="nil"/>
            </w:tcBorders>
            <w:shd w:val="clear" w:color="auto" w:fill="auto"/>
            <w:vAlign w:val="center"/>
          </w:tcPr>
          <w:p w14:paraId="7061F846">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1.供电输入：优先采用220V±10%的工频交流电，适配市政电网波动；频率50Hz±2Hz，同时需预留≥20%的功率冗余，满足后期新增应变、位移等监测设备的扩展需求。</w:t>
            </w:r>
          </w:p>
          <w:p w14:paraId="78580156">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2.稳压与防雷：配置隔离稳压模块，输出电压纹波≤50mV，保障传感器等精密设备稳定运行；电源输入端需加装不低于C级的电源防雷器，能承受≥20kA的雷电流冲击，避免雷击损坏设备。</w:t>
            </w:r>
          </w:p>
          <w:p w14:paraId="52B7FB68">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3.备用电源配置：必须搭配UPS不间断电源，电中断后可维持系统核心设备运行不少于4小时；特殊场景可增配太阳能+蓄电池作为二级备用，蓄电池容量需满足阴雨天72小时持续供电，确保监测不中断。</w:t>
            </w:r>
          </w:p>
          <w:p w14:paraId="71C2C8B3">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4.配电与布线：采用多级配电设计，分路控制不同监测区域设备，每路配备过载、短路保护装置；电缆选用耐候、耐腐蚀型号，敷设时用线管或线槽防护，导线绝缘电阻≥2MΩ，杜绝漏电隐患。</w:t>
            </w:r>
          </w:p>
          <w:p w14:paraId="3CA9B2FB">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5.接地要求：系统需做可靠接地处理，接地电阻≤4Ω；供电设备与监测设备共用同一接地网，减少电磁干扰对监测数据的影响，保障电路和设备安全。</w:t>
            </w:r>
          </w:p>
          <w:p w14:paraId="430E03B3">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6.监控与告警：具备远程监测功能，实时采集电压、电流等参数；当出现过压、欠压、断电等异常时，可自动向管理终端发送告警信号，同时记录故障时间与数据，便于排查。</w:t>
            </w:r>
          </w:p>
          <w:p w14:paraId="03ED7841">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7.环境适应性：供电柜体选用防雨、防尘、耐腐蚀材质，防护等级≥IP54；内部可加装温控模块，适配-40℃~60℃的工作温度，能应对桥梁户外高低温、潮湿等恶劣环境。</w:t>
            </w:r>
          </w:p>
          <w:p w14:paraId="0BA0C5B5">
            <w:pPr>
              <w:keepNext w:val="0"/>
              <w:keepLines w:val="0"/>
              <w:widowControl/>
              <w:suppressLineNumbers w:val="0"/>
              <w:kinsoku/>
              <w:wordWrap w:val="0"/>
              <w:spacing w:line="360" w:lineRule="auto"/>
              <w:jc w:val="both"/>
              <w:textAlignment w:val="center"/>
              <w:rPr>
                <w:rFonts w:hint="eastAsia" w:ascii="宋体" w:hAnsi="宋体" w:eastAsia="宋体" w:cs="宋体"/>
                <w:i w:val="0"/>
                <w:iCs w:val="0"/>
                <w:color w:val="auto"/>
                <w:sz w:val="21"/>
                <w:szCs w:val="21"/>
                <w:highlight w:val="none"/>
                <w:u w:val="none"/>
                <w:lang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8.接口适配：输出接口需适配监测设备需求，包含DC12 - 24V直流输出和220V交流输出；支持与传感器、数据采集器的接口兼容，可匹配RS485、4 - 20mA等设备的供电需求。</w:t>
            </w:r>
          </w:p>
        </w:tc>
        <w:tc>
          <w:tcPr>
            <w:tcW w:w="722" w:type="dxa"/>
            <w:tcBorders>
              <w:tl2br w:val="nil"/>
              <w:tr2bl w:val="nil"/>
            </w:tcBorders>
            <w:shd w:val="clear" w:color="auto" w:fill="auto"/>
            <w:noWrap/>
            <w:vAlign w:val="center"/>
          </w:tcPr>
          <w:p w14:paraId="670CEE0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lang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w:t>
            </w:r>
          </w:p>
        </w:tc>
        <w:tc>
          <w:tcPr>
            <w:tcW w:w="655" w:type="dxa"/>
            <w:tcBorders>
              <w:tl2br w:val="nil"/>
              <w:tr2bl w:val="nil"/>
            </w:tcBorders>
            <w:shd w:val="clear" w:color="auto" w:fill="auto"/>
            <w:noWrap/>
            <w:vAlign w:val="center"/>
          </w:tcPr>
          <w:p w14:paraId="424433B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lang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套</w:t>
            </w:r>
          </w:p>
        </w:tc>
      </w:tr>
      <w:tr w14:paraId="2D91E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6786C431">
            <w:pPr>
              <w:keepNext w:val="0"/>
              <w:keepLines w:val="0"/>
              <w:widowControl/>
              <w:suppressLineNumbers w:val="0"/>
              <w:kinsoku/>
              <w:wordWrap w:val="0"/>
              <w:spacing w:line="360" w:lineRule="auto"/>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8</w:t>
            </w:r>
          </w:p>
        </w:tc>
        <w:tc>
          <w:tcPr>
            <w:tcW w:w="2098" w:type="dxa"/>
            <w:gridSpan w:val="2"/>
            <w:tcBorders>
              <w:tl2br w:val="nil"/>
              <w:tr2bl w:val="nil"/>
            </w:tcBorders>
            <w:shd w:val="clear" w:color="auto" w:fill="auto"/>
            <w:vAlign w:val="center"/>
          </w:tcPr>
          <w:p w14:paraId="431D77CE">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辅材及安装施工</w:t>
            </w:r>
          </w:p>
        </w:tc>
        <w:tc>
          <w:tcPr>
            <w:tcW w:w="6261" w:type="dxa"/>
            <w:tcBorders>
              <w:tl2br w:val="nil"/>
              <w:tr2bl w:val="nil"/>
            </w:tcBorders>
            <w:shd w:val="clear" w:color="auto" w:fill="auto"/>
            <w:vAlign w:val="center"/>
          </w:tcPr>
          <w:p w14:paraId="7B36D53D">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1.辅材技术参数要求</w:t>
            </w:r>
          </w:p>
          <w:p w14:paraId="42BA5DDA">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（1）线缆类：传感器线缆选RVVP4×0.5mm²屏蔽电缆，电磁屏蔽效能≥60dB，避免信号干扰；光纤选用单模光纤，波长范围1525 - 1565nm，衰减≤0.3dB/km。线缆绝缘电阻≥20MΩ，耐温范围-40℃~80℃，适配桥梁户外温差环境。</w:t>
            </w:r>
          </w:p>
          <w:p w14:paraId="208BC6EE">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固定与防护件：预埋钢板选用304不锈钢，厚度≥8mm，焊接面平整度误差≤2mm；磁性底座吸力≥50N，适配钢结构表面传感器固定。防水接线盒防护等级≥IP68，接头处热缩套管耐老化寿命≥10年；密封胶选用硅酮或聚脲材质，粘结强度≥30MPa，耐候性强。</w:t>
            </w:r>
          </w:p>
          <w:p w14:paraId="2A1966BC">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安装辅助件：固定卡具间距≤50cm，采用ABS材质，适配不同规格线缆；镀锌钢管壁厚≥1.5mm，用于线缆防护，埋地敷设时外径≥20mm。环氧砂浆、环氧树脂等粘结材料，固化时间≤24小时，固化后可耐受桥面振动等工况。</w:t>
            </w:r>
          </w:p>
          <w:p w14:paraId="0E0D2494">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（4）防雷与接地件：浪涌保护器适配AC220V和DC12 - 24V电路，雷电流承受能力≥20kA；接地极采用镀锌角钢，长度≥2.5m，接地母线选用≥16mm²铜芯线，保障接地效果。</w:t>
            </w:r>
          </w:p>
          <w:p w14:paraId="11C828DF">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2.安装施工技术参数要求</w:t>
            </w:r>
          </w:p>
          <w:p w14:paraId="63EA11BE">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传感器安装：混凝土表面粘贴传感器前，需打磨至粗糙度≥60μm，埋入式传感器埋设深度距表面≥15cm，且轴线与主应力方向一致。钢结构表面传感器安装前除锈至Sa2.5级，传感器与钢表面接触面积≥80%。拉索传感器距锚头1.0 - 1.5m安装，用不锈钢带绑扎，间距≤200mm。</w:t>
            </w:r>
          </w:p>
          <w:p w14:paraId="05BD79B4">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（2）测点布置：应力测点在跨中、1/4跨等截面布置3 - 5个，横向间距0.5 - 1.0m；位移测点纵向间距不超过10m。温度传感器按0.5 - 1.0℃梯度分区布置，每区2 - 3个，且与应变传感器同位置布设以实现温度补偿。</w:t>
            </w:r>
          </w:p>
          <w:p w14:paraId="70443BB9">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（3）线缆与布线：线缆沿梁体预留管槽敷设，穿镀锌钢管防护，埋地深度≥50cm。接头锡焊处理后用热缩套管密封，弯曲半径≥线缆直径的10倍，避免信号传输受损。</w:t>
            </w:r>
          </w:p>
          <w:p w14:paraId="47F55DBC">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（4）系统调试与验收：安装后进行零位校准，应变计线性误差≤1%，倾角仪</w:t>
            </w:r>
          </w:p>
        </w:tc>
        <w:tc>
          <w:tcPr>
            <w:tcW w:w="722" w:type="dxa"/>
            <w:tcBorders>
              <w:tl2br w:val="nil"/>
              <w:tr2bl w:val="nil"/>
            </w:tcBorders>
            <w:shd w:val="clear" w:color="auto" w:fill="auto"/>
            <w:noWrap/>
            <w:vAlign w:val="center"/>
          </w:tcPr>
          <w:p w14:paraId="1ECDB212">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21B3E7D2">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批</w:t>
            </w:r>
          </w:p>
        </w:tc>
      </w:tr>
      <w:tr w14:paraId="55F36B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56932981">
            <w:pPr>
              <w:keepNext w:val="0"/>
              <w:keepLines w:val="0"/>
              <w:widowControl/>
              <w:suppressLineNumbers w:val="0"/>
              <w:kinsoku/>
              <w:wordWrap w:val="0"/>
              <w:spacing w:line="360" w:lineRule="auto"/>
              <w:jc w:val="left"/>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bCs/>
                <w:i w:val="0"/>
                <w:iCs w:val="0"/>
                <w:snapToGrid w:val="0"/>
                <w:color w:val="auto"/>
                <w:kern w:val="0"/>
                <w:sz w:val="21"/>
                <w:szCs w:val="21"/>
                <w:highlight w:val="none"/>
                <w:u w:val="none"/>
                <w:lang w:val="en-US" w:eastAsia="zh-CN" w:bidi="ar"/>
              </w:rPr>
              <w:t>六、水生态监测感知体系（1公里河道）</w:t>
            </w:r>
          </w:p>
        </w:tc>
      </w:tr>
      <w:tr w14:paraId="41838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65002461">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w:t>
            </w:r>
          </w:p>
        </w:tc>
        <w:tc>
          <w:tcPr>
            <w:tcW w:w="980" w:type="dxa"/>
            <w:vMerge w:val="restart"/>
            <w:tcBorders>
              <w:tl2br w:val="nil"/>
              <w:tr2bl w:val="nil"/>
            </w:tcBorders>
            <w:shd w:val="clear" w:color="auto" w:fill="auto"/>
            <w:vAlign w:val="center"/>
          </w:tcPr>
          <w:p w14:paraId="74C21519">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监测设备</w:t>
            </w:r>
          </w:p>
        </w:tc>
        <w:tc>
          <w:tcPr>
            <w:tcW w:w="1118" w:type="dxa"/>
            <w:tcBorders>
              <w:tl2br w:val="nil"/>
              <w:tr2bl w:val="nil"/>
            </w:tcBorders>
            <w:shd w:val="clear" w:color="auto" w:fill="auto"/>
            <w:vAlign w:val="center"/>
          </w:tcPr>
          <w:p w14:paraId="18AB8BDA">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水质ph传感器</w:t>
            </w:r>
          </w:p>
        </w:tc>
        <w:tc>
          <w:tcPr>
            <w:tcW w:w="6261" w:type="dxa"/>
            <w:tcBorders>
              <w:tl2br w:val="nil"/>
              <w:tr2bl w:val="nil"/>
            </w:tcBorders>
            <w:shd w:val="clear" w:color="auto" w:fill="auto"/>
            <w:vAlign w:val="center"/>
          </w:tcPr>
          <w:p w14:paraId="3AF85519">
            <w:pPr>
              <w:keepNext w:val="0"/>
              <w:keepLines w:val="0"/>
              <w:widowControl/>
              <w:numPr>
                <w:ilvl w:val="-1"/>
                <w:numId w:val="0"/>
              </w:numPr>
              <w:suppressLineNumbers w:val="0"/>
              <w:kinsoku/>
              <w:wordWrap w:val="0"/>
              <w:spacing w:line="360" w:lineRule="auto"/>
              <w:jc w:val="both"/>
              <w:textAlignment w:val="center"/>
              <w:rPr>
                <w:rFonts w:hint="eastAsia" w:ascii="宋体" w:hAnsi="宋体" w:eastAsia="宋体" w:cs="宋体"/>
                <w:b w:val="0"/>
                <w:bCs w:val="0"/>
                <w:color w:val="auto"/>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1.测量范围：常规0-14 pH（强酸碱场景可扩展至-2.0~16.0 pH）；</w:t>
            </w:r>
          </w:p>
          <w:p w14:paraId="66AF1DFE">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2.测量精度：±0.01 pH（校准后），重复性≤±0.005 pH；</w:t>
            </w:r>
          </w:p>
          <w:p w14:paraId="4479FD6C">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3.响应时间：≤2秒（达到95%稳态值，25℃标准条件）；</w:t>
            </w:r>
          </w:p>
          <w:p w14:paraId="71EB6FCD">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4.工作温度：0~80℃（高温场景可选-10~130℃耐高温型）；</w:t>
            </w:r>
          </w:p>
          <w:p w14:paraId="4787E70E">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5.耐压范围：≤10 bar（深水场景可定制30 bar以上高压型）；</w:t>
            </w:r>
          </w:p>
          <w:p w14:paraId="2F39B98D">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6.输出信号：标准4-20mA、RS485（Modbus协议），支持数字信号（可选）；</w:t>
            </w:r>
          </w:p>
          <w:p w14:paraId="308C88BF">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7.供电电压：12-24VDC（宽压适配）；</w:t>
            </w:r>
          </w:p>
          <w:p w14:paraId="747D41F5">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8.防护等级：IP68（水下安装标配）；</w:t>
            </w:r>
          </w:p>
          <w:p w14:paraId="4384B1D9">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9.电极类型：玻璃电极（可选凝胶/固体电解质，免维护型）；</w:t>
            </w:r>
          </w:p>
          <w:p w14:paraId="0D63BA83">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10.校准功能：支持两点/三点校准，自带温度补偿（PT1000/NTC）；</w:t>
            </w:r>
          </w:p>
          <w:p w14:paraId="4A05B888">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11.安装方式：浸入式、流通式、法兰式（适配不同监测场景）；</w:t>
            </w:r>
          </w:p>
          <w:p w14:paraId="267658F5">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12.材质要求：外壳316L不锈钢/钛合金，电极保护套耐腐蚀PP/PTFE。</w:t>
            </w:r>
          </w:p>
        </w:tc>
        <w:tc>
          <w:tcPr>
            <w:tcW w:w="722" w:type="dxa"/>
            <w:tcBorders>
              <w:tl2br w:val="nil"/>
              <w:tr2bl w:val="nil"/>
            </w:tcBorders>
            <w:shd w:val="clear" w:color="auto" w:fill="auto"/>
            <w:noWrap/>
            <w:vAlign w:val="center"/>
          </w:tcPr>
          <w:p w14:paraId="650D1899">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w:t>
            </w:r>
          </w:p>
        </w:tc>
        <w:tc>
          <w:tcPr>
            <w:tcW w:w="655" w:type="dxa"/>
            <w:tcBorders>
              <w:tl2br w:val="nil"/>
              <w:tr2bl w:val="nil"/>
            </w:tcBorders>
            <w:shd w:val="clear" w:color="auto" w:fill="auto"/>
            <w:noWrap/>
            <w:vAlign w:val="center"/>
          </w:tcPr>
          <w:p w14:paraId="6DEFD044">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套</w:t>
            </w:r>
          </w:p>
        </w:tc>
      </w:tr>
      <w:tr w14:paraId="40F84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3D28FBF4">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w:t>
            </w:r>
          </w:p>
        </w:tc>
        <w:tc>
          <w:tcPr>
            <w:tcW w:w="980" w:type="dxa"/>
            <w:vMerge w:val="continue"/>
            <w:tcBorders>
              <w:tl2br w:val="nil"/>
              <w:tr2bl w:val="nil"/>
            </w:tcBorders>
            <w:shd w:val="clear" w:color="auto" w:fill="auto"/>
            <w:vAlign w:val="center"/>
          </w:tcPr>
          <w:p w14:paraId="207FF441">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c>
          <w:tcPr>
            <w:tcW w:w="1118" w:type="dxa"/>
            <w:tcBorders>
              <w:tl2br w:val="nil"/>
              <w:tr2bl w:val="nil"/>
            </w:tcBorders>
            <w:shd w:val="clear" w:color="auto" w:fill="auto"/>
            <w:vAlign w:val="center"/>
          </w:tcPr>
          <w:p w14:paraId="719943F2">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水质COD传感器</w:t>
            </w:r>
          </w:p>
        </w:tc>
        <w:tc>
          <w:tcPr>
            <w:tcW w:w="6261" w:type="dxa"/>
            <w:tcBorders>
              <w:tl2br w:val="nil"/>
              <w:tr2bl w:val="nil"/>
            </w:tcBorders>
            <w:shd w:val="clear" w:color="auto" w:fill="auto"/>
            <w:vAlign w:val="center"/>
          </w:tcPr>
          <w:p w14:paraId="1604158D">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1.测量范围：0-500mg/L（基础量程），支持扩展至0-5000mg/L（适配不同水体监测需求）；</w:t>
            </w:r>
          </w:p>
          <w:p w14:paraId="59FD5EC4">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2.测量精度：±5%FS（标准工况），低量程段（≤100mg/L）±3%FS，满足水质监管数据准确性要求；</w:t>
            </w:r>
          </w:p>
          <w:p w14:paraId="2DC3AC00">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3.检测原理：重铬酸钾氧化法/UV254吸收法（二选一，需符合国家环保监测标准）；</w:t>
            </w:r>
          </w:p>
          <w:p w14:paraId="031ADBD7">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4.响应时间：≤30秒（从采样到输出稳定数据），适配实时监测场景；</w:t>
            </w:r>
          </w:p>
          <w:p w14:paraId="2FA9AD84">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5.工作环境：温度0-40℃，湿度≤95%RH（无冷凝），防护等级IP68（水下安装款）；</w:t>
            </w:r>
          </w:p>
          <w:p w14:paraId="18BFA4C1">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6.校准功能：支持自动/手动两点校准，校准周期≥30天，降低运维成本；</w:t>
            </w:r>
          </w:p>
          <w:p w14:paraId="58E571A3">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7.输出接口：RS485（Modbus-RTU协议）、4-20mA模拟量，兼容智慧城市监测平台；</w:t>
            </w:r>
          </w:p>
          <w:p w14:paraId="1A9FDAC1">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8.供电要求：DC12-24V，功耗≤10W（工作状态），支持太阳能供电适配；</w:t>
            </w:r>
          </w:p>
          <w:p w14:paraId="1BC55083">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9.稳定性：连续工作72小时误差≤±2%FS，漂移量≤0.5%FS/天；</w:t>
            </w:r>
          </w:p>
          <w:p w14:paraId="31E00C22">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10.安装方式：沉入式/流通式可选，安装支架适配河道、管网、污水处理厂等场景；</w:t>
            </w:r>
          </w:p>
          <w:p w14:paraId="5FAECE59">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11.抗干扰能力：抗氯干扰（Cl⁻≤1000mg/L无影响），耐浊度≤50NTU；</w:t>
            </w:r>
          </w:p>
          <w:p w14:paraId="034CB932">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12.数据存储：支持本地存储≥10万条数据，断电保存≥1年。</w:t>
            </w:r>
          </w:p>
        </w:tc>
        <w:tc>
          <w:tcPr>
            <w:tcW w:w="722" w:type="dxa"/>
            <w:tcBorders>
              <w:tl2br w:val="nil"/>
              <w:tr2bl w:val="nil"/>
            </w:tcBorders>
            <w:shd w:val="clear" w:color="auto" w:fill="auto"/>
            <w:noWrap/>
            <w:vAlign w:val="center"/>
          </w:tcPr>
          <w:p w14:paraId="504069A2">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w:t>
            </w:r>
          </w:p>
        </w:tc>
        <w:tc>
          <w:tcPr>
            <w:tcW w:w="655" w:type="dxa"/>
            <w:tcBorders>
              <w:tl2br w:val="nil"/>
              <w:tr2bl w:val="nil"/>
            </w:tcBorders>
            <w:shd w:val="clear" w:color="auto" w:fill="auto"/>
            <w:noWrap/>
            <w:vAlign w:val="center"/>
          </w:tcPr>
          <w:p w14:paraId="1398A3C6">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套</w:t>
            </w:r>
          </w:p>
        </w:tc>
      </w:tr>
      <w:tr w14:paraId="56698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0620AB18">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w:t>
            </w:r>
          </w:p>
        </w:tc>
        <w:tc>
          <w:tcPr>
            <w:tcW w:w="980" w:type="dxa"/>
            <w:vMerge w:val="continue"/>
            <w:tcBorders>
              <w:tl2br w:val="nil"/>
              <w:tr2bl w:val="nil"/>
            </w:tcBorders>
            <w:shd w:val="clear" w:color="auto" w:fill="auto"/>
            <w:vAlign w:val="center"/>
          </w:tcPr>
          <w:p w14:paraId="2C460BBA">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c>
          <w:tcPr>
            <w:tcW w:w="1118" w:type="dxa"/>
            <w:tcBorders>
              <w:tl2br w:val="nil"/>
              <w:tr2bl w:val="nil"/>
            </w:tcBorders>
            <w:shd w:val="clear" w:color="auto" w:fill="auto"/>
            <w:vAlign w:val="center"/>
          </w:tcPr>
          <w:p w14:paraId="1566C849">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浊度在线监测</w:t>
            </w:r>
          </w:p>
        </w:tc>
        <w:tc>
          <w:tcPr>
            <w:tcW w:w="6261" w:type="dxa"/>
            <w:tcBorders>
              <w:tl2br w:val="nil"/>
              <w:tr2bl w:val="nil"/>
            </w:tcBorders>
            <w:shd w:val="clear" w:color="auto" w:fill="auto"/>
            <w:vAlign w:val="center"/>
          </w:tcPr>
          <w:p w14:paraId="23BDAB52">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1.测量范围：0-100NTU（常规量程），支持扩展至0-1000NTU（适配暴雨后水体、污水排放场景）；</w:t>
            </w:r>
          </w:p>
          <w:p w14:paraId="17F914A7">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2.测量精度：±2%FS（全量程），低量程段（≤10NTU）±0.1NTU，符合《水质 浊度的测定》（GB/T 5750.4-2006）标准；</w:t>
            </w:r>
          </w:p>
          <w:p w14:paraId="39335D73">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3.检测原理：90°散射光法（ISO 7027标准），光源为红外LED（波长880nm），抗色度干扰；</w:t>
            </w:r>
          </w:p>
          <w:p w14:paraId="460634A3">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4.响应时间：≤20秒（T90），满足实时监测与数据上报需求；</w:t>
            </w:r>
          </w:p>
          <w:p w14:paraId="107E7B9A">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5.工作环境：温度0-50℃，湿度≤95%RH（无冷凝），防护等级IP68（传感器）、IP65（主机）；</w:t>
            </w:r>
          </w:p>
          <w:p w14:paraId="5750F646">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6.校准功能：支持自动两点校准（零点/标准液校准），校准周期可设置（默认30天），带校准提醒；</w:t>
            </w:r>
          </w:p>
          <w:p w14:paraId="030E8D59">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7.输出接口：RS485（Modbus-RTU协议）、4-20mA模拟量，兼容智慧城市水务监测平台；</w:t>
            </w:r>
          </w:p>
          <w:p w14:paraId="6FD0DD5A">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8.供电要求：DC12-24V，功耗≤8W（工作状态），支持太阳能+电池组供电；</w:t>
            </w:r>
          </w:p>
          <w:p w14:paraId="515C43F7">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9.稳定性：连续工作72小时误差≤±1%FS，漂移量≤0.3%FS/天；</w:t>
            </w:r>
          </w:p>
          <w:p w14:paraId="30F90E00">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10.安装方式：沉入式/流通式/壁挂式可选，适配河道、管网、水厂、污水厂等场景；</w:t>
            </w:r>
          </w:p>
          <w:p w14:paraId="69C366CD">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11.抗干扰能力：抗浊度冲击（瞬间浊度≤500NTU可恢复），耐悬浮物≤200mg/L，无泥沙沉积影响；</w:t>
            </w:r>
          </w:p>
          <w:p w14:paraId="79DCCAD6">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12.自动清洗：内置超声波/毛刷自动清洗功能，清洗周期可设置（默认24小时），减少运维频次；</w:t>
            </w:r>
          </w:p>
          <w:p w14:paraId="706429EC">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13.数据存储：本地存储≥5万条数据，断电保存≥2年，支持数据导出；</w:t>
            </w:r>
          </w:p>
          <w:p w14:paraId="2D40FA5A">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14.防护性能：传感器外壳为316L不锈钢/PTFE材质，耐酸碱腐蚀（pH 2-12）。</w:t>
            </w:r>
          </w:p>
        </w:tc>
        <w:tc>
          <w:tcPr>
            <w:tcW w:w="722" w:type="dxa"/>
            <w:tcBorders>
              <w:tl2br w:val="nil"/>
              <w:tr2bl w:val="nil"/>
            </w:tcBorders>
            <w:shd w:val="clear" w:color="auto" w:fill="auto"/>
            <w:noWrap/>
            <w:vAlign w:val="center"/>
          </w:tcPr>
          <w:p w14:paraId="2A17A5E4">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w:t>
            </w:r>
          </w:p>
        </w:tc>
        <w:tc>
          <w:tcPr>
            <w:tcW w:w="655" w:type="dxa"/>
            <w:tcBorders>
              <w:tl2br w:val="nil"/>
              <w:tr2bl w:val="nil"/>
            </w:tcBorders>
            <w:shd w:val="clear" w:color="auto" w:fill="auto"/>
            <w:noWrap/>
            <w:vAlign w:val="center"/>
          </w:tcPr>
          <w:p w14:paraId="7F8499E7">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套</w:t>
            </w:r>
          </w:p>
        </w:tc>
      </w:tr>
      <w:tr w14:paraId="4DEC9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64730CD2">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w:t>
            </w:r>
          </w:p>
        </w:tc>
        <w:tc>
          <w:tcPr>
            <w:tcW w:w="980" w:type="dxa"/>
            <w:vMerge w:val="continue"/>
            <w:tcBorders>
              <w:tl2br w:val="nil"/>
              <w:tr2bl w:val="nil"/>
            </w:tcBorders>
            <w:shd w:val="clear" w:color="auto" w:fill="auto"/>
            <w:vAlign w:val="center"/>
          </w:tcPr>
          <w:p w14:paraId="05B12340">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c>
          <w:tcPr>
            <w:tcW w:w="1118" w:type="dxa"/>
            <w:tcBorders>
              <w:tl2br w:val="nil"/>
              <w:tr2bl w:val="nil"/>
            </w:tcBorders>
            <w:shd w:val="clear" w:color="auto" w:fill="auto"/>
            <w:vAlign w:val="center"/>
          </w:tcPr>
          <w:p w14:paraId="78D40C79">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水质氨氮传感器</w:t>
            </w:r>
          </w:p>
        </w:tc>
        <w:tc>
          <w:tcPr>
            <w:tcW w:w="6261" w:type="dxa"/>
            <w:tcBorders>
              <w:tl2br w:val="nil"/>
              <w:tr2bl w:val="nil"/>
            </w:tcBorders>
            <w:shd w:val="clear" w:color="auto" w:fill="auto"/>
            <w:vAlign w:val="center"/>
          </w:tcPr>
          <w:p w14:paraId="7457BD20">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1.测量范围：默认0 - 100mg/L，支持扩展至0 - 1000mg/L，定量下限≤0.15mg/L，适配不同浓度水体监测。</w:t>
            </w:r>
          </w:p>
          <w:p w14:paraId="1785A70D">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2.测量精度：符合国标分级要求，20%量程点±8%、50%量程点±5%、80%量程点±3%，分辨率≥0.01mg/L。</w:t>
            </w:r>
          </w:p>
          <w:p w14:paraId="50ACEE95">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3.检测原理：离子选择性电极法/纳氏试剂光学法可选，需带pH和温度自动补偿功能，抵消水体酸碱度和温度对数据的影响。</w:t>
            </w:r>
          </w:p>
          <w:p w14:paraId="002BAC15">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4.响应时间：≤120秒（达到98%稳定值），满足实时监测数据上报需求。</w:t>
            </w:r>
          </w:p>
          <w:p w14:paraId="438F9256">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5.工作环境：温度0 - 50℃（无结冰），压力＜0.2MPa，防护等级IP68，适配水下长期安装。</w:t>
            </w:r>
          </w:p>
          <w:p w14:paraId="2C9EA2C6">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6.稳定性：24小时低浓度漂移≤0.02mg/L，高浓度漂移≤1%，连续工作72小时误差≤±2%。</w:t>
            </w:r>
          </w:p>
          <w:p w14:paraId="6FC848E8">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7.校准功能：支持自动/手动两点校准，校准周期可设置，带校准到期提醒，降低运维难度。</w:t>
            </w:r>
          </w:p>
          <w:p w14:paraId="3FE05E21">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8.输出与供电：输出接口为RS485（Modbus - RTU协议）、4 - 20mA模拟量；供电DC12 - 24V，工作功耗≤0.4W，适配太阳能供电。</w:t>
            </w:r>
          </w:p>
          <w:p w14:paraId="5194BF0F">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9.抗干扰能力：抗氯、硫化物等干扰，可耐受浊度≤50NTU，内置毛刷自动清洗功能减少污染物附着影响。</w:t>
            </w:r>
          </w:p>
          <w:p w14:paraId="3E2E2DCF">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10.安装与材质：支持浸入式安装（NPT3/4螺纹），外壳用ABS或316L不锈钢，耐水体腐蚀。</w:t>
            </w:r>
          </w:p>
          <w:p w14:paraId="185BB101">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11.数据存储：本地存储≥10万条数据，断电后数据可保存≥1年，方便追溯历史数据。</w:t>
            </w:r>
          </w:p>
        </w:tc>
        <w:tc>
          <w:tcPr>
            <w:tcW w:w="722" w:type="dxa"/>
            <w:tcBorders>
              <w:tl2br w:val="nil"/>
              <w:tr2bl w:val="nil"/>
            </w:tcBorders>
            <w:shd w:val="clear" w:color="auto" w:fill="auto"/>
            <w:noWrap/>
            <w:vAlign w:val="center"/>
          </w:tcPr>
          <w:p w14:paraId="390E89EF">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w:t>
            </w:r>
          </w:p>
        </w:tc>
        <w:tc>
          <w:tcPr>
            <w:tcW w:w="655" w:type="dxa"/>
            <w:tcBorders>
              <w:tl2br w:val="nil"/>
              <w:tr2bl w:val="nil"/>
            </w:tcBorders>
            <w:shd w:val="clear" w:color="auto" w:fill="auto"/>
            <w:noWrap/>
            <w:vAlign w:val="center"/>
          </w:tcPr>
          <w:p w14:paraId="547D5381">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套</w:t>
            </w:r>
          </w:p>
        </w:tc>
      </w:tr>
      <w:tr w14:paraId="3DBF6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008D3F50">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5</w:t>
            </w:r>
          </w:p>
        </w:tc>
        <w:tc>
          <w:tcPr>
            <w:tcW w:w="980" w:type="dxa"/>
            <w:vMerge w:val="continue"/>
            <w:tcBorders>
              <w:tl2br w:val="nil"/>
              <w:tr2bl w:val="nil"/>
            </w:tcBorders>
            <w:shd w:val="clear" w:color="auto" w:fill="auto"/>
            <w:vAlign w:val="center"/>
          </w:tcPr>
          <w:p w14:paraId="007E2A1D">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p>
        </w:tc>
        <w:tc>
          <w:tcPr>
            <w:tcW w:w="1118" w:type="dxa"/>
            <w:tcBorders>
              <w:tl2br w:val="nil"/>
              <w:tr2bl w:val="nil"/>
            </w:tcBorders>
            <w:shd w:val="clear" w:color="auto" w:fill="auto"/>
            <w:vAlign w:val="center"/>
          </w:tcPr>
          <w:p w14:paraId="4913C51C">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水质检测仪一体化套筒</w:t>
            </w:r>
          </w:p>
        </w:tc>
        <w:tc>
          <w:tcPr>
            <w:tcW w:w="6261" w:type="dxa"/>
            <w:tcBorders>
              <w:tl2br w:val="nil"/>
              <w:tr2bl w:val="nil"/>
            </w:tcBorders>
            <w:shd w:val="clear" w:color="auto" w:fill="auto"/>
            <w:vAlign w:val="center"/>
          </w:tcPr>
          <w:p w14:paraId="2675D6A0">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1.材质规格：主体选用316L不锈钢或PTFE材质，耐pH2 - 12的酸碱腐蚀，适配河道、污水厂等复杂水体；内壁加装橡胶夹持块，等间距分布，避免传感器磕碰且增强固定性。</w:t>
            </w:r>
          </w:p>
          <w:p w14:paraId="46BD1538">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2.尺寸适配：内径支持20 - 80mm规格，适配常规COD、氨氮、浊度等传感器；长度50 - 200mm可选，也可定制尺寸，套筒壁厚≥3mm，保证结构强度。</w:t>
            </w:r>
          </w:p>
          <w:p w14:paraId="61807197">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3.防护性能：整体防护等级≥IP68，支持水下5米内长期安装；接缝处采用密封胶圈密封，防止水体渗入侵蚀传感器接口 。</w:t>
            </w:r>
          </w:p>
          <w:p w14:paraId="641A84C8">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4.安装特性：支持NPT3/4螺纹或卡扣式安装，兼容沉入式、流通式监测设备；套筒预留线缆孔，孔径适配RS485等常用线缆，孔位带防水接头。</w:t>
            </w:r>
          </w:p>
          <w:p w14:paraId="2BF01825">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5.辅助功能：内置预留清洗通道，可对接超声波或毛刷清洗组件，适配传感器自动清洗需求；具备温度传导窗口，不影响传感器的温度补偿功能。</w:t>
            </w:r>
          </w:p>
          <w:p w14:paraId="1FFD657D">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6.结构设计：采用模块化拆分结构，便于拆装维护；重量≤2kg，减少水下安装时的承重负担，同时适配便携检测设备的携带需求。</w:t>
            </w:r>
          </w:p>
          <w:p w14:paraId="73396A67">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7.环境适应性：工作温度-10 - 60℃，可耐受低温结冰和夏季高温环境；抗压强度≤0.5MPa，适配深水或高压流通池场景。</w:t>
            </w:r>
          </w:p>
          <w:p w14:paraId="4A7D8EBD">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8.适配兼容性：内壁无遮挡光学窗口设计，不影响UV法、光学散射法等传感器的检测光路；兼容DC12 - 24V供电线路的布线需求，不干扰传感器供电稳定性。</w:t>
            </w:r>
          </w:p>
        </w:tc>
        <w:tc>
          <w:tcPr>
            <w:tcW w:w="722" w:type="dxa"/>
            <w:tcBorders>
              <w:tl2br w:val="nil"/>
              <w:tr2bl w:val="nil"/>
            </w:tcBorders>
            <w:shd w:val="clear" w:color="auto" w:fill="auto"/>
            <w:noWrap/>
            <w:vAlign w:val="center"/>
          </w:tcPr>
          <w:p w14:paraId="34534DA5">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w:t>
            </w:r>
          </w:p>
        </w:tc>
        <w:tc>
          <w:tcPr>
            <w:tcW w:w="655" w:type="dxa"/>
            <w:tcBorders>
              <w:tl2br w:val="nil"/>
              <w:tr2bl w:val="nil"/>
            </w:tcBorders>
            <w:shd w:val="clear" w:color="auto" w:fill="auto"/>
            <w:noWrap/>
            <w:vAlign w:val="center"/>
          </w:tcPr>
          <w:p w14:paraId="30E91FCA">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套</w:t>
            </w:r>
          </w:p>
        </w:tc>
      </w:tr>
      <w:tr w14:paraId="2CF115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3C1C05D0">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w:t>
            </w:r>
          </w:p>
        </w:tc>
        <w:tc>
          <w:tcPr>
            <w:tcW w:w="2098" w:type="dxa"/>
            <w:gridSpan w:val="2"/>
            <w:tcBorders>
              <w:tl2br w:val="nil"/>
              <w:tr2bl w:val="nil"/>
            </w:tcBorders>
            <w:shd w:val="clear" w:color="auto" w:fill="auto"/>
            <w:vAlign w:val="center"/>
          </w:tcPr>
          <w:p w14:paraId="004D8EC5">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周界防护摄像机</w:t>
            </w:r>
          </w:p>
          <w:p w14:paraId="5910E4D4">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（明渠）</w:t>
            </w:r>
          </w:p>
        </w:tc>
        <w:tc>
          <w:tcPr>
            <w:tcW w:w="6261" w:type="dxa"/>
            <w:tcBorders>
              <w:tl2br w:val="nil"/>
              <w:tr2bl w:val="nil"/>
            </w:tcBorders>
            <w:shd w:val="clear" w:color="auto" w:fill="auto"/>
            <w:vAlign w:val="center"/>
          </w:tcPr>
          <w:p w14:paraId="2790583E">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1.成像性能 ：像素≥400万，分辨率不低于2560×1440，帧率≥25fps；采用≥1/2.8英寸CMOS传感器，超低照度</w:t>
            </w:r>
            <w:r>
              <w:rPr>
                <w:rFonts w:hint="eastAsia" w:ascii="宋体" w:hAnsi="宋体" w:cs="宋体"/>
                <w:snapToGrid w:val="0"/>
                <w:color w:val="auto"/>
                <w:kern w:val="0"/>
                <w:szCs w:val="21"/>
                <w:highlight w:val="none"/>
                <w:u w:val="none"/>
                <w:lang w:bidi="ar"/>
              </w:rPr>
              <w:t>≥</w:t>
            </w:r>
            <w:r>
              <w:rPr>
                <w:rFonts w:hint="eastAsia" w:ascii="宋体" w:hAnsi="宋体" w:eastAsia="宋体" w:cs="宋体"/>
                <w:b w:val="0"/>
                <w:bCs w:val="0"/>
                <w:i w:val="0"/>
                <w:iCs w:val="0"/>
                <w:snapToGrid w:val="0"/>
                <w:color w:val="auto"/>
                <w:kern w:val="0"/>
                <w:sz w:val="21"/>
                <w:szCs w:val="21"/>
                <w:highlight w:val="none"/>
                <w:u w:val="none"/>
                <w:lang w:val="en-US" w:eastAsia="zh-CN" w:bidi="ar"/>
              </w:rPr>
              <w:t>0.0005lux（彩色）、0.0001lux（黑白），搭配120db宽动态与3D数字降噪，避免水面反光影响成像。</w:t>
            </w:r>
          </w:p>
          <w:p w14:paraId="446D4023">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2.变焦与补光 ：支持≥25倍光学变倍，镜头最大焦距≥120mm，适配长距离明渠监控；内置红外补光灯，照射距离≥80m，搭配Smart IR防过曝，夜间可清晰捕捉水体状态及入侵目标。</w:t>
            </w:r>
          </w:p>
          <w:p w14:paraId="084B1F68">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3.智能周界功能 ：内置GPU芯片搭载深度学习算法，精准检测</w:t>
            </w:r>
            <w:r>
              <w:rPr>
                <w:rFonts w:hint="eastAsia" w:ascii="宋体" w:hAnsi="宋体" w:cs="宋体"/>
                <w:b w:val="0"/>
                <w:bCs w:val="0"/>
                <w:i w:val="0"/>
                <w:iCs w:val="0"/>
                <w:snapToGrid w:val="0"/>
                <w:color w:val="auto"/>
                <w:kern w:val="0"/>
                <w:sz w:val="21"/>
                <w:szCs w:val="21"/>
                <w:highlight w:val="none"/>
                <w:u w:val="none"/>
                <w:lang w:val="en-US" w:eastAsia="zh-CN" w:bidi="ar"/>
              </w:rPr>
              <w:t xml:space="preserve"> </w:t>
            </w:r>
            <w:r>
              <w:rPr>
                <w:rFonts w:hint="eastAsia" w:ascii="宋体" w:hAnsi="宋体" w:cs="宋体"/>
                <w:snapToGrid w:val="0"/>
                <w:color w:val="auto"/>
                <w:kern w:val="0"/>
                <w:szCs w:val="21"/>
                <w:highlight w:val="none"/>
                <w:u w:val="none"/>
                <w:lang w:bidi="ar"/>
              </w:rPr>
              <w:t>≥</w:t>
            </w:r>
            <w:r>
              <w:rPr>
                <w:rFonts w:hint="eastAsia" w:ascii="宋体" w:hAnsi="宋体" w:eastAsia="宋体" w:cs="宋体"/>
                <w:b w:val="0"/>
                <w:bCs w:val="0"/>
                <w:i w:val="0"/>
                <w:iCs w:val="0"/>
                <w:snapToGrid w:val="0"/>
                <w:color w:val="auto"/>
                <w:kern w:val="0"/>
                <w:sz w:val="21"/>
                <w:szCs w:val="21"/>
                <w:highlight w:val="none"/>
                <w:u w:val="none"/>
                <w:lang w:val="en-US" w:eastAsia="zh-CN" w:bidi="ar"/>
              </w:rPr>
              <w:t>100米内人、车目标，支持区域入侵、绊线越界告警；能过滤树叶晃动、鸟类等干扰，降低误报率；可联动声光告警，适配违规靠近排污口等场景预警。</w:t>
            </w:r>
          </w:p>
          <w:p w14:paraId="1CE8360A">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4.防护与材质 ：防护等级≥IP67，外壳用304不锈钢，耐潮湿、耐腐蚀；支持-40℃~60℃宽温工作，内置加热模块，应对低温结霜、雨雾等恶劣天气。</w:t>
            </w:r>
          </w:p>
          <w:p w14:paraId="6581A977">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5.接口与供电 ：支持RS485接口，兼容Modbus协议，配备2路报警输入、1路报警输出；支持DC12 - 24V供电及PoE供电，工作功耗≤10W，适配野外太阳能供电场景。</w:t>
            </w:r>
          </w:p>
          <w:p w14:paraId="76F401D2">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6.存储与适配性 ：内置Micro SD卡槽，支持</w:t>
            </w:r>
            <w:r>
              <w:rPr>
                <w:rFonts w:hint="eastAsia" w:ascii="宋体" w:hAnsi="宋体" w:cs="宋体"/>
                <w:snapToGrid w:val="0"/>
                <w:color w:val="auto"/>
                <w:kern w:val="0"/>
                <w:szCs w:val="21"/>
                <w:highlight w:val="none"/>
                <w:u w:val="none"/>
                <w:lang w:bidi="ar"/>
              </w:rPr>
              <w:t>≥</w:t>
            </w:r>
            <w:r>
              <w:rPr>
                <w:rFonts w:hint="eastAsia" w:ascii="宋体" w:hAnsi="宋体" w:eastAsia="宋体" w:cs="宋体"/>
                <w:b w:val="0"/>
                <w:bCs w:val="0"/>
                <w:i w:val="0"/>
                <w:iCs w:val="0"/>
                <w:snapToGrid w:val="0"/>
                <w:color w:val="auto"/>
                <w:kern w:val="0"/>
                <w:sz w:val="21"/>
                <w:szCs w:val="21"/>
                <w:highlight w:val="none"/>
                <w:u w:val="none"/>
                <w:lang w:val="en-US" w:eastAsia="zh-CN" w:bidi="ar"/>
              </w:rPr>
              <w:t>512GB本地存储，断电后数据留存≥1年；支持GB28181协议，可接入水环境监测平台，画面能清晰呈现明渠水体颜色、浊度等特征。</w:t>
            </w:r>
          </w:p>
          <w:p w14:paraId="0693A980">
            <w:pPr>
              <w:keepNext w:val="0"/>
              <w:keepLines w:val="0"/>
              <w:widowControl/>
              <w:suppressLineNumbers w:val="0"/>
              <w:kinsoku/>
              <w:wordWrap w:val="0"/>
              <w:spacing w:line="360" w:lineRule="auto"/>
              <w:jc w:val="both"/>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7.安装特性：支持壁挂、桅杆安装，适配明渠岸边立杆场景，桅杆夹紧范围兼容40 - 190mm圆杆；安装角度可调节，避免阳光直射镜头，确保监控画面中明渠区域占比不低于2/3。</w:t>
            </w:r>
          </w:p>
          <w:p w14:paraId="02FC40BD">
            <w:pPr>
              <w:pStyle w:val="31"/>
              <w:spacing w:line="360" w:lineRule="auto"/>
              <w:ind w:left="0" w:leftChars="0" w:firstLine="0" w:firstLineChars="0"/>
              <w:rPr>
                <w:rFonts w:hint="default"/>
                <w:lang w:val="en-US" w:eastAsia="zh-CN"/>
              </w:rPr>
            </w:pPr>
            <w:r>
              <w:rPr>
                <w:rFonts w:hint="eastAsia" w:ascii="宋体" w:hAnsi="宋体" w:eastAsia="宋体" w:cs="宋体"/>
                <w:b w:val="0"/>
                <w:bCs w:val="0"/>
                <w:i w:val="0"/>
                <w:iCs w:val="0"/>
                <w:snapToGrid w:val="0"/>
                <w:color w:val="auto"/>
                <w:kern w:val="0"/>
                <w:sz w:val="21"/>
                <w:szCs w:val="21"/>
                <w:highlight w:val="none"/>
                <w:u w:val="none"/>
                <w:lang w:val="en-US" w:eastAsia="zh-CN" w:bidi="ar"/>
              </w:rPr>
              <w:t>8、</w:t>
            </w:r>
            <w:r>
              <w:rPr>
                <w:rFonts w:hint="eastAsia" w:ascii="宋体" w:hAnsi="宋体" w:eastAsia="宋体" w:cs="宋体"/>
                <w:color w:val="auto"/>
                <w:sz w:val="21"/>
                <w:szCs w:val="21"/>
                <w:lang w:val="en-US" w:eastAsia="zh-CN"/>
              </w:rPr>
              <w:t>包含立杆、支架、伸杆、地笼、防水、避雷装置以及安装调试、前段取电。</w:t>
            </w:r>
          </w:p>
        </w:tc>
        <w:tc>
          <w:tcPr>
            <w:tcW w:w="722" w:type="dxa"/>
            <w:tcBorders>
              <w:tl2br w:val="nil"/>
              <w:tr2bl w:val="nil"/>
            </w:tcBorders>
            <w:shd w:val="clear" w:color="auto" w:fill="auto"/>
            <w:noWrap/>
            <w:vAlign w:val="center"/>
          </w:tcPr>
          <w:p w14:paraId="24986F90">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w:t>
            </w:r>
          </w:p>
        </w:tc>
        <w:tc>
          <w:tcPr>
            <w:tcW w:w="655" w:type="dxa"/>
            <w:tcBorders>
              <w:tl2br w:val="nil"/>
              <w:tr2bl w:val="nil"/>
            </w:tcBorders>
            <w:shd w:val="clear" w:color="auto" w:fill="auto"/>
            <w:noWrap/>
            <w:vAlign w:val="center"/>
          </w:tcPr>
          <w:p w14:paraId="61DA00E9">
            <w:pPr>
              <w:keepNext w:val="0"/>
              <w:keepLines w:val="0"/>
              <w:widowControl/>
              <w:suppressLineNumbers w:val="0"/>
              <w:kinsoku/>
              <w:wordWrap w:val="0"/>
              <w:spacing w:line="360" w:lineRule="auto"/>
              <w:jc w:val="center"/>
              <w:textAlignment w:val="center"/>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套</w:t>
            </w:r>
          </w:p>
        </w:tc>
      </w:tr>
      <w:tr w14:paraId="1559D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10045403">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第二部分：城市生命线运行监测系统建设</w:t>
            </w:r>
          </w:p>
        </w:tc>
      </w:tr>
      <w:tr w14:paraId="5F29CE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EF86513">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序号</w:t>
            </w:r>
          </w:p>
        </w:tc>
        <w:tc>
          <w:tcPr>
            <w:tcW w:w="2098" w:type="dxa"/>
            <w:gridSpan w:val="2"/>
            <w:tcBorders>
              <w:tl2br w:val="nil"/>
              <w:tr2bl w:val="nil"/>
            </w:tcBorders>
            <w:shd w:val="clear" w:color="auto" w:fill="auto"/>
            <w:vAlign w:val="center"/>
          </w:tcPr>
          <w:p w14:paraId="59667157">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系统模块</w:t>
            </w:r>
          </w:p>
        </w:tc>
        <w:tc>
          <w:tcPr>
            <w:tcW w:w="6261" w:type="dxa"/>
            <w:tcBorders>
              <w:tl2br w:val="nil"/>
              <w:tr2bl w:val="nil"/>
            </w:tcBorders>
            <w:shd w:val="clear" w:color="auto" w:fill="auto"/>
            <w:vAlign w:val="center"/>
          </w:tcPr>
          <w:p w14:paraId="4977ADF3">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功能要求</w:t>
            </w:r>
          </w:p>
        </w:tc>
        <w:tc>
          <w:tcPr>
            <w:tcW w:w="722" w:type="dxa"/>
            <w:tcBorders>
              <w:tl2br w:val="nil"/>
              <w:tr2bl w:val="nil"/>
            </w:tcBorders>
            <w:shd w:val="clear" w:color="auto" w:fill="auto"/>
            <w:noWrap/>
            <w:vAlign w:val="center"/>
          </w:tcPr>
          <w:p w14:paraId="59D59B13">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数量</w:t>
            </w:r>
          </w:p>
        </w:tc>
        <w:tc>
          <w:tcPr>
            <w:tcW w:w="655" w:type="dxa"/>
            <w:tcBorders>
              <w:tl2br w:val="nil"/>
              <w:tr2bl w:val="nil"/>
            </w:tcBorders>
            <w:shd w:val="clear" w:color="auto" w:fill="auto"/>
            <w:noWrap/>
            <w:vAlign w:val="center"/>
          </w:tcPr>
          <w:p w14:paraId="1BD6A7FC">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单位</w:t>
            </w:r>
          </w:p>
        </w:tc>
      </w:tr>
      <w:tr w14:paraId="77859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34791F17">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一、城市生命线安全工程数据库</w:t>
            </w:r>
          </w:p>
        </w:tc>
      </w:tr>
      <w:tr w14:paraId="4255F1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1F2AAA2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2098" w:type="dxa"/>
            <w:gridSpan w:val="2"/>
            <w:tcBorders>
              <w:tl2br w:val="nil"/>
              <w:tr2bl w:val="nil"/>
            </w:tcBorders>
            <w:shd w:val="clear" w:color="auto" w:fill="auto"/>
            <w:noWrap/>
            <w:vAlign w:val="center"/>
          </w:tcPr>
          <w:p w14:paraId="15A279D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原始数据库</w:t>
            </w:r>
          </w:p>
        </w:tc>
        <w:tc>
          <w:tcPr>
            <w:tcW w:w="6261" w:type="dxa"/>
            <w:tcBorders>
              <w:tl2br w:val="nil"/>
              <w:tr2bl w:val="nil"/>
            </w:tcBorders>
            <w:shd w:val="clear" w:color="auto" w:fill="auto"/>
            <w:vAlign w:val="center"/>
          </w:tcPr>
          <w:p w14:paraId="20F6139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原始库是对不同来源的数据，按照数据的原始格式进行存储，支持所有的数据类型，原始库的数据组织方式与接入时的数据组织方式直接一一对应，不对数据做任何处理。在接入的过程中会根据资源目录的编目规则对来源数据进行数据资源编码，最终原始库的数据信息通过数据资源编码在数据资源目录中展示出来，并为数据服务提供所需数据的标识。</w:t>
            </w:r>
          </w:p>
        </w:tc>
        <w:tc>
          <w:tcPr>
            <w:tcW w:w="722" w:type="dxa"/>
            <w:tcBorders>
              <w:tl2br w:val="nil"/>
              <w:tr2bl w:val="nil"/>
            </w:tcBorders>
            <w:shd w:val="clear" w:color="auto" w:fill="auto"/>
            <w:vAlign w:val="center"/>
          </w:tcPr>
          <w:p w14:paraId="34BE252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vAlign w:val="center"/>
          </w:tcPr>
          <w:p w14:paraId="445E23D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59F02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7289A4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80" w:type="dxa"/>
            <w:vMerge w:val="restart"/>
            <w:tcBorders>
              <w:tl2br w:val="nil"/>
              <w:tr2bl w:val="nil"/>
            </w:tcBorders>
            <w:shd w:val="clear" w:color="auto" w:fill="auto"/>
            <w:vAlign w:val="center"/>
          </w:tcPr>
          <w:p w14:paraId="4D826F7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市政基础设施数据库</w:t>
            </w:r>
          </w:p>
        </w:tc>
        <w:tc>
          <w:tcPr>
            <w:tcW w:w="1118" w:type="dxa"/>
            <w:tcBorders>
              <w:tl2br w:val="nil"/>
              <w:tr2bl w:val="nil"/>
            </w:tcBorders>
            <w:shd w:val="clear" w:color="auto" w:fill="auto"/>
            <w:vAlign w:val="center"/>
          </w:tcPr>
          <w:p w14:paraId="1872174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燃气设施数据库</w:t>
            </w:r>
          </w:p>
        </w:tc>
        <w:tc>
          <w:tcPr>
            <w:tcW w:w="6261" w:type="dxa"/>
            <w:tcBorders>
              <w:tl2br w:val="nil"/>
              <w:tr2bl w:val="nil"/>
            </w:tcBorders>
            <w:shd w:val="clear" w:color="auto" w:fill="auto"/>
            <w:vAlign w:val="center"/>
          </w:tcPr>
          <w:p w14:paraId="78BA0F9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燃气设施数据库应包括燃气管线、窨井设施数据、相邻管线、相邻管线窨井设施、维修台账数据、隐患信息数据、第三方施工信息数据、厂站信息数据等数据信息。</w:t>
            </w:r>
          </w:p>
        </w:tc>
        <w:tc>
          <w:tcPr>
            <w:tcW w:w="722" w:type="dxa"/>
            <w:vMerge w:val="restart"/>
            <w:tcBorders>
              <w:tl2br w:val="nil"/>
              <w:tr2bl w:val="nil"/>
            </w:tcBorders>
            <w:shd w:val="clear" w:color="auto" w:fill="auto"/>
            <w:vAlign w:val="center"/>
          </w:tcPr>
          <w:p w14:paraId="0A0BF202">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p w14:paraId="3F77C0E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restart"/>
            <w:tcBorders>
              <w:tl2br w:val="nil"/>
              <w:tr2bl w:val="nil"/>
            </w:tcBorders>
            <w:shd w:val="clear" w:color="auto" w:fill="auto"/>
            <w:vAlign w:val="center"/>
          </w:tcPr>
          <w:p w14:paraId="318B776F">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p w14:paraId="2E30782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955B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760E6DF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980" w:type="dxa"/>
            <w:vMerge w:val="continue"/>
            <w:tcBorders>
              <w:tl2br w:val="nil"/>
              <w:tr2bl w:val="nil"/>
            </w:tcBorders>
            <w:shd w:val="clear" w:color="auto" w:fill="auto"/>
            <w:vAlign w:val="center"/>
          </w:tcPr>
          <w:p w14:paraId="403A244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24B693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排水设施数据库</w:t>
            </w:r>
          </w:p>
        </w:tc>
        <w:tc>
          <w:tcPr>
            <w:tcW w:w="6261" w:type="dxa"/>
            <w:tcBorders>
              <w:tl2br w:val="nil"/>
              <w:tr2bl w:val="nil"/>
            </w:tcBorders>
            <w:shd w:val="clear" w:color="auto" w:fill="auto"/>
            <w:vAlign w:val="center"/>
          </w:tcPr>
          <w:p w14:paraId="618C22E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排水设施数据库应包括排水管网、排水管网窨井设施、泵站信息、易涝点信息、雨量站信息、入河排口、堤防信息、维修处置等数据信息。</w:t>
            </w:r>
          </w:p>
        </w:tc>
        <w:tc>
          <w:tcPr>
            <w:tcW w:w="722" w:type="dxa"/>
            <w:vMerge w:val="continue"/>
            <w:tcBorders>
              <w:tl2br w:val="nil"/>
              <w:tr2bl w:val="nil"/>
            </w:tcBorders>
            <w:shd w:val="clear" w:color="auto" w:fill="auto"/>
            <w:vAlign w:val="center"/>
          </w:tcPr>
          <w:p w14:paraId="5B02E15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67E2CE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0D0D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0F368F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w:t>
            </w:r>
          </w:p>
        </w:tc>
        <w:tc>
          <w:tcPr>
            <w:tcW w:w="980" w:type="dxa"/>
            <w:vMerge w:val="continue"/>
            <w:tcBorders>
              <w:tl2br w:val="nil"/>
              <w:tr2bl w:val="nil"/>
            </w:tcBorders>
            <w:shd w:val="clear" w:color="auto" w:fill="auto"/>
            <w:vAlign w:val="center"/>
          </w:tcPr>
          <w:p w14:paraId="72F75CD9">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A167F5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供水设施数据库</w:t>
            </w:r>
          </w:p>
        </w:tc>
        <w:tc>
          <w:tcPr>
            <w:tcW w:w="6261" w:type="dxa"/>
            <w:tcBorders>
              <w:tl2br w:val="nil"/>
              <w:tr2bl w:val="nil"/>
            </w:tcBorders>
            <w:shd w:val="clear" w:color="auto" w:fill="auto"/>
            <w:vAlign w:val="center"/>
          </w:tcPr>
          <w:p w14:paraId="5330F70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供水设施数据库应包括供水管线、供水管线窨井设施、水源地、水厂信息、加压站、巡检养护、维修处置等数据信息。</w:t>
            </w:r>
          </w:p>
        </w:tc>
        <w:tc>
          <w:tcPr>
            <w:tcW w:w="722" w:type="dxa"/>
            <w:vMerge w:val="continue"/>
            <w:tcBorders>
              <w:tl2br w:val="nil"/>
              <w:tr2bl w:val="nil"/>
            </w:tcBorders>
            <w:shd w:val="clear" w:color="auto" w:fill="auto"/>
            <w:vAlign w:val="center"/>
          </w:tcPr>
          <w:p w14:paraId="5AB095F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9FA85D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ECC0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D6937C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w:t>
            </w:r>
          </w:p>
        </w:tc>
        <w:tc>
          <w:tcPr>
            <w:tcW w:w="980" w:type="dxa"/>
            <w:vMerge w:val="continue"/>
            <w:tcBorders>
              <w:tl2br w:val="nil"/>
              <w:tr2bl w:val="nil"/>
            </w:tcBorders>
            <w:shd w:val="clear" w:color="auto" w:fill="auto"/>
            <w:vAlign w:val="center"/>
          </w:tcPr>
          <w:p w14:paraId="174FC6D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9466AD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热力设施数据库</w:t>
            </w:r>
          </w:p>
        </w:tc>
        <w:tc>
          <w:tcPr>
            <w:tcW w:w="6261" w:type="dxa"/>
            <w:tcBorders>
              <w:tl2br w:val="nil"/>
              <w:tr2bl w:val="nil"/>
            </w:tcBorders>
            <w:shd w:val="clear" w:color="auto" w:fill="auto"/>
            <w:vAlign w:val="center"/>
          </w:tcPr>
          <w:p w14:paraId="36F009B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热力设施数据库应包括热力管线、热力管线窨井设施、热源厂、换热站巡检养护、维修台账等数据信息。</w:t>
            </w:r>
          </w:p>
        </w:tc>
        <w:tc>
          <w:tcPr>
            <w:tcW w:w="722" w:type="dxa"/>
            <w:vMerge w:val="continue"/>
            <w:tcBorders>
              <w:tl2br w:val="nil"/>
              <w:tr2bl w:val="nil"/>
            </w:tcBorders>
            <w:shd w:val="clear" w:color="auto" w:fill="auto"/>
            <w:vAlign w:val="center"/>
          </w:tcPr>
          <w:p w14:paraId="7CD74CD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1BAB2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B3F3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3EE097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80" w:type="dxa"/>
            <w:vMerge w:val="continue"/>
            <w:tcBorders>
              <w:tl2br w:val="nil"/>
              <w:tr2bl w:val="nil"/>
            </w:tcBorders>
            <w:shd w:val="clear" w:color="auto" w:fill="auto"/>
            <w:vAlign w:val="center"/>
          </w:tcPr>
          <w:p w14:paraId="0B911C7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3CE9F0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桥梁数据库</w:t>
            </w:r>
          </w:p>
        </w:tc>
        <w:tc>
          <w:tcPr>
            <w:tcW w:w="6261" w:type="dxa"/>
            <w:tcBorders>
              <w:tl2br w:val="nil"/>
              <w:tr2bl w:val="nil"/>
            </w:tcBorders>
            <w:shd w:val="clear" w:color="auto" w:fill="auto"/>
            <w:vAlign w:val="center"/>
          </w:tcPr>
          <w:p w14:paraId="0B97A9B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桥梁数据库应包括桥梁基本信息、技术状况评定信息、联信息、跨信息、墩信息、检查记录信息、检查病害数据、维修保养信息等。</w:t>
            </w:r>
          </w:p>
        </w:tc>
        <w:tc>
          <w:tcPr>
            <w:tcW w:w="722" w:type="dxa"/>
            <w:vMerge w:val="continue"/>
            <w:tcBorders>
              <w:tl2br w:val="nil"/>
              <w:tr2bl w:val="nil"/>
            </w:tcBorders>
            <w:shd w:val="clear" w:color="auto" w:fill="auto"/>
            <w:vAlign w:val="center"/>
          </w:tcPr>
          <w:p w14:paraId="4000067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53D6C3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1970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32BFA4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w:t>
            </w:r>
          </w:p>
        </w:tc>
        <w:tc>
          <w:tcPr>
            <w:tcW w:w="980" w:type="dxa"/>
            <w:vMerge w:val="restart"/>
            <w:tcBorders>
              <w:tl2br w:val="nil"/>
              <w:tr2bl w:val="nil"/>
            </w:tcBorders>
            <w:shd w:val="clear" w:color="auto" w:fill="auto"/>
            <w:vAlign w:val="center"/>
          </w:tcPr>
          <w:p w14:paraId="0321122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社会资源数据库</w:t>
            </w:r>
          </w:p>
        </w:tc>
        <w:tc>
          <w:tcPr>
            <w:tcW w:w="1118" w:type="dxa"/>
            <w:tcBorders>
              <w:tl2br w:val="nil"/>
              <w:tr2bl w:val="nil"/>
            </w:tcBorders>
            <w:shd w:val="clear" w:color="auto" w:fill="auto"/>
            <w:vAlign w:val="center"/>
          </w:tcPr>
          <w:p w14:paraId="3F4DCF7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重点防护目标</w:t>
            </w:r>
          </w:p>
        </w:tc>
        <w:tc>
          <w:tcPr>
            <w:tcW w:w="6261" w:type="dxa"/>
            <w:tcBorders>
              <w:tl2br w:val="nil"/>
              <w:tr2bl w:val="nil"/>
            </w:tcBorders>
            <w:shd w:val="clear" w:color="auto" w:fill="auto"/>
            <w:vAlign w:val="center"/>
          </w:tcPr>
          <w:p w14:paraId="6795D41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将政府机关、学校、医院、车站等重点防护目标的物理场所数据信息进行加工及入库处理。</w:t>
            </w:r>
          </w:p>
        </w:tc>
        <w:tc>
          <w:tcPr>
            <w:tcW w:w="722" w:type="dxa"/>
            <w:vMerge w:val="restart"/>
            <w:tcBorders>
              <w:tl2br w:val="nil"/>
              <w:tr2bl w:val="nil"/>
            </w:tcBorders>
            <w:shd w:val="clear" w:color="auto" w:fill="auto"/>
            <w:vAlign w:val="center"/>
          </w:tcPr>
          <w:p w14:paraId="2A6CD32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625AF78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2ABC31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117A317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w:t>
            </w:r>
          </w:p>
        </w:tc>
        <w:tc>
          <w:tcPr>
            <w:tcW w:w="980" w:type="dxa"/>
            <w:vMerge w:val="continue"/>
            <w:tcBorders>
              <w:tl2br w:val="nil"/>
              <w:tr2bl w:val="nil"/>
            </w:tcBorders>
            <w:shd w:val="clear" w:color="auto" w:fill="auto"/>
            <w:vAlign w:val="center"/>
          </w:tcPr>
          <w:p w14:paraId="4FD2AF1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891906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重大危险源</w:t>
            </w:r>
          </w:p>
        </w:tc>
        <w:tc>
          <w:tcPr>
            <w:tcW w:w="6261" w:type="dxa"/>
            <w:tcBorders>
              <w:tl2br w:val="nil"/>
              <w:tr2bl w:val="nil"/>
            </w:tcBorders>
            <w:shd w:val="clear" w:color="auto" w:fill="auto"/>
            <w:vAlign w:val="center"/>
          </w:tcPr>
          <w:p w14:paraId="6B7CA02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将加油站、加气站、放射源、锅炉站、饭店、危险化学品工厂等重大危险源物理场所的数据信息进行加工及入库处理。</w:t>
            </w:r>
          </w:p>
        </w:tc>
        <w:tc>
          <w:tcPr>
            <w:tcW w:w="722" w:type="dxa"/>
            <w:vMerge w:val="continue"/>
            <w:tcBorders>
              <w:tl2br w:val="nil"/>
              <w:tr2bl w:val="nil"/>
            </w:tcBorders>
            <w:shd w:val="clear" w:color="auto" w:fill="auto"/>
            <w:vAlign w:val="center"/>
          </w:tcPr>
          <w:p w14:paraId="762F553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D6F5EB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C52B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15CAA9E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w:t>
            </w:r>
          </w:p>
        </w:tc>
        <w:tc>
          <w:tcPr>
            <w:tcW w:w="980" w:type="dxa"/>
            <w:vMerge w:val="continue"/>
            <w:tcBorders>
              <w:tl2br w:val="nil"/>
              <w:tr2bl w:val="nil"/>
            </w:tcBorders>
            <w:shd w:val="clear" w:color="auto" w:fill="auto"/>
            <w:vAlign w:val="center"/>
          </w:tcPr>
          <w:p w14:paraId="2714A76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70251E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应急资源信息</w:t>
            </w:r>
          </w:p>
        </w:tc>
        <w:tc>
          <w:tcPr>
            <w:tcW w:w="6261" w:type="dxa"/>
            <w:tcBorders>
              <w:tl2br w:val="nil"/>
              <w:tr2bl w:val="nil"/>
            </w:tcBorders>
            <w:shd w:val="clear" w:color="auto" w:fill="auto"/>
            <w:vAlign w:val="center"/>
          </w:tcPr>
          <w:p w14:paraId="64E6348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将应急救援队伍、物资储备库、应急物资、应急专家、避难场所、预案、知识库等应急资源数据信息进行加工及入库处理。</w:t>
            </w:r>
          </w:p>
        </w:tc>
        <w:tc>
          <w:tcPr>
            <w:tcW w:w="722" w:type="dxa"/>
            <w:vMerge w:val="continue"/>
            <w:tcBorders>
              <w:tl2br w:val="nil"/>
              <w:tr2bl w:val="nil"/>
            </w:tcBorders>
            <w:shd w:val="clear" w:color="auto" w:fill="auto"/>
            <w:vAlign w:val="center"/>
          </w:tcPr>
          <w:p w14:paraId="0D5FEE1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8A9097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3164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2CD2F9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2098" w:type="dxa"/>
            <w:gridSpan w:val="2"/>
            <w:tcBorders>
              <w:tl2br w:val="nil"/>
              <w:tr2bl w:val="nil"/>
            </w:tcBorders>
            <w:shd w:val="clear" w:color="auto" w:fill="auto"/>
            <w:noWrap/>
            <w:vAlign w:val="center"/>
          </w:tcPr>
          <w:p w14:paraId="3588587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物联感知数据子库</w:t>
            </w:r>
          </w:p>
        </w:tc>
        <w:tc>
          <w:tcPr>
            <w:tcW w:w="6261" w:type="dxa"/>
            <w:tcBorders>
              <w:tl2br w:val="nil"/>
              <w:tr2bl w:val="nil"/>
            </w:tcBorders>
            <w:shd w:val="clear" w:color="auto" w:fill="auto"/>
            <w:vAlign w:val="center"/>
          </w:tcPr>
          <w:p w14:paraId="45CFDB6F">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将市政基础设施运营单位已建系统的外部接入数据，以及燃气、排水、供水、热力、桥梁物联感知设备监测数据进行加工及入库处理。</w:t>
            </w:r>
          </w:p>
        </w:tc>
        <w:tc>
          <w:tcPr>
            <w:tcW w:w="722" w:type="dxa"/>
            <w:tcBorders>
              <w:tl2br w:val="nil"/>
              <w:tr2bl w:val="nil"/>
            </w:tcBorders>
            <w:shd w:val="clear" w:color="auto" w:fill="auto"/>
            <w:vAlign w:val="center"/>
          </w:tcPr>
          <w:p w14:paraId="00437FC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vAlign w:val="center"/>
          </w:tcPr>
          <w:p w14:paraId="749D4F9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157F9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EBEFDE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w:t>
            </w:r>
          </w:p>
        </w:tc>
        <w:tc>
          <w:tcPr>
            <w:tcW w:w="2098" w:type="dxa"/>
            <w:gridSpan w:val="2"/>
            <w:tcBorders>
              <w:tl2br w:val="nil"/>
              <w:tr2bl w:val="nil"/>
            </w:tcBorders>
            <w:shd w:val="clear" w:color="auto" w:fill="auto"/>
            <w:noWrap/>
            <w:vAlign w:val="center"/>
          </w:tcPr>
          <w:p w14:paraId="6388D1F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风险评估数据子库</w:t>
            </w:r>
          </w:p>
        </w:tc>
        <w:tc>
          <w:tcPr>
            <w:tcW w:w="6261" w:type="dxa"/>
            <w:tcBorders>
              <w:tl2br w:val="nil"/>
              <w:tr2bl w:val="nil"/>
            </w:tcBorders>
            <w:shd w:val="clear" w:color="auto" w:fill="auto"/>
            <w:vAlign w:val="center"/>
          </w:tcPr>
          <w:p w14:paraId="3F3B11B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将包括燃气、排水、供水、热力、桥梁等市政基础设施风险等级、“三高”区域等数据信息进行加工及入库处理。</w:t>
            </w:r>
          </w:p>
        </w:tc>
        <w:tc>
          <w:tcPr>
            <w:tcW w:w="722" w:type="dxa"/>
            <w:tcBorders>
              <w:tl2br w:val="nil"/>
              <w:tr2bl w:val="nil"/>
            </w:tcBorders>
            <w:shd w:val="clear" w:color="auto" w:fill="auto"/>
            <w:vAlign w:val="center"/>
          </w:tcPr>
          <w:p w14:paraId="6375A9A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vAlign w:val="center"/>
          </w:tcPr>
          <w:p w14:paraId="59BF9A5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27D8E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894972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w:t>
            </w:r>
          </w:p>
        </w:tc>
        <w:tc>
          <w:tcPr>
            <w:tcW w:w="2098" w:type="dxa"/>
            <w:gridSpan w:val="2"/>
            <w:tcBorders>
              <w:tl2br w:val="nil"/>
              <w:tr2bl w:val="nil"/>
            </w:tcBorders>
            <w:shd w:val="clear" w:color="auto" w:fill="auto"/>
            <w:noWrap/>
            <w:vAlign w:val="center"/>
          </w:tcPr>
          <w:p w14:paraId="3F77342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监测报警数据子库</w:t>
            </w:r>
          </w:p>
        </w:tc>
        <w:tc>
          <w:tcPr>
            <w:tcW w:w="6261" w:type="dxa"/>
            <w:tcBorders>
              <w:tl2br w:val="nil"/>
              <w:tr2bl w:val="nil"/>
            </w:tcBorders>
            <w:shd w:val="clear" w:color="auto" w:fill="auto"/>
            <w:vAlign w:val="center"/>
          </w:tcPr>
          <w:p w14:paraId="634C9A6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将燃气、排水、供水、热力、桥梁等市政基础设施监测设备报警信息、报警处置数据、突发事件预警等级、预警事件处置信息等数据进行加工及入库处理。</w:t>
            </w:r>
          </w:p>
        </w:tc>
        <w:tc>
          <w:tcPr>
            <w:tcW w:w="722" w:type="dxa"/>
            <w:tcBorders>
              <w:tl2br w:val="nil"/>
              <w:tr2bl w:val="nil"/>
            </w:tcBorders>
            <w:shd w:val="clear" w:color="auto" w:fill="auto"/>
            <w:vAlign w:val="center"/>
          </w:tcPr>
          <w:p w14:paraId="6147CA5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vAlign w:val="center"/>
          </w:tcPr>
          <w:p w14:paraId="6D10C80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66DF8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0E183E4F">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二、物联网设备管理系统</w:t>
            </w:r>
          </w:p>
        </w:tc>
      </w:tr>
      <w:tr w14:paraId="08D45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38849D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80" w:type="dxa"/>
            <w:vMerge w:val="restart"/>
            <w:tcBorders>
              <w:tl2br w:val="nil"/>
              <w:tr2bl w:val="nil"/>
            </w:tcBorders>
            <w:shd w:val="clear" w:color="auto" w:fill="auto"/>
            <w:vAlign w:val="center"/>
          </w:tcPr>
          <w:p w14:paraId="1D39F69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设备配置管理</w:t>
            </w:r>
          </w:p>
        </w:tc>
        <w:tc>
          <w:tcPr>
            <w:tcW w:w="1118" w:type="dxa"/>
            <w:tcBorders>
              <w:tl2br w:val="nil"/>
              <w:tr2bl w:val="nil"/>
            </w:tcBorders>
            <w:shd w:val="clear" w:color="auto" w:fill="auto"/>
            <w:vAlign w:val="center"/>
          </w:tcPr>
          <w:p w14:paraId="6CA1A07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设备接入</w:t>
            </w:r>
          </w:p>
        </w:tc>
        <w:tc>
          <w:tcPr>
            <w:tcW w:w="6261" w:type="dxa"/>
            <w:tcBorders>
              <w:tl2br w:val="nil"/>
              <w:tr2bl w:val="nil"/>
            </w:tcBorders>
            <w:shd w:val="clear" w:color="auto" w:fill="auto"/>
            <w:noWrap/>
            <w:vAlign w:val="center"/>
          </w:tcPr>
          <w:p w14:paraId="28D79782">
            <w:pPr>
              <w:keepNext w:val="0"/>
              <w:keepLines w:val="0"/>
              <w:widowControl/>
              <w:suppressLineNumbers w:val="0"/>
              <w:kinsoku/>
              <w:wordWrap w:val="0"/>
              <w:spacing w:line="36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接入管理主要是管理不同种类的设备，选择产品和关联的采集服务，配置设备的基础参数，实现设备数据解析。同时要监视设备运行情况，采集点的实时值，以及设备元数据信息，元数据信息可以用来调试分析设备的情况，排查设备运行情况。还可以支持定制化报警需求进行开发，比如：检测异常然后把异常数据储到指定异常数据表中，通过邮件发给指定定人员，便于分析设备运行状况。</w:t>
            </w:r>
          </w:p>
        </w:tc>
        <w:tc>
          <w:tcPr>
            <w:tcW w:w="722" w:type="dxa"/>
            <w:vMerge w:val="restart"/>
            <w:tcBorders>
              <w:tl2br w:val="nil"/>
              <w:tr2bl w:val="nil"/>
            </w:tcBorders>
            <w:shd w:val="clear" w:color="auto" w:fill="auto"/>
            <w:vAlign w:val="center"/>
          </w:tcPr>
          <w:p w14:paraId="5C5C9D5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584D9CE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4AE335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844F8D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80" w:type="dxa"/>
            <w:vMerge w:val="continue"/>
            <w:tcBorders>
              <w:tl2br w:val="nil"/>
              <w:tr2bl w:val="nil"/>
            </w:tcBorders>
            <w:shd w:val="clear" w:color="auto" w:fill="auto"/>
            <w:vAlign w:val="center"/>
          </w:tcPr>
          <w:p w14:paraId="0A9A4BE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5B128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多源接入</w:t>
            </w:r>
          </w:p>
        </w:tc>
        <w:tc>
          <w:tcPr>
            <w:tcW w:w="6261" w:type="dxa"/>
            <w:tcBorders>
              <w:tl2br w:val="nil"/>
              <w:tr2bl w:val="nil"/>
            </w:tcBorders>
            <w:shd w:val="clear" w:color="auto" w:fill="auto"/>
            <w:noWrap/>
            <w:vAlign w:val="center"/>
          </w:tcPr>
          <w:p w14:paraId="28B76903">
            <w:pPr>
              <w:keepNext w:val="0"/>
              <w:keepLines w:val="0"/>
              <w:widowControl/>
              <w:suppressLineNumbers w:val="0"/>
              <w:kinsoku/>
              <w:wordWrap w:val="0"/>
              <w:spacing w:line="36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提供HTTP、TCP、UDP、CoAP、MQTT、ModbusRTU/TCP、OPC、EtherNET/IP、NB-IoT、LoRa等多种应用层、传输层协议的通用接入适配器接入；承接采集服务下承业务系统，采集服务采集解析后的数据发送到应用服务；应用服务可以把数据存储到标准数据库，也可以通过订阅插件将实时数据或归档数据推送给业务系统；应用服务提供标准 modbus 服务，业务系统可以通过 modbus 服务对设备进行标准 modus读写控制功能。</w:t>
            </w:r>
          </w:p>
        </w:tc>
        <w:tc>
          <w:tcPr>
            <w:tcW w:w="722" w:type="dxa"/>
            <w:vMerge w:val="continue"/>
            <w:tcBorders>
              <w:tl2br w:val="nil"/>
              <w:tr2bl w:val="nil"/>
            </w:tcBorders>
            <w:shd w:val="clear" w:color="auto" w:fill="auto"/>
            <w:vAlign w:val="center"/>
          </w:tcPr>
          <w:p w14:paraId="2C11793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319D44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CDA4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E2011B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980" w:type="dxa"/>
            <w:vMerge w:val="continue"/>
            <w:tcBorders>
              <w:tl2br w:val="nil"/>
              <w:tr2bl w:val="nil"/>
            </w:tcBorders>
            <w:shd w:val="clear" w:color="auto" w:fill="auto"/>
            <w:vAlign w:val="center"/>
          </w:tcPr>
          <w:p w14:paraId="790394D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E20364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产品管理</w:t>
            </w:r>
          </w:p>
        </w:tc>
        <w:tc>
          <w:tcPr>
            <w:tcW w:w="6261" w:type="dxa"/>
            <w:tcBorders>
              <w:tl2br w:val="nil"/>
              <w:tr2bl w:val="nil"/>
            </w:tcBorders>
            <w:shd w:val="clear" w:color="auto" w:fill="auto"/>
            <w:noWrap/>
            <w:vAlign w:val="center"/>
          </w:tcPr>
          <w:p w14:paraId="4500D083">
            <w:pPr>
              <w:keepNext w:val="0"/>
              <w:keepLines w:val="0"/>
              <w:widowControl/>
              <w:suppressLineNumbers w:val="0"/>
              <w:kinsoku/>
              <w:wordWrap w:val="0"/>
              <w:spacing w:line="36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产品提供的通用功能包括：产品创建、删除，列表展示，按项目及产品名称搜索产品，产品详情展示，生成消息通信Topic，自定义配置产品功能属性等。</w:t>
            </w:r>
          </w:p>
        </w:tc>
        <w:tc>
          <w:tcPr>
            <w:tcW w:w="722" w:type="dxa"/>
            <w:vMerge w:val="continue"/>
            <w:tcBorders>
              <w:tl2br w:val="nil"/>
              <w:tr2bl w:val="nil"/>
            </w:tcBorders>
            <w:shd w:val="clear" w:color="auto" w:fill="auto"/>
            <w:vAlign w:val="center"/>
          </w:tcPr>
          <w:p w14:paraId="66BBB2A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DC67F7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9094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DC97BB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w:t>
            </w:r>
          </w:p>
        </w:tc>
        <w:tc>
          <w:tcPr>
            <w:tcW w:w="980" w:type="dxa"/>
            <w:vMerge w:val="continue"/>
            <w:tcBorders>
              <w:tl2br w:val="nil"/>
              <w:tr2bl w:val="nil"/>
            </w:tcBorders>
            <w:shd w:val="clear" w:color="auto" w:fill="auto"/>
            <w:vAlign w:val="center"/>
          </w:tcPr>
          <w:p w14:paraId="7B10CA1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6344BE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设备管理</w:t>
            </w:r>
          </w:p>
        </w:tc>
        <w:tc>
          <w:tcPr>
            <w:tcW w:w="6261" w:type="dxa"/>
            <w:tcBorders>
              <w:tl2br w:val="nil"/>
              <w:tr2bl w:val="nil"/>
            </w:tcBorders>
            <w:shd w:val="clear" w:color="auto" w:fill="auto"/>
            <w:noWrap/>
            <w:vAlign w:val="center"/>
          </w:tcPr>
          <w:p w14:paraId="52AF8E78">
            <w:pPr>
              <w:keepNext w:val="0"/>
              <w:keepLines w:val="0"/>
              <w:widowControl/>
              <w:suppressLineNumbers w:val="0"/>
              <w:kinsoku/>
              <w:wordWrap w:val="0"/>
              <w:spacing w:line="36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设备即为平台要接入的物理实体，也可以理解为模型的实例，通过设备管理模块实现对设备列表、设备信息卡、设备可视化等功能的管理维护。</w:t>
            </w:r>
          </w:p>
        </w:tc>
        <w:tc>
          <w:tcPr>
            <w:tcW w:w="722" w:type="dxa"/>
            <w:vMerge w:val="continue"/>
            <w:tcBorders>
              <w:tl2br w:val="nil"/>
              <w:tr2bl w:val="nil"/>
            </w:tcBorders>
            <w:shd w:val="clear" w:color="auto" w:fill="auto"/>
            <w:vAlign w:val="center"/>
          </w:tcPr>
          <w:p w14:paraId="0479E52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D6DFFB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588E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90F553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w:t>
            </w:r>
          </w:p>
        </w:tc>
        <w:tc>
          <w:tcPr>
            <w:tcW w:w="980" w:type="dxa"/>
            <w:vMerge w:val="continue"/>
            <w:tcBorders>
              <w:tl2br w:val="nil"/>
              <w:tr2bl w:val="nil"/>
            </w:tcBorders>
            <w:shd w:val="clear" w:color="auto" w:fill="auto"/>
            <w:vAlign w:val="center"/>
          </w:tcPr>
          <w:p w14:paraId="5E976E9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D0535D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连接状态监控</w:t>
            </w:r>
          </w:p>
        </w:tc>
        <w:tc>
          <w:tcPr>
            <w:tcW w:w="6261" w:type="dxa"/>
            <w:tcBorders>
              <w:tl2br w:val="nil"/>
              <w:tr2bl w:val="nil"/>
            </w:tcBorders>
            <w:shd w:val="clear" w:color="auto" w:fill="auto"/>
            <w:noWrap/>
            <w:vAlign w:val="center"/>
          </w:tcPr>
          <w:p w14:paraId="6AB72AED">
            <w:pPr>
              <w:keepNext w:val="0"/>
              <w:keepLines w:val="0"/>
              <w:widowControl/>
              <w:suppressLineNumbers w:val="0"/>
              <w:kinsoku/>
              <w:wordWrap w:val="0"/>
              <w:spacing w:line="36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平台提供设备连接状态监控，通过轮询访问以及主动上报的方式，去判断用户设备是否与平台保持连接。</w:t>
            </w:r>
          </w:p>
        </w:tc>
        <w:tc>
          <w:tcPr>
            <w:tcW w:w="722" w:type="dxa"/>
            <w:vMerge w:val="continue"/>
            <w:tcBorders>
              <w:tl2br w:val="nil"/>
              <w:tr2bl w:val="nil"/>
            </w:tcBorders>
            <w:shd w:val="clear" w:color="auto" w:fill="auto"/>
            <w:vAlign w:val="center"/>
          </w:tcPr>
          <w:p w14:paraId="56CB06A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E23BEA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0427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181C1B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80" w:type="dxa"/>
            <w:vMerge w:val="continue"/>
            <w:tcBorders>
              <w:tl2br w:val="nil"/>
              <w:tr2bl w:val="nil"/>
            </w:tcBorders>
            <w:shd w:val="clear" w:color="auto" w:fill="auto"/>
            <w:vAlign w:val="center"/>
          </w:tcPr>
          <w:p w14:paraId="2B04BF1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A0537E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设备协议解析</w:t>
            </w:r>
          </w:p>
        </w:tc>
        <w:tc>
          <w:tcPr>
            <w:tcW w:w="6261" w:type="dxa"/>
            <w:tcBorders>
              <w:tl2br w:val="nil"/>
              <w:tr2bl w:val="nil"/>
            </w:tcBorders>
            <w:shd w:val="clear" w:color="auto" w:fill="auto"/>
            <w:noWrap/>
            <w:vAlign w:val="center"/>
          </w:tcPr>
          <w:p w14:paraId="7321AC25">
            <w:pPr>
              <w:keepNext w:val="0"/>
              <w:keepLines w:val="0"/>
              <w:widowControl/>
              <w:suppressLineNumbers w:val="0"/>
              <w:kinsoku/>
              <w:wordWrap w:val="0"/>
              <w:spacing w:line="36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不同厂家类型的设备，原始数据有多种内容编码格式，如JSON、16进制串、CSV等等。根据给定的数据格式定义，进行相应的解码，以得到规范化的格式输出（熟数据），便于后期的统一使用。</w:t>
            </w:r>
          </w:p>
        </w:tc>
        <w:tc>
          <w:tcPr>
            <w:tcW w:w="722" w:type="dxa"/>
            <w:vMerge w:val="continue"/>
            <w:tcBorders>
              <w:tl2br w:val="nil"/>
              <w:tr2bl w:val="nil"/>
            </w:tcBorders>
            <w:shd w:val="clear" w:color="auto" w:fill="auto"/>
            <w:vAlign w:val="center"/>
          </w:tcPr>
          <w:p w14:paraId="6C7C48B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4D78CC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F3CF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57941D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w:t>
            </w:r>
          </w:p>
        </w:tc>
        <w:tc>
          <w:tcPr>
            <w:tcW w:w="980" w:type="dxa"/>
            <w:vMerge w:val="restart"/>
            <w:tcBorders>
              <w:tl2br w:val="nil"/>
              <w:tr2bl w:val="nil"/>
            </w:tcBorders>
            <w:shd w:val="clear" w:color="auto" w:fill="auto"/>
            <w:vAlign w:val="center"/>
          </w:tcPr>
          <w:p w14:paraId="13A8094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设备指令下发</w:t>
            </w:r>
          </w:p>
        </w:tc>
        <w:tc>
          <w:tcPr>
            <w:tcW w:w="1118" w:type="dxa"/>
            <w:tcBorders>
              <w:tl2br w:val="nil"/>
              <w:tr2bl w:val="nil"/>
            </w:tcBorders>
            <w:shd w:val="clear" w:color="auto" w:fill="auto"/>
            <w:vAlign w:val="center"/>
          </w:tcPr>
          <w:p w14:paraId="4CD5A43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事件定义</w:t>
            </w:r>
          </w:p>
        </w:tc>
        <w:tc>
          <w:tcPr>
            <w:tcW w:w="6261" w:type="dxa"/>
            <w:tcBorders>
              <w:tl2br w:val="nil"/>
              <w:tr2bl w:val="nil"/>
            </w:tcBorders>
            <w:shd w:val="clear" w:color="auto" w:fill="auto"/>
            <w:noWrap/>
            <w:vAlign w:val="center"/>
          </w:tcPr>
          <w:p w14:paraId="0DF8C797">
            <w:pPr>
              <w:keepNext w:val="0"/>
              <w:keepLines w:val="0"/>
              <w:widowControl/>
              <w:suppressLineNumbers w:val="0"/>
              <w:kinsoku/>
              <w:wordWrap w:val="0"/>
              <w:spacing w:line="36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IOT 事件中心通过用户自定义事件类型、事件数据源、事件模型、事件等级、订阅方配置等流程，完成物联设备异常数据采集、汇聚并有针对性地推送至第三方平台。各订阅方能够快速对重要、严重、紧急事件，进行有效的分级分时处置。</w:t>
            </w:r>
          </w:p>
        </w:tc>
        <w:tc>
          <w:tcPr>
            <w:tcW w:w="722" w:type="dxa"/>
            <w:vMerge w:val="restart"/>
            <w:tcBorders>
              <w:tl2br w:val="nil"/>
              <w:tr2bl w:val="nil"/>
            </w:tcBorders>
            <w:shd w:val="clear" w:color="auto" w:fill="auto"/>
            <w:vAlign w:val="center"/>
          </w:tcPr>
          <w:p w14:paraId="0F8C7F8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7EE733B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70B3D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9E8428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w:t>
            </w:r>
          </w:p>
        </w:tc>
        <w:tc>
          <w:tcPr>
            <w:tcW w:w="980" w:type="dxa"/>
            <w:vMerge w:val="continue"/>
            <w:tcBorders>
              <w:tl2br w:val="nil"/>
              <w:tr2bl w:val="nil"/>
            </w:tcBorders>
            <w:shd w:val="clear" w:color="auto" w:fill="auto"/>
            <w:vAlign w:val="center"/>
          </w:tcPr>
          <w:p w14:paraId="0781FAF4">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00FD7D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事件日志</w:t>
            </w:r>
          </w:p>
        </w:tc>
        <w:tc>
          <w:tcPr>
            <w:tcW w:w="6261" w:type="dxa"/>
            <w:tcBorders>
              <w:tl2br w:val="nil"/>
              <w:tr2bl w:val="nil"/>
            </w:tcBorders>
            <w:shd w:val="clear" w:color="auto" w:fill="auto"/>
            <w:noWrap/>
            <w:vAlign w:val="center"/>
          </w:tcPr>
          <w:p w14:paraId="43F58B36">
            <w:pPr>
              <w:keepNext w:val="0"/>
              <w:keepLines w:val="0"/>
              <w:widowControl/>
              <w:suppressLineNumbers w:val="0"/>
              <w:kinsoku/>
              <w:wordWrap w:val="0"/>
              <w:spacing w:line="36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每个事件从触发到后续处理流程进行全方位记录及进度把控。包括触发事件的跟踪、记录，保证及时更新每个流程节点的事件状态。为事件统计分析、可视化等提供数据来源。同时可有选择地对每个节点进行督促，提高事件处理效率。</w:t>
            </w:r>
          </w:p>
        </w:tc>
        <w:tc>
          <w:tcPr>
            <w:tcW w:w="722" w:type="dxa"/>
            <w:vMerge w:val="continue"/>
            <w:tcBorders>
              <w:tl2br w:val="nil"/>
              <w:tr2bl w:val="nil"/>
            </w:tcBorders>
            <w:shd w:val="clear" w:color="auto" w:fill="auto"/>
            <w:vAlign w:val="center"/>
          </w:tcPr>
          <w:p w14:paraId="07C2641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ADFF6F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BBB9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D5207E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w:t>
            </w:r>
          </w:p>
        </w:tc>
        <w:tc>
          <w:tcPr>
            <w:tcW w:w="980" w:type="dxa"/>
            <w:vMerge w:val="continue"/>
            <w:tcBorders>
              <w:tl2br w:val="nil"/>
              <w:tr2bl w:val="nil"/>
            </w:tcBorders>
            <w:shd w:val="clear" w:color="auto" w:fill="auto"/>
            <w:vAlign w:val="center"/>
          </w:tcPr>
          <w:p w14:paraId="77A4DB2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41C9BC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事件可视化</w:t>
            </w:r>
          </w:p>
        </w:tc>
        <w:tc>
          <w:tcPr>
            <w:tcW w:w="6261" w:type="dxa"/>
            <w:tcBorders>
              <w:tl2br w:val="nil"/>
              <w:tr2bl w:val="nil"/>
            </w:tcBorders>
            <w:shd w:val="clear" w:color="auto" w:fill="auto"/>
            <w:vAlign w:val="center"/>
          </w:tcPr>
          <w:p w14:paraId="66A3350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事件可视化通过折线图、仪表盘、柱状图等可视化形式展示事件统计分析结果。主要包括事件展示仪表盘、事件日志信息发布、事件趋势折线图等。通过事件可视化视图，进行事件的统一组织展现。</w:t>
            </w:r>
          </w:p>
        </w:tc>
        <w:tc>
          <w:tcPr>
            <w:tcW w:w="722" w:type="dxa"/>
            <w:vMerge w:val="continue"/>
            <w:tcBorders>
              <w:tl2br w:val="nil"/>
              <w:tr2bl w:val="nil"/>
            </w:tcBorders>
            <w:shd w:val="clear" w:color="auto" w:fill="auto"/>
            <w:vAlign w:val="center"/>
          </w:tcPr>
          <w:p w14:paraId="167CF84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761A0B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49C0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2EC3C5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980" w:type="dxa"/>
            <w:vMerge w:val="continue"/>
            <w:tcBorders>
              <w:tl2br w:val="nil"/>
              <w:tr2bl w:val="nil"/>
            </w:tcBorders>
            <w:shd w:val="clear" w:color="auto" w:fill="auto"/>
            <w:vAlign w:val="center"/>
          </w:tcPr>
          <w:p w14:paraId="1361F95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044F88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统计分析</w:t>
            </w:r>
          </w:p>
        </w:tc>
        <w:tc>
          <w:tcPr>
            <w:tcW w:w="6261" w:type="dxa"/>
            <w:tcBorders>
              <w:tl2br w:val="nil"/>
              <w:tr2bl w:val="nil"/>
            </w:tcBorders>
            <w:shd w:val="clear" w:color="auto" w:fill="auto"/>
            <w:vAlign w:val="center"/>
          </w:tcPr>
          <w:p w14:paraId="58A96AB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为了对事件有一个更好的管理和运营，感知引擎需要对事件整体概况有一个全面了解。统计分析功能收集了各类事件的发生频率、解决占比、办理效率等数据。对其进行统计分析，帮助第三方平台管理者完成对于事件的运营管理及事件发生趋势的判断。</w:t>
            </w:r>
          </w:p>
        </w:tc>
        <w:tc>
          <w:tcPr>
            <w:tcW w:w="722" w:type="dxa"/>
            <w:vMerge w:val="continue"/>
            <w:tcBorders>
              <w:tl2br w:val="nil"/>
              <w:tr2bl w:val="nil"/>
            </w:tcBorders>
            <w:shd w:val="clear" w:color="auto" w:fill="auto"/>
            <w:vAlign w:val="center"/>
          </w:tcPr>
          <w:p w14:paraId="65AC9BB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434A76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E399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B5F730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w:t>
            </w:r>
          </w:p>
        </w:tc>
        <w:tc>
          <w:tcPr>
            <w:tcW w:w="980" w:type="dxa"/>
            <w:vMerge w:val="continue"/>
            <w:tcBorders>
              <w:tl2br w:val="nil"/>
              <w:tr2bl w:val="nil"/>
            </w:tcBorders>
            <w:shd w:val="clear" w:color="auto" w:fill="auto"/>
            <w:vAlign w:val="center"/>
          </w:tcPr>
          <w:p w14:paraId="7BC35E3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9EC616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指标管理</w:t>
            </w:r>
          </w:p>
        </w:tc>
        <w:tc>
          <w:tcPr>
            <w:tcW w:w="6261" w:type="dxa"/>
            <w:tcBorders>
              <w:tl2br w:val="nil"/>
              <w:tr2bl w:val="nil"/>
            </w:tcBorders>
            <w:shd w:val="clear" w:color="auto" w:fill="auto"/>
            <w:vAlign w:val="center"/>
          </w:tcPr>
          <w:p w14:paraId="6682D3D1">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数据源管理：配置数据源，为数据分析中心规则执行指定数据库，数据源管理支持创建、编辑数据源时提供连接测试功能，支持MySQL、Oracle 以及MongoDB 等主流数据库；指标模型：用户可以从指定数据源的指定数据表中选取多个字段作为模型属性，并将其转化为事件指标；指标管理：通过现有指标的加、减、乘、除、取最值等运算定义并生成新的事件指标。</w:t>
            </w:r>
          </w:p>
        </w:tc>
        <w:tc>
          <w:tcPr>
            <w:tcW w:w="722" w:type="dxa"/>
            <w:vMerge w:val="continue"/>
            <w:tcBorders>
              <w:tl2br w:val="nil"/>
              <w:tr2bl w:val="nil"/>
            </w:tcBorders>
            <w:shd w:val="clear" w:color="auto" w:fill="auto"/>
            <w:vAlign w:val="center"/>
          </w:tcPr>
          <w:p w14:paraId="0FFC858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439D9F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9F63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28BF0E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w:t>
            </w:r>
          </w:p>
        </w:tc>
        <w:tc>
          <w:tcPr>
            <w:tcW w:w="980" w:type="dxa"/>
            <w:vMerge w:val="restart"/>
            <w:tcBorders>
              <w:tl2br w:val="nil"/>
              <w:tr2bl w:val="nil"/>
            </w:tcBorders>
            <w:shd w:val="clear" w:color="auto" w:fill="auto"/>
            <w:vAlign w:val="center"/>
          </w:tcPr>
          <w:p w14:paraId="55F1160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设备预警管理</w:t>
            </w:r>
          </w:p>
        </w:tc>
        <w:tc>
          <w:tcPr>
            <w:tcW w:w="1118" w:type="dxa"/>
            <w:tcBorders>
              <w:tl2br w:val="nil"/>
              <w:tr2bl w:val="nil"/>
            </w:tcBorders>
            <w:shd w:val="clear" w:color="auto" w:fill="auto"/>
            <w:vAlign w:val="center"/>
          </w:tcPr>
          <w:p w14:paraId="3DA543E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设备告警服务</w:t>
            </w:r>
          </w:p>
        </w:tc>
        <w:tc>
          <w:tcPr>
            <w:tcW w:w="6261" w:type="dxa"/>
            <w:tcBorders>
              <w:tl2br w:val="nil"/>
              <w:tr2bl w:val="nil"/>
            </w:tcBorders>
            <w:shd w:val="clear" w:color="auto" w:fill="auto"/>
            <w:vAlign w:val="center"/>
          </w:tcPr>
          <w:p w14:paraId="550F3CC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支持体系化的可配置的告警消息体系，不仅支持针对设备的状态告警，还支持基于设备数据的告警；支持完整的告警消息管理；支持告警触发规则和内容的定义；支持告警查询、订阅、推送；支持开放接口，支持第三方来源数据，支持集成第三方系统告警数据。</w:t>
            </w:r>
          </w:p>
        </w:tc>
        <w:tc>
          <w:tcPr>
            <w:tcW w:w="722" w:type="dxa"/>
            <w:vMerge w:val="restart"/>
            <w:tcBorders>
              <w:tl2br w:val="nil"/>
              <w:tr2bl w:val="nil"/>
            </w:tcBorders>
            <w:shd w:val="clear" w:color="auto" w:fill="auto"/>
            <w:vAlign w:val="center"/>
          </w:tcPr>
          <w:p w14:paraId="35E50D0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1E7A38E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57FF8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75A87F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w:t>
            </w:r>
          </w:p>
        </w:tc>
        <w:tc>
          <w:tcPr>
            <w:tcW w:w="980" w:type="dxa"/>
            <w:vMerge w:val="continue"/>
            <w:tcBorders>
              <w:tl2br w:val="nil"/>
              <w:tr2bl w:val="nil"/>
            </w:tcBorders>
            <w:shd w:val="clear" w:color="auto" w:fill="auto"/>
            <w:vAlign w:val="center"/>
          </w:tcPr>
          <w:p w14:paraId="4F73D28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D0EEA3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可视化操作界面</w:t>
            </w:r>
          </w:p>
        </w:tc>
        <w:tc>
          <w:tcPr>
            <w:tcW w:w="6261" w:type="dxa"/>
            <w:tcBorders>
              <w:tl2br w:val="nil"/>
              <w:tr2bl w:val="nil"/>
            </w:tcBorders>
            <w:shd w:val="clear" w:color="auto" w:fill="auto"/>
            <w:vAlign w:val="center"/>
          </w:tcPr>
          <w:p w14:paraId="2389EFF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能够支持告警信息的配置，包括告警等级，类型，规则等。支持基于测点阈值的告警规则的配置，持设备状态监控及告警，包括设备数据，在线离线状态。支持复杂场景下的告警，包括基于资产树屏蔽不重要的告警，达到告警条件一定时间后才会触发的告警，可以根据属性值灵活设置告警阈值。</w:t>
            </w:r>
          </w:p>
        </w:tc>
        <w:tc>
          <w:tcPr>
            <w:tcW w:w="722" w:type="dxa"/>
            <w:vMerge w:val="continue"/>
            <w:tcBorders>
              <w:tl2br w:val="nil"/>
              <w:tr2bl w:val="nil"/>
            </w:tcBorders>
            <w:shd w:val="clear" w:color="auto" w:fill="auto"/>
            <w:vAlign w:val="center"/>
          </w:tcPr>
          <w:p w14:paraId="4D2C8B7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60FC73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2668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4D4E0EEC">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三、城市生命线运行监测系统</w:t>
            </w:r>
          </w:p>
        </w:tc>
      </w:tr>
      <w:tr w14:paraId="2D28D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06B31A15">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（一）综合安全应用</w:t>
            </w:r>
          </w:p>
        </w:tc>
      </w:tr>
      <w:tr w14:paraId="5989E0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5BAADD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80" w:type="dxa"/>
            <w:vMerge w:val="restart"/>
            <w:tcBorders>
              <w:tl2br w:val="nil"/>
              <w:tr2bl w:val="nil"/>
            </w:tcBorders>
            <w:shd w:val="clear" w:color="auto" w:fill="auto"/>
            <w:vAlign w:val="center"/>
          </w:tcPr>
          <w:p w14:paraId="5A93136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综合运行一张图</w:t>
            </w:r>
          </w:p>
        </w:tc>
        <w:tc>
          <w:tcPr>
            <w:tcW w:w="1118" w:type="dxa"/>
            <w:tcBorders>
              <w:tl2br w:val="nil"/>
              <w:tr2bl w:val="nil"/>
            </w:tcBorders>
            <w:shd w:val="clear" w:color="auto" w:fill="auto"/>
            <w:vAlign w:val="center"/>
          </w:tcPr>
          <w:p w14:paraId="1937837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基础设施</w:t>
            </w:r>
          </w:p>
        </w:tc>
        <w:tc>
          <w:tcPr>
            <w:tcW w:w="6261" w:type="dxa"/>
            <w:tcBorders>
              <w:tl2br w:val="nil"/>
              <w:tr2bl w:val="nil"/>
            </w:tcBorders>
            <w:shd w:val="clear" w:color="auto" w:fill="auto"/>
            <w:vAlign w:val="center"/>
          </w:tcPr>
          <w:p w14:paraId="4FB63F3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汇聚城市生命线燃气、排水、供水、桥梁、热力等基础设施现状、基础设施规划相关数据，展示城市生命线基础设施现状、基础设施规划关键指标和数据。</w:t>
            </w:r>
          </w:p>
        </w:tc>
        <w:tc>
          <w:tcPr>
            <w:tcW w:w="722" w:type="dxa"/>
            <w:vMerge w:val="restart"/>
            <w:tcBorders>
              <w:tl2br w:val="nil"/>
              <w:tr2bl w:val="nil"/>
            </w:tcBorders>
            <w:shd w:val="clear" w:color="auto" w:fill="auto"/>
            <w:vAlign w:val="center"/>
          </w:tcPr>
          <w:p w14:paraId="283F754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6E0813A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48D7E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CC4DB0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80" w:type="dxa"/>
            <w:vMerge w:val="continue"/>
            <w:tcBorders>
              <w:tl2br w:val="nil"/>
              <w:tr2bl w:val="nil"/>
            </w:tcBorders>
            <w:shd w:val="clear" w:color="auto" w:fill="auto"/>
            <w:vAlign w:val="center"/>
          </w:tcPr>
          <w:p w14:paraId="29AF0B9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3B9013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监测设备</w:t>
            </w:r>
          </w:p>
        </w:tc>
        <w:tc>
          <w:tcPr>
            <w:tcW w:w="6261" w:type="dxa"/>
            <w:tcBorders>
              <w:tl2br w:val="nil"/>
              <w:tr2bl w:val="nil"/>
            </w:tcBorders>
            <w:shd w:val="clear" w:color="auto" w:fill="auto"/>
            <w:vAlign w:val="center"/>
          </w:tcPr>
          <w:p w14:paraId="328558E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将现有的感知网络所布设的监测设备数据使用饼状图的形式进行展示。扇形图的中间，显示所有专题总的监测设备数量。扇形图左侧的方块，不同颜色代表不同的专题。在扇形图的上方显示，所有在线设备、离线设备的数量。</w:t>
            </w:r>
          </w:p>
        </w:tc>
        <w:tc>
          <w:tcPr>
            <w:tcW w:w="722" w:type="dxa"/>
            <w:vMerge w:val="continue"/>
            <w:tcBorders>
              <w:tl2br w:val="nil"/>
              <w:tr2bl w:val="nil"/>
            </w:tcBorders>
            <w:shd w:val="clear" w:color="auto" w:fill="auto"/>
            <w:vAlign w:val="center"/>
          </w:tcPr>
          <w:p w14:paraId="38391A9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1A3BC3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5E8E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9532A5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980" w:type="dxa"/>
            <w:vMerge w:val="continue"/>
            <w:tcBorders>
              <w:tl2br w:val="nil"/>
              <w:tr2bl w:val="nil"/>
            </w:tcBorders>
            <w:shd w:val="clear" w:color="auto" w:fill="auto"/>
            <w:vAlign w:val="center"/>
          </w:tcPr>
          <w:p w14:paraId="3FAB995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C74947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风险评估</w:t>
            </w:r>
          </w:p>
        </w:tc>
        <w:tc>
          <w:tcPr>
            <w:tcW w:w="6261" w:type="dxa"/>
            <w:tcBorders>
              <w:tl2br w:val="nil"/>
              <w:tr2bl w:val="nil"/>
            </w:tcBorders>
            <w:shd w:val="clear" w:color="auto" w:fill="auto"/>
            <w:vAlign w:val="center"/>
          </w:tcPr>
          <w:p w14:paraId="5A40B69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对基础设施进行风险评估，按照专题、区域、分级，对各个专题风险评估的数据进行展示。默认显示各专题风险评估的统计数据，以扇形图的形式，动态呈现不同级别风险的数量。</w:t>
            </w:r>
          </w:p>
        </w:tc>
        <w:tc>
          <w:tcPr>
            <w:tcW w:w="722" w:type="dxa"/>
            <w:vMerge w:val="continue"/>
            <w:tcBorders>
              <w:tl2br w:val="nil"/>
              <w:tr2bl w:val="nil"/>
            </w:tcBorders>
            <w:shd w:val="clear" w:color="auto" w:fill="auto"/>
            <w:vAlign w:val="center"/>
          </w:tcPr>
          <w:p w14:paraId="4AD5EA4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9E753B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D72C2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BD5DDE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w:t>
            </w:r>
          </w:p>
        </w:tc>
        <w:tc>
          <w:tcPr>
            <w:tcW w:w="980" w:type="dxa"/>
            <w:vMerge w:val="continue"/>
            <w:tcBorders>
              <w:tl2br w:val="nil"/>
              <w:tr2bl w:val="nil"/>
            </w:tcBorders>
            <w:shd w:val="clear" w:color="auto" w:fill="auto"/>
            <w:vAlign w:val="center"/>
          </w:tcPr>
          <w:p w14:paraId="6C47856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40E09E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报警统计</w:t>
            </w:r>
          </w:p>
        </w:tc>
        <w:tc>
          <w:tcPr>
            <w:tcW w:w="6261" w:type="dxa"/>
            <w:tcBorders>
              <w:tl2br w:val="nil"/>
              <w:tr2bl w:val="nil"/>
            </w:tcBorders>
            <w:shd w:val="clear" w:color="auto" w:fill="auto"/>
            <w:vAlign w:val="center"/>
          </w:tcPr>
          <w:p w14:paraId="43344D3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报警事件模块对报警数据进行统计分析，并按专题和区域进行报警数据的汇总展示。报警事件上方默认展示的是报警统计的数据。展示今日报警、今日处置、报警总数和处置总数的汇总数据。</w:t>
            </w:r>
          </w:p>
        </w:tc>
        <w:tc>
          <w:tcPr>
            <w:tcW w:w="722" w:type="dxa"/>
            <w:vMerge w:val="continue"/>
            <w:tcBorders>
              <w:tl2br w:val="nil"/>
              <w:tr2bl w:val="nil"/>
            </w:tcBorders>
            <w:shd w:val="clear" w:color="auto" w:fill="auto"/>
            <w:vAlign w:val="center"/>
          </w:tcPr>
          <w:p w14:paraId="55A5418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0512FE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DFDF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204980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w:t>
            </w:r>
          </w:p>
        </w:tc>
        <w:tc>
          <w:tcPr>
            <w:tcW w:w="980" w:type="dxa"/>
            <w:vMerge w:val="continue"/>
            <w:tcBorders>
              <w:tl2br w:val="nil"/>
              <w:tr2bl w:val="nil"/>
            </w:tcBorders>
            <w:shd w:val="clear" w:color="auto" w:fill="auto"/>
            <w:vAlign w:val="center"/>
          </w:tcPr>
          <w:p w14:paraId="43C38DF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85D503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预警分析</w:t>
            </w:r>
          </w:p>
        </w:tc>
        <w:tc>
          <w:tcPr>
            <w:tcW w:w="6261" w:type="dxa"/>
            <w:tcBorders>
              <w:tl2br w:val="nil"/>
              <w:tr2bl w:val="nil"/>
            </w:tcBorders>
            <w:shd w:val="clear" w:color="auto" w:fill="auto"/>
            <w:vAlign w:val="center"/>
          </w:tcPr>
          <w:p w14:paraId="36831BA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对预警消除率、今日预警数、累计预警数、今日消除数和累计消除数进行展示。使用折线图的形式，分专题和区域统计预警数量。以列表的形式，展示未处置和处置中的预警数据。</w:t>
            </w:r>
          </w:p>
        </w:tc>
        <w:tc>
          <w:tcPr>
            <w:tcW w:w="722" w:type="dxa"/>
            <w:vMerge w:val="continue"/>
            <w:tcBorders>
              <w:tl2br w:val="nil"/>
              <w:tr2bl w:val="nil"/>
            </w:tcBorders>
            <w:shd w:val="clear" w:color="auto" w:fill="auto"/>
            <w:vAlign w:val="center"/>
          </w:tcPr>
          <w:p w14:paraId="32403E1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177533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86BD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0D96DB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80" w:type="dxa"/>
            <w:vMerge w:val="restart"/>
            <w:tcBorders>
              <w:tl2br w:val="nil"/>
              <w:tr2bl w:val="nil"/>
            </w:tcBorders>
            <w:shd w:val="clear" w:color="auto" w:fill="auto"/>
            <w:vAlign w:val="center"/>
          </w:tcPr>
          <w:p w14:paraId="675F519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运行态势一张图</w:t>
            </w:r>
          </w:p>
        </w:tc>
        <w:tc>
          <w:tcPr>
            <w:tcW w:w="1118" w:type="dxa"/>
            <w:tcBorders>
              <w:tl2br w:val="nil"/>
              <w:tr2bl w:val="nil"/>
            </w:tcBorders>
            <w:shd w:val="clear" w:color="auto" w:fill="auto"/>
            <w:vAlign w:val="center"/>
          </w:tcPr>
          <w:p w14:paraId="0B97531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实时监测</w:t>
            </w:r>
          </w:p>
        </w:tc>
        <w:tc>
          <w:tcPr>
            <w:tcW w:w="6261" w:type="dxa"/>
            <w:tcBorders>
              <w:tl2br w:val="nil"/>
              <w:tr2bl w:val="nil"/>
            </w:tcBorders>
            <w:shd w:val="clear" w:color="auto" w:fill="auto"/>
            <w:vAlign w:val="center"/>
          </w:tcPr>
          <w:p w14:paraId="4F3A0B5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于地理信息系统，对城市生命线各类感知设备进行展示，同时呈现各类监测设备的实时的监测数据。在操作列点击设备详情，可查看当前设备的详细信息。在操作列，点击历史数据，可以查看对应设备过去24小时、7天、30天的历史数据变化曲线。</w:t>
            </w:r>
          </w:p>
        </w:tc>
        <w:tc>
          <w:tcPr>
            <w:tcW w:w="722" w:type="dxa"/>
            <w:vMerge w:val="restart"/>
            <w:tcBorders>
              <w:tl2br w:val="nil"/>
              <w:tr2bl w:val="nil"/>
            </w:tcBorders>
            <w:shd w:val="clear" w:color="auto" w:fill="auto"/>
            <w:vAlign w:val="center"/>
          </w:tcPr>
          <w:p w14:paraId="2EF3032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2ADCBF8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18C0B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1395E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w:t>
            </w:r>
          </w:p>
        </w:tc>
        <w:tc>
          <w:tcPr>
            <w:tcW w:w="980" w:type="dxa"/>
            <w:vMerge w:val="continue"/>
            <w:tcBorders>
              <w:tl2br w:val="nil"/>
              <w:tr2bl w:val="nil"/>
            </w:tcBorders>
            <w:shd w:val="clear" w:color="auto" w:fill="auto"/>
            <w:vAlign w:val="center"/>
          </w:tcPr>
          <w:p w14:paraId="57E00DB1">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3356C9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监测报警</w:t>
            </w:r>
          </w:p>
        </w:tc>
        <w:tc>
          <w:tcPr>
            <w:tcW w:w="6261" w:type="dxa"/>
            <w:tcBorders>
              <w:tl2br w:val="nil"/>
              <w:tr2bl w:val="nil"/>
            </w:tcBorders>
            <w:shd w:val="clear" w:color="auto" w:fill="auto"/>
            <w:vAlign w:val="center"/>
          </w:tcPr>
          <w:p w14:paraId="4035755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现报警信息录入和监测设备报警上传的信息展示，通过人工对报警信息综合研判分析后，对报警信息通过核实以后，实现报警的消除或预警的生成。预警信息可一键推送到协同处置，生成对应工单，走相应处置流程，对预警进行协同处置的操作。</w:t>
            </w:r>
          </w:p>
        </w:tc>
        <w:tc>
          <w:tcPr>
            <w:tcW w:w="722" w:type="dxa"/>
            <w:vMerge w:val="continue"/>
            <w:tcBorders>
              <w:tl2br w:val="nil"/>
              <w:tr2bl w:val="nil"/>
            </w:tcBorders>
            <w:shd w:val="clear" w:color="auto" w:fill="auto"/>
            <w:vAlign w:val="center"/>
          </w:tcPr>
          <w:p w14:paraId="665AA53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F0C9A4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6239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4E060A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w:t>
            </w:r>
          </w:p>
        </w:tc>
        <w:tc>
          <w:tcPr>
            <w:tcW w:w="980" w:type="dxa"/>
            <w:vMerge w:val="continue"/>
            <w:tcBorders>
              <w:tl2br w:val="nil"/>
              <w:tr2bl w:val="nil"/>
            </w:tcBorders>
            <w:shd w:val="clear" w:color="auto" w:fill="auto"/>
            <w:vAlign w:val="center"/>
          </w:tcPr>
          <w:p w14:paraId="4C8F2DF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26DB0F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报警管理</w:t>
            </w:r>
          </w:p>
        </w:tc>
        <w:tc>
          <w:tcPr>
            <w:tcW w:w="6261" w:type="dxa"/>
            <w:tcBorders>
              <w:tl2br w:val="nil"/>
              <w:tr2bl w:val="nil"/>
            </w:tcBorders>
            <w:shd w:val="clear" w:color="auto" w:fill="auto"/>
            <w:vAlign w:val="center"/>
          </w:tcPr>
          <w:p w14:paraId="46D9CC5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报警管理页面将监测设备产生的报警和人工录入的报警信息进行维护管理。通过人员电话、邮件等方式反馈的突发事件报警，可采用报警信息录入的方式，进行报警信息的录入。</w:t>
            </w:r>
          </w:p>
        </w:tc>
        <w:tc>
          <w:tcPr>
            <w:tcW w:w="722" w:type="dxa"/>
            <w:vMerge w:val="continue"/>
            <w:tcBorders>
              <w:tl2br w:val="nil"/>
              <w:tr2bl w:val="nil"/>
            </w:tcBorders>
            <w:shd w:val="clear" w:color="auto" w:fill="auto"/>
            <w:vAlign w:val="center"/>
          </w:tcPr>
          <w:p w14:paraId="6347105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84568F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31E4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5505A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w:t>
            </w:r>
          </w:p>
        </w:tc>
        <w:tc>
          <w:tcPr>
            <w:tcW w:w="980" w:type="dxa"/>
            <w:vMerge w:val="continue"/>
            <w:tcBorders>
              <w:tl2br w:val="nil"/>
              <w:tr2bl w:val="nil"/>
            </w:tcBorders>
            <w:shd w:val="clear" w:color="auto" w:fill="auto"/>
            <w:vAlign w:val="center"/>
          </w:tcPr>
          <w:p w14:paraId="6514EDC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C86D7F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预警管理</w:t>
            </w:r>
          </w:p>
        </w:tc>
        <w:tc>
          <w:tcPr>
            <w:tcW w:w="6261" w:type="dxa"/>
            <w:tcBorders>
              <w:tl2br w:val="nil"/>
              <w:tr2bl w:val="nil"/>
            </w:tcBorders>
            <w:shd w:val="clear" w:color="auto" w:fill="auto"/>
            <w:vAlign w:val="center"/>
          </w:tcPr>
          <w:p w14:paraId="42AD55D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对于未处置的预警数据，在操作列，点击推送，在弹窗中，点击确定按钮，即可推送到协同处置生成对应工单。</w:t>
            </w:r>
          </w:p>
        </w:tc>
        <w:tc>
          <w:tcPr>
            <w:tcW w:w="722" w:type="dxa"/>
            <w:vMerge w:val="continue"/>
            <w:tcBorders>
              <w:tl2br w:val="nil"/>
              <w:tr2bl w:val="nil"/>
            </w:tcBorders>
            <w:shd w:val="clear" w:color="auto" w:fill="auto"/>
            <w:vAlign w:val="center"/>
          </w:tcPr>
          <w:p w14:paraId="0C9811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6DD268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C994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732E20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980" w:type="dxa"/>
            <w:vMerge w:val="restart"/>
            <w:tcBorders>
              <w:tl2br w:val="nil"/>
              <w:tr2bl w:val="nil"/>
            </w:tcBorders>
            <w:shd w:val="clear" w:color="auto" w:fill="auto"/>
            <w:vAlign w:val="center"/>
          </w:tcPr>
          <w:p w14:paraId="2B53841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风险管理一张图</w:t>
            </w:r>
          </w:p>
        </w:tc>
        <w:tc>
          <w:tcPr>
            <w:tcW w:w="1118" w:type="dxa"/>
            <w:tcBorders>
              <w:tl2br w:val="nil"/>
              <w:tr2bl w:val="nil"/>
            </w:tcBorders>
            <w:shd w:val="clear" w:color="auto" w:fill="auto"/>
            <w:vAlign w:val="center"/>
          </w:tcPr>
          <w:p w14:paraId="6E3469D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风险概况</w:t>
            </w:r>
          </w:p>
        </w:tc>
        <w:tc>
          <w:tcPr>
            <w:tcW w:w="6261" w:type="dxa"/>
            <w:tcBorders>
              <w:tl2br w:val="nil"/>
              <w:tr2bl w:val="nil"/>
            </w:tcBorders>
            <w:shd w:val="clear" w:color="auto" w:fill="auto"/>
            <w:vAlign w:val="center"/>
          </w:tcPr>
          <w:p w14:paraId="4551574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汇聚各行业（供水、排水、燃气、桥梁、热力）的风险点信息，全面展示城市生命线各风险单元、风险等级情况，使生命线安全工程管理人员能够及时掌握全市的总体风险情况。</w:t>
            </w:r>
          </w:p>
        </w:tc>
        <w:tc>
          <w:tcPr>
            <w:tcW w:w="722" w:type="dxa"/>
            <w:vMerge w:val="restart"/>
            <w:tcBorders>
              <w:tl2br w:val="nil"/>
              <w:tr2bl w:val="nil"/>
            </w:tcBorders>
            <w:shd w:val="clear" w:color="auto" w:fill="auto"/>
            <w:vAlign w:val="center"/>
          </w:tcPr>
          <w:p w14:paraId="32C104D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2A3709D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2D271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81647E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w:t>
            </w:r>
          </w:p>
        </w:tc>
        <w:tc>
          <w:tcPr>
            <w:tcW w:w="980" w:type="dxa"/>
            <w:vMerge w:val="continue"/>
            <w:tcBorders>
              <w:tl2br w:val="nil"/>
              <w:tr2bl w:val="nil"/>
            </w:tcBorders>
            <w:shd w:val="clear" w:color="auto" w:fill="auto"/>
            <w:vAlign w:val="center"/>
          </w:tcPr>
          <w:p w14:paraId="57ED82E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54EA53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风险构成</w:t>
            </w:r>
          </w:p>
        </w:tc>
        <w:tc>
          <w:tcPr>
            <w:tcW w:w="6261" w:type="dxa"/>
            <w:tcBorders>
              <w:tl2br w:val="nil"/>
              <w:tr2bl w:val="nil"/>
            </w:tcBorders>
            <w:shd w:val="clear" w:color="auto" w:fill="auto"/>
            <w:vAlign w:val="center"/>
          </w:tcPr>
          <w:p w14:paraId="4A0DC53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基于各行业领域（供水、排水、燃气、桥梁、热力）风险的属性、特点、指数以及风险的构成原因，全面展示各专项风险构成。</w:t>
            </w:r>
          </w:p>
        </w:tc>
        <w:tc>
          <w:tcPr>
            <w:tcW w:w="722" w:type="dxa"/>
            <w:vMerge w:val="continue"/>
            <w:tcBorders>
              <w:tl2br w:val="nil"/>
              <w:tr2bl w:val="nil"/>
            </w:tcBorders>
            <w:shd w:val="clear" w:color="auto" w:fill="auto"/>
            <w:vAlign w:val="center"/>
          </w:tcPr>
          <w:p w14:paraId="5824397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119A6B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93A9B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433E85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w:t>
            </w:r>
          </w:p>
        </w:tc>
        <w:tc>
          <w:tcPr>
            <w:tcW w:w="980" w:type="dxa"/>
            <w:vMerge w:val="continue"/>
            <w:tcBorders>
              <w:tl2br w:val="nil"/>
              <w:tr2bl w:val="nil"/>
            </w:tcBorders>
            <w:shd w:val="clear" w:color="auto" w:fill="auto"/>
            <w:vAlign w:val="center"/>
          </w:tcPr>
          <w:p w14:paraId="5E37A9D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4DFCF2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风险分布一张图</w:t>
            </w:r>
          </w:p>
        </w:tc>
        <w:tc>
          <w:tcPr>
            <w:tcW w:w="6261" w:type="dxa"/>
            <w:tcBorders>
              <w:tl2br w:val="nil"/>
              <w:tr2bl w:val="nil"/>
            </w:tcBorders>
            <w:shd w:val="clear" w:color="auto" w:fill="auto"/>
            <w:vAlign w:val="center"/>
          </w:tcPr>
          <w:p w14:paraId="00EF224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7"/>
                <w:rFonts w:hint="eastAsia" w:ascii="宋体" w:hAnsi="宋体" w:eastAsia="宋体" w:cs="宋体"/>
                <w:snapToGrid w:val="0"/>
                <w:color w:val="auto"/>
                <w:sz w:val="21"/>
                <w:szCs w:val="21"/>
                <w:highlight w:val="none"/>
                <w:lang w:val="en-US" w:eastAsia="zh-CN" w:bidi="ar"/>
              </w:rPr>
              <w:t>以区域为单元，评估该区域的风险值大小，按照城市风险定量值大小，把从最低值到最高值的区间分为</w:t>
            </w:r>
            <w:r>
              <w:rPr>
                <w:rStyle w:val="78"/>
                <w:rFonts w:hint="eastAsia" w:ascii="宋体" w:hAnsi="宋体" w:eastAsia="宋体" w:cs="宋体"/>
                <w:snapToGrid w:val="0"/>
                <w:color w:val="auto"/>
                <w:sz w:val="21"/>
                <w:szCs w:val="21"/>
                <w:highlight w:val="none"/>
                <w:lang w:val="en-US" w:eastAsia="zh-CN" w:bidi="ar"/>
              </w:rPr>
              <w:t>4</w:t>
            </w:r>
            <w:r>
              <w:rPr>
                <w:rStyle w:val="77"/>
                <w:rFonts w:hint="eastAsia" w:ascii="宋体" w:hAnsi="宋体" w:eastAsia="宋体" w:cs="宋体"/>
                <w:snapToGrid w:val="0"/>
                <w:color w:val="auto"/>
                <w:sz w:val="21"/>
                <w:szCs w:val="21"/>
                <w:highlight w:val="none"/>
                <w:lang w:val="en-US" w:eastAsia="zh-CN" w:bidi="ar"/>
              </w:rPr>
              <w:t>级，分别按照红、橙、蓝、绿四级进行渲染，结合地理信息系统，建立城市生命线综合风险四色分布图。</w:t>
            </w:r>
          </w:p>
        </w:tc>
        <w:tc>
          <w:tcPr>
            <w:tcW w:w="722" w:type="dxa"/>
            <w:vMerge w:val="continue"/>
            <w:tcBorders>
              <w:tl2br w:val="nil"/>
              <w:tr2bl w:val="nil"/>
            </w:tcBorders>
            <w:shd w:val="clear" w:color="auto" w:fill="auto"/>
            <w:vAlign w:val="center"/>
          </w:tcPr>
          <w:p w14:paraId="2533A50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B193A8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B387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D16C3F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w:t>
            </w:r>
          </w:p>
        </w:tc>
        <w:tc>
          <w:tcPr>
            <w:tcW w:w="980" w:type="dxa"/>
            <w:vMerge w:val="restart"/>
            <w:tcBorders>
              <w:tl2br w:val="nil"/>
              <w:tr2bl w:val="nil"/>
            </w:tcBorders>
            <w:shd w:val="clear" w:color="auto" w:fill="auto"/>
            <w:vAlign w:val="center"/>
          </w:tcPr>
          <w:p w14:paraId="1317DCC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预警处置一张图</w:t>
            </w:r>
          </w:p>
        </w:tc>
        <w:tc>
          <w:tcPr>
            <w:tcW w:w="1118" w:type="dxa"/>
            <w:tcBorders>
              <w:tl2br w:val="nil"/>
              <w:tr2bl w:val="nil"/>
            </w:tcBorders>
            <w:shd w:val="clear" w:color="auto" w:fill="auto"/>
            <w:vAlign w:val="center"/>
          </w:tcPr>
          <w:p w14:paraId="3F36BA3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当前预警</w:t>
            </w:r>
          </w:p>
        </w:tc>
        <w:tc>
          <w:tcPr>
            <w:tcW w:w="6261" w:type="dxa"/>
            <w:tcBorders>
              <w:tl2br w:val="nil"/>
              <w:tr2bl w:val="nil"/>
            </w:tcBorders>
            <w:shd w:val="clear" w:color="auto" w:fill="auto"/>
            <w:vAlign w:val="center"/>
          </w:tcPr>
          <w:p w14:paraId="5580132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汇聚当前城市各行业（供水、排水、燃气、桥梁、热力）实时预警处置数据，综合展示总体预警的处置情况，支持与综合运行一张图进行联动展示某一具体预警事件详细信息及处置过程，实现对城市生命线预警事件的精细化管理及闭环处置监管。</w:t>
            </w:r>
          </w:p>
        </w:tc>
        <w:tc>
          <w:tcPr>
            <w:tcW w:w="722" w:type="dxa"/>
            <w:vMerge w:val="restart"/>
            <w:tcBorders>
              <w:tl2br w:val="nil"/>
              <w:tr2bl w:val="nil"/>
            </w:tcBorders>
            <w:shd w:val="clear" w:color="auto" w:fill="auto"/>
            <w:vAlign w:val="center"/>
          </w:tcPr>
          <w:p w14:paraId="6296B4B9">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p w14:paraId="1881AA6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restart"/>
            <w:tcBorders>
              <w:tl2br w:val="nil"/>
              <w:tr2bl w:val="nil"/>
            </w:tcBorders>
            <w:shd w:val="clear" w:color="auto" w:fill="auto"/>
            <w:vAlign w:val="center"/>
          </w:tcPr>
          <w:p w14:paraId="23CBE4BB">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p w14:paraId="4E7E4BF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F5FD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9E25EC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w:t>
            </w:r>
          </w:p>
        </w:tc>
        <w:tc>
          <w:tcPr>
            <w:tcW w:w="980" w:type="dxa"/>
            <w:vMerge w:val="continue"/>
            <w:tcBorders>
              <w:tl2br w:val="nil"/>
              <w:tr2bl w:val="nil"/>
            </w:tcBorders>
            <w:shd w:val="clear" w:color="auto" w:fill="auto"/>
            <w:vAlign w:val="center"/>
          </w:tcPr>
          <w:p w14:paraId="627BEF9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39288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预警推送</w:t>
            </w:r>
          </w:p>
        </w:tc>
        <w:tc>
          <w:tcPr>
            <w:tcW w:w="6261" w:type="dxa"/>
            <w:tcBorders>
              <w:tl2br w:val="nil"/>
              <w:tr2bl w:val="nil"/>
            </w:tcBorders>
            <w:shd w:val="clear" w:color="auto" w:fill="auto"/>
            <w:vAlign w:val="center"/>
          </w:tcPr>
          <w:p w14:paraId="5623DC6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根据城市安全监测预警运行管理制度，将城市安全风险预警信息在规定时间内向相关部门和人员推送、发布。</w:t>
            </w:r>
          </w:p>
        </w:tc>
        <w:tc>
          <w:tcPr>
            <w:tcW w:w="722" w:type="dxa"/>
            <w:vMerge w:val="continue"/>
            <w:tcBorders>
              <w:tl2br w:val="nil"/>
              <w:tr2bl w:val="nil"/>
            </w:tcBorders>
            <w:shd w:val="clear" w:color="auto" w:fill="auto"/>
            <w:vAlign w:val="center"/>
          </w:tcPr>
          <w:p w14:paraId="0003A54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5F48D5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B806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C00E38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w:t>
            </w:r>
          </w:p>
        </w:tc>
        <w:tc>
          <w:tcPr>
            <w:tcW w:w="980" w:type="dxa"/>
            <w:vMerge w:val="continue"/>
            <w:tcBorders>
              <w:tl2br w:val="nil"/>
              <w:tr2bl w:val="nil"/>
            </w:tcBorders>
            <w:shd w:val="clear" w:color="auto" w:fill="auto"/>
            <w:vAlign w:val="center"/>
          </w:tcPr>
          <w:p w14:paraId="14A34D3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4CBAFA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历史预警概况</w:t>
            </w:r>
          </w:p>
        </w:tc>
        <w:tc>
          <w:tcPr>
            <w:tcW w:w="6261" w:type="dxa"/>
            <w:tcBorders>
              <w:tl2br w:val="nil"/>
              <w:tr2bl w:val="nil"/>
            </w:tcBorders>
            <w:shd w:val="clear" w:color="auto" w:fill="auto"/>
            <w:vAlign w:val="center"/>
          </w:tcPr>
          <w:p w14:paraId="537D588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对城市各行业（供水、排水、燃气、桥梁、热力）历史已完成的预警处置数据进行汇聚，通过预警数量、平均处置时效等指标，分析城市生命线各行业预警数量和处置效率变化趋势。</w:t>
            </w:r>
          </w:p>
        </w:tc>
        <w:tc>
          <w:tcPr>
            <w:tcW w:w="722" w:type="dxa"/>
            <w:vMerge w:val="continue"/>
            <w:tcBorders>
              <w:tl2br w:val="nil"/>
              <w:tr2bl w:val="nil"/>
            </w:tcBorders>
            <w:shd w:val="clear" w:color="auto" w:fill="auto"/>
            <w:vAlign w:val="center"/>
          </w:tcPr>
          <w:p w14:paraId="2732301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F82AA9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565A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5D04B0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w:t>
            </w:r>
          </w:p>
        </w:tc>
        <w:tc>
          <w:tcPr>
            <w:tcW w:w="980" w:type="dxa"/>
            <w:vMerge w:val="continue"/>
            <w:tcBorders>
              <w:tl2br w:val="nil"/>
              <w:tr2bl w:val="nil"/>
            </w:tcBorders>
            <w:shd w:val="clear" w:color="auto" w:fill="auto"/>
            <w:vAlign w:val="center"/>
          </w:tcPr>
          <w:p w14:paraId="690A6D6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52E750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预警效率</w:t>
            </w:r>
          </w:p>
        </w:tc>
        <w:tc>
          <w:tcPr>
            <w:tcW w:w="6261" w:type="dxa"/>
            <w:tcBorders>
              <w:tl2br w:val="nil"/>
              <w:tr2bl w:val="nil"/>
            </w:tcBorders>
            <w:shd w:val="clear" w:color="auto" w:fill="auto"/>
            <w:vAlign w:val="center"/>
          </w:tcPr>
          <w:p w14:paraId="04EBEBC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汇集各行业（供水、排水、燃气、桥梁、热力）的预警总体数据，结合人工复核等实际预警处置数据，分析、统计其中正确预警的数量，展示出城市生命线安全运行监测系统的整体预警效率。</w:t>
            </w:r>
          </w:p>
        </w:tc>
        <w:tc>
          <w:tcPr>
            <w:tcW w:w="722" w:type="dxa"/>
            <w:vMerge w:val="continue"/>
            <w:tcBorders>
              <w:tl2br w:val="nil"/>
              <w:tr2bl w:val="nil"/>
            </w:tcBorders>
            <w:shd w:val="clear" w:color="auto" w:fill="auto"/>
            <w:vAlign w:val="center"/>
          </w:tcPr>
          <w:p w14:paraId="092D38D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D90389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34CB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0B2D05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w:t>
            </w:r>
          </w:p>
        </w:tc>
        <w:tc>
          <w:tcPr>
            <w:tcW w:w="980" w:type="dxa"/>
            <w:vMerge w:val="continue"/>
            <w:tcBorders>
              <w:tl2br w:val="nil"/>
              <w:tr2bl w:val="nil"/>
            </w:tcBorders>
            <w:shd w:val="clear" w:color="auto" w:fill="auto"/>
            <w:vAlign w:val="center"/>
          </w:tcPr>
          <w:p w14:paraId="28913B1E">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54D162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应急联动</w:t>
            </w:r>
          </w:p>
        </w:tc>
        <w:tc>
          <w:tcPr>
            <w:tcW w:w="6261" w:type="dxa"/>
            <w:tcBorders>
              <w:tl2br w:val="nil"/>
              <w:tr2bl w:val="nil"/>
            </w:tcBorders>
            <w:shd w:val="clear" w:color="auto" w:fill="auto"/>
            <w:vAlign w:val="center"/>
          </w:tcPr>
          <w:p w14:paraId="778E761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在灾害事故发生时，实现信息共享、任务下达、资源调度等功能，实现突发事件的快速、高效、科学、联动处置。</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（1）处置跟踪。及时跟踪处置过程和现场情况，汇总灾害信息，并通过跟踪表、地图等方式进行展现处置工作进展和工作序列，直至应急处置工作全部完成。</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（2）档案记录。实现从感知监测数据参数异常、报警类型和报警级别、警情推送、现场处置过程记录、现场处置反馈报告等全过程的内容，作为事件追溯分析和大数据统计分析的依据。</w:t>
            </w:r>
          </w:p>
        </w:tc>
        <w:tc>
          <w:tcPr>
            <w:tcW w:w="722" w:type="dxa"/>
            <w:vMerge w:val="continue"/>
            <w:tcBorders>
              <w:tl2br w:val="nil"/>
              <w:tr2bl w:val="nil"/>
            </w:tcBorders>
            <w:shd w:val="clear" w:color="auto" w:fill="auto"/>
            <w:vAlign w:val="center"/>
          </w:tcPr>
          <w:p w14:paraId="26806E7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9C8273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3D0E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20EDFC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18</w:t>
            </w:r>
          </w:p>
        </w:tc>
        <w:tc>
          <w:tcPr>
            <w:tcW w:w="980" w:type="dxa"/>
            <w:vMerge w:val="continue"/>
            <w:tcBorders>
              <w:tl2br w:val="nil"/>
              <w:tr2bl w:val="nil"/>
            </w:tcBorders>
            <w:shd w:val="clear" w:color="auto" w:fill="auto"/>
            <w:vAlign w:val="center"/>
          </w:tcPr>
          <w:p w14:paraId="7339E10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150F41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分级响应</w:t>
            </w:r>
          </w:p>
        </w:tc>
        <w:tc>
          <w:tcPr>
            <w:tcW w:w="6261" w:type="dxa"/>
            <w:tcBorders>
              <w:tl2br w:val="nil"/>
              <w:tr2bl w:val="nil"/>
            </w:tcBorders>
            <w:shd w:val="clear" w:color="auto" w:fill="auto"/>
            <w:vAlign w:val="center"/>
          </w:tcPr>
          <w:p w14:paraId="1750DB1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根据事件类型、预警级别等，自动关联相应预案，能够基于预案自动推送事件相关城市生命线安全风险权属管理、行业监管和安全主管应急等部门负责人，进行分级响应和处理。</w:t>
            </w:r>
          </w:p>
        </w:tc>
        <w:tc>
          <w:tcPr>
            <w:tcW w:w="722" w:type="dxa"/>
            <w:vMerge w:val="continue"/>
            <w:tcBorders>
              <w:tl2br w:val="nil"/>
              <w:tr2bl w:val="nil"/>
            </w:tcBorders>
            <w:shd w:val="clear" w:color="auto" w:fill="auto"/>
            <w:vAlign w:val="center"/>
          </w:tcPr>
          <w:p w14:paraId="50DF03F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B49303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4F239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1E7ADF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19</w:t>
            </w:r>
          </w:p>
        </w:tc>
        <w:tc>
          <w:tcPr>
            <w:tcW w:w="980" w:type="dxa"/>
            <w:vMerge w:val="continue"/>
            <w:tcBorders>
              <w:tl2br w:val="nil"/>
              <w:tr2bl w:val="nil"/>
            </w:tcBorders>
            <w:shd w:val="clear" w:color="auto" w:fill="auto"/>
            <w:vAlign w:val="center"/>
          </w:tcPr>
          <w:p w14:paraId="2C1BCEA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02AA5A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预警分析</w:t>
            </w:r>
          </w:p>
        </w:tc>
        <w:tc>
          <w:tcPr>
            <w:tcW w:w="6261" w:type="dxa"/>
            <w:tcBorders>
              <w:tl2br w:val="nil"/>
              <w:tr2bl w:val="nil"/>
            </w:tcBorders>
            <w:shd w:val="clear" w:color="auto" w:fill="auto"/>
            <w:vAlign w:val="center"/>
          </w:tcPr>
          <w:p w14:paraId="222CA3F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汇聚各行业（供水、排水、燃气、桥梁、热力）基础数据和预警数据，分析不同类型预警的分布情况、预警成因的分布情况，对预警频发的行业及薄弱环节加强安全管理和提高保障水平。</w:t>
            </w:r>
          </w:p>
        </w:tc>
        <w:tc>
          <w:tcPr>
            <w:tcW w:w="722" w:type="dxa"/>
            <w:vMerge w:val="continue"/>
            <w:tcBorders>
              <w:tl2br w:val="nil"/>
              <w:tr2bl w:val="nil"/>
            </w:tcBorders>
            <w:shd w:val="clear" w:color="auto" w:fill="auto"/>
            <w:vAlign w:val="center"/>
          </w:tcPr>
          <w:p w14:paraId="5DC3EC2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D7C5D1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6A09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68A69A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20</w:t>
            </w:r>
          </w:p>
        </w:tc>
        <w:tc>
          <w:tcPr>
            <w:tcW w:w="980" w:type="dxa"/>
            <w:vMerge w:val="restart"/>
            <w:tcBorders>
              <w:tl2br w:val="nil"/>
              <w:tr2bl w:val="nil"/>
            </w:tcBorders>
            <w:shd w:val="clear" w:color="auto" w:fill="auto"/>
            <w:vAlign w:val="center"/>
          </w:tcPr>
          <w:p w14:paraId="7F9F894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综合分析研判</w:t>
            </w:r>
          </w:p>
        </w:tc>
        <w:tc>
          <w:tcPr>
            <w:tcW w:w="1118" w:type="dxa"/>
            <w:tcBorders>
              <w:tl2br w:val="nil"/>
              <w:tr2bl w:val="nil"/>
            </w:tcBorders>
            <w:shd w:val="clear" w:color="auto" w:fill="auto"/>
            <w:vAlign w:val="center"/>
          </w:tcPr>
          <w:p w14:paraId="75F5EF3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风险指标动态管理</w:t>
            </w:r>
          </w:p>
        </w:tc>
        <w:tc>
          <w:tcPr>
            <w:tcW w:w="6261" w:type="dxa"/>
            <w:tcBorders>
              <w:tl2br w:val="nil"/>
              <w:tr2bl w:val="nil"/>
            </w:tcBorders>
            <w:shd w:val="clear" w:color="auto" w:fill="auto"/>
            <w:vAlign w:val="center"/>
          </w:tcPr>
          <w:p w14:paraId="5392638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根据不同季节的特征，城市生命线安全各专项在综合风险中的系统不同。系统将采用专家打分法、层次分析法等手段，对各专项在综合风险中不同月份的系统进行动态管理，定期进行更新。</w:t>
            </w:r>
          </w:p>
        </w:tc>
        <w:tc>
          <w:tcPr>
            <w:tcW w:w="722" w:type="dxa"/>
            <w:vMerge w:val="restart"/>
            <w:tcBorders>
              <w:tl2br w:val="nil"/>
              <w:tr2bl w:val="nil"/>
            </w:tcBorders>
            <w:shd w:val="clear" w:color="auto" w:fill="auto"/>
            <w:vAlign w:val="center"/>
          </w:tcPr>
          <w:p w14:paraId="2054694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446D62A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525AE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444C90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21</w:t>
            </w:r>
          </w:p>
        </w:tc>
        <w:tc>
          <w:tcPr>
            <w:tcW w:w="980" w:type="dxa"/>
            <w:vMerge w:val="continue"/>
            <w:tcBorders>
              <w:tl2br w:val="nil"/>
              <w:tr2bl w:val="nil"/>
            </w:tcBorders>
            <w:shd w:val="clear" w:color="auto" w:fill="auto"/>
            <w:vAlign w:val="center"/>
          </w:tcPr>
          <w:p w14:paraId="3A738A0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B17CBB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风险网格划分</w:t>
            </w:r>
          </w:p>
        </w:tc>
        <w:tc>
          <w:tcPr>
            <w:tcW w:w="6261" w:type="dxa"/>
            <w:tcBorders>
              <w:tl2br w:val="nil"/>
              <w:tr2bl w:val="nil"/>
            </w:tcBorders>
            <w:shd w:val="clear" w:color="auto" w:fill="auto"/>
            <w:vAlign w:val="center"/>
          </w:tcPr>
          <w:p w14:paraId="0F96C9A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以行政管理为依据，按照街道、社区、区县为单位进行网格划分，对网格同的风险点，按照数量、等级并结合评估模型进行风险等级评估。</w:t>
            </w:r>
          </w:p>
        </w:tc>
        <w:tc>
          <w:tcPr>
            <w:tcW w:w="722" w:type="dxa"/>
            <w:vMerge w:val="continue"/>
            <w:tcBorders>
              <w:tl2br w:val="nil"/>
              <w:tr2bl w:val="nil"/>
            </w:tcBorders>
            <w:shd w:val="clear" w:color="auto" w:fill="auto"/>
            <w:vAlign w:val="center"/>
          </w:tcPr>
          <w:p w14:paraId="49F5E22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2256C5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ADA02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5A36A5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22</w:t>
            </w:r>
          </w:p>
        </w:tc>
        <w:tc>
          <w:tcPr>
            <w:tcW w:w="980" w:type="dxa"/>
            <w:vMerge w:val="continue"/>
            <w:tcBorders>
              <w:tl2br w:val="nil"/>
              <w:tr2bl w:val="nil"/>
            </w:tcBorders>
            <w:shd w:val="clear" w:color="auto" w:fill="auto"/>
            <w:vAlign w:val="center"/>
          </w:tcPr>
          <w:p w14:paraId="3052446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F361C3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综合风险展示</w:t>
            </w:r>
          </w:p>
        </w:tc>
        <w:tc>
          <w:tcPr>
            <w:tcW w:w="6261" w:type="dxa"/>
            <w:tcBorders>
              <w:tl2br w:val="nil"/>
              <w:tr2bl w:val="nil"/>
            </w:tcBorders>
            <w:shd w:val="clear" w:color="auto" w:fill="auto"/>
            <w:vAlign w:val="center"/>
          </w:tcPr>
          <w:p w14:paraId="71140EC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以区域为单元，评估该区域的风险值大小，按照城市风险定量值大小，把从最低值到最高值的区间分为4级，分别按照红、橙、蓝、绿四级进行渲染，结合城市三维地理信息系统，建立城市综合风险四色图。</w:t>
            </w:r>
          </w:p>
        </w:tc>
        <w:tc>
          <w:tcPr>
            <w:tcW w:w="722" w:type="dxa"/>
            <w:vMerge w:val="continue"/>
            <w:tcBorders>
              <w:tl2br w:val="nil"/>
              <w:tr2bl w:val="nil"/>
            </w:tcBorders>
            <w:shd w:val="clear" w:color="auto" w:fill="auto"/>
            <w:vAlign w:val="center"/>
          </w:tcPr>
          <w:p w14:paraId="1C15B50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D697D4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0141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825619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23</w:t>
            </w:r>
          </w:p>
        </w:tc>
        <w:tc>
          <w:tcPr>
            <w:tcW w:w="980" w:type="dxa"/>
            <w:vMerge w:val="continue"/>
            <w:tcBorders>
              <w:tl2br w:val="nil"/>
              <w:tr2bl w:val="nil"/>
            </w:tcBorders>
            <w:shd w:val="clear" w:color="auto" w:fill="auto"/>
            <w:vAlign w:val="center"/>
          </w:tcPr>
          <w:p w14:paraId="3E61B17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9FC43D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风险信息查看与管控</w:t>
            </w:r>
          </w:p>
        </w:tc>
        <w:tc>
          <w:tcPr>
            <w:tcW w:w="6261" w:type="dxa"/>
            <w:tcBorders>
              <w:tl2br w:val="nil"/>
              <w:tr2bl w:val="nil"/>
            </w:tcBorders>
            <w:shd w:val="clear" w:color="auto" w:fill="auto"/>
            <w:vAlign w:val="center"/>
          </w:tcPr>
          <w:p w14:paraId="72D67D2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点击每个区域内红险颜色的图，能够查看到该图的具体风险值，风险主要因素构成，风险管控责任人以及具体的管控措施规划。</w:t>
            </w:r>
          </w:p>
        </w:tc>
        <w:tc>
          <w:tcPr>
            <w:tcW w:w="722" w:type="dxa"/>
            <w:vMerge w:val="continue"/>
            <w:tcBorders>
              <w:tl2br w:val="nil"/>
              <w:tr2bl w:val="nil"/>
            </w:tcBorders>
            <w:shd w:val="clear" w:color="auto" w:fill="auto"/>
            <w:vAlign w:val="center"/>
          </w:tcPr>
          <w:p w14:paraId="677827B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CFDF65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DB7C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126474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24</w:t>
            </w:r>
          </w:p>
        </w:tc>
        <w:tc>
          <w:tcPr>
            <w:tcW w:w="980" w:type="dxa"/>
            <w:vMerge w:val="continue"/>
            <w:tcBorders>
              <w:tl2br w:val="nil"/>
              <w:tr2bl w:val="nil"/>
            </w:tcBorders>
            <w:shd w:val="clear" w:color="auto" w:fill="auto"/>
            <w:vAlign w:val="center"/>
          </w:tcPr>
          <w:p w14:paraId="33BC40F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EDFA8D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分析研判</w:t>
            </w:r>
          </w:p>
        </w:tc>
        <w:tc>
          <w:tcPr>
            <w:tcW w:w="6261" w:type="dxa"/>
            <w:tcBorders>
              <w:tl2br w:val="nil"/>
              <w:tr2bl w:val="nil"/>
            </w:tcBorders>
            <w:shd w:val="clear" w:color="auto" w:fill="auto"/>
            <w:vAlign w:val="center"/>
          </w:tcPr>
          <w:p w14:paraId="1FE3606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根据报警位置、类型及周边危险源、防护目标，数量，分析该处报警如果发生最大后果以后，会对周边产生的影响，包括直接灾害带来的后果研判以及进一步对其他危险源破坏而带来的次生衍生灾害的后果。包括城市燃气爆炸影响仿真、城市内涝影响仿真等应用场景。</w:t>
            </w:r>
          </w:p>
        </w:tc>
        <w:tc>
          <w:tcPr>
            <w:tcW w:w="722" w:type="dxa"/>
            <w:vMerge w:val="continue"/>
            <w:tcBorders>
              <w:tl2br w:val="nil"/>
              <w:tr2bl w:val="nil"/>
            </w:tcBorders>
            <w:shd w:val="clear" w:color="auto" w:fill="auto"/>
            <w:vAlign w:val="center"/>
          </w:tcPr>
          <w:p w14:paraId="1F10BD4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6648C2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43AB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7F0BF41F">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（二）燃气安全专项应用</w:t>
            </w:r>
          </w:p>
        </w:tc>
      </w:tr>
      <w:tr w14:paraId="650C6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AADE84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25</w:t>
            </w:r>
          </w:p>
        </w:tc>
        <w:tc>
          <w:tcPr>
            <w:tcW w:w="980" w:type="dxa"/>
            <w:vMerge w:val="restart"/>
            <w:tcBorders>
              <w:tl2br w:val="nil"/>
              <w:tr2bl w:val="nil"/>
            </w:tcBorders>
            <w:shd w:val="clear" w:color="auto" w:fill="auto"/>
            <w:vAlign w:val="center"/>
          </w:tcPr>
          <w:p w14:paraId="7DF7DFF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燃气运行一张图</w:t>
            </w:r>
          </w:p>
        </w:tc>
        <w:tc>
          <w:tcPr>
            <w:tcW w:w="1118" w:type="dxa"/>
            <w:tcBorders>
              <w:tl2br w:val="nil"/>
              <w:tr2bl w:val="nil"/>
            </w:tcBorders>
            <w:shd w:val="clear" w:color="auto" w:fill="auto"/>
            <w:vAlign w:val="center"/>
          </w:tcPr>
          <w:p w14:paraId="5741F1E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基础设施</w:t>
            </w:r>
          </w:p>
        </w:tc>
        <w:tc>
          <w:tcPr>
            <w:tcW w:w="6261" w:type="dxa"/>
            <w:tcBorders>
              <w:tl2br w:val="nil"/>
              <w:tr2bl w:val="nil"/>
            </w:tcBorders>
            <w:shd w:val="clear" w:color="auto" w:fill="auto"/>
            <w:vAlign w:val="center"/>
          </w:tcPr>
          <w:p w14:paraId="3F49C75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基础设施展示燃气企业、燃气场站、燃气管道（总长度，高压、次高压、中压、低压管道长度）、燃气用户（总数，管道气居民用户、管道气非居民用户、瓶装气居民用户、瓶装气非居民用户数量）等信息。</w:t>
            </w:r>
          </w:p>
        </w:tc>
        <w:tc>
          <w:tcPr>
            <w:tcW w:w="722" w:type="dxa"/>
            <w:vMerge w:val="restart"/>
            <w:tcBorders>
              <w:tl2br w:val="nil"/>
              <w:tr2bl w:val="nil"/>
            </w:tcBorders>
            <w:shd w:val="clear" w:color="auto" w:fill="auto"/>
            <w:vAlign w:val="center"/>
          </w:tcPr>
          <w:p w14:paraId="1B9EB0D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2AA9684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5FDFA3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D6C5C4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26</w:t>
            </w:r>
          </w:p>
        </w:tc>
        <w:tc>
          <w:tcPr>
            <w:tcW w:w="980" w:type="dxa"/>
            <w:vMerge w:val="continue"/>
            <w:tcBorders>
              <w:tl2br w:val="nil"/>
              <w:tr2bl w:val="nil"/>
            </w:tcBorders>
            <w:shd w:val="clear" w:color="auto" w:fill="auto"/>
            <w:vAlign w:val="center"/>
          </w:tcPr>
          <w:p w14:paraId="2E552A1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61AFA2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风险评估</w:t>
            </w:r>
          </w:p>
        </w:tc>
        <w:tc>
          <w:tcPr>
            <w:tcW w:w="6261" w:type="dxa"/>
            <w:tcBorders>
              <w:tl2br w:val="nil"/>
              <w:tr2bl w:val="nil"/>
            </w:tcBorders>
            <w:shd w:val="clear" w:color="auto" w:fill="auto"/>
            <w:vAlign w:val="center"/>
          </w:tcPr>
          <w:p w14:paraId="44AF653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风险评估呈现总风险数，重大、较大、一般、低风险数量，企业风险占比饼图，区域分布列表。基于地理信息系统，在一张图上展示燃气管网、燃气场站的风险等级分布状况。</w:t>
            </w:r>
          </w:p>
        </w:tc>
        <w:tc>
          <w:tcPr>
            <w:tcW w:w="722" w:type="dxa"/>
            <w:vMerge w:val="continue"/>
            <w:tcBorders>
              <w:tl2br w:val="nil"/>
              <w:tr2bl w:val="nil"/>
            </w:tcBorders>
            <w:shd w:val="clear" w:color="auto" w:fill="auto"/>
            <w:vAlign w:val="center"/>
          </w:tcPr>
          <w:p w14:paraId="4F3A757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67AB6C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F9D8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D2D1D9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27</w:t>
            </w:r>
          </w:p>
        </w:tc>
        <w:tc>
          <w:tcPr>
            <w:tcW w:w="980" w:type="dxa"/>
            <w:vMerge w:val="continue"/>
            <w:tcBorders>
              <w:tl2br w:val="nil"/>
              <w:tr2bl w:val="nil"/>
            </w:tcBorders>
            <w:shd w:val="clear" w:color="auto" w:fill="auto"/>
            <w:vAlign w:val="center"/>
          </w:tcPr>
          <w:p w14:paraId="03B7025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2B9F29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运行监测</w:t>
            </w:r>
          </w:p>
        </w:tc>
        <w:tc>
          <w:tcPr>
            <w:tcW w:w="6261" w:type="dxa"/>
            <w:tcBorders>
              <w:tl2br w:val="nil"/>
              <w:tr2bl w:val="nil"/>
            </w:tcBorders>
            <w:shd w:val="clear" w:color="auto" w:fill="auto"/>
            <w:vAlign w:val="center"/>
          </w:tcPr>
          <w:p w14:paraId="1D12CFA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运行监测显示布设及接入的监测设备总数（压力、流量、可燃气体浓度监测设备数量）、离线/在线状态统计、报警时间等信息，支持定位与详情操作，支持点击设备展示数据变化曲线，报警设备高亮展示等。</w:t>
            </w:r>
          </w:p>
        </w:tc>
        <w:tc>
          <w:tcPr>
            <w:tcW w:w="722" w:type="dxa"/>
            <w:vMerge w:val="continue"/>
            <w:tcBorders>
              <w:tl2br w:val="nil"/>
              <w:tr2bl w:val="nil"/>
            </w:tcBorders>
            <w:shd w:val="clear" w:color="auto" w:fill="auto"/>
            <w:vAlign w:val="center"/>
          </w:tcPr>
          <w:p w14:paraId="6CF41E1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36CC6C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A386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2F6FF2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28</w:t>
            </w:r>
          </w:p>
        </w:tc>
        <w:tc>
          <w:tcPr>
            <w:tcW w:w="980" w:type="dxa"/>
            <w:vMerge w:val="continue"/>
            <w:tcBorders>
              <w:tl2br w:val="nil"/>
              <w:tr2bl w:val="nil"/>
            </w:tcBorders>
            <w:shd w:val="clear" w:color="auto" w:fill="auto"/>
            <w:vAlign w:val="center"/>
          </w:tcPr>
          <w:p w14:paraId="650934D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DEBE6A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隐患管理</w:t>
            </w:r>
          </w:p>
        </w:tc>
        <w:tc>
          <w:tcPr>
            <w:tcW w:w="6261" w:type="dxa"/>
            <w:tcBorders>
              <w:tl2br w:val="nil"/>
              <w:tr2bl w:val="nil"/>
            </w:tcBorders>
            <w:shd w:val="clear" w:color="auto" w:fill="auto"/>
            <w:vAlign w:val="center"/>
          </w:tcPr>
          <w:p w14:paraId="40769FB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隐患排查展示综合检查次数、隐患点位数量、发现隐患数量，整改中、整改完成、检查销号数量，企业隐患占比饼图，隐患区域分布列表。支持图层管理，在一张图上对燃气设施隐患情况进行展示。</w:t>
            </w:r>
          </w:p>
        </w:tc>
        <w:tc>
          <w:tcPr>
            <w:tcW w:w="722" w:type="dxa"/>
            <w:vMerge w:val="continue"/>
            <w:tcBorders>
              <w:tl2br w:val="nil"/>
              <w:tr2bl w:val="nil"/>
            </w:tcBorders>
            <w:shd w:val="clear" w:color="auto" w:fill="auto"/>
            <w:vAlign w:val="center"/>
          </w:tcPr>
          <w:p w14:paraId="5D90B93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393E77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9592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5B9BC8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29</w:t>
            </w:r>
          </w:p>
        </w:tc>
        <w:tc>
          <w:tcPr>
            <w:tcW w:w="980" w:type="dxa"/>
            <w:vMerge w:val="continue"/>
            <w:tcBorders>
              <w:tl2br w:val="nil"/>
              <w:tr2bl w:val="nil"/>
            </w:tcBorders>
            <w:shd w:val="clear" w:color="auto" w:fill="auto"/>
            <w:vAlign w:val="center"/>
          </w:tcPr>
          <w:p w14:paraId="31A59AE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66F29D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运行维护</w:t>
            </w:r>
          </w:p>
        </w:tc>
        <w:tc>
          <w:tcPr>
            <w:tcW w:w="6261" w:type="dxa"/>
            <w:tcBorders>
              <w:tl2br w:val="nil"/>
              <w:tr2bl w:val="nil"/>
            </w:tcBorders>
            <w:shd w:val="clear" w:color="auto" w:fill="auto"/>
            <w:vAlign w:val="center"/>
          </w:tcPr>
          <w:p w14:paraId="4B6AC8F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对燃气管网及附属设施的巡检、安检、安全专项检查等数据进行汇总统计，以呈现燃气设施维护维修整体情况，可查看日常巡检记录、安全专项检查记录等信息。</w:t>
            </w:r>
          </w:p>
        </w:tc>
        <w:tc>
          <w:tcPr>
            <w:tcW w:w="722" w:type="dxa"/>
            <w:vMerge w:val="continue"/>
            <w:tcBorders>
              <w:tl2br w:val="nil"/>
              <w:tr2bl w:val="nil"/>
            </w:tcBorders>
            <w:shd w:val="clear" w:color="auto" w:fill="auto"/>
            <w:vAlign w:val="center"/>
          </w:tcPr>
          <w:p w14:paraId="4236D5D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31743E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97D0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64E40F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30</w:t>
            </w:r>
          </w:p>
        </w:tc>
        <w:tc>
          <w:tcPr>
            <w:tcW w:w="980" w:type="dxa"/>
            <w:vMerge w:val="restart"/>
            <w:tcBorders>
              <w:tl2br w:val="nil"/>
              <w:tr2bl w:val="nil"/>
            </w:tcBorders>
            <w:shd w:val="clear" w:color="auto" w:fill="auto"/>
            <w:vAlign w:val="center"/>
          </w:tcPr>
          <w:p w14:paraId="79F6901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基础信息管理</w:t>
            </w:r>
          </w:p>
        </w:tc>
        <w:tc>
          <w:tcPr>
            <w:tcW w:w="1118" w:type="dxa"/>
            <w:tcBorders>
              <w:tl2br w:val="nil"/>
              <w:tr2bl w:val="nil"/>
            </w:tcBorders>
            <w:shd w:val="clear" w:color="auto" w:fill="auto"/>
            <w:vAlign w:val="center"/>
          </w:tcPr>
          <w:p w14:paraId="5D22651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燃气企业</w:t>
            </w:r>
          </w:p>
        </w:tc>
        <w:tc>
          <w:tcPr>
            <w:tcW w:w="6261" w:type="dxa"/>
            <w:tcBorders>
              <w:tl2br w:val="nil"/>
              <w:tr2bl w:val="nil"/>
            </w:tcBorders>
            <w:shd w:val="clear" w:color="auto" w:fill="auto"/>
            <w:vAlign w:val="center"/>
          </w:tcPr>
          <w:p w14:paraId="3B07CA7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包括企业的基本信息，包括名称、企业地址、联系方式等，企业资质信息，包括资质证书、证书编号等，企业天然气管线经营情况，包括经营区域批准文件及文号、高/次压管道长度、中压管道长度、调压/储配站数量等。</w:t>
            </w:r>
          </w:p>
        </w:tc>
        <w:tc>
          <w:tcPr>
            <w:tcW w:w="722" w:type="dxa"/>
            <w:vMerge w:val="restart"/>
            <w:tcBorders>
              <w:tl2br w:val="nil"/>
              <w:tr2bl w:val="nil"/>
            </w:tcBorders>
            <w:shd w:val="clear" w:color="auto" w:fill="auto"/>
            <w:vAlign w:val="center"/>
          </w:tcPr>
          <w:p w14:paraId="719F456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6D4490B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1C52D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EAB687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31</w:t>
            </w:r>
          </w:p>
        </w:tc>
        <w:tc>
          <w:tcPr>
            <w:tcW w:w="980" w:type="dxa"/>
            <w:vMerge w:val="continue"/>
            <w:tcBorders>
              <w:tl2br w:val="nil"/>
              <w:tr2bl w:val="nil"/>
            </w:tcBorders>
            <w:shd w:val="clear" w:color="auto" w:fill="auto"/>
            <w:vAlign w:val="center"/>
          </w:tcPr>
          <w:p w14:paraId="3BD9591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14F5FF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企业证书</w:t>
            </w:r>
          </w:p>
        </w:tc>
        <w:tc>
          <w:tcPr>
            <w:tcW w:w="6261" w:type="dxa"/>
            <w:tcBorders>
              <w:tl2br w:val="nil"/>
              <w:tr2bl w:val="nil"/>
            </w:tcBorders>
            <w:shd w:val="clear" w:color="auto" w:fill="auto"/>
            <w:vAlign w:val="center"/>
          </w:tcPr>
          <w:p w14:paraId="179247A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企业证书基础信息管理功能支持对燃气企业证书信息进行集中管理。用户可通过“企业名称”“证书类型”“证书状态”查询条件进行精准检索。</w:t>
            </w:r>
          </w:p>
        </w:tc>
        <w:tc>
          <w:tcPr>
            <w:tcW w:w="722" w:type="dxa"/>
            <w:vMerge w:val="continue"/>
            <w:tcBorders>
              <w:tl2br w:val="nil"/>
              <w:tr2bl w:val="nil"/>
            </w:tcBorders>
            <w:shd w:val="clear" w:color="auto" w:fill="auto"/>
            <w:vAlign w:val="center"/>
          </w:tcPr>
          <w:p w14:paraId="629E31F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669649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BF54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C13703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32</w:t>
            </w:r>
          </w:p>
        </w:tc>
        <w:tc>
          <w:tcPr>
            <w:tcW w:w="980" w:type="dxa"/>
            <w:vMerge w:val="continue"/>
            <w:tcBorders>
              <w:tl2br w:val="nil"/>
              <w:tr2bl w:val="nil"/>
            </w:tcBorders>
            <w:shd w:val="clear" w:color="auto" w:fill="auto"/>
            <w:vAlign w:val="center"/>
          </w:tcPr>
          <w:p w14:paraId="7EAB5EC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85A889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从业人员</w:t>
            </w:r>
          </w:p>
        </w:tc>
        <w:tc>
          <w:tcPr>
            <w:tcW w:w="6261" w:type="dxa"/>
            <w:tcBorders>
              <w:tl2br w:val="nil"/>
              <w:tr2bl w:val="nil"/>
            </w:tcBorders>
            <w:shd w:val="clear" w:color="auto" w:fill="auto"/>
            <w:vAlign w:val="center"/>
          </w:tcPr>
          <w:p w14:paraId="493DF05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从业人员基础信息管理功能用于集中管理燃气行业从业人员信息。用户可通过“员工姓名”“所属企业”“员工类型”查询条件检索。</w:t>
            </w:r>
          </w:p>
        </w:tc>
        <w:tc>
          <w:tcPr>
            <w:tcW w:w="722" w:type="dxa"/>
            <w:vMerge w:val="continue"/>
            <w:tcBorders>
              <w:tl2br w:val="nil"/>
              <w:tr2bl w:val="nil"/>
            </w:tcBorders>
            <w:shd w:val="clear" w:color="auto" w:fill="auto"/>
            <w:vAlign w:val="center"/>
          </w:tcPr>
          <w:p w14:paraId="1693625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4C7A0B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9BD25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B233F7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33</w:t>
            </w:r>
          </w:p>
        </w:tc>
        <w:tc>
          <w:tcPr>
            <w:tcW w:w="980" w:type="dxa"/>
            <w:vMerge w:val="continue"/>
            <w:tcBorders>
              <w:tl2br w:val="nil"/>
              <w:tr2bl w:val="nil"/>
            </w:tcBorders>
            <w:shd w:val="clear" w:color="auto" w:fill="auto"/>
            <w:vAlign w:val="center"/>
          </w:tcPr>
          <w:p w14:paraId="0937FC5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B9E733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燃气场站</w:t>
            </w:r>
          </w:p>
        </w:tc>
        <w:tc>
          <w:tcPr>
            <w:tcW w:w="6261" w:type="dxa"/>
            <w:tcBorders>
              <w:tl2br w:val="nil"/>
              <w:tr2bl w:val="nil"/>
            </w:tcBorders>
            <w:shd w:val="clear" w:color="auto" w:fill="auto"/>
            <w:vAlign w:val="center"/>
          </w:tcPr>
          <w:p w14:paraId="3122466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燃气场站基础信息管理功能主要包括对燃气场站的基本信息，包括场站名称、场站地址、设计供气能力、实际供气能力等信息进行管理维护。</w:t>
            </w:r>
          </w:p>
        </w:tc>
        <w:tc>
          <w:tcPr>
            <w:tcW w:w="722" w:type="dxa"/>
            <w:vMerge w:val="continue"/>
            <w:tcBorders>
              <w:tl2br w:val="nil"/>
              <w:tr2bl w:val="nil"/>
            </w:tcBorders>
            <w:shd w:val="clear" w:color="auto" w:fill="auto"/>
            <w:vAlign w:val="center"/>
          </w:tcPr>
          <w:p w14:paraId="5973CEC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11BEE3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F432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F6C5C5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34</w:t>
            </w:r>
          </w:p>
        </w:tc>
        <w:tc>
          <w:tcPr>
            <w:tcW w:w="980" w:type="dxa"/>
            <w:vMerge w:val="continue"/>
            <w:tcBorders>
              <w:tl2br w:val="nil"/>
              <w:tr2bl w:val="nil"/>
            </w:tcBorders>
            <w:shd w:val="clear" w:color="auto" w:fill="auto"/>
            <w:vAlign w:val="center"/>
          </w:tcPr>
          <w:p w14:paraId="13E4BD5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8CC7FB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加气站</w:t>
            </w:r>
          </w:p>
        </w:tc>
        <w:tc>
          <w:tcPr>
            <w:tcW w:w="6261" w:type="dxa"/>
            <w:tcBorders>
              <w:tl2br w:val="nil"/>
              <w:tr2bl w:val="nil"/>
            </w:tcBorders>
            <w:shd w:val="clear" w:color="auto" w:fill="auto"/>
            <w:vAlign w:val="center"/>
          </w:tcPr>
          <w:p w14:paraId="0BE760C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加气站基础信息管理功能主要包括对汽车加气站的基本信息，包括场站名称、场站地址、设计供气能力、实际供气能力等信息进行管理维护。</w:t>
            </w:r>
          </w:p>
        </w:tc>
        <w:tc>
          <w:tcPr>
            <w:tcW w:w="722" w:type="dxa"/>
            <w:vMerge w:val="continue"/>
            <w:tcBorders>
              <w:tl2br w:val="nil"/>
              <w:tr2bl w:val="nil"/>
            </w:tcBorders>
            <w:shd w:val="clear" w:color="auto" w:fill="auto"/>
            <w:vAlign w:val="center"/>
          </w:tcPr>
          <w:p w14:paraId="54F5FA4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594D26A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6FAB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284A37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35</w:t>
            </w:r>
          </w:p>
        </w:tc>
        <w:tc>
          <w:tcPr>
            <w:tcW w:w="980" w:type="dxa"/>
            <w:vMerge w:val="continue"/>
            <w:tcBorders>
              <w:tl2br w:val="nil"/>
              <w:tr2bl w:val="nil"/>
            </w:tcBorders>
            <w:shd w:val="clear" w:color="auto" w:fill="auto"/>
            <w:vAlign w:val="center"/>
          </w:tcPr>
          <w:p w14:paraId="11F6009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8958FE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燃气管网</w:t>
            </w:r>
          </w:p>
        </w:tc>
        <w:tc>
          <w:tcPr>
            <w:tcW w:w="6261" w:type="dxa"/>
            <w:tcBorders>
              <w:tl2br w:val="nil"/>
              <w:tr2bl w:val="nil"/>
            </w:tcBorders>
            <w:shd w:val="clear" w:color="auto" w:fill="auto"/>
            <w:vAlign w:val="center"/>
          </w:tcPr>
          <w:p w14:paraId="4CFE10B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燃气管道基础信息管理功能主要包括对燃气管线的基本信息，包括管道编码、压力等级、权属单位、设计压力、材质、长度等信息进行管理维护。</w:t>
            </w:r>
          </w:p>
        </w:tc>
        <w:tc>
          <w:tcPr>
            <w:tcW w:w="722" w:type="dxa"/>
            <w:vMerge w:val="continue"/>
            <w:tcBorders>
              <w:tl2br w:val="nil"/>
              <w:tr2bl w:val="nil"/>
            </w:tcBorders>
            <w:shd w:val="clear" w:color="auto" w:fill="auto"/>
            <w:vAlign w:val="center"/>
          </w:tcPr>
          <w:p w14:paraId="3FDD156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34BFA3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AEA2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2BAEB1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36</w:t>
            </w:r>
          </w:p>
        </w:tc>
        <w:tc>
          <w:tcPr>
            <w:tcW w:w="980" w:type="dxa"/>
            <w:vMerge w:val="continue"/>
            <w:tcBorders>
              <w:tl2br w:val="nil"/>
              <w:tr2bl w:val="nil"/>
            </w:tcBorders>
            <w:shd w:val="clear" w:color="auto" w:fill="auto"/>
            <w:vAlign w:val="center"/>
          </w:tcPr>
          <w:p w14:paraId="20B659B4">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AF6FF5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燃气管点</w:t>
            </w:r>
          </w:p>
        </w:tc>
        <w:tc>
          <w:tcPr>
            <w:tcW w:w="6261" w:type="dxa"/>
            <w:tcBorders>
              <w:tl2br w:val="nil"/>
              <w:tr2bl w:val="nil"/>
            </w:tcBorders>
            <w:shd w:val="clear" w:color="auto" w:fill="auto"/>
            <w:vAlign w:val="center"/>
          </w:tcPr>
          <w:p w14:paraId="58F7C76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管点基础信息管理功能用于集中管理燃气管点相关信息。用户可通过“点位编码”“附属物”“所在位置”作为查询条件进行检索，点击“查询”执行搜索操作，点击“清空”重置查询条件。支持“新增”录入单个燃气管点信息，“模板导入”实现批量数据导入，“模板导出”获取信息模板。列表展示燃气管点“名称”“点位编码”等信息。</w:t>
            </w:r>
          </w:p>
        </w:tc>
        <w:tc>
          <w:tcPr>
            <w:tcW w:w="722" w:type="dxa"/>
            <w:vMerge w:val="continue"/>
            <w:tcBorders>
              <w:tl2br w:val="nil"/>
              <w:tr2bl w:val="nil"/>
            </w:tcBorders>
            <w:shd w:val="clear" w:color="auto" w:fill="auto"/>
            <w:vAlign w:val="center"/>
          </w:tcPr>
          <w:p w14:paraId="4B4AA75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51A7A7B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C5B2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DB8968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37</w:t>
            </w:r>
          </w:p>
        </w:tc>
        <w:tc>
          <w:tcPr>
            <w:tcW w:w="980" w:type="dxa"/>
            <w:vMerge w:val="continue"/>
            <w:tcBorders>
              <w:tl2br w:val="nil"/>
              <w:tr2bl w:val="nil"/>
            </w:tcBorders>
            <w:shd w:val="clear" w:color="auto" w:fill="auto"/>
            <w:vAlign w:val="center"/>
          </w:tcPr>
          <w:p w14:paraId="52F7882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971B60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维修记录</w:t>
            </w:r>
          </w:p>
        </w:tc>
        <w:tc>
          <w:tcPr>
            <w:tcW w:w="6261" w:type="dxa"/>
            <w:tcBorders>
              <w:tl2br w:val="nil"/>
              <w:tr2bl w:val="nil"/>
            </w:tcBorders>
            <w:shd w:val="clear" w:color="auto" w:fill="auto"/>
            <w:vAlign w:val="center"/>
          </w:tcPr>
          <w:p w14:paraId="1DB2318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燃气管道维修记录管理功能用于集中管理燃气管道维修信息。用户可通过“权属企业”“维保部门”“维保时间”“管线编号”查询条件进行检索。</w:t>
            </w:r>
          </w:p>
        </w:tc>
        <w:tc>
          <w:tcPr>
            <w:tcW w:w="722" w:type="dxa"/>
            <w:vMerge w:val="continue"/>
            <w:tcBorders>
              <w:tl2br w:val="nil"/>
              <w:tr2bl w:val="nil"/>
            </w:tcBorders>
            <w:shd w:val="clear" w:color="auto" w:fill="auto"/>
            <w:vAlign w:val="center"/>
          </w:tcPr>
          <w:p w14:paraId="6A79E1C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15F7E3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FAB3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B17AAB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38</w:t>
            </w:r>
          </w:p>
        </w:tc>
        <w:tc>
          <w:tcPr>
            <w:tcW w:w="980" w:type="dxa"/>
            <w:vMerge w:val="continue"/>
            <w:tcBorders>
              <w:tl2br w:val="nil"/>
              <w:tr2bl w:val="nil"/>
            </w:tcBorders>
            <w:shd w:val="clear" w:color="auto" w:fill="auto"/>
            <w:vAlign w:val="center"/>
          </w:tcPr>
          <w:p w14:paraId="0CF0EC6E">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21DE48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瓶装气信息</w:t>
            </w:r>
          </w:p>
        </w:tc>
        <w:tc>
          <w:tcPr>
            <w:tcW w:w="6261" w:type="dxa"/>
            <w:tcBorders>
              <w:tl2br w:val="nil"/>
              <w:tr2bl w:val="nil"/>
            </w:tcBorders>
            <w:shd w:val="clear" w:color="auto" w:fill="auto"/>
            <w:vAlign w:val="center"/>
          </w:tcPr>
          <w:p w14:paraId="490FD36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对液化气企业和液化气充装站的基本信息进行管理，包括名称、位置、规模、管理人员、责任人、联系方式等信息。</w:t>
            </w:r>
          </w:p>
        </w:tc>
        <w:tc>
          <w:tcPr>
            <w:tcW w:w="722" w:type="dxa"/>
            <w:vMerge w:val="continue"/>
            <w:tcBorders>
              <w:tl2br w:val="nil"/>
              <w:tr2bl w:val="nil"/>
            </w:tcBorders>
            <w:shd w:val="clear" w:color="auto" w:fill="auto"/>
            <w:vAlign w:val="center"/>
          </w:tcPr>
          <w:p w14:paraId="61D8763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D2F962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DD6C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7993F4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39</w:t>
            </w:r>
          </w:p>
        </w:tc>
        <w:tc>
          <w:tcPr>
            <w:tcW w:w="980" w:type="dxa"/>
            <w:vMerge w:val="continue"/>
            <w:tcBorders>
              <w:tl2br w:val="nil"/>
              <w:tr2bl w:val="nil"/>
            </w:tcBorders>
            <w:shd w:val="clear" w:color="auto" w:fill="auto"/>
            <w:vAlign w:val="center"/>
          </w:tcPr>
          <w:p w14:paraId="408AA32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3BC211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监测点位</w:t>
            </w:r>
          </w:p>
        </w:tc>
        <w:tc>
          <w:tcPr>
            <w:tcW w:w="6261" w:type="dxa"/>
            <w:tcBorders>
              <w:tl2br w:val="nil"/>
              <w:tr2bl w:val="nil"/>
            </w:tcBorders>
            <w:shd w:val="clear" w:color="auto" w:fill="auto"/>
            <w:vAlign w:val="center"/>
          </w:tcPr>
          <w:p w14:paraId="1DB3753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7"/>
                <w:rFonts w:hint="eastAsia" w:ascii="宋体" w:hAnsi="宋体" w:eastAsia="宋体" w:cs="宋体"/>
                <w:snapToGrid w:val="0"/>
                <w:color w:val="auto"/>
                <w:sz w:val="21"/>
                <w:szCs w:val="21"/>
                <w:highlight w:val="none"/>
                <w:lang w:val="en-US" w:eastAsia="zh-CN" w:bidi="ar"/>
              </w:rPr>
              <w:t>实现对燃气系统监测点的档案管理，功能包括添加、删除、修改、绑定、解</w:t>
            </w:r>
            <w:r>
              <w:rPr>
                <w:rStyle w:val="78"/>
                <w:rFonts w:hint="eastAsia" w:ascii="宋体" w:hAnsi="宋体" w:eastAsia="宋体" w:cs="宋体"/>
                <w:snapToGrid w:val="0"/>
                <w:color w:val="auto"/>
                <w:sz w:val="21"/>
                <w:szCs w:val="21"/>
                <w:highlight w:val="none"/>
                <w:lang w:val="en-US" w:eastAsia="zh-CN" w:bidi="ar"/>
              </w:rPr>
              <w:t xml:space="preserve"> </w:t>
            </w:r>
            <w:r>
              <w:rPr>
                <w:rStyle w:val="77"/>
                <w:rFonts w:hint="eastAsia" w:ascii="宋体" w:hAnsi="宋体" w:eastAsia="宋体" w:cs="宋体"/>
                <w:snapToGrid w:val="0"/>
                <w:color w:val="auto"/>
                <w:sz w:val="21"/>
                <w:szCs w:val="21"/>
                <w:highlight w:val="none"/>
                <w:lang w:val="en-US" w:eastAsia="zh-CN" w:bidi="ar"/>
              </w:rPr>
              <w:t>绑、调整阈值、调整报警等级、调整位置</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实测管网位置及系统管网位置</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、修改</w:t>
            </w:r>
            <w:r>
              <w:rPr>
                <w:rStyle w:val="78"/>
                <w:rFonts w:hint="eastAsia" w:ascii="宋体" w:hAnsi="宋体" w:eastAsia="宋体" w:cs="宋体"/>
                <w:snapToGrid w:val="0"/>
                <w:color w:val="auto"/>
                <w:sz w:val="21"/>
                <w:szCs w:val="21"/>
                <w:highlight w:val="none"/>
                <w:lang w:val="en-US" w:eastAsia="zh-CN" w:bidi="ar"/>
              </w:rPr>
              <w:t xml:space="preserve"> </w:t>
            </w:r>
            <w:r>
              <w:rPr>
                <w:rStyle w:val="77"/>
                <w:rFonts w:hint="eastAsia" w:ascii="宋体" w:hAnsi="宋体" w:eastAsia="宋体" w:cs="宋体"/>
                <w:snapToGrid w:val="0"/>
                <w:color w:val="auto"/>
                <w:sz w:val="21"/>
                <w:szCs w:val="21"/>
                <w:highlight w:val="none"/>
                <w:lang w:val="en-US" w:eastAsia="zh-CN" w:bidi="ar"/>
              </w:rPr>
              <w:t>编号等，作用的传感器包括：燃气企业管道压力计、流量计等原有监测设备和新增的可燃气体浓度监测设备。</w:t>
            </w:r>
          </w:p>
        </w:tc>
        <w:tc>
          <w:tcPr>
            <w:tcW w:w="722" w:type="dxa"/>
            <w:vMerge w:val="continue"/>
            <w:tcBorders>
              <w:tl2br w:val="nil"/>
              <w:tr2bl w:val="nil"/>
            </w:tcBorders>
            <w:shd w:val="clear" w:color="auto" w:fill="auto"/>
            <w:vAlign w:val="center"/>
          </w:tcPr>
          <w:p w14:paraId="00EE9D3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36FEF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3C0CF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42D984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40</w:t>
            </w:r>
          </w:p>
        </w:tc>
        <w:tc>
          <w:tcPr>
            <w:tcW w:w="980" w:type="dxa"/>
            <w:vMerge w:val="restart"/>
            <w:tcBorders>
              <w:tl2br w:val="nil"/>
              <w:tr2bl w:val="nil"/>
            </w:tcBorders>
            <w:shd w:val="clear" w:color="auto" w:fill="auto"/>
            <w:vAlign w:val="center"/>
          </w:tcPr>
          <w:p w14:paraId="23F1F84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风险隐患管理</w:t>
            </w:r>
          </w:p>
        </w:tc>
        <w:tc>
          <w:tcPr>
            <w:tcW w:w="1118" w:type="dxa"/>
            <w:tcBorders>
              <w:tl2br w:val="nil"/>
              <w:tr2bl w:val="nil"/>
            </w:tcBorders>
            <w:shd w:val="clear" w:color="auto" w:fill="auto"/>
            <w:vAlign w:val="center"/>
          </w:tcPr>
          <w:p w14:paraId="7FA5F92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管网风险评估管理</w:t>
            </w:r>
          </w:p>
        </w:tc>
        <w:tc>
          <w:tcPr>
            <w:tcW w:w="6261" w:type="dxa"/>
            <w:tcBorders>
              <w:tl2br w:val="nil"/>
              <w:tr2bl w:val="nil"/>
            </w:tcBorders>
            <w:shd w:val="clear" w:color="auto" w:fill="auto"/>
            <w:vAlign w:val="center"/>
          </w:tcPr>
          <w:p w14:paraId="1F1EA6F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以列表形式展示燃气管网不同管段的风险评估结果，支持按照评估日期、风险等级、所属区域、风险类别等查询条件，筛选目标风险记录。</w:t>
            </w:r>
          </w:p>
        </w:tc>
        <w:tc>
          <w:tcPr>
            <w:tcW w:w="722" w:type="dxa"/>
            <w:vMerge w:val="restart"/>
            <w:tcBorders>
              <w:tl2br w:val="nil"/>
              <w:tr2bl w:val="nil"/>
            </w:tcBorders>
            <w:shd w:val="clear" w:color="auto" w:fill="auto"/>
            <w:vAlign w:val="center"/>
          </w:tcPr>
          <w:p w14:paraId="036F83FF">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p w14:paraId="56EFB26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restart"/>
            <w:tcBorders>
              <w:tl2br w:val="nil"/>
              <w:tr2bl w:val="nil"/>
            </w:tcBorders>
            <w:shd w:val="clear" w:color="auto" w:fill="auto"/>
            <w:vAlign w:val="center"/>
          </w:tcPr>
          <w:p w14:paraId="4FF101A0">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p w14:paraId="23AF095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33F87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0EFF68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41</w:t>
            </w:r>
          </w:p>
        </w:tc>
        <w:tc>
          <w:tcPr>
            <w:tcW w:w="980" w:type="dxa"/>
            <w:vMerge w:val="continue"/>
            <w:tcBorders>
              <w:tl2br w:val="nil"/>
              <w:tr2bl w:val="nil"/>
            </w:tcBorders>
            <w:shd w:val="clear" w:color="auto" w:fill="auto"/>
            <w:vAlign w:val="center"/>
          </w:tcPr>
          <w:p w14:paraId="1466B83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AE6D3E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场站风险评估管理</w:t>
            </w:r>
          </w:p>
        </w:tc>
        <w:tc>
          <w:tcPr>
            <w:tcW w:w="6261" w:type="dxa"/>
            <w:tcBorders>
              <w:tl2br w:val="nil"/>
              <w:tr2bl w:val="nil"/>
            </w:tcBorders>
            <w:shd w:val="clear" w:color="auto" w:fill="auto"/>
            <w:vAlign w:val="center"/>
          </w:tcPr>
          <w:p w14:paraId="05B84CB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根据场站的特点、重大危险源辨识分析等，实现对站场运营的安全风险评估，得到风险评价等级，找到风险值偏高的因素，从而提出相应的风险控制措施。</w:t>
            </w:r>
          </w:p>
        </w:tc>
        <w:tc>
          <w:tcPr>
            <w:tcW w:w="722" w:type="dxa"/>
            <w:vMerge w:val="continue"/>
            <w:tcBorders>
              <w:tl2br w:val="nil"/>
              <w:tr2bl w:val="nil"/>
            </w:tcBorders>
            <w:shd w:val="clear" w:color="auto" w:fill="auto"/>
            <w:vAlign w:val="center"/>
          </w:tcPr>
          <w:p w14:paraId="50FC4F6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4016F0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E109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A588EC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42</w:t>
            </w:r>
          </w:p>
        </w:tc>
        <w:tc>
          <w:tcPr>
            <w:tcW w:w="980" w:type="dxa"/>
            <w:vMerge w:val="continue"/>
            <w:tcBorders>
              <w:tl2br w:val="nil"/>
              <w:tr2bl w:val="nil"/>
            </w:tcBorders>
            <w:shd w:val="clear" w:color="auto" w:fill="auto"/>
            <w:vAlign w:val="center"/>
          </w:tcPr>
          <w:p w14:paraId="11E6AF3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FC6B5F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风险源新增</w:t>
            </w:r>
          </w:p>
        </w:tc>
        <w:tc>
          <w:tcPr>
            <w:tcW w:w="6261" w:type="dxa"/>
            <w:tcBorders>
              <w:tl2br w:val="nil"/>
              <w:tr2bl w:val="nil"/>
            </w:tcBorders>
            <w:shd w:val="clear" w:color="auto" w:fill="auto"/>
            <w:vAlign w:val="center"/>
          </w:tcPr>
          <w:p w14:paraId="14E6462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风险源新增页面用于录入新风险源信息。需填写风险源名称、风险等级、所在区域、风险类别、责任单位，可补充评估时间、所在位置、风险分析、潜在事故类型、管控措施建议。</w:t>
            </w:r>
          </w:p>
        </w:tc>
        <w:tc>
          <w:tcPr>
            <w:tcW w:w="722" w:type="dxa"/>
            <w:vMerge w:val="continue"/>
            <w:tcBorders>
              <w:tl2br w:val="nil"/>
              <w:tr2bl w:val="nil"/>
            </w:tcBorders>
            <w:shd w:val="clear" w:color="auto" w:fill="auto"/>
            <w:vAlign w:val="center"/>
          </w:tcPr>
          <w:p w14:paraId="411D2AB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566EF12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42D0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3B5D06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43</w:t>
            </w:r>
          </w:p>
        </w:tc>
        <w:tc>
          <w:tcPr>
            <w:tcW w:w="980" w:type="dxa"/>
            <w:vMerge w:val="continue"/>
            <w:tcBorders>
              <w:tl2br w:val="nil"/>
              <w:tr2bl w:val="nil"/>
            </w:tcBorders>
            <w:shd w:val="clear" w:color="auto" w:fill="auto"/>
            <w:vAlign w:val="center"/>
          </w:tcPr>
          <w:p w14:paraId="1A71F50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AEE0BE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风险评估报告</w:t>
            </w:r>
          </w:p>
        </w:tc>
        <w:tc>
          <w:tcPr>
            <w:tcW w:w="6261" w:type="dxa"/>
            <w:tcBorders>
              <w:tl2br w:val="nil"/>
              <w:tr2bl w:val="nil"/>
            </w:tcBorders>
            <w:shd w:val="clear" w:color="auto" w:fill="auto"/>
            <w:vAlign w:val="center"/>
          </w:tcPr>
          <w:p w14:paraId="0709033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风险评估报告功能用于管理燃气风险评估报告。用户可通过“发布日期”查询条件，列表展示报告“名称”“评估周期”“评估单位”“附件”“发布日期”“评审状态”。</w:t>
            </w:r>
          </w:p>
        </w:tc>
        <w:tc>
          <w:tcPr>
            <w:tcW w:w="722" w:type="dxa"/>
            <w:vMerge w:val="continue"/>
            <w:tcBorders>
              <w:tl2br w:val="nil"/>
              <w:tr2bl w:val="nil"/>
            </w:tcBorders>
            <w:shd w:val="clear" w:color="auto" w:fill="auto"/>
            <w:vAlign w:val="center"/>
          </w:tcPr>
          <w:p w14:paraId="6773B6B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359683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3CE8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1D611B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44</w:t>
            </w:r>
          </w:p>
        </w:tc>
        <w:tc>
          <w:tcPr>
            <w:tcW w:w="980" w:type="dxa"/>
            <w:vMerge w:val="continue"/>
            <w:tcBorders>
              <w:tl2br w:val="nil"/>
              <w:tr2bl w:val="nil"/>
            </w:tcBorders>
            <w:shd w:val="clear" w:color="auto" w:fill="auto"/>
            <w:vAlign w:val="center"/>
          </w:tcPr>
          <w:p w14:paraId="5F151559">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AB2455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安全隐患管理</w:t>
            </w:r>
          </w:p>
        </w:tc>
        <w:tc>
          <w:tcPr>
            <w:tcW w:w="6261" w:type="dxa"/>
            <w:tcBorders>
              <w:tl2br w:val="nil"/>
              <w:tr2bl w:val="nil"/>
            </w:tcBorders>
            <w:shd w:val="clear" w:color="auto" w:fill="auto"/>
            <w:vAlign w:val="center"/>
          </w:tcPr>
          <w:p w14:paraId="2A59E412">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实现燃气设施隐患动态管控，可以通过隐患管控功能，新增、编辑、删除与自身绑定的排查任务，制定排查计划，也可以通过地图来查看当前装置的隐患分布情况。支持排查任务的移动化，既可以把任务分享给移动端，也可以在移动端进行 排查。</w:t>
            </w:r>
          </w:p>
        </w:tc>
        <w:tc>
          <w:tcPr>
            <w:tcW w:w="722" w:type="dxa"/>
            <w:vMerge w:val="continue"/>
            <w:tcBorders>
              <w:tl2br w:val="nil"/>
              <w:tr2bl w:val="nil"/>
            </w:tcBorders>
            <w:shd w:val="clear" w:color="auto" w:fill="auto"/>
            <w:vAlign w:val="center"/>
          </w:tcPr>
          <w:p w14:paraId="4B10CF5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D65F2B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4A1B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D5FAAE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45</w:t>
            </w:r>
          </w:p>
        </w:tc>
        <w:tc>
          <w:tcPr>
            <w:tcW w:w="980" w:type="dxa"/>
            <w:vMerge w:val="continue"/>
            <w:tcBorders>
              <w:tl2br w:val="nil"/>
              <w:tr2bl w:val="nil"/>
            </w:tcBorders>
            <w:shd w:val="clear" w:color="auto" w:fill="auto"/>
            <w:vAlign w:val="center"/>
          </w:tcPr>
          <w:p w14:paraId="0C78AF6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82B3B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待整改隐患</w:t>
            </w:r>
          </w:p>
        </w:tc>
        <w:tc>
          <w:tcPr>
            <w:tcW w:w="6261" w:type="dxa"/>
            <w:tcBorders>
              <w:tl2br w:val="nil"/>
              <w:tr2bl w:val="nil"/>
            </w:tcBorders>
            <w:shd w:val="clear" w:color="auto" w:fill="auto"/>
            <w:vAlign w:val="center"/>
          </w:tcPr>
          <w:p w14:paraId="576F614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待整改隐患功能模块，具备系统化管理燃气安全检查中待整改隐患的能力，支持通过隐患检查类型、检查日期、隐患等级、被检查对象等多条件组合查询，精准筛选待整改隐患记录。</w:t>
            </w:r>
          </w:p>
        </w:tc>
        <w:tc>
          <w:tcPr>
            <w:tcW w:w="722" w:type="dxa"/>
            <w:vMerge w:val="continue"/>
            <w:tcBorders>
              <w:tl2br w:val="nil"/>
              <w:tr2bl w:val="nil"/>
            </w:tcBorders>
            <w:shd w:val="clear" w:color="auto" w:fill="auto"/>
            <w:vAlign w:val="center"/>
          </w:tcPr>
          <w:p w14:paraId="1FBE99D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FAB46D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4E34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986807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46</w:t>
            </w:r>
          </w:p>
        </w:tc>
        <w:tc>
          <w:tcPr>
            <w:tcW w:w="980" w:type="dxa"/>
            <w:vMerge w:val="continue"/>
            <w:tcBorders>
              <w:tl2br w:val="nil"/>
              <w:tr2bl w:val="nil"/>
            </w:tcBorders>
            <w:shd w:val="clear" w:color="auto" w:fill="auto"/>
            <w:vAlign w:val="center"/>
          </w:tcPr>
          <w:p w14:paraId="42F12E0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2314CD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待核查隐患</w:t>
            </w:r>
          </w:p>
        </w:tc>
        <w:tc>
          <w:tcPr>
            <w:tcW w:w="6261" w:type="dxa"/>
            <w:tcBorders>
              <w:tl2br w:val="nil"/>
              <w:tr2bl w:val="nil"/>
            </w:tcBorders>
            <w:shd w:val="clear" w:color="auto" w:fill="auto"/>
            <w:vAlign w:val="center"/>
          </w:tcPr>
          <w:p w14:paraId="323C3D6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待核查隐患功能模块，具备系统化管理燃气安全检查中待核查隐患的能力，支持通过检查单位类型、检查日期、隐患等级、被检查对象、检查人员、整改跟踪人等多条件组合查询，精准筛选待核查隐患记录。</w:t>
            </w:r>
          </w:p>
        </w:tc>
        <w:tc>
          <w:tcPr>
            <w:tcW w:w="722" w:type="dxa"/>
            <w:vMerge w:val="continue"/>
            <w:tcBorders>
              <w:tl2br w:val="nil"/>
              <w:tr2bl w:val="nil"/>
            </w:tcBorders>
            <w:shd w:val="clear" w:color="auto" w:fill="auto"/>
            <w:vAlign w:val="center"/>
          </w:tcPr>
          <w:p w14:paraId="6E739C3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9F1272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1F04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EC6AD5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47</w:t>
            </w:r>
          </w:p>
        </w:tc>
        <w:tc>
          <w:tcPr>
            <w:tcW w:w="980" w:type="dxa"/>
            <w:vMerge w:val="restart"/>
            <w:tcBorders>
              <w:tl2br w:val="nil"/>
              <w:tr2bl w:val="nil"/>
            </w:tcBorders>
            <w:shd w:val="clear" w:color="auto" w:fill="auto"/>
            <w:vAlign w:val="center"/>
          </w:tcPr>
          <w:p w14:paraId="1ADCF64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监测监控管理</w:t>
            </w:r>
          </w:p>
        </w:tc>
        <w:tc>
          <w:tcPr>
            <w:tcW w:w="1118" w:type="dxa"/>
            <w:tcBorders>
              <w:tl2br w:val="nil"/>
              <w:tr2bl w:val="nil"/>
            </w:tcBorders>
            <w:shd w:val="clear" w:color="auto" w:fill="auto"/>
            <w:vAlign w:val="center"/>
          </w:tcPr>
          <w:p w14:paraId="5812166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燃气实时监测</w:t>
            </w:r>
          </w:p>
        </w:tc>
        <w:tc>
          <w:tcPr>
            <w:tcW w:w="6261" w:type="dxa"/>
            <w:tcBorders>
              <w:tl2br w:val="nil"/>
              <w:tr2bl w:val="nil"/>
            </w:tcBorders>
            <w:shd w:val="clear" w:color="auto" w:fill="auto"/>
            <w:vAlign w:val="center"/>
          </w:tcPr>
          <w:p w14:paraId="633A74E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系统对燃气管网、场站、相邻地下空间等业务场景进行实时监测，实现24小时全天候不间断监控，有效补充人工巡检的局限性，为行业监管单位掌握动态数据提供了保障。</w:t>
            </w:r>
          </w:p>
        </w:tc>
        <w:tc>
          <w:tcPr>
            <w:tcW w:w="722" w:type="dxa"/>
            <w:vMerge w:val="restart"/>
            <w:tcBorders>
              <w:tl2br w:val="nil"/>
              <w:tr2bl w:val="nil"/>
            </w:tcBorders>
            <w:shd w:val="clear" w:color="auto" w:fill="auto"/>
            <w:vAlign w:val="center"/>
          </w:tcPr>
          <w:p w14:paraId="5503A29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1050FF4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11B6F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CC452A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48</w:t>
            </w:r>
          </w:p>
        </w:tc>
        <w:tc>
          <w:tcPr>
            <w:tcW w:w="980" w:type="dxa"/>
            <w:vMerge w:val="continue"/>
            <w:tcBorders>
              <w:tl2br w:val="nil"/>
              <w:tr2bl w:val="nil"/>
            </w:tcBorders>
            <w:shd w:val="clear" w:color="auto" w:fill="auto"/>
            <w:vAlign w:val="center"/>
          </w:tcPr>
          <w:p w14:paraId="4E0A792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7FCE7E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监测设备信息</w:t>
            </w:r>
          </w:p>
        </w:tc>
        <w:tc>
          <w:tcPr>
            <w:tcW w:w="6261" w:type="dxa"/>
            <w:tcBorders>
              <w:tl2br w:val="nil"/>
              <w:tr2bl w:val="nil"/>
            </w:tcBorders>
            <w:shd w:val="clear" w:color="auto" w:fill="auto"/>
            <w:vAlign w:val="center"/>
          </w:tcPr>
          <w:p w14:paraId="7011083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支持通过监测时间、设备品牌、监测状态、设备型号查询。列表展示设备品牌、型号、编号、位置、监测时间、监测数值、监测状态，便于查看可燃气体浓度、燃气管网压力、燃气管网流量监测数据。</w:t>
            </w:r>
          </w:p>
        </w:tc>
        <w:tc>
          <w:tcPr>
            <w:tcW w:w="722" w:type="dxa"/>
            <w:vMerge w:val="continue"/>
            <w:tcBorders>
              <w:tl2br w:val="nil"/>
              <w:tr2bl w:val="nil"/>
            </w:tcBorders>
            <w:shd w:val="clear" w:color="auto" w:fill="auto"/>
            <w:vAlign w:val="center"/>
          </w:tcPr>
          <w:p w14:paraId="20753DC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E1D042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BB0F1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C2F317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49</w:t>
            </w:r>
          </w:p>
        </w:tc>
        <w:tc>
          <w:tcPr>
            <w:tcW w:w="980" w:type="dxa"/>
            <w:vMerge w:val="continue"/>
            <w:tcBorders>
              <w:tl2br w:val="nil"/>
              <w:tr2bl w:val="nil"/>
            </w:tcBorders>
            <w:shd w:val="clear" w:color="auto" w:fill="auto"/>
            <w:vAlign w:val="center"/>
          </w:tcPr>
          <w:p w14:paraId="589B8EF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D7048C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历史数据分析</w:t>
            </w:r>
          </w:p>
        </w:tc>
        <w:tc>
          <w:tcPr>
            <w:tcW w:w="6261" w:type="dxa"/>
            <w:tcBorders>
              <w:tl2br w:val="nil"/>
              <w:tr2bl w:val="nil"/>
            </w:tcBorders>
            <w:shd w:val="clear" w:color="auto" w:fill="auto"/>
            <w:vAlign w:val="center"/>
          </w:tcPr>
          <w:p w14:paraId="2A37A42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以列表面板方式实现：</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 双轴专题：浓度曲线等；</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 分时专题：浓度多日曲线对比；</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 逐时专题：以小时为单位， 自选多个监测点， 自选浓度， 自选汇总方式 （最大值、最小值、平均值），按 5 色进行数字报表，自动统计日最大值、最小 值、平均值及报警时间；</w:t>
            </w:r>
          </w:p>
        </w:tc>
        <w:tc>
          <w:tcPr>
            <w:tcW w:w="722" w:type="dxa"/>
            <w:vMerge w:val="continue"/>
            <w:tcBorders>
              <w:tl2br w:val="nil"/>
              <w:tr2bl w:val="nil"/>
            </w:tcBorders>
            <w:shd w:val="clear" w:color="auto" w:fill="auto"/>
            <w:vAlign w:val="center"/>
          </w:tcPr>
          <w:p w14:paraId="337775E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B9301B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58B8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F72584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50</w:t>
            </w:r>
          </w:p>
        </w:tc>
        <w:tc>
          <w:tcPr>
            <w:tcW w:w="980" w:type="dxa"/>
            <w:vMerge w:val="continue"/>
            <w:tcBorders>
              <w:tl2br w:val="nil"/>
              <w:tr2bl w:val="nil"/>
            </w:tcBorders>
            <w:shd w:val="clear" w:color="auto" w:fill="auto"/>
            <w:vAlign w:val="center"/>
          </w:tcPr>
          <w:p w14:paraId="2AD7AA2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4C405F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设备报警信息</w:t>
            </w:r>
          </w:p>
        </w:tc>
        <w:tc>
          <w:tcPr>
            <w:tcW w:w="6261" w:type="dxa"/>
            <w:tcBorders>
              <w:tl2br w:val="nil"/>
              <w:tr2bl w:val="nil"/>
            </w:tcBorders>
            <w:shd w:val="clear" w:color="auto" w:fill="auto"/>
            <w:vAlign w:val="center"/>
          </w:tcPr>
          <w:p w14:paraId="60D8F6E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对燃气管网相邻地下空间甲烷气体浓度、管网流量、管网压力、场站燃气泄漏等数据进行集成处理，实时感知燃气安全运行状态，科学设置报警阈值，一旦大于设定阈值，自动启动报警。</w:t>
            </w:r>
          </w:p>
        </w:tc>
        <w:tc>
          <w:tcPr>
            <w:tcW w:w="722" w:type="dxa"/>
            <w:vMerge w:val="continue"/>
            <w:tcBorders>
              <w:tl2br w:val="nil"/>
              <w:tr2bl w:val="nil"/>
            </w:tcBorders>
            <w:shd w:val="clear" w:color="auto" w:fill="auto"/>
            <w:vAlign w:val="center"/>
          </w:tcPr>
          <w:p w14:paraId="4D1524C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0F23BC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2CD0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2E2CE6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51</w:t>
            </w:r>
          </w:p>
        </w:tc>
        <w:tc>
          <w:tcPr>
            <w:tcW w:w="980" w:type="dxa"/>
            <w:vMerge w:val="continue"/>
            <w:tcBorders>
              <w:tl2br w:val="nil"/>
              <w:tr2bl w:val="nil"/>
            </w:tcBorders>
            <w:shd w:val="clear" w:color="auto" w:fill="auto"/>
            <w:vAlign w:val="center"/>
          </w:tcPr>
          <w:p w14:paraId="409A780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B5F6F1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报警统计分析</w:t>
            </w:r>
          </w:p>
        </w:tc>
        <w:tc>
          <w:tcPr>
            <w:tcW w:w="6261" w:type="dxa"/>
            <w:tcBorders>
              <w:tl2br w:val="nil"/>
              <w:tr2bl w:val="nil"/>
            </w:tcBorders>
            <w:shd w:val="clear" w:color="auto" w:fill="auto"/>
            <w:vAlign w:val="center"/>
          </w:tcPr>
          <w:p w14:paraId="72AF110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报警统计分析功能通过多图表展示报警信息。包含设备报警量走势折线图（压力、流量、可燃气体浓度、离线报警）、报警设备排行进度条、报警设备量区域分布柱状图、报警等级统计饼图。</w:t>
            </w:r>
          </w:p>
        </w:tc>
        <w:tc>
          <w:tcPr>
            <w:tcW w:w="722" w:type="dxa"/>
            <w:vMerge w:val="continue"/>
            <w:tcBorders>
              <w:tl2br w:val="nil"/>
              <w:tr2bl w:val="nil"/>
            </w:tcBorders>
            <w:shd w:val="clear" w:color="auto" w:fill="auto"/>
            <w:vAlign w:val="center"/>
          </w:tcPr>
          <w:p w14:paraId="6FE8360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AC7963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F472D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3D2E72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52</w:t>
            </w:r>
          </w:p>
        </w:tc>
        <w:tc>
          <w:tcPr>
            <w:tcW w:w="980" w:type="dxa"/>
            <w:vMerge w:val="restart"/>
            <w:tcBorders>
              <w:tl2br w:val="nil"/>
              <w:tr2bl w:val="nil"/>
            </w:tcBorders>
            <w:shd w:val="clear" w:color="auto" w:fill="auto"/>
            <w:vAlign w:val="center"/>
          </w:tcPr>
          <w:p w14:paraId="014EBD3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预警信息管理</w:t>
            </w:r>
          </w:p>
        </w:tc>
        <w:tc>
          <w:tcPr>
            <w:tcW w:w="1118" w:type="dxa"/>
            <w:tcBorders>
              <w:tl2br w:val="nil"/>
              <w:tr2bl w:val="nil"/>
            </w:tcBorders>
            <w:shd w:val="clear" w:color="auto" w:fill="auto"/>
            <w:vAlign w:val="center"/>
          </w:tcPr>
          <w:p w14:paraId="445DCBD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预警处置</w:t>
            </w:r>
          </w:p>
        </w:tc>
        <w:tc>
          <w:tcPr>
            <w:tcW w:w="6261" w:type="dxa"/>
            <w:tcBorders>
              <w:tl2br w:val="nil"/>
              <w:tr2bl w:val="nil"/>
            </w:tcBorders>
            <w:shd w:val="clear" w:color="auto" w:fill="auto"/>
            <w:vAlign w:val="center"/>
          </w:tcPr>
          <w:p w14:paraId="3C9F158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系统对预警处置状态做展示，可直观了解预警处于处置中、未处置、已处置的占比情况，为监管者督办燃气预警提供数据依据。</w:t>
            </w:r>
          </w:p>
        </w:tc>
        <w:tc>
          <w:tcPr>
            <w:tcW w:w="722" w:type="dxa"/>
            <w:vMerge w:val="restart"/>
            <w:tcBorders>
              <w:tl2br w:val="nil"/>
              <w:tr2bl w:val="nil"/>
            </w:tcBorders>
            <w:shd w:val="clear" w:color="auto" w:fill="auto"/>
            <w:vAlign w:val="center"/>
          </w:tcPr>
          <w:p w14:paraId="1DC014A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5171050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557D2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6A0799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53</w:t>
            </w:r>
          </w:p>
        </w:tc>
        <w:tc>
          <w:tcPr>
            <w:tcW w:w="980" w:type="dxa"/>
            <w:vMerge w:val="continue"/>
            <w:tcBorders>
              <w:tl2br w:val="nil"/>
              <w:tr2bl w:val="nil"/>
            </w:tcBorders>
            <w:shd w:val="clear" w:color="auto" w:fill="auto"/>
            <w:vAlign w:val="center"/>
          </w:tcPr>
          <w:p w14:paraId="66B3B58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AE64C4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预警详情</w:t>
            </w:r>
          </w:p>
        </w:tc>
        <w:tc>
          <w:tcPr>
            <w:tcW w:w="6261" w:type="dxa"/>
            <w:tcBorders>
              <w:tl2br w:val="nil"/>
              <w:tr2bl w:val="nil"/>
            </w:tcBorders>
            <w:shd w:val="clear" w:color="auto" w:fill="auto"/>
            <w:vAlign w:val="center"/>
          </w:tcPr>
          <w:p w14:paraId="2ACA84B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通过预警信息详情列表监管人员可快获取预警基本信息，及时了解预警处置过程存在的难点、痛点，调整工作部署，加快预警处置流程。</w:t>
            </w:r>
          </w:p>
        </w:tc>
        <w:tc>
          <w:tcPr>
            <w:tcW w:w="722" w:type="dxa"/>
            <w:vMerge w:val="continue"/>
            <w:tcBorders>
              <w:tl2br w:val="nil"/>
              <w:tr2bl w:val="nil"/>
            </w:tcBorders>
            <w:shd w:val="clear" w:color="auto" w:fill="auto"/>
            <w:vAlign w:val="center"/>
          </w:tcPr>
          <w:p w14:paraId="2DF4EFE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11CE3E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434BD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D66BA8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54</w:t>
            </w:r>
          </w:p>
        </w:tc>
        <w:tc>
          <w:tcPr>
            <w:tcW w:w="980" w:type="dxa"/>
            <w:vMerge w:val="continue"/>
            <w:tcBorders>
              <w:tl2br w:val="nil"/>
              <w:tr2bl w:val="nil"/>
            </w:tcBorders>
            <w:shd w:val="clear" w:color="auto" w:fill="auto"/>
            <w:vAlign w:val="center"/>
          </w:tcPr>
          <w:p w14:paraId="6EFDAED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E5ADD2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预警排名</w:t>
            </w:r>
          </w:p>
        </w:tc>
        <w:tc>
          <w:tcPr>
            <w:tcW w:w="6261" w:type="dxa"/>
            <w:tcBorders>
              <w:tl2br w:val="nil"/>
              <w:tr2bl w:val="nil"/>
            </w:tcBorders>
            <w:shd w:val="clear" w:color="auto" w:fill="auto"/>
            <w:vAlign w:val="center"/>
          </w:tcPr>
          <w:p w14:paraId="391B9AA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系统对预警数量进行统计分析并进行排序，可了解预警数量分布情况，监管单位可依据预警排名调整预警监管工作内容。</w:t>
            </w:r>
          </w:p>
        </w:tc>
        <w:tc>
          <w:tcPr>
            <w:tcW w:w="722" w:type="dxa"/>
            <w:vMerge w:val="continue"/>
            <w:tcBorders>
              <w:tl2br w:val="nil"/>
              <w:tr2bl w:val="nil"/>
            </w:tcBorders>
            <w:shd w:val="clear" w:color="auto" w:fill="auto"/>
            <w:vAlign w:val="center"/>
          </w:tcPr>
          <w:p w14:paraId="16A340D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DA11CF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796C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D11A8B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55</w:t>
            </w:r>
          </w:p>
        </w:tc>
        <w:tc>
          <w:tcPr>
            <w:tcW w:w="980" w:type="dxa"/>
            <w:vMerge w:val="continue"/>
            <w:tcBorders>
              <w:tl2br w:val="nil"/>
              <w:tr2bl w:val="nil"/>
            </w:tcBorders>
            <w:shd w:val="clear" w:color="auto" w:fill="auto"/>
            <w:vAlign w:val="center"/>
          </w:tcPr>
          <w:p w14:paraId="1F78269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1D0D55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处置效率</w:t>
            </w:r>
          </w:p>
        </w:tc>
        <w:tc>
          <w:tcPr>
            <w:tcW w:w="6261" w:type="dxa"/>
            <w:tcBorders>
              <w:tl2br w:val="nil"/>
              <w:tr2bl w:val="nil"/>
            </w:tcBorders>
            <w:shd w:val="clear" w:color="auto" w:fill="auto"/>
            <w:vAlign w:val="center"/>
          </w:tcPr>
          <w:p w14:paraId="3B05AB0F">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燃气监管部门可通过对各类场景预警响应时间的展示，及时了解各类事件的响应效率，及时差缺不漏，提升预警处置效率，同时对工作进展缓慢的单位和部门及时下发提醒督促</w:t>
            </w:r>
          </w:p>
        </w:tc>
        <w:tc>
          <w:tcPr>
            <w:tcW w:w="722" w:type="dxa"/>
            <w:vMerge w:val="continue"/>
            <w:tcBorders>
              <w:tl2br w:val="nil"/>
              <w:tr2bl w:val="nil"/>
            </w:tcBorders>
            <w:shd w:val="clear" w:color="auto" w:fill="auto"/>
            <w:vAlign w:val="center"/>
          </w:tcPr>
          <w:p w14:paraId="3C17D85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90B4C6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C51F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C86EF8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56</w:t>
            </w:r>
          </w:p>
        </w:tc>
        <w:tc>
          <w:tcPr>
            <w:tcW w:w="980" w:type="dxa"/>
            <w:vMerge w:val="continue"/>
            <w:tcBorders>
              <w:tl2br w:val="nil"/>
              <w:tr2bl w:val="nil"/>
            </w:tcBorders>
            <w:shd w:val="clear" w:color="auto" w:fill="auto"/>
            <w:vAlign w:val="center"/>
          </w:tcPr>
          <w:p w14:paraId="068C3BF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208A9B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预警统计分析</w:t>
            </w:r>
          </w:p>
        </w:tc>
        <w:tc>
          <w:tcPr>
            <w:tcW w:w="6261" w:type="dxa"/>
            <w:tcBorders>
              <w:tl2br w:val="nil"/>
              <w:tr2bl w:val="nil"/>
            </w:tcBorders>
            <w:shd w:val="clear" w:color="auto" w:fill="auto"/>
            <w:vAlign w:val="center"/>
          </w:tcPr>
          <w:p w14:paraId="3195E81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统计分析功能包含三部分，“预警事件趋势”可选择事件类型及时段，展示不同类型预警数量随时间变化；“预警事件排名”可切换按所属区域或企业，查看对应时段内事件数量排行；“预警效率统计”选择事件类型及时段，通过饼图显示平均预警响应时间分布，下方展示企业或区域排名，助力分析预警趋势、分布及处置效率。</w:t>
            </w:r>
          </w:p>
        </w:tc>
        <w:tc>
          <w:tcPr>
            <w:tcW w:w="722" w:type="dxa"/>
            <w:vMerge w:val="continue"/>
            <w:tcBorders>
              <w:tl2br w:val="nil"/>
              <w:tr2bl w:val="nil"/>
            </w:tcBorders>
            <w:shd w:val="clear" w:color="auto" w:fill="auto"/>
            <w:vAlign w:val="center"/>
          </w:tcPr>
          <w:p w14:paraId="0BD07B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07C45E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BA9F2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95F90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57</w:t>
            </w:r>
          </w:p>
        </w:tc>
        <w:tc>
          <w:tcPr>
            <w:tcW w:w="980" w:type="dxa"/>
            <w:vMerge w:val="restart"/>
            <w:tcBorders>
              <w:tl2br w:val="nil"/>
              <w:tr2bl w:val="nil"/>
            </w:tcBorders>
            <w:shd w:val="clear" w:color="auto" w:fill="auto"/>
            <w:vAlign w:val="center"/>
          </w:tcPr>
          <w:p w14:paraId="15E06C5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辅助决策管理</w:t>
            </w:r>
          </w:p>
        </w:tc>
        <w:tc>
          <w:tcPr>
            <w:tcW w:w="1118" w:type="dxa"/>
            <w:tcBorders>
              <w:tl2br w:val="nil"/>
              <w:tr2bl w:val="nil"/>
            </w:tcBorders>
            <w:shd w:val="clear" w:color="auto" w:fill="auto"/>
            <w:vAlign w:val="center"/>
          </w:tcPr>
          <w:p w14:paraId="67579B8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燃气泄露溯源分析</w:t>
            </w:r>
          </w:p>
        </w:tc>
        <w:tc>
          <w:tcPr>
            <w:tcW w:w="6261" w:type="dxa"/>
            <w:tcBorders>
              <w:tl2br w:val="nil"/>
              <w:tr2bl w:val="nil"/>
            </w:tcBorders>
            <w:shd w:val="clear" w:color="auto" w:fill="auto"/>
            <w:vAlign w:val="center"/>
          </w:tcPr>
          <w:p w14:paraId="4338F39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7"/>
                <w:rFonts w:hint="eastAsia" w:ascii="宋体" w:hAnsi="宋体" w:eastAsia="宋体" w:cs="宋体"/>
                <w:snapToGrid w:val="0"/>
                <w:color w:val="auto"/>
                <w:sz w:val="21"/>
                <w:szCs w:val="21"/>
                <w:highlight w:val="none"/>
                <w:lang w:val="en-US" w:eastAsia="zh-CN" w:bidi="ar"/>
              </w:rPr>
              <w:t>泄露溯源分析功能用于快速定位燃气泄漏源头，在事件列表中选择燃气泄漏事件，点击</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溯源分析</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进入详情页面。输入当前运行压力、监测泄漏压力、泄漏持续时间、泄漏量类型等参数，点击</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计算</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生成可能泄漏点、所在管线、距离报警点距离、泄漏可能性等结果。支持</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地图定位</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查看泄漏点位置，评估周边危险源（如危化品企业、加气站等）及防护目标（学校、医院等），支持一键导出溯源分析报告。</w:t>
            </w:r>
          </w:p>
        </w:tc>
        <w:tc>
          <w:tcPr>
            <w:tcW w:w="722" w:type="dxa"/>
            <w:vMerge w:val="restart"/>
            <w:tcBorders>
              <w:tl2br w:val="nil"/>
              <w:tr2bl w:val="nil"/>
            </w:tcBorders>
            <w:shd w:val="clear" w:color="auto" w:fill="auto"/>
            <w:vAlign w:val="center"/>
          </w:tcPr>
          <w:p w14:paraId="7080FF8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59951F8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67785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BB0D84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58</w:t>
            </w:r>
          </w:p>
        </w:tc>
        <w:tc>
          <w:tcPr>
            <w:tcW w:w="980" w:type="dxa"/>
            <w:vMerge w:val="continue"/>
            <w:tcBorders>
              <w:tl2br w:val="nil"/>
              <w:tr2bl w:val="nil"/>
            </w:tcBorders>
            <w:shd w:val="clear" w:color="auto" w:fill="auto"/>
            <w:vAlign w:val="center"/>
          </w:tcPr>
          <w:p w14:paraId="53BE1C51">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8B0873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燃气泄露扩散分析</w:t>
            </w:r>
          </w:p>
        </w:tc>
        <w:tc>
          <w:tcPr>
            <w:tcW w:w="6261" w:type="dxa"/>
            <w:tcBorders>
              <w:tl2br w:val="nil"/>
              <w:tr2bl w:val="nil"/>
            </w:tcBorders>
            <w:shd w:val="clear" w:color="auto" w:fill="auto"/>
            <w:vAlign w:val="center"/>
          </w:tcPr>
          <w:p w14:paraId="2A6F45A5">
            <w:pPr>
              <w:keepNext w:val="0"/>
              <w:keepLines w:val="0"/>
              <w:widowControl/>
              <w:suppressLineNumbers w:val="0"/>
              <w:kinsoku/>
              <w:wordWrap w:val="0"/>
              <w:spacing w:line="360" w:lineRule="auto"/>
              <w:jc w:val="left"/>
              <w:textAlignment w:val="center"/>
              <w:rPr>
                <w:rStyle w:val="77"/>
                <w:rFonts w:hint="eastAsia" w:ascii="宋体" w:hAnsi="宋体" w:eastAsia="宋体" w:cs="宋体"/>
                <w:snapToGrid w:val="0"/>
                <w:color w:val="auto"/>
                <w:sz w:val="21"/>
                <w:szCs w:val="21"/>
                <w:highlight w:val="none"/>
                <w:lang w:val="en-US" w:eastAsia="zh-CN" w:bidi="ar"/>
              </w:rPr>
            </w:pPr>
            <w:r>
              <w:rPr>
                <w:rStyle w:val="77"/>
                <w:rFonts w:hint="eastAsia" w:ascii="宋体" w:hAnsi="宋体" w:eastAsia="宋体" w:cs="宋体"/>
                <w:snapToGrid w:val="0"/>
                <w:color w:val="auto"/>
                <w:sz w:val="21"/>
                <w:szCs w:val="21"/>
                <w:highlight w:val="none"/>
                <w:lang w:val="en-US" w:eastAsia="zh-CN" w:bidi="ar"/>
              </w:rPr>
              <w:t>泄露扩散分析功能用于模拟燃气泄漏扩散范围，点击“扩散分析”进入详情页面，输入当前运行压力、监测泄漏压力、泄漏持续时间、风力等级、地面风向等参数，点击“初始化参数”后“计算”，生成水平扩散距离、横向扩散距离、竖直扩散距离等结果，支持一键导出泄露扩散分析报告。</w:t>
            </w:r>
          </w:p>
        </w:tc>
        <w:tc>
          <w:tcPr>
            <w:tcW w:w="722" w:type="dxa"/>
            <w:vMerge w:val="continue"/>
            <w:tcBorders>
              <w:tl2br w:val="nil"/>
              <w:tr2bl w:val="nil"/>
            </w:tcBorders>
            <w:shd w:val="clear" w:color="auto" w:fill="auto"/>
            <w:vAlign w:val="center"/>
          </w:tcPr>
          <w:p w14:paraId="5683829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929575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9D9E0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6E8070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59</w:t>
            </w:r>
          </w:p>
        </w:tc>
        <w:tc>
          <w:tcPr>
            <w:tcW w:w="980" w:type="dxa"/>
            <w:vMerge w:val="continue"/>
            <w:tcBorders>
              <w:tl2br w:val="nil"/>
              <w:tr2bl w:val="nil"/>
            </w:tcBorders>
            <w:shd w:val="clear" w:color="auto" w:fill="auto"/>
            <w:vAlign w:val="center"/>
          </w:tcPr>
          <w:p w14:paraId="1533AD1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CDE9F8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燃气爆炸影响分析</w:t>
            </w:r>
          </w:p>
        </w:tc>
        <w:tc>
          <w:tcPr>
            <w:tcW w:w="6261" w:type="dxa"/>
            <w:tcBorders>
              <w:tl2br w:val="nil"/>
              <w:tr2bl w:val="nil"/>
            </w:tcBorders>
            <w:shd w:val="clear" w:color="auto" w:fill="auto"/>
            <w:vAlign w:val="center"/>
          </w:tcPr>
          <w:p w14:paraId="3D1476DD">
            <w:pPr>
              <w:keepNext w:val="0"/>
              <w:keepLines w:val="0"/>
              <w:widowControl/>
              <w:suppressLineNumbers w:val="0"/>
              <w:kinsoku/>
              <w:wordWrap w:val="0"/>
              <w:spacing w:line="360" w:lineRule="auto"/>
              <w:jc w:val="left"/>
              <w:textAlignment w:val="center"/>
              <w:rPr>
                <w:rStyle w:val="77"/>
                <w:rFonts w:hint="eastAsia" w:ascii="宋体" w:hAnsi="宋体" w:eastAsia="宋体" w:cs="宋体"/>
                <w:snapToGrid w:val="0"/>
                <w:color w:val="auto"/>
                <w:sz w:val="21"/>
                <w:szCs w:val="21"/>
                <w:highlight w:val="none"/>
                <w:lang w:val="en-US" w:eastAsia="zh-CN" w:bidi="ar"/>
              </w:rPr>
            </w:pPr>
            <w:r>
              <w:rPr>
                <w:rStyle w:val="77"/>
                <w:rFonts w:hint="eastAsia" w:ascii="宋体" w:hAnsi="宋体" w:eastAsia="宋体" w:cs="宋体"/>
                <w:snapToGrid w:val="0"/>
                <w:color w:val="auto"/>
                <w:sz w:val="21"/>
                <w:szCs w:val="21"/>
                <w:highlight w:val="none"/>
                <w:lang w:val="en-US" w:eastAsia="zh-CN" w:bidi="ar"/>
              </w:rPr>
              <w:t>爆炸影响分析功能用于评估燃气泄漏可能引发的爆炸影响范围，在事件列表中选择目标事件，输入当前运行压力、监测泄漏压力、泄漏持续时间等参数，点击“初始化参数”后“计算”，生成死亡半径、重伤半径、轻伤半径、财产损失半径及爆炸影响区域面积等结果。支持一键导出爆炸影响分析报告。</w:t>
            </w:r>
          </w:p>
        </w:tc>
        <w:tc>
          <w:tcPr>
            <w:tcW w:w="722" w:type="dxa"/>
            <w:vMerge w:val="continue"/>
            <w:tcBorders>
              <w:tl2br w:val="nil"/>
              <w:tr2bl w:val="nil"/>
            </w:tcBorders>
            <w:shd w:val="clear" w:color="auto" w:fill="auto"/>
            <w:vAlign w:val="center"/>
          </w:tcPr>
          <w:p w14:paraId="48AF9CC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3E8F47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41F7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422EEE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60</w:t>
            </w:r>
          </w:p>
        </w:tc>
        <w:tc>
          <w:tcPr>
            <w:tcW w:w="980" w:type="dxa"/>
            <w:vMerge w:val="continue"/>
            <w:tcBorders>
              <w:tl2br w:val="nil"/>
              <w:tr2bl w:val="nil"/>
            </w:tcBorders>
            <w:shd w:val="clear" w:color="auto" w:fill="auto"/>
            <w:vAlign w:val="center"/>
          </w:tcPr>
          <w:p w14:paraId="710B5ED4">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9494BA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日常监督检查</w:t>
            </w:r>
          </w:p>
        </w:tc>
        <w:tc>
          <w:tcPr>
            <w:tcW w:w="6261" w:type="dxa"/>
            <w:tcBorders>
              <w:tl2br w:val="nil"/>
              <w:tr2bl w:val="nil"/>
            </w:tcBorders>
            <w:shd w:val="clear" w:color="auto" w:fill="auto"/>
            <w:vAlign w:val="center"/>
          </w:tcPr>
          <w:p w14:paraId="7BB7B01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日常检查配置功能模块，具备灵活配置非居民用户、商业用气场所等检查对象开展日常安全检查项目主题的能力，支持通过名称、气源类型、被检对象等多条件查询配置记录。</w:t>
            </w:r>
          </w:p>
        </w:tc>
        <w:tc>
          <w:tcPr>
            <w:tcW w:w="722" w:type="dxa"/>
            <w:vMerge w:val="continue"/>
            <w:tcBorders>
              <w:tl2br w:val="nil"/>
              <w:tr2bl w:val="nil"/>
            </w:tcBorders>
            <w:shd w:val="clear" w:color="auto" w:fill="auto"/>
            <w:vAlign w:val="center"/>
          </w:tcPr>
          <w:p w14:paraId="470E973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79370C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9FCD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F2868D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61</w:t>
            </w:r>
          </w:p>
        </w:tc>
        <w:tc>
          <w:tcPr>
            <w:tcW w:w="980" w:type="dxa"/>
            <w:vMerge w:val="continue"/>
            <w:tcBorders>
              <w:tl2br w:val="nil"/>
              <w:tr2bl w:val="nil"/>
            </w:tcBorders>
            <w:shd w:val="clear" w:color="auto" w:fill="auto"/>
            <w:vAlign w:val="center"/>
          </w:tcPr>
          <w:p w14:paraId="1831860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CC8F0C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专项检查配置</w:t>
            </w:r>
          </w:p>
        </w:tc>
        <w:tc>
          <w:tcPr>
            <w:tcW w:w="6261" w:type="dxa"/>
            <w:tcBorders>
              <w:tl2br w:val="nil"/>
              <w:tr2bl w:val="nil"/>
            </w:tcBorders>
            <w:shd w:val="clear" w:color="auto" w:fill="auto"/>
            <w:vAlign w:val="center"/>
          </w:tcPr>
          <w:p w14:paraId="2160C67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专项检查配置功能模块，具备灵活配置专项安全检查项目主题的能力，支持通过名称、气源类型、被检对象等多条件查询配置记录。支持新增专项检查配置，可针对燃气企业、加气站、商业用气场所等不同检查场景，以及企业安全生产管理类、燃气场站类、燃气用户类等检查对象设置检查主题。</w:t>
            </w:r>
          </w:p>
        </w:tc>
        <w:tc>
          <w:tcPr>
            <w:tcW w:w="722" w:type="dxa"/>
            <w:vMerge w:val="continue"/>
            <w:tcBorders>
              <w:tl2br w:val="nil"/>
              <w:tr2bl w:val="nil"/>
            </w:tcBorders>
            <w:shd w:val="clear" w:color="auto" w:fill="auto"/>
            <w:vAlign w:val="center"/>
          </w:tcPr>
          <w:p w14:paraId="0D2DE75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A3CB26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D066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679E03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62</w:t>
            </w:r>
          </w:p>
        </w:tc>
        <w:tc>
          <w:tcPr>
            <w:tcW w:w="980" w:type="dxa"/>
            <w:vMerge w:val="continue"/>
            <w:tcBorders>
              <w:tl2br w:val="nil"/>
              <w:tr2bl w:val="nil"/>
            </w:tcBorders>
            <w:shd w:val="clear" w:color="auto" w:fill="auto"/>
            <w:vAlign w:val="center"/>
          </w:tcPr>
          <w:p w14:paraId="5833AA9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7980A3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知识库</w:t>
            </w:r>
          </w:p>
        </w:tc>
        <w:tc>
          <w:tcPr>
            <w:tcW w:w="6261" w:type="dxa"/>
            <w:tcBorders>
              <w:tl2br w:val="nil"/>
              <w:tr2bl w:val="nil"/>
            </w:tcBorders>
            <w:shd w:val="clear" w:color="auto" w:fill="auto"/>
            <w:vAlign w:val="center"/>
          </w:tcPr>
          <w:p w14:paraId="2033D3A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建立燃气行业安全知识库，将国家法律法规、国家标准（国家、地方）、行业标准、行业安全生产规章制度、国内同行业安全生产事故分类入库，提供查询和下载功能。</w:t>
            </w:r>
          </w:p>
        </w:tc>
        <w:tc>
          <w:tcPr>
            <w:tcW w:w="722" w:type="dxa"/>
            <w:vMerge w:val="continue"/>
            <w:tcBorders>
              <w:tl2br w:val="nil"/>
              <w:tr2bl w:val="nil"/>
            </w:tcBorders>
            <w:shd w:val="clear" w:color="auto" w:fill="auto"/>
            <w:vAlign w:val="center"/>
          </w:tcPr>
          <w:p w14:paraId="2DBEB3F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816D43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279C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24DA69FF">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（三）供水安全专项应用</w:t>
            </w:r>
          </w:p>
        </w:tc>
      </w:tr>
      <w:tr w14:paraId="1BA890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911CA2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63</w:t>
            </w:r>
          </w:p>
        </w:tc>
        <w:tc>
          <w:tcPr>
            <w:tcW w:w="980" w:type="dxa"/>
            <w:vMerge w:val="restart"/>
            <w:tcBorders>
              <w:tl2br w:val="nil"/>
              <w:tr2bl w:val="nil"/>
            </w:tcBorders>
            <w:shd w:val="clear" w:color="auto" w:fill="auto"/>
            <w:vAlign w:val="center"/>
          </w:tcPr>
          <w:p w14:paraId="299138B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供水运行一张图</w:t>
            </w:r>
          </w:p>
        </w:tc>
        <w:tc>
          <w:tcPr>
            <w:tcW w:w="1118" w:type="dxa"/>
            <w:tcBorders>
              <w:tl2br w:val="nil"/>
              <w:tr2bl w:val="nil"/>
            </w:tcBorders>
            <w:shd w:val="clear" w:color="auto" w:fill="auto"/>
            <w:vAlign w:val="center"/>
          </w:tcPr>
          <w:p w14:paraId="7CF87EC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基础设施</w:t>
            </w:r>
          </w:p>
        </w:tc>
        <w:tc>
          <w:tcPr>
            <w:tcW w:w="6261" w:type="dxa"/>
            <w:tcBorders>
              <w:tl2br w:val="nil"/>
              <w:tr2bl w:val="nil"/>
            </w:tcBorders>
            <w:shd w:val="clear" w:color="auto" w:fill="auto"/>
            <w:vAlign w:val="center"/>
          </w:tcPr>
          <w:p w14:paraId="2373F14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基于地理信息系统，对水源地、供水厂、供水管网、泵站等供水相关基础设施建设规模、现状统计等情况进行综合展示。</w:t>
            </w:r>
          </w:p>
        </w:tc>
        <w:tc>
          <w:tcPr>
            <w:tcW w:w="722" w:type="dxa"/>
            <w:vMerge w:val="restart"/>
            <w:tcBorders>
              <w:tl2br w:val="nil"/>
              <w:tr2bl w:val="nil"/>
            </w:tcBorders>
            <w:shd w:val="clear" w:color="auto" w:fill="auto"/>
            <w:vAlign w:val="center"/>
          </w:tcPr>
          <w:p w14:paraId="5CC5A13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680F3ED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33F16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53CD3F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64</w:t>
            </w:r>
          </w:p>
        </w:tc>
        <w:tc>
          <w:tcPr>
            <w:tcW w:w="980" w:type="dxa"/>
            <w:vMerge w:val="continue"/>
            <w:tcBorders>
              <w:tl2br w:val="nil"/>
              <w:tr2bl w:val="nil"/>
            </w:tcBorders>
            <w:shd w:val="clear" w:color="auto" w:fill="auto"/>
            <w:vAlign w:val="center"/>
          </w:tcPr>
          <w:p w14:paraId="6052B1D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1F0738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运行监测</w:t>
            </w:r>
          </w:p>
        </w:tc>
        <w:tc>
          <w:tcPr>
            <w:tcW w:w="6261" w:type="dxa"/>
            <w:tcBorders>
              <w:tl2br w:val="nil"/>
              <w:tr2bl w:val="nil"/>
            </w:tcBorders>
            <w:shd w:val="clear" w:color="auto" w:fill="auto"/>
            <w:vAlign w:val="center"/>
          </w:tcPr>
          <w:p w14:paraId="75D4CE5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接入供水管网压力、流量等监测设备分布、监测数据、报警预警、处置等情况，并通过一张图的方式展示出来，支持对运行监测数据的查询与统计，运行监测子图包括图形展示、统计展示、数据查询。</w:t>
            </w:r>
          </w:p>
        </w:tc>
        <w:tc>
          <w:tcPr>
            <w:tcW w:w="722" w:type="dxa"/>
            <w:vMerge w:val="continue"/>
            <w:tcBorders>
              <w:tl2br w:val="nil"/>
              <w:tr2bl w:val="nil"/>
            </w:tcBorders>
            <w:shd w:val="clear" w:color="auto" w:fill="auto"/>
            <w:vAlign w:val="center"/>
          </w:tcPr>
          <w:p w14:paraId="5B3B4BD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2C9F2F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CCAA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4A975E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65</w:t>
            </w:r>
          </w:p>
        </w:tc>
        <w:tc>
          <w:tcPr>
            <w:tcW w:w="980" w:type="dxa"/>
            <w:vMerge w:val="continue"/>
            <w:tcBorders>
              <w:tl2br w:val="nil"/>
              <w:tr2bl w:val="nil"/>
            </w:tcBorders>
            <w:shd w:val="clear" w:color="auto" w:fill="auto"/>
            <w:vAlign w:val="center"/>
          </w:tcPr>
          <w:p w14:paraId="632F415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548749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风险分布</w:t>
            </w:r>
          </w:p>
        </w:tc>
        <w:tc>
          <w:tcPr>
            <w:tcW w:w="6261" w:type="dxa"/>
            <w:tcBorders>
              <w:tl2br w:val="nil"/>
              <w:tr2bl w:val="nil"/>
            </w:tcBorders>
            <w:shd w:val="clear" w:color="auto" w:fill="auto"/>
            <w:vAlign w:val="center"/>
          </w:tcPr>
          <w:p w14:paraId="7F89EE1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汇总供水管网风险数据，从风险等级维度统计最近一次风险评估结果的风险管网长度，形成管网风险分级分布统计图，并基于地理信息系统，在一张图上展示各级风险等级管段的分布情况。</w:t>
            </w:r>
          </w:p>
        </w:tc>
        <w:tc>
          <w:tcPr>
            <w:tcW w:w="722" w:type="dxa"/>
            <w:vMerge w:val="continue"/>
            <w:tcBorders>
              <w:tl2br w:val="nil"/>
              <w:tr2bl w:val="nil"/>
            </w:tcBorders>
            <w:shd w:val="clear" w:color="auto" w:fill="auto"/>
            <w:vAlign w:val="center"/>
          </w:tcPr>
          <w:p w14:paraId="0A077CE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70347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D6E0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B6F6B4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66</w:t>
            </w:r>
          </w:p>
        </w:tc>
        <w:tc>
          <w:tcPr>
            <w:tcW w:w="980" w:type="dxa"/>
            <w:vMerge w:val="continue"/>
            <w:tcBorders>
              <w:tl2br w:val="nil"/>
              <w:tr2bl w:val="nil"/>
            </w:tcBorders>
            <w:shd w:val="clear" w:color="auto" w:fill="auto"/>
            <w:vAlign w:val="center"/>
          </w:tcPr>
          <w:p w14:paraId="00BE91E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24EB88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隐患管理</w:t>
            </w:r>
          </w:p>
        </w:tc>
        <w:tc>
          <w:tcPr>
            <w:tcW w:w="6261" w:type="dxa"/>
            <w:tcBorders>
              <w:tl2br w:val="nil"/>
              <w:tr2bl w:val="nil"/>
            </w:tcBorders>
            <w:shd w:val="clear" w:color="auto" w:fill="auto"/>
            <w:vAlign w:val="center"/>
          </w:tcPr>
          <w:p w14:paraId="7D6CE33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基于供水管网运营单位上报的隐患排查信息，提供对管网隐患信息的管理维护功能，在一张图上展示存在隐患管段的分布情况。支持隐患信息的多维度分类查询、新增、修改、删除、批量导出。</w:t>
            </w:r>
          </w:p>
        </w:tc>
        <w:tc>
          <w:tcPr>
            <w:tcW w:w="722" w:type="dxa"/>
            <w:vMerge w:val="continue"/>
            <w:tcBorders>
              <w:tl2br w:val="nil"/>
              <w:tr2bl w:val="nil"/>
            </w:tcBorders>
            <w:shd w:val="clear" w:color="auto" w:fill="auto"/>
            <w:vAlign w:val="center"/>
          </w:tcPr>
          <w:p w14:paraId="68F380A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B87161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8FC6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0DDD4F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67</w:t>
            </w:r>
          </w:p>
        </w:tc>
        <w:tc>
          <w:tcPr>
            <w:tcW w:w="980" w:type="dxa"/>
            <w:vMerge w:val="continue"/>
            <w:tcBorders>
              <w:tl2br w:val="nil"/>
              <w:tr2bl w:val="nil"/>
            </w:tcBorders>
            <w:shd w:val="clear" w:color="auto" w:fill="auto"/>
            <w:vAlign w:val="center"/>
          </w:tcPr>
          <w:p w14:paraId="3C5CE1B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6501D0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预警处置</w:t>
            </w:r>
          </w:p>
        </w:tc>
        <w:tc>
          <w:tcPr>
            <w:tcW w:w="6261" w:type="dxa"/>
            <w:tcBorders>
              <w:tl2br w:val="nil"/>
              <w:tr2bl w:val="nil"/>
            </w:tcBorders>
            <w:shd w:val="clear" w:color="auto" w:fill="auto"/>
            <w:vAlign w:val="center"/>
          </w:tcPr>
          <w:p w14:paraId="60837CB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总体展示供水报警数量、各类应急事件完成处置数量、处置效率等统计数据，辅助行业管理部门总体掌握全市供水应急处置态势。</w:t>
            </w:r>
          </w:p>
        </w:tc>
        <w:tc>
          <w:tcPr>
            <w:tcW w:w="722" w:type="dxa"/>
            <w:vMerge w:val="continue"/>
            <w:tcBorders>
              <w:tl2br w:val="nil"/>
              <w:tr2bl w:val="nil"/>
            </w:tcBorders>
            <w:shd w:val="clear" w:color="auto" w:fill="auto"/>
            <w:vAlign w:val="center"/>
          </w:tcPr>
          <w:p w14:paraId="053695D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C34783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0F4EB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2681E8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68</w:t>
            </w:r>
          </w:p>
        </w:tc>
        <w:tc>
          <w:tcPr>
            <w:tcW w:w="980" w:type="dxa"/>
            <w:vMerge w:val="continue"/>
            <w:tcBorders>
              <w:tl2br w:val="nil"/>
              <w:tr2bl w:val="nil"/>
            </w:tcBorders>
            <w:shd w:val="clear" w:color="auto" w:fill="auto"/>
            <w:vAlign w:val="center"/>
          </w:tcPr>
          <w:p w14:paraId="6A7E0679">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9DE6F5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DMA分区管理</w:t>
            </w:r>
          </w:p>
        </w:tc>
        <w:tc>
          <w:tcPr>
            <w:tcW w:w="6261" w:type="dxa"/>
            <w:tcBorders>
              <w:tl2br w:val="nil"/>
              <w:tr2bl w:val="nil"/>
            </w:tcBorders>
            <w:shd w:val="clear" w:color="auto" w:fill="auto"/>
            <w:vAlign w:val="center"/>
          </w:tcPr>
          <w:p w14:paraId="4FB3F7C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区域管理模块展示各分区的边界、边界阀门、边界计量设备的位置及逻辑关系，并能运用多种图像化工具展示水量等核心指标。此外，大分区功能还应具备显示统计信息的表格，以及单个大分区深度分析的界面。</w:t>
            </w:r>
          </w:p>
        </w:tc>
        <w:tc>
          <w:tcPr>
            <w:tcW w:w="722" w:type="dxa"/>
            <w:vMerge w:val="continue"/>
            <w:tcBorders>
              <w:tl2br w:val="nil"/>
              <w:tr2bl w:val="nil"/>
            </w:tcBorders>
            <w:shd w:val="clear" w:color="auto" w:fill="auto"/>
            <w:vAlign w:val="center"/>
          </w:tcPr>
          <w:p w14:paraId="4807C6C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CC70A7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A775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A10F7D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69</w:t>
            </w:r>
          </w:p>
        </w:tc>
        <w:tc>
          <w:tcPr>
            <w:tcW w:w="980" w:type="dxa"/>
            <w:vMerge w:val="restart"/>
            <w:tcBorders>
              <w:tl2br w:val="nil"/>
              <w:tr2bl w:val="nil"/>
            </w:tcBorders>
            <w:shd w:val="clear" w:color="auto" w:fill="auto"/>
            <w:vAlign w:val="center"/>
          </w:tcPr>
          <w:p w14:paraId="30BEFC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基础信息管理</w:t>
            </w:r>
          </w:p>
        </w:tc>
        <w:tc>
          <w:tcPr>
            <w:tcW w:w="1118" w:type="dxa"/>
            <w:tcBorders>
              <w:tl2br w:val="nil"/>
              <w:tr2bl w:val="nil"/>
            </w:tcBorders>
            <w:shd w:val="clear" w:color="auto" w:fill="auto"/>
            <w:vAlign w:val="center"/>
          </w:tcPr>
          <w:p w14:paraId="091F7B2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供水管网</w:t>
            </w:r>
          </w:p>
        </w:tc>
        <w:tc>
          <w:tcPr>
            <w:tcW w:w="6261" w:type="dxa"/>
            <w:tcBorders>
              <w:tl2br w:val="nil"/>
              <w:tr2bl w:val="nil"/>
            </w:tcBorders>
            <w:shd w:val="clear" w:color="auto" w:fill="auto"/>
            <w:vAlign w:val="center"/>
          </w:tcPr>
          <w:p w14:paraId="346A808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构建覆盖供水管网全生命周期的数字化档案，详细记录管网拓扑结构、管径规格、材质类型、埋设深度、铺设年限、维护记录等关键数据，借助地理信息系统，实现管网分布的可视化呈现与精准定位。</w:t>
            </w:r>
          </w:p>
        </w:tc>
        <w:tc>
          <w:tcPr>
            <w:tcW w:w="722" w:type="dxa"/>
            <w:vMerge w:val="restart"/>
            <w:tcBorders>
              <w:tl2br w:val="nil"/>
              <w:tr2bl w:val="nil"/>
            </w:tcBorders>
            <w:shd w:val="clear" w:color="auto" w:fill="auto"/>
            <w:vAlign w:val="center"/>
          </w:tcPr>
          <w:p w14:paraId="650921B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7AABC77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5E7DF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734A7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70</w:t>
            </w:r>
          </w:p>
        </w:tc>
        <w:tc>
          <w:tcPr>
            <w:tcW w:w="980" w:type="dxa"/>
            <w:vMerge w:val="continue"/>
            <w:tcBorders>
              <w:tl2br w:val="nil"/>
              <w:tr2bl w:val="nil"/>
            </w:tcBorders>
            <w:shd w:val="clear" w:color="auto" w:fill="auto"/>
            <w:vAlign w:val="center"/>
          </w:tcPr>
          <w:p w14:paraId="451D9B6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B9A70C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水源地</w:t>
            </w:r>
          </w:p>
        </w:tc>
        <w:tc>
          <w:tcPr>
            <w:tcW w:w="6261" w:type="dxa"/>
            <w:tcBorders>
              <w:tl2br w:val="nil"/>
              <w:tr2bl w:val="nil"/>
            </w:tcBorders>
            <w:shd w:val="clear" w:color="auto" w:fill="auto"/>
            <w:vAlign w:val="center"/>
          </w:tcPr>
          <w:p w14:paraId="02261FE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整合水源地的地理位置、所属区域、水源类型（如河流、湖泊、地下水、地表水等）、水源地面积、取水口量、水质等级等静态信息，形成可视化数据档案；支持数据的查询、编辑、新增与删除。</w:t>
            </w:r>
          </w:p>
        </w:tc>
        <w:tc>
          <w:tcPr>
            <w:tcW w:w="722" w:type="dxa"/>
            <w:vMerge w:val="continue"/>
            <w:tcBorders>
              <w:tl2br w:val="nil"/>
              <w:tr2bl w:val="nil"/>
            </w:tcBorders>
            <w:shd w:val="clear" w:color="auto" w:fill="auto"/>
            <w:vAlign w:val="center"/>
          </w:tcPr>
          <w:p w14:paraId="1156184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49895C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47CC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2C9F4A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71</w:t>
            </w:r>
          </w:p>
        </w:tc>
        <w:tc>
          <w:tcPr>
            <w:tcW w:w="980" w:type="dxa"/>
            <w:vMerge w:val="continue"/>
            <w:tcBorders>
              <w:tl2br w:val="nil"/>
              <w:tr2bl w:val="nil"/>
            </w:tcBorders>
            <w:shd w:val="clear" w:color="auto" w:fill="auto"/>
            <w:vAlign w:val="center"/>
          </w:tcPr>
          <w:p w14:paraId="3BA9B73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84D8DB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供水企业</w:t>
            </w:r>
          </w:p>
        </w:tc>
        <w:tc>
          <w:tcPr>
            <w:tcW w:w="6261" w:type="dxa"/>
            <w:tcBorders>
              <w:tl2br w:val="nil"/>
              <w:tr2bl w:val="nil"/>
            </w:tcBorders>
            <w:shd w:val="clear" w:color="auto" w:fill="auto"/>
            <w:vAlign w:val="center"/>
          </w:tcPr>
          <w:p w14:paraId="3EA8F05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建立完善的供水企业档案数据库，涵盖企业性质、供水规模、企业地址、供水服务范围等核心信息。</w:t>
            </w:r>
          </w:p>
        </w:tc>
        <w:tc>
          <w:tcPr>
            <w:tcW w:w="722" w:type="dxa"/>
            <w:vMerge w:val="continue"/>
            <w:tcBorders>
              <w:tl2br w:val="nil"/>
              <w:tr2bl w:val="nil"/>
            </w:tcBorders>
            <w:shd w:val="clear" w:color="auto" w:fill="auto"/>
            <w:vAlign w:val="center"/>
          </w:tcPr>
          <w:p w14:paraId="0176FCC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204A4E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1A150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9F41E3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72</w:t>
            </w:r>
          </w:p>
        </w:tc>
        <w:tc>
          <w:tcPr>
            <w:tcW w:w="980" w:type="dxa"/>
            <w:vMerge w:val="continue"/>
            <w:tcBorders>
              <w:tl2br w:val="nil"/>
              <w:tr2bl w:val="nil"/>
            </w:tcBorders>
            <w:shd w:val="clear" w:color="auto" w:fill="auto"/>
            <w:vAlign w:val="center"/>
          </w:tcPr>
          <w:p w14:paraId="13A663EE">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BD24E3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供水厂</w:t>
            </w:r>
          </w:p>
        </w:tc>
        <w:tc>
          <w:tcPr>
            <w:tcW w:w="6261" w:type="dxa"/>
            <w:tcBorders>
              <w:tl2br w:val="nil"/>
              <w:tr2bl w:val="nil"/>
            </w:tcBorders>
            <w:shd w:val="clear" w:color="auto" w:fill="auto"/>
            <w:vAlign w:val="center"/>
          </w:tcPr>
          <w:p w14:paraId="5E58726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汇集供水厂的地理位置、投产日期、供水范围等数据；支持数据的实时更新、分类查询与可视化展示，方便管理者了解水厂运行全貌，辅助制定生产计划、设备维护方案。</w:t>
            </w:r>
          </w:p>
        </w:tc>
        <w:tc>
          <w:tcPr>
            <w:tcW w:w="722" w:type="dxa"/>
            <w:vMerge w:val="continue"/>
            <w:tcBorders>
              <w:tl2br w:val="nil"/>
              <w:tr2bl w:val="nil"/>
            </w:tcBorders>
            <w:shd w:val="clear" w:color="auto" w:fill="auto"/>
            <w:vAlign w:val="center"/>
          </w:tcPr>
          <w:p w14:paraId="360016E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62FCCB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0102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239098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73</w:t>
            </w:r>
          </w:p>
        </w:tc>
        <w:tc>
          <w:tcPr>
            <w:tcW w:w="980" w:type="dxa"/>
            <w:vMerge w:val="continue"/>
            <w:tcBorders>
              <w:tl2br w:val="nil"/>
              <w:tr2bl w:val="nil"/>
            </w:tcBorders>
            <w:shd w:val="clear" w:color="auto" w:fill="auto"/>
            <w:vAlign w:val="center"/>
          </w:tcPr>
          <w:p w14:paraId="1F610FA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CD8EC9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供水泵站</w:t>
            </w:r>
          </w:p>
        </w:tc>
        <w:tc>
          <w:tcPr>
            <w:tcW w:w="6261" w:type="dxa"/>
            <w:tcBorders>
              <w:tl2br w:val="nil"/>
              <w:tr2bl w:val="nil"/>
            </w:tcBorders>
            <w:shd w:val="clear" w:color="auto" w:fill="auto"/>
            <w:vAlign w:val="center"/>
          </w:tcPr>
          <w:p w14:paraId="4C0B951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集成泵站地理位置、设备参数、运行状态等核心信息，通过自动化数据采集与智能分析，实时监控泵站运行效率。</w:t>
            </w:r>
          </w:p>
        </w:tc>
        <w:tc>
          <w:tcPr>
            <w:tcW w:w="722" w:type="dxa"/>
            <w:vMerge w:val="continue"/>
            <w:tcBorders>
              <w:tl2br w:val="nil"/>
              <w:tr2bl w:val="nil"/>
            </w:tcBorders>
            <w:shd w:val="clear" w:color="auto" w:fill="auto"/>
            <w:vAlign w:val="center"/>
          </w:tcPr>
          <w:p w14:paraId="43DDE25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FCE927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20DB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1518A7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74</w:t>
            </w:r>
          </w:p>
        </w:tc>
        <w:tc>
          <w:tcPr>
            <w:tcW w:w="980" w:type="dxa"/>
            <w:vMerge w:val="continue"/>
            <w:tcBorders>
              <w:tl2br w:val="nil"/>
              <w:tr2bl w:val="nil"/>
            </w:tcBorders>
            <w:shd w:val="clear" w:color="auto" w:fill="auto"/>
            <w:vAlign w:val="center"/>
          </w:tcPr>
          <w:p w14:paraId="2DB7336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8E0EBB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监测设备</w:t>
            </w:r>
          </w:p>
        </w:tc>
        <w:tc>
          <w:tcPr>
            <w:tcW w:w="6261" w:type="dxa"/>
            <w:tcBorders>
              <w:tl2br w:val="nil"/>
              <w:tr2bl w:val="nil"/>
            </w:tcBorders>
            <w:shd w:val="clear" w:color="auto" w:fill="auto"/>
            <w:vAlign w:val="center"/>
          </w:tcPr>
          <w:p w14:paraId="660D541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详细记录供水领域监测的安装位置、在线状态、流量和压力监测数据、报警状态等信息，形成电子化设备台账，方便用户快速查询与追溯设备历史数据。</w:t>
            </w:r>
          </w:p>
        </w:tc>
        <w:tc>
          <w:tcPr>
            <w:tcW w:w="722" w:type="dxa"/>
            <w:vMerge w:val="continue"/>
            <w:tcBorders>
              <w:tl2br w:val="nil"/>
              <w:tr2bl w:val="nil"/>
            </w:tcBorders>
            <w:shd w:val="clear" w:color="auto" w:fill="auto"/>
            <w:vAlign w:val="center"/>
          </w:tcPr>
          <w:p w14:paraId="61728AA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5F8E1C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05A7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B9842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75</w:t>
            </w:r>
          </w:p>
        </w:tc>
        <w:tc>
          <w:tcPr>
            <w:tcW w:w="980" w:type="dxa"/>
            <w:vMerge w:val="restart"/>
            <w:tcBorders>
              <w:tl2br w:val="nil"/>
              <w:tr2bl w:val="nil"/>
            </w:tcBorders>
            <w:shd w:val="clear" w:color="auto" w:fill="auto"/>
            <w:vAlign w:val="center"/>
          </w:tcPr>
          <w:p w14:paraId="06EAC51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风险隐患管理</w:t>
            </w:r>
          </w:p>
        </w:tc>
        <w:tc>
          <w:tcPr>
            <w:tcW w:w="1118" w:type="dxa"/>
            <w:tcBorders>
              <w:tl2br w:val="nil"/>
              <w:tr2bl w:val="nil"/>
            </w:tcBorders>
            <w:shd w:val="clear" w:color="auto" w:fill="auto"/>
            <w:vAlign w:val="center"/>
          </w:tcPr>
          <w:p w14:paraId="7CB3CFC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风险统计分析</w:t>
            </w:r>
          </w:p>
        </w:tc>
        <w:tc>
          <w:tcPr>
            <w:tcW w:w="6261" w:type="dxa"/>
            <w:tcBorders>
              <w:tl2br w:val="nil"/>
              <w:tr2bl w:val="nil"/>
            </w:tcBorders>
            <w:shd w:val="clear" w:color="auto" w:fill="auto"/>
            <w:vAlign w:val="center"/>
          </w:tcPr>
          <w:p w14:paraId="21D8239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以可视化图表的形式，对供水管网风险按照风险类型进行统计，按照时间维度对风险变化趋势进行统计。</w:t>
            </w:r>
          </w:p>
        </w:tc>
        <w:tc>
          <w:tcPr>
            <w:tcW w:w="722" w:type="dxa"/>
            <w:vMerge w:val="restart"/>
            <w:tcBorders>
              <w:tl2br w:val="nil"/>
              <w:tr2bl w:val="nil"/>
            </w:tcBorders>
            <w:shd w:val="clear" w:color="auto" w:fill="auto"/>
            <w:vAlign w:val="center"/>
          </w:tcPr>
          <w:p w14:paraId="590F75A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7BB9013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29DA30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D310B5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76</w:t>
            </w:r>
          </w:p>
        </w:tc>
        <w:tc>
          <w:tcPr>
            <w:tcW w:w="980" w:type="dxa"/>
            <w:vMerge w:val="continue"/>
            <w:tcBorders>
              <w:tl2br w:val="nil"/>
              <w:tr2bl w:val="nil"/>
            </w:tcBorders>
            <w:shd w:val="clear" w:color="auto" w:fill="auto"/>
            <w:vAlign w:val="center"/>
          </w:tcPr>
          <w:p w14:paraId="7AAF04B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C565F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管道爆管风险展示</w:t>
            </w:r>
          </w:p>
        </w:tc>
        <w:tc>
          <w:tcPr>
            <w:tcW w:w="6261" w:type="dxa"/>
            <w:tcBorders>
              <w:tl2br w:val="nil"/>
              <w:tr2bl w:val="nil"/>
            </w:tcBorders>
            <w:shd w:val="clear" w:color="auto" w:fill="auto"/>
            <w:vAlign w:val="center"/>
          </w:tcPr>
          <w:p w14:paraId="255CA10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7"/>
                <w:rFonts w:hint="eastAsia" w:ascii="宋体" w:hAnsi="宋体" w:eastAsia="宋体" w:cs="宋体"/>
                <w:snapToGrid w:val="0"/>
                <w:color w:val="auto"/>
                <w:sz w:val="21"/>
                <w:szCs w:val="21"/>
                <w:highlight w:val="none"/>
                <w:lang w:val="en-US" w:eastAsia="zh-CN" w:bidi="ar"/>
              </w:rPr>
              <w:t>以爆管风险为参数对当前全网所有管道进行等值线着色，</w:t>
            </w:r>
            <w:r>
              <w:rPr>
                <w:rStyle w:val="78"/>
                <w:rFonts w:hint="eastAsia" w:ascii="宋体" w:hAnsi="宋体" w:eastAsia="宋体" w:cs="宋体"/>
                <w:snapToGrid w:val="0"/>
                <w:color w:val="auto"/>
                <w:sz w:val="21"/>
                <w:szCs w:val="21"/>
                <w:highlight w:val="none"/>
                <w:lang w:val="en-US" w:eastAsia="zh-CN" w:bidi="ar"/>
              </w:rPr>
              <w:t xml:space="preserve"> </w:t>
            </w:r>
            <w:r>
              <w:rPr>
                <w:rStyle w:val="77"/>
                <w:rFonts w:hint="eastAsia" w:ascii="宋体" w:hAnsi="宋体" w:eastAsia="宋体" w:cs="宋体"/>
                <w:snapToGrid w:val="0"/>
                <w:color w:val="auto"/>
                <w:sz w:val="21"/>
                <w:szCs w:val="21"/>
                <w:highlight w:val="none"/>
                <w:lang w:val="en-US" w:eastAsia="zh-CN" w:bidi="ar"/>
              </w:rPr>
              <w:t>以爆管风险为参数对当前全市所有街道进行等值线着色，点击可以查询到爆管对应的管道压力报警因子、管道渗漏报警因子和管道材质年限报警因子。</w:t>
            </w:r>
          </w:p>
        </w:tc>
        <w:tc>
          <w:tcPr>
            <w:tcW w:w="722" w:type="dxa"/>
            <w:vMerge w:val="continue"/>
            <w:tcBorders>
              <w:tl2br w:val="nil"/>
              <w:tr2bl w:val="nil"/>
            </w:tcBorders>
            <w:shd w:val="clear" w:color="auto" w:fill="auto"/>
            <w:vAlign w:val="center"/>
          </w:tcPr>
          <w:p w14:paraId="14DC28C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6074B7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8314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0FA1AA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77</w:t>
            </w:r>
          </w:p>
        </w:tc>
        <w:tc>
          <w:tcPr>
            <w:tcW w:w="980" w:type="dxa"/>
            <w:vMerge w:val="continue"/>
            <w:tcBorders>
              <w:tl2br w:val="nil"/>
              <w:tr2bl w:val="nil"/>
            </w:tcBorders>
            <w:shd w:val="clear" w:color="auto" w:fill="auto"/>
            <w:vAlign w:val="center"/>
          </w:tcPr>
          <w:p w14:paraId="16F9773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CA580F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管道漏失风险展示</w:t>
            </w:r>
          </w:p>
        </w:tc>
        <w:tc>
          <w:tcPr>
            <w:tcW w:w="6261" w:type="dxa"/>
            <w:tcBorders>
              <w:tl2br w:val="nil"/>
              <w:tr2bl w:val="nil"/>
            </w:tcBorders>
            <w:shd w:val="clear" w:color="auto" w:fill="auto"/>
            <w:vAlign w:val="center"/>
          </w:tcPr>
          <w:p w14:paraId="5751EA9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7"/>
                <w:rFonts w:hint="eastAsia" w:ascii="宋体" w:hAnsi="宋体" w:eastAsia="宋体" w:cs="宋体"/>
                <w:snapToGrid w:val="0"/>
                <w:color w:val="auto"/>
                <w:sz w:val="21"/>
                <w:szCs w:val="21"/>
                <w:highlight w:val="none"/>
                <w:lang w:val="en-US" w:eastAsia="zh-CN" w:bidi="ar"/>
              </w:rPr>
              <w:t>以漏失风险为参数对当前全网所有管道进行等值线着色，以漏失风险为参数对当前全市所有街道进行等值线着色，</w:t>
            </w:r>
            <w:r>
              <w:rPr>
                <w:rStyle w:val="78"/>
                <w:rFonts w:hint="eastAsia" w:ascii="宋体" w:hAnsi="宋体" w:eastAsia="宋体" w:cs="宋体"/>
                <w:snapToGrid w:val="0"/>
                <w:color w:val="auto"/>
                <w:sz w:val="21"/>
                <w:szCs w:val="21"/>
                <w:highlight w:val="none"/>
                <w:lang w:val="en-US" w:eastAsia="zh-CN" w:bidi="ar"/>
              </w:rPr>
              <w:t xml:space="preserve"> </w:t>
            </w:r>
            <w:r>
              <w:rPr>
                <w:rStyle w:val="77"/>
                <w:rFonts w:hint="eastAsia" w:ascii="宋体" w:hAnsi="宋体" w:eastAsia="宋体" w:cs="宋体"/>
                <w:snapToGrid w:val="0"/>
                <w:color w:val="auto"/>
                <w:sz w:val="21"/>
                <w:szCs w:val="21"/>
                <w:highlight w:val="none"/>
                <w:lang w:val="en-US" w:eastAsia="zh-CN" w:bidi="ar"/>
              </w:rPr>
              <w:t>点击可以查询到漏失对应的管道夜间最小流量报警因子、管道高压占比时间报警因子、管道材质年限报警因子、管道脆弱部及隐患点。</w:t>
            </w:r>
          </w:p>
        </w:tc>
        <w:tc>
          <w:tcPr>
            <w:tcW w:w="722" w:type="dxa"/>
            <w:vMerge w:val="continue"/>
            <w:tcBorders>
              <w:tl2br w:val="nil"/>
              <w:tr2bl w:val="nil"/>
            </w:tcBorders>
            <w:shd w:val="clear" w:color="auto" w:fill="auto"/>
            <w:vAlign w:val="center"/>
          </w:tcPr>
          <w:p w14:paraId="247680C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BFC6F7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9B86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B8A7BB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78</w:t>
            </w:r>
          </w:p>
        </w:tc>
        <w:tc>
          <w:tcPr>
            <w:tcW w:w="980" w:type="dxa"/>
            <w:vMerge w:val="continue"/>
            <w:tcBorders>
              <w:tl2br w:val="nil"/>
              <w:tr2bl w:val="nil"/>
            </w:tcBorders>
            <w:shd w:val="clear" w:color="auto" w:fill="auto"/>
            <w:vAlign w:val="center"/>
          </w:tcPr>
          <w:p w14:paraId="564454FE">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FE54FD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隐患管理</w:t>
            </w:r>
          </w:p>
        </w:tc>
        <w:tc>
          <w:tcPr>
            <w:tcW w:w="6261" w:type="dxa"/>
            <w:tcBorders>
              <w:tl2br w:val="nil"/>
              <w:tr2bl w:val="nil"/>
            </w:tcBorders>
            <w:shd w:val="clear" w:color="auto" w:fill="auto"/>
            <w:vAlign w:val="center"/>
          </w:tcPr>
          <w:p w14:paraId="6D7884A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以离线或在线的方式接入企业自查、行业管理部门抽查或临时检查到的水源地、水厂和供水管道的隐患数据，建立隐患整改清单，督促在规定的时间内完成隐患整改。对到期未整改的隐患进行报警提醒。</w:t>
            </w:r>
          </w:p>
        </w:tc>
        <w:tc>
          <w:tcPr>
            <w:tcW w:w="722" w:type="dxa"/>
            <w:vMerge w:val="continue"/>
            <w:tcBorders>
              <w:tl2br w:val="nil"/>
              <w:tr2bl w:val="nil"/>
            </w:tcBorders>
            <w:shd w:val="clear" w:color="auto" w:fill="auto"/>
            <w:vAlign w:val="center"/>
          </w:tcPr>
          <w:p w14:paraId="5A9100B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06B09C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51E5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27ADB3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79</w:t>
            </w:r>
          </w:p>
        </w:tc>
        <w:tc>
          <w:tcPr>
            <w:tcW w:w="980" w:type="dxa"/>
            <w:vMerge w:val="restart"/>
            <w:tcBorders>
              <w:tl2br w:val="nil"/>
              <w:tr2bl w:val="nil"/>
            </w:tcBorders>
            <w:shd w:val="clear" w:color="auto" w:fill="auto"/>
            <w:vAlign w:val="center"/>
          </w:tcPr>
          <w:p w14:paraId="39EACF3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监测监控管理</w:t>
            </w:r>
          </w:p>
        </w:tc>
        <w:tc>
          <w:tcPr>
            <w:tcW w:w="1118" w:type="dxa"/>
            <w:tcBorders>
              <w:tl2br w:val="nil"/>
              <w:tr2bl w:val="nil"/>
            </w:tcBorders>
            <w:shd w:val="clear" w:color="auto" w:fill="auto"/>
            <w:vAlign w:val="center"/>
          </w:tcPr>
          <w:p w14:paraId="4ECBF4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管网监测监控</w:t>
            </w:r>
          </w:p>
        </w:tc>
        <w:tc>
          <w:tcPr>
            <w:tcW w:w="6261" w:type="dxa"/>
            <w:tcBorders>
              <w:tl2br w:val="nil"/>
              <w:tr2bl w:val="nil"/>
            </w:tcBorders>
            <w:shd w:val="clear" w:color="auto" w:fill="auto"/>
            <w:vAlign w:val="center"/>
          </w:tcPr>
          <w:p w14:paraId="44CFCDA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基于电子地图，以形象化的符号直观展示供水管网空间布局、压力、流量、漏损监测点位置，并以浮动标签的形式实时显示每个监测点的实时数据，以达到对管网整体压力情况进行实时监控。</w:t>
            </w:r>
          </w:p>
        </w:tc>
        <w:tc>
          <w:tcPr>
            <w:tcW w:w="722" w:type="dxa"/>
            <w:vMerge w:val="restart"/>
            <w:tcBorders>
              <w:tl2br w:val="nil"/>
              <w:tr2bl w:val="nil"/>
            </w:tcBorders>
            <w:shd w:val="clear" w:color="auto" w:fill="auto"/>
            <w:vAlign w:val="center"/>
          </w:tcPr>
          <w:p w14:paraId="313D481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148B066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3E6BE4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0AF6DE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80</w:t>
            </w:r>
          </w:p>
        </w:tc>
        <w:tc>
          <w:tcPr>
            <w:tcW w:w="980" w:type="dxa"/>
            <w:vMerge w:val="continue"/>
            <w:tcBorders>
              <w:tl2br w:val="nil"/>
              <w:tr2bl w:val="nil"/>
            </w:tcBorders>
            <w:shd w:val="clear" w:color="auto" w:fill="auto"/>
            <w:vAlign w:val="center"/>
          </w:tcPr>
          <w:p w14:paraId="2AB290E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B5455A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数据统计分析</w:t>
            </w:r>
          </w:p>
        </w:tc>
        <w:tc>
          <w:tcPr>
            <w:tcW w:w="6261" w:type="dxa"/>
            <w:tcBorders>
              <w:tl2br w:val="nil"/>
              <w:tr2bl w:val="nil"/>
            </w:tcBorders>
            <w:shd w:val="clear" w:color="auto" w:fill="auto"/>
            <w:vAlign w:val="center"/>
          </w:tcPr>
          <w:p w14:paraId="44FC9CE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提供历史报警信息查看，多维度统计分析等功能。支持按区域、管网类型等维度对供水管网数据情况进行统计分析，并支持以各种图表（柱状图、折线图等）方式展示，支持各种图表信息的文件导出。</w:t>
            </w:r>
          </w:p>
        </w:tc>
        <w:tc>
          <w:tcPr>
            <w:tcW w:w="722" w:type="dxa"/>
            <w:vMerge w:val="continue"/>
            <w:tcBorders>
              <w:tl2br w:val="nil"/>
              <w:tr2bl w:val="nil"/>
            </w:tcBorders>
            <w:shd w:val="clear" w:color="auto" w:fill="auto"/>
            <w:vAlign w:val="center"/>
          </w:tcPr>
          <w:p w14:paraId="4A8A267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1746C9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ECB1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C6399F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81</w:t>
            </w:r>
          </w:p>
        </w:tc>
        <w:tc>
          <w:tcPr>
            <w:tcW w:w="980" w:type="dxa"/>
            <w:vMerge w:val="continue"/>
            <w:tcBorders>
              <w:tl2br w:val="nil"/>
              <w:tr2bl w:val="nil"/>
            </w:tcBorders>
            <w:shd w:val="clear" w:color="auto" w:fill="auto"/>
            <w:vAlign w:val="center"/>
          </w:tcPr>
          <w:p w14:paraId="0D1C5799">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F5EBC2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报警统计分析</w:t>
            </w:r>
          </w:p>
        </w:tc>
        <w:tc>
          <w:tcPr>
            <w:tcW w:w="6261" w:type="dxa"/>
            <w:tcBorders>
              <w:tl2br w:val="nil"/>
              <w:tr2bl w:val="nil"/>
            </w:tcBorders>
            <w:shd w:val="clear" w:color="auto" w:fill="auto"/>
            <w:vAlign w:val="center"/>
          </w:tcPr>
          <w:p w14:paraId="7F3ABE6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支持按区域、时间、报警类型、管网类型等维度对供水管网报警情况进行统计分析，并支持以各种图表（柱状图、折线图等）方式展示，支持各种图表信息的文件导出。</w:t>
            </w:r>
          </w:p>
        </w:tc>
        <w:tc>
          <w:tcPr>
            <w:tcW w:w="722" w:type="dxa"/>
            <w:vMerge w:val="continue"/>
            <w:tcBorders>
              <w:tl2br w:val="nil"/>
              <w:tr2bl w:val="nil"/>
            </w:tcBorders>
            <w:shd w:val="clear" w:color="auto" w:fill="auto"/>
            <w:vAlign w:val="center"/>
          </w:tcPr>
          <w:p w14:paraId="5C2800C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49EFAE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839B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C6BFD1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82</w:t>
            </w:r>
          </w:p>
        </w:tc>
        <w:tc>
          <w:tcPr>
            <w:tcW w:w="980" w:type="dxa"/>
            <w:vMerge w:val="continue"/>
            <w:tcBorders>
              <w:tl2br w:val="nil"/>
              <w:tr2bl w:val="nil"/>
            </w:tcBorders>
            <w:shd w:val="clear" w:color="auto" w:fill="auto"/>
            <w:vAlign w:val="center"/>
          </w:tcPr>
          <w:p w14:paraId="6263C30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150855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报警策略管理</w:t>
            </w:r>
          </w:p>
        </w:tc>
        <w:tc>
          <w:tcPr>
            <w:tcW w:w="6261" w:type="dxa"/>
            <w:tcBorders>
              <w:tl2br w:val="nil"/>
              <w:tr2bl w:val="nil"/>
            </w:tcBorders>
            <w:shd w:val="clear" w:color="auto" w:fill="auto"/>
            <w:vAlign w:val="center"/>
          </w:tcPr>
          <w:p w14:paraId="15E82DD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对监测的压力、流量、漏失等指标进行报警策略设置，按照不同等级进行报警，推送给相关处理人员。</w:t>
            </w:r>
          </w:p>
        </w:tc>
        <w:tc>
          <w:tcPr>
            <w:tcW w:w="722" w:type="dxa"/>
            <w:vMerge w:val="continue"/>
            <w:tcBorders>
              <w:tl2br w:val="nil"/>
              <w:tr2bl w:val="nil"/>
            </w:tcBorders>
            <w:shd w:val="clear" w:color="auto" w:fill="auto"/>
            <w:vAlign w:val="center"/>
          </w:tcPr>
          <w:p w14:paraId="2B08D88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B7423D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23A5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A23F6F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83</w:t>
            </w:r>
          </w:p>
        </w:tc>
        <w:tc>
          <w:tcPr>
            <w:tcW w:w="980" w:type="dxa"/>
            <w:vMerge w:val="restart"/>
            <w:tcBorders>
              <w:tl2br w:val="nil"/>
              <w:tr2bl w:val="nil"/>
            </w:tcBorders>
            <w:shd w:val="clear" w:color="auto" w:fill="auto"/>
            <w:vAlign w:val="center"/>
          </w:tcPr>
          <w:p w14:paraId="5E40C7B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预警信息管理</w:t>
            </w:r>
          </w:p>
        </w:tc>
        <w:tc>
          <w:tcPr>
            <w:tcW w:w="1118" w:type="dxa"/>
            <w:tcBorders>
              <w:tl2br w:val="nil"/>
              <w:tr2bl w:val="nil"/>
            </w:tcBorders>
            <w:shd w:val="clear" w:color="auto" w:fill="auto"/>
            <w:vAlign w:val="center"/>
          </w:tcPr>
          <w:p w14:paraId="163D2F6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预警信息上报</w:t>
            </w:r>
          </w:p>
        </w:tc>
        <w:tc>
          <w:tcPr>
            <w:tcW w:w="6261" w:type="dxa"/>
            <w:tcBorders>
              <w:tl2br w:val="nil"/>
              <w:tr2bl w:val="nil"/>
            </w:tcBorders>
            <w:shd w:val="clear" w:color="auto" w:fill="auto"/>
            <w:vAlign w:val="center"/>
          </w:tcPr>
          <w:p w14:paraId="4C53903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系统实时捕捉设备异常报警数据，同步触发现场核实流程，工作人员可通过移动端快速上报核实信息。审核人员依托可视化工作平台，对报警信息进行人工研判与确认，实现风险的精准甄别。</w:t>
            </w:r>
          </w:p>
        </w:tc>
        <w:tc>
          <w:tcPr>
            <w:tcW w:w="722" w:type="dxa"/>
            <w:vMerge w:val="restart"/>
            <w:tcBorders>
              <w:tl2br w:val="nil"/>
              <w:tr2bl w:val="nil"/>
            </w:tcBorders>
            <w:shd w:val="clear" w:color="auto" w:fill="auto"/>
            <w:vAlign w:val="center"/>
          </w:tcPr>
          <w:p w14:paraId="5F7A4956">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p w14:paraId="7B9F611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restart"/>
            <w:tcBorders>
              <w:tl2br w:val="nil"/>
              <w:tr2bl w:val="nil"/>
            </w:tcBorders>
            <w:shd w:val="clear" w:color="auto" w:fill="auto"/>
            <w:vAlign w:val="center"/>
          </w:tcPr>
          <w:p w14:paraId="1BCB09AA">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p w14:paraId="41FFE6B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F997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2A36FA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84</w:t>
            </w:r>
          </w:p>
        </w:tc>
        <w:tc>
          <w:tcPr>
            <w:tcW w:w="980" w:type="dxa"/>
            <w:vMerge w:val="continue"/>
            <w:tcBorders>
              <w:tl2br w:val="nil"/>
              <w:tr2bl w:val="nil"/>
            </w:tcBorders>
            <w:shd w:val="clear" w:color="auto" w:fill="auto"/>
            <w:vAlign w:val="center"/>
          </w:tcPr>
          <w:p w14:paraId="0120798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123FBA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预警信息派发</w:t>
            </w:r>
          </w:p>
        </w:tc>
        <w:tc>
          <w:tcPr>
            <w:tcW w:w="6261" w:type="dxa"/>
            <w:tcBorders>
              <w:tl2br w:val="nil"/>
              <w:tr2bl w:val="nil"/>
            </w:tcBorders>
            <w:shd w:val="clear" w:color="auto" w:fill="auto"/>
            <w:vAlign w:val="center"/>
          </w:tcPr>
          <w:p w14:paraId="4FD28FD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经确认的报警信息将分派至对应专业部门，形成任务工单并跟踪处置进度，确保风险隐患及时闭环处理。该模块支持手动介入报警审核，灵活应对复杂场景需求；提供审核信息全景溯源功能，支持查看详细处置记录与沟通日志。</w:t>
            </w:r>
          </w:p>
        </w:tc>
        <w:tc>
          <w:tcPr>
            <w:tcW w:w="722" w:type="dxa"/>
            <w:vMerge w:val="continue"/>
            <w:tcBorders>
              <w:tl2br w:val="nil"/>
              <w:tr2bl w:val="nil"/>
            </w:tcBorders>
            <w:shd w:val="clear" w:color="auto" w:fill="auto"/>
            <w:vAlign w:val="center"/>
          </w:tcPr>
          <w:p w14:paraId="50DDAC9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E5F301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8D0B2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C8D376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85</w:t>
            </w:r>
          </w:p>
        </w:tc>
        <w:tc>
          <w:tcPr>
            <w:tcW w:w="980" w:type="dxa"/>
            <w:vMerge w:val="continue"/>
            <w:tcBorders>
              <w:tl2br w:val="nil"/>
              <w:tr2bl w:val="nil"/>
            </w:tcBorders>
            <w:shd w:val="clear" w:color="auto" w:fill="auto"/>
            <w:vAlign w:val="center"/>
          </w:tcPr>
          <w:p w14:paraId="4BD4090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6B800F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处置过程跟踪</w:t>
            </w:r>
          </w:p>
        </w:tc>
        <w:tc>
          <w:tcPr>
            <w:tcW w:w="6261" w:type="dxa"/>
            <w:tcBorders>
              <w:tl2br w:val="nil"/>
              <w:tr2bl w:val="nil"/>
            </w:tcBorders>
            <w:shd w:val="clear" w:color="auto" w:fill="auto"/>
            <w:vAlign w:val="center"/>
          </w:tcPr>
          <w:p w14:paraId="4E52CDB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配备高效数据管理工具，不仅支持审核记录的批量导出，还可通过区域、监测类型、审核状态、报警级别、报警时间等多维度组合检索，助力管理者快速定位关键信息，为供水系统风险管控提供数据支撑与决策依据。</w:t>
            </w:r>
          </w:p>
        </w:tc>
        <w:tc>
          <w:tcPr>
            <w:tcW w:w="722" w:type="dxa"/>
            <w:vMerge w:val="continue"/>
            <w:tcBorders>
              <w:tl2br w:val="nil"/>
              <w:tr2bl w:val="nil"/>
            </w:tcBorders>
            <w:shd w:val="clear" w:color="auto" w:fill="auto"/>
            <w:vAlign w:val="center"/>
          </w:tcPr>
          <w:p w14:paraId="3676036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6E4047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FEEE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CF208E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86</w:t>
            </w:r>
          </w:p>
        </w:tc>
        <w:tc>
          <w:tcPr>
            <w:tcW w:w="980" w:type="dxa"/>
            <w:vMerge w:val="restart"/>
            <w:tcBorders>
              <w:tl2br w:val="nil"/>
              <w:tr2bl w:val="nil"/>
            </w:tcBorders>
            <w:shd w:val="clear" w:color="auto" w:fill="auto"/>
            <w:vAlign w:val="center"/>
          </w:tcPr>
          <w:p w14:paraId="37F81B2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辅助决策管理</w:t>
            </w:r>
          </w:p>
        </w:tc>
        <w:tc>
          <w:tcPr>
            <w:tcW w:w="1118" w:type="dxa"/>
            <w:tcBorders>
              <w:tl2br w:val="nil"/>
              <w:tr2bl w:val="nil"/>
            </w:tcBorders>
            <w:shd w:val="clear" w:color="auto" w:fill="auto"/>
            <w:vAlign w:val="center"/>
          </w:tcPr>
          <w:p w14:paraId="002051D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供水预案管理</w:t>
            </w:r>
          </w:p>
        </w:tc>
        <w:tc>
          <w:tcPr>
            <w:tcW w:w="6261" w:type="dxa"/>
            <w:tcBorders>
              <w:tl2br w:val="nil"/>
              <w:tr2bl w:val="nil"/>
            </w:tcBorders>
            <w:shd w:val="clear" w:color="auto" w:fill="auto"/>
            <w:vAlign w:val="center"/>
          </w:tcPr>
          <w:p w14:paraId="2E77F07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系统提供了各种事故应急预案的数字化管理模式，能够根据监测报警反馈事故类型及事故信息，匹配事故应急预案并一键下发至业务相关人员处，为现场抢险维修人员提供指导，提高事故抢修效率以及应急处置效率。</w:t>
            </w:r>
          </w:p>
        </w:tc>
        <w:tc>
          <w:tcPr>
            <w:tcW w:w="722" w:type="dxa"/>
            <w:vMerge w:val="restart"/>
            <w:tcBorders>
              <w:tl2br w:val="nil"/>
              <w:tr2bl w:val="nil"/>
            </w:tcBorders>
            <w:shd w:val="clear" w:color="auto" w:fill="auto"/>
            <w:vAlign w:val="center"/>
          </w:tcPr>
          <w:p w14:paraId="2F1F754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1C52139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424B6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A1BDE4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87</w:t>
            </w:r>
          </w:p>
        </w:tc>
        <w:tc>
          <w:tcPr>
            <w:tcW w:w="980" w:type="dxa"/>
            <w:vMerge w:val="continue"/>
            <w:tcBorders>
              <w:tl2br w:val="nil"/>
              <w:tr2bl w:val="nil"/>
            </w:tcBorders>
            <w:shd w:val="clear" w:color="auto" w:fill="auto"/>
            <w:vAlign w:val="center"/>
          </w:tcPr>
          <w:p w14:paraId="6AFF49C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D65B04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维修处置跟踪</w:t>
            </w:r>
          </w:p>
        </w:tc>
        <w:tc>
          <w:tcPr>
            <w:tcW w:w="6261" w:type="dxa"/>
            <w:tcBorders>
              <w:tl2br w:val="nil"/>
              <w:tr2bl w:val="nil"/>
            </w:tcBorders>
            <w:shd w:val="clear" w:color="auto" w:fill="auto"/>
            <w:vAlign w:val="center"/>
          </w:tcPr>
          <w:p w14:paraId="35582DC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接现有工单受理系统工单，实现供水维修工单的实时进度跟踪，展示所有供水工单信息，展示信息包含事件类型、受理时间、派工时间、处置时限、反馈结单时间等信息。根据工单办理时效进行督办，避免因事件处置不及时引起的应急事故发生。</w:t>
            </w:r>
          </w:p>
        </w:tc>
        <w:tc>
          <w:tcPr>
            <w:tcW w:w="722" w:type="dxa"/>
            <w:vMerge w:val="continue"/>
            <w:tcBorders>
              <w:tl2br w:val="nil"/>
              <w:tr2bl w:val="nil"/>
            </w:tcBorders>
            <w:shd w:val="clear" w:color="auto" w:fill="auto"/>
            <w:vAlign w:val="center"/>
          </w:tcPr>
          <w:p w14:paraId="180ABC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ACA395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CBA9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98203D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88</w:t>
            </w:r>
          </w:p>
        </w:tc>
        <w:tc>
          <w:tcPr>
            <w:tcW w:w="980" w:type="dxa"/>
            <w:vMerge w:val="continue"/>
            <w:tcBorders>
              <w:tl2br w:val="nil"/>
              <w:tr2bl w:val="nil"/>
            </w:tcBorders>
            <w:shd w:val="clear" w:color="auto" w:fill="auto"/>
            <w:vAlign w:val="center"/>
          </w:tcPr>
          <w:p w14:paraId="14130C1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906880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模拟开挖分析</w:t>
            </w:r>
          </w:p>
        </w:tc>
        <w:tc>
          <w:tcPr>
            <w:tcW w:w="6261" w:type="dxa"/>
            <w:tcBorders>
              <w:tl2br w:val="nil"/>
              <w:tr2bl w:val="nil"/>
            </w:tcBorders>
            <w:shd w:val="clear" w:color="auto" w:fill="auto"/>
            <w:vAlign w:val="center"/>
          </w:tcPr>
          <w:p w14:paraId="7C4AA53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在电子地图的基础上，基于地理信息数据，假设管道上的一个位置出现安全事故，就安全事故的处置方式进行模拟开挖分析，展示供水管网的相互关联关系。</w:t>
            </w:r>
          </w:p>
        </w:tc>
        <w:tc>
          <w:tcPr>
            <w:tcW w:w="722" w:type="dxa"/>
            <w:vMerge w:val="continue"/>
            <w:tcBorders>
              <w:tl2br w:val="nil"/>
              <w:tr2bl w:val="nil"/>
            </w:tcBorders>
            <w:shd w:val="clear" w:color="auto" w:fill="auto"/>
            <w:vAlign w:val="center"/>
          </w:tcPr>
          <w:p w14:paraId="0DC0760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991B51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E8E9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7D3E4D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89</w:t>
            </w:r>
          </w:p>
        </w:tc>
        <w:tc>
          <w:tcPr>
            <w:tcW w:w="980" w:type="dxa"/>
            <w:vMerge w:val="continue"/>
            <w:tcBorders>
              <w:tl2br w:val="nil"/>
              <w:tr2bl w:val="nil"/>
            </w:tcBorders>
            <w:shd w:val="clear" w:color="auto" w:fill="auto"/>
            <w:vAlign w:val="center"/>
          </w:tcPr>
          <w:p w14:paraId="3C185301">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69459D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辅助处置分析</w:t>
            </w:r>
          </w:p>
        </w:tc>
        <w:tc>
          <w:tcPr>
            <w:tcW w:w="6261" w:type="dxa"/>
            <w:tcBorders>
              <w:tl2br w:val="nil"/>
              <w:tr2bl w:val="nil"/>
            </w:tcBorders>
            <w:shd w:val="clear" w:color="auto" w:fill="auto"/>
            <w:vAlign w:val="center"/>
          </w:tcPr>
          <w:p w14:paraId="0F15D83F">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于供水事件类型、事件场景，综合事故发展信息以及事件分析研判结果，匹配事件相关预案、案例、知识、资源、周边信息、监测监控数据等信息，结合辅助处置分析，生成辅助决策方案，分析事故的处置要点，提出处置部署建议，生成处置方案。</w:t>
            </w:r>
          </w:p>
        </w:tc>
        <w:tc>
          <w:tcPr>
            <w:tcW w:w="722" w:type="dxa"/>
            <w:vMerge w:val="continue"/>
            <w:tcBorders>
              <w:tl2br w:val="nil"/>
              <w:tr2bl w:val="nil"/>
            </w:tcBorders>
            <w:shd w:val="clear" w:color="auto" w:fill="auto"/>
            <w:vAlign w:val="center"/>
          </w:tcPr>
          <w:p w14:paraId="462CB1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873AAF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70CF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vAlign w:val="center"/>
          </w:tcPr>
          <w:p w14:paraId="5DC36C7C">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（四）排水及水生态安全专项应用</w:t>
            </w:r>
          </w:p>
        </w:tc>
      </w:tr>
      <w:tr w14:paraId="3A5B2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221F4B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90</w:t>
            </w:r>
          </w:p>
        </w:tc>
        <w:tc>
          <w:tcPr>
            <w:tcW w:w="980" w:type="dxa"/>
            <w:vMerge w:val="restart"/>
            <w:tcBorders>
              <w:tl2br w:val="nil"/>
              <w:tr2bl w:val="nil"/>
            </w:tcBorders>
            <w:shd w:val="clear" w:color="auto" w:fill="auto"/>
            <w:vAlign w:val="center"/>
          </w:tcPr>
          <w:p w14:paraId="438B726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排水运行一张图</w:t>
            </w:r>
          </w:p>
        </w:tc>
        <w:tc>
          <w:tcPr>
            <w:tcW w:w="1118" w:type="dxa"/>
            <w:tcBorders>
              <w:tl2br w:val="nil"/>
              <w:tr2bl w:val="nil"/>
            </w:tcBorders>
            <w:shd w:val="clear" w:color="auto" w:fill="auto"/>
            <w:vAlign w:val="center"/>
          </w:tcPr>
          <w:p w14:paraId="7383048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基础设施</w:t>
            </w:r>
          </w:p>
        </w:tc>
        <w:tc>
          <w:tcPr>
            <w:tcW w:w="6261" w:type="dxa"/>
            <w:tcBorders>
              <w:tl2br w:val="nil"/>
              <w:tr2bl w:val="nil"/>
            </w:tcBorders>
            <w:shd w:val="clear" w:color="auto" w:fill="auto"/>
            <w:vAlign w:val="center"/>
          </w:tcPr>
          <w:p w14:paraId="35F5775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通过一张图的方式展示排水管网、泵站、雨水井、排水口、调蓄池、行泄通道等排水防涝设施信息，以及易淹易涝点、往年抢修抢险重点区域、重点保障对象（如下穿立交、涵洞、隧道）等信息，支持对基础设施信息的查询与统计。</w:t>
            </w:r>
          </w:p>
        </w:tc>
        <w:tc>
          <w:tcPr>
            <w:tcW w:w="722" w:type="dxa"/>
            <w:vMerge w:val="restart"/>
            <w:tcBorders>
              <w:tl2br w:val="nil"/>
              <w:tr2bl w:val="nil"/>
            </w:tcBorders>
            <w:shd w:val="clear" w:color="auto" w:fill="auto"/>
            <w:vAlign w:val="center"/>
          </w:tcPr>
          <w:p w14:paraId="756DD16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6CBEE60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7CCE8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B05AD0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91</w:t>
            </w:r>
          </w:p>
        </w:tc>
        <w:tc>
          <w:tcPr>
            <w:tcW w:w="980" w:type="dxa"/>
            <w:vMerge w:val="continue"/>
            <w:tcBorders>
              <w:tl2br w:val="nil"/>
              <w:tr2bl w:val="nil"/>
            </w:tcBorders>
            <w:shd w:val="clear" w:color="auto" w:fill="auto"/>
            <w:vAlign w:val="center"/>
          </w:tcPr>
          <w:p w14:paraId="3B7E224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14E3FF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监测设备</w:t>
            </w:r>
          </w:p>
        </w:tc>
        <w:tc>
          <w:tcPr>
            <w:tcW w:w="6261" w:type="dxa"/>
            <w:tcBorders>
              <w:tl2br w:val="nil"/>
              <w:tr2bl w:val="nil"/>
            </w:tcBorders>
            <w:shd w:val="clear" w:color="auto" w:fill="auto"/>
            <w:vAlign w:val="center"/>
          </w:tcPr>
          <w:p w14:paraId="7E48868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从设备类型和设备在线状态统计两方面，对感知设备进行统计。设备类型包含水质监测仪、雷达液位计、水质PH、水质COD、浊度在线、水质氨氮等各类不同功能的感知设备，通过对它们进行分类统计，能清晰地掌握不同类型设备在整体感知的数量情况。</w:t>
            </w:r>
          </w:p>
        </w:tc>
        <w:tc>
          <w:tcPr>
            <w:tcW w:w="722" w:type="dxa"/>
            <w:vMerge w:val="continue"/>
            <w:tcBorders>
              <w:tl2br w:val="nil"/>
              <w:tr2bl w:val="nil"/>
            </w:tcBorders>
            <w:shd w:val="clear" w:color="auto" w:fill="auto"/>
            <w:vAlign w:val="center"/>
          </w:tcPr>
          <w:p w14:paraId="5E14E1C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41877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D3161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4BB110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92</w:t>
            </w:r>
          </w:p>
        </w:tc>
        <w:tc>
          <w:tcPr>
            <w:tcW w:w="980" w:type="dxa"/>
            <w:vMerge w:val="continue"/>
            <w:tcBorders>
              <w:tl2br w:val="nil"/>
              <w:tr2bl w:val="nil"/>
            </w:tcBorders>
            <w:shd w:val="clear" w:color="auto" w:fill="auto"/>
            <w:vAlign w:val="center"/>
          </w:tcPr>
          <w:p w14:paraId="7B0D0A7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C25733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运行监测</w:t>
            </w:r>
          </w:p>
        </w:tc>
        <w:tc>
          <w:tcPr>
            <w:tcW w:w="6261" w:type="dxa"/>
            <w:tcBorders>
              <w:tl2br w:val="nil"/>
              <w:tr2bl w:val="nil"/>
            </w:tcBorders>
            <w:shd w:val="clear" w:color="auto" w:fill="auto"/>
            <w:vAlign w:val="center"/>
          </w:tcPr>
          <w:p w14:paraId="316E5B0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接入排水防涝液位、水质等监测设备分布、监测数据、报警预警、处置等情况，并通过一张图的方式展示出来，支持对运行监测数据的查询与统计，运行监测子图包括图形展示、统计展示、数据查询。</w:t>
            </w:r>
          </w:p>
        </w:tc>
        <w:tc>
          <w:tcPr>
            <w:tcW w:w="722" w:type="dxa"/>
            <w:vMerge w:val="continue"/>
            <w:tcBorders>
              <w:tl2br w:val="nil"/>
              <w:tr2bl w:val="nil"/>
            </w:tcBorders>
            <w:shd w:val="clear" w:color="auto" w:fill="auto"/>
            <w:vAlign w:val="center"/>
          </w:tcPr>
          <w:p w14:paraId="42B0103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5974B7E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FDD70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B16417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93</w:t>
            </w:r>
          </w:p>
        </w:tc>
        <w:tc>
          <w:tcPr>
            <w:tcW w:w="980" w:type="dxa"/>
            <w:vMerge w:val="continue"/>
            <w:tcBorders>
              <w:tl2br w:val="nil"/>
              <w:tr2bl w:val="nil"/>
            </w:tcBorders>
            <w:shd w:val="clear" w:color="auto" w:fill="auto"/>
            <w:vAlign w:val="center"/>
          </w:tcPr>
          <w:p w14:paraId="63C9358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8AC406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报警统计</w:t>
            </w:r>
          </w:p>
        </w:tc>
        <w:tc>
          <w:tcPr>
            <w:tcW w:w="6261" w:type="dxa"/>
            <w:tcBorders>
              <w:tl2br w:val="nil"/>
              <w:tr2bl w:val="nil"/>
            </w:tcBorders>
            <w:shd w:val="clear" w:color="auto" w:fill="auto"/>
            <w:vAlign w:val="center"/>
          </w:tcPr>
          <w:p w14:paraId="629442C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系统记录并展示每次报警事件的具体情况，包括报警的时间、地点、类型、可能的原因以及当前的处理状态。提供近七天内报警事件的趋势图，通过图表形式展示报警事件随时间的变化情况。</w:t>
            </w:r>
          </w:p>
        </w:tc>
        <w:tc>
          <w:tcPr>
            <w:tcW w:w="722" w:type="dxa"/>
            <w:vMerge w:val="continue"/>
            <w:tcBorders>
              <w:tl2br w:val="nil"/>
              <w:tr2bl w:val="nil"/>
            </w:tcBorders>
            <w:shd w:val="clear" w:color="auto" w:fill="auto"/>
            <w:vAlign w:val="center"/>
          </w:tcPr>
          <w:p w14:paraId="5864A79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36DD8A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2E61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426C45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94</w:t>
            </w:r>
          </w:p>
        </w:tc>
        <w:tc>
          <w:tcPr>
            <w:tcW w:w="980" w:type="dxa"/>
            <w:vMerge w:val="continue"/>
            <w:tcBorders>
              <w:tl2br w:val="nil"/>
              <w:tr2bl w:val="nil"/>
            </w:tcBorders>
            <w:shd w:val="clear" w:color="auto" w:fill="auto"/>
            <w:vAlign w:val="center"/>
          </w:tcPr>
          <w:p w14:paraId="45A0D78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D71B15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风险分布</w:t>
            </w:r>
          </w:p>
        </w:tc>
        <w:tc>
          <w:tcPr>
            <w:tcW w:w="6261" w:type="dxa"/>
            <w:tcBorders>
              <w:tl2br w:val="nil"/>
              <w:tr2bl w:val="nil"/>
            </w:tcBorders>
            <w:shd w:val="clear" w:color="auto" w:fill="auto"/>
            <w:vAlign w:val="center"/>
          </w:tcPr>
          <w:p w14:paraId="22C5283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通过风险态势一张图，对所有的风险点位信息实现一图统览。页面以电子地图为底图，通过图层控制，显示管道风险四色图分布，通过数据可视化技术，将风险点位信息以直观的方式展示出来，帮助用户快速了解风险分布情况。</w:t>
            </w:r>
          </w:p>
        </w:tc>
        <w:tc>
          <w:tcPr>
            <w:tcW w:w="722" w:type="dxa"/>
            <w:vMerge w:val="continue"/>
            <w:tcBorders>
              <w:tl2br w:val="nil"/>
              <w:tr2bl w:val="nil"/>
            </w:tcBorders>
            <w:shd w:val="clear" w:color="auto" w:fill="auto"/>
            <w:vAlign w:val="center"/>
          </w:tcPr>
          <w:p w14:paraId="13DC475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541766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E720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15FDD3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95</w:t>
            </w:r>
          </w:p>
        </w:tc>
        <w:tc>
          <w:tcPr>
            <w:tcW w:w="980" w:type="dxa"/>
            <w:vMerge w:val="continue"/>
            <w:tcBorders>
              <w:tl2br w:val="nil"/>
              <w:tr2bl w:val="nil"/>
            </w:tcBorders>
            <w:shd w:val="clear" w:color="auto" w:fill="auto"/>
            <w:vAlign w:val="center"/>
          </w:tcPr>
          <w:p w14:paraId="3288BC0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7A87A2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预警处置</w:t>
            </w:r>
          </w:p>
        </w:tc>
        <w:tc>
          <w:tcPr>
            <w:tcW w:w="6261" w:type="dxa"/>
            <w:tcBorders>
              <w:tl2br w:val="nil"/>
              <w:tr2bl w:val="nil"/>
            </w:tcBorders>
            <w:shd w:val="clear" w:color="auto" w:fill="auto"/>
            <w:vAlign w:val="center"/>
          </w:tcPr>
          <w:p w14:paraId="3E744BFF">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通过一张图的形式展示防涝应急资源数量、种类、位置等信息，重点保障对象数量、种类、位置等信息，突发事件数量、处置情况等，支持对防涝应急资源信息、重点保障对象、突发事件等的查询与统计。</w:t>
            </w:r>
          </w:p>
        </w:tc>
        <w:tc>
          <w:tcPr>
            <w:tcW w:w="722" w:type="dxa"/>
            <w:vMerge w:val="continue"/>
            <w:tcBorders>
              <w:tl2br w:val="nil"/>
              <w:tr2bl w:val="nil"/>
            </w:tcBorders>
            <w:shd w:val="clear" w:color="auto" w:fill="auto"/>
            <w:vAlign w:val="center"/>
          </w:tcPr>
          <w:p w14:paraId="2F97F59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4B5C6C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B35EC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446581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96</w:t>
            </w:r>
          </w:p>
        </w:tc>
        <w:tc>
          <w:tcPr>
            <w:tcW w:w="980" w:type="dxa"/>
            <w:vMerge w:val="restart"/>
            <w:tcBorders>
              <w:tl2br w:val="nil"/>
              <w:tr2bl w:val="nil"/>
            </w:tcBorders>
            <w:shd w:val="clear" w:color="auto" w:fill="auto"/>
            <w:vAlign w:val="center"/>
          </w:tcPr>
          <w:p w14:paraId="65C77A6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基础信息管理</w:t>
            </w:r>
          </w:p>
        </w:tc>
        <w:tc>
          <w:tcPr>
            <w:tcW w:w="1118" w:type="dxa"/>
            <w:tcBorders>
              <w:tl2br w:val="nil"/>
              <w:tr2bl w:val="nil"/>
            </w:tcBorders>
            <w:shd w:val="clear" w:color="auto" w:fill="auto"/>
            <w:vAlign w:val="center"/>
          </w:tcPr>
          <w:p w14:paraId="44DB117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排水企业</w:t>
            </w:r>
          </w:p>
        </w:tc>
        <w:tc>
          <w:tcPr>
            <w:tcW w:w="6261" w:type="dxa"/>
            <w:tcBorders>
              <w:tl2br w:val="nil"/>
              <w:tr2bl w:val="nil"/>
            </w:tcBorders>
            <w:shd w:val="clear" w:color="auto" w:fill="auto"/>
            <w:vAlign w:val="center"/>
          </w:tcPr>
          <w:p w14:paraId="6E9F44A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展示全县排水企业公司信息，数据来源由各排水公司通过企业平台上报，或者企业账户、运维账户手动新增、第三方系统接入等。支持对排水企业基础信息的新增、查询、修改。</w:t>
            </w:r>
          </w:p>
        </w:tc>
        <w:tc>
          <w:tcPr>
            <w:tcW w:w="722" w:type="dxa"/>
            <w:vMerge w:val="restart"/>
            <w:tcBorders>
              <w:tl2br w:val="nil"/>
              <w:tr2bl w:val="nil"/>
            </w:tcBorders>
            <w:shd w:val="clear" w:color="auto" w:fill="auto"/>
            <w:vAlign w:val="center"/>
          </w:tcPr>
          <w:p w14:paraId="343BCFD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119B636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289F8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0BD540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97</w:t>
            </w:r>
          </w:p>
        </w:tc>
        <w:tc>
          <w:tcPr>
            <w:tcW w:w="980" w:type="dxa"/>
            <w:vMerge w:val="continue"/>
            <w:tcBorders>
              <w:tl2br w:val="nil"/>
              <w:tr2bl w:val="nil"/>
            </w:tcBorders>
            <w:shd w:val="clear" w:color="auto" w:fill="auto"/>
            <w:vAlign w:val="center"/>
          </w:tcPr>
          <w:p w14:paraId="34DC13F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2E9E07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排水管网</w:t>
            </w:r>
          </w:p>
        </w:tc>
        <w:tc>
          <w:tcPr>
            <w:tcW w:w="6261" w:type="dxa"/>
            <w:tcBorders>
              <w:tl2br w:val="nil"/>
              <w:tr2bl w:val="nil"/>
            </w:tcBorders>
            <w:shd w:val="clear" w:color="auto" w:fill="auto"/>
            <w:vAlign w:val="center"/>
          </w:tcPr>
          <w:p w14:paraId="0E6D0E1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构建覆盖排水管网全生命周期的数字化档案，详细记录管网拓扑结构、管径规格、材质类型、埋设深度、铺设年限、维护记录等关键数据。借助GIS地理信息系统，实现管网分布的可视化呈现与精准定位。</w:t>
            </w:r>
          </w:p>
        </w:tc>
        <w:tc>
          <w:tcPr>
            <w:tcW w:w="722" w:type="dxa"/>
            <w:vMerge w:val="continue"/>
            <w:tcBorders>
              <w:tl2br w:val="nil"/>
              <w:tr2bl w:val="nil"/>
            </w:tcBorders>
            <w:shd w:val="clear" w:color="auto" w:fill="auto"/>
            <w:vAlign w:val="center"/>
          </w:tcPr>
          <w:p w14:paraId="2404190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C807DE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1E4A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C80E25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98</w:t>
            </w:r>
          </w:p>
        </w:tc>
        <w:tc>
          <w:tcPr>
            <w:tcW w:w="980" w:type="dxa"/>
            <w:vMerge w:val="continue"/>
            <w:tcBorders>
              <w:tl2br w:val="nil"/>
              <w:tr2bl w:val="nil"/>
            </w:tcBorders>
            <w:shd w:val="clear" w:color="auto" w:fill="auto"/>
            <w:vAlign w:val="center"/>
          </w:tcPr>
          <w:p w14:paraId="0BEB1AF1">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121B07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排水井</w:t>
            </w:r>
          </w:p>
        </w:tc>
        <w:tc>
          <w:tcPr>
            <w:tcW w:w="6261" w:type="dxa"/>
            <w:tcBorders>
              <w:tl2br w:val="nil"/>
              <w:tr2bl w:val="nil"/>
            </w:tcBorders>
            <w:shd w:val="clear" w:color="auto" w:fill="auto"/>
            <w:vAlign w:val="center"/>
          </w:tcPr>
          <w:p w14:paraId="66516CA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雨水井的基本信息进行统一管理，支持根据数据类别、主管部门等维度查询雨水井属性信息。支持详情查看，包括管类代码、探测点号、要素代码、地面高程、特征点、附属物、所在道路、井室代码信息等相关数据。</w:t>
            </w:r>
          </w:p>
        </w:tc>
        <w:tc>
          <w:tcPr>
            <w:tcW w:w="722" w:type="dxa"/>
            <w:vMerge w:val="continue"/>
            <w:tcBorders>
              <w:tl2br w:val="nil"/>
              <w:tr2bl w:val="nil"/>
            </w:tcBorders>
            <w:shd w:val="clear" w:color="auto" w:fill="auto"/>
            <w:vAlign w:val="center"/>
          </w:tcPr>
          <w:p w14:paraId="7961D82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A47383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4F8A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984504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99</w:t>
            </w:r>
          </w:p>
        </w:tc>
        <w:tc>
          <w:tcPr>
            <w:tcW w:w="980" w:type="dxa"/>
            <w:vMerge w:val="continue"/>
            <w:tcBorders>
              <w:tl2br w:val="nil"/>
              <w:tr2bl w:val="nil"/>
            </w:tcBorders>
            <w:shd w:val="clear" w:color="auto" w:fill="auto"/>
            <w:vAlign w:val="center"/>
          </w:tcPr>
          <w:p w14:paraId="5F0BEED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2AD568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排水口</w:t>
            </w:r>
          </w:p>
        </w:tc>
        <w:tc>
          <w:tcPr>
            <w:tcW w:w="6261" w:type="dxa"/>
            <w:tcBorders>
              <w:tl2br w:val="nil"/>
              <w:tr2bl w:val="nil"/>
            </w:tcBorders>
            <w:shd w:val="clear" w:color="auto" w:fill="auto"/>
            <w:vAlign w:val="center"/>
          </w:tcPr>
          <w:p w14:paraId="1944810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对排水口的基本信息进行统一管理，支持根据数据类别、主管部门等维度查询排水口属性信息。支持详情查看，具体包括名称、地址、类别、地表高程、顶部高程信息等相关数据。</w:t>
            </w:r>
          </w:p>
        </w:tc>
        <w:tc>
          <w:tcPr>
            <w:tcW w:w="722" w:type="dxa"/>
            <w:vMerge w:val="continue"/>
            <w:tcBorders>
              <w:tl2br w:val="nil"/>
              <w:tr2bl w:val="nil"/>
            </w:tcBorders>
            <w:shd w:val="clear" w:color="auto" w:fill="auto"/>
            <w:vAlign w:val="center"/>
          </w:tcPr>
          <w:p w14:paraId="0EAF496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666202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2054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1EC6FA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100</w:t>
            </w:r>
          </w:p>
        </w:tc>
        <w:tc>
          <w:tcPr>
            <w:tcW w:w="980" w:type="dxa"/>
            <w:vMerge w:val="continue"/>
            <w:tcBorders>
              <w:tl2br w:val="nil"/>
              <w:tr2bl w:val="nil"/>
            </w:tcBorders>
            <w:shd w:val="clear" w:color="auto" w:fill="auto"/>
            <w:vAlign w:val="center"/>
          </w:tcPr>
          <w:p w14:paraId="017CCE4E">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48BC6F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易积水点</w:t>
            </w:r>
          </w:p>
        </w:tc>
        <w:tc>
          <w:tcPr>
            <w:tcW w:w="6261" w:type="dxa"/>
            <w:tcBorders>
              <w:tl2br w:val="nil"/>
              <w:tr2bl w:val="nil"/>
            </w:tcBorders>
            <w:shd w:val="clear" w:color="auto" w:fill="auto"/>
            <w:vAlign w:val="center"/>
          </w:tcPr>
          <w:p w14:paraId="76034FA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对易积水点的基本信息进行统一管理，支持根据数据类别、主管部门等维度查询易淹易涝区属性信息。支持详情查看，包括名称、风险等级、地址等相关数据。</w:t>
            </w:r>
          </w:p>
        </w:tc>
        <w:tc>
          <w:tcPr>
            <w:tcW w:w="722" w:type="dxa"/>
            <w:vMerge w:val="continue"/>
            <w:tcBorders>
              <w:tl2br w:val="nil"/>
              <w:tr2bl w:val="nil"/>
            </w:tcBorders>
            <w:shd w:val="clear" w:color="auto" w:fill="auto"/>
            <w:vAlign w:val="center"/>
          </w:tcPr>
          <w:p w14:paraId="709B575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43E80D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9711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D0B074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101</w:t>
            </w:r>
          </w:p>
        </w:tc>
        <w:tc>
          <w:tcPr>
            <w:tcW w:w="980" w:type="dxa"/>
            <w:vMerge w:val="continue"/>
            <w:tcBorders>
              <w:tl2br w:val="nil"/>
              <w:tr2bl w:val="nil"/>
            </w:tcBorders>
            <w:shd w:val="clear" w:color="auto" w:fill="auto"/>
            <w:vAlign w:val="center"/>
          </w:tcPr>
          <w:p w14:paraId="1CE678CE">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B333C4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污水处理厂</w:t>
            </w:r>
          </w:p>
        </w:tc>
        <w:tc>
          <w:tcPr>
            <w:tcW w:w="6261" w:type="dxa"/>
            <w:tcBorders>
              <w:tl2br w:val="nil"/>
              <w:tr2bl w:val="nil"/>
            </w:tcBorders>
            <w:shd w:val="clear" w:color="auto" w:fill="auto"/>
            <w:vAlign w:val="center"/>
          </w:tcPr>
          <w:p w14:paraId="13B9372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详细记录建设规模，涵盖厂区占地面积、设计处理能力、配套设施数量等数据，为规划扩容升级提供量化依据；全面收录排污许可证信息，包括许可排放污染物种类、浓度限值、有效期限等内容，确保污水厂运营合规。</w:t>
            </w:r>
          </w:p>
        </w:tc>
        <w:tc>
          <w:tcPr>
            <w:tcW w:w="722" w:type="dxa"/>
            <w:vMerge w:val="continue"/>
            <w:tcBorders>
              <w:tl2br w:val="nil"/>
              <w:tr2bl w:val="nil"/>
            </w:tcBorders>
            <w:shd w:val="clear" w:color="auto" w:fill="auto"/>
            <w:vAlign w:val="center"/>
          </w:tcPr>
          <w:p w14:paraId="3AC7335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F7FA9D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A2C2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FE29A8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102</w:t>
            </w:r>
          </w:p>
        </w:tc>
        <w:tc>
          <w:tcPr>
            <w:tcW w:w="980" w:type="dxa"/>
            <w:vMerge w:val="continue"/>
            <w:tcBorders>
              <w:tl2br w:val="nil"/>
              <w:tr2bl w:val="nil"/>
            </w:tcBorders>
            <w:shd w:val="clear" w:color="auto" w:fill="auto"/>
            <w:vAlign w:val="center"/>
          </w:tcPr>
          <w:p w14:paraId="4E79F259">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29DA89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泵站闸站水坝库</w:t>
            </w:r>
          </w:p>
        </w:tc>
        <w:tc>
          <w:tcPr>
            <w:tcW w:w="6261" w:type="dxa"/>
            <w:tcBorders>
              <w:tl2br w:val="nil"/>
              <w:tr2bl w:val="nil"/>
            </w:tcBorders>
            <w:shd w:val="clear" w:color="auto" w:fill="auto"/>
            <w:vAlign w:val="center"/>
          </w:tcPr>
          <w:p w14:paraId="13DC0A2F">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实现对排水系统的泵站、闸站、水坝3报警类关键要素进行建库管理，内容包括报警资产档案、地理轮廓、报警阈值、拓扑挂接。</w:t>
            </w:r>
          </w:p>
        </w:tc>
        <w:tc>
          <w:tcPr>
            <w:tcW w:w="722" w:type="dxa"/>
            <w:vMerge w:val="continue"/>
            <w:tcBorders>
              <w:tl2br w:val="nil"/>
              <w:tr2bl w:val="nil"/>
            </w:tcBorders>
            <w:shd w:val="clear" w:color="auto" w:fill="auto"/>
            <w:vAlign w:val="center"/>
          </w:tcPr>
          <w:p w14:paraId="5990375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5365AAD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FFC0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06EAB6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103</w:t>
            </w:r>
          </w:p>
        </w:tc>
        <w:tc>
          <w:tcPr>
            <w:tcW w:w="980" w:type="dxa"/>
            <w:vMerge w:val="continue"/>
            <w:tcBorders>
              <w:tl2br w:val="nil"/>
              <w:tr2bl w:val="nil"/>
            </w:tcBorders>
            <w:shd w:val="clear" w:color="auto" w:fill="auto"/>
            <w:vAlign w:val="center"/>
          </w:tcPr>
          <w:p w14:paraId="63090C6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A2333E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报警排口窨井调蓄库</w:t>
            </w:r>
          </w:p>
        </w:tc>
        <w:tc>
          <w:tcPr>
            <w:tcW w:w="6261" w:type="dxa"/>
            <w:tcBorders>
              <w:tl2br w:val="nil"/>
              <w:tr2bl w:val="nil"/>
            </w:tcBorders>
            <w:shd w:val="clear" w:color="auto" w:fill="auto"/>
            <w:vAlign w:val="center"/>
          </w:tcPr>
          <w:p w14:paraId="1448006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实现对排水系统的排报警口、窨井、调蓄池3报警类关键要素进行建库管理，内容包报警括资产档案、地理轮廓、报警阈值、拓扑挂接。</w:t>
            </w:r>
          </w:p>
        </w:tc>
        <w:tc>
          <w:tcPr>
            <w:tcW w:w="722" w:type="dxa"/>
            <w:vMerge w:val="continue"/>
            <w:tcBorders>
              <w:tl2br w:val="nil"/>
              <w:tr2bl w:val="nil"/>
            </w:tcBorders>
            <w:shd w:val="clear" w:color="auto" w:fill="auto"/>
            <w:vAlign w:val="center"/>
          </w:tcPr>
          <w:p w14:paraId="58FFF18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448A97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5CF8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CAA585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104</w:t>
            </w:r>
          </w:p>
        </w:tc>
        <w:tc>
          <w:tcPr>
            <w:tcW w:w="980" w:type="dxa"/>
            <w:vMerge w:val="continue"/>
            <w:tcBorders>
              <w:tl2br w:val="nil"/>
              <w:tr2bl w:val="nil"/>
            </w:tcBorders>
            <w:shd w:val="clear" w:color="auto" w:fill="auto"/>
            <w:vAlign w:val="center"/>
          </w:tcPr>
          <w:p w14:paraId="37AA7E0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C659BB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监测设备</w:t>
            </w:r>
          </w:p>
        </w:tc>
        <w:tc>
          <w:tcPr>
            <w:tcW w:w="6261" w:type="dxa"/>
            <w:tcBorders>
              <w:tl2br w:val="nil"/>
              <w:tr2bl w:val="nil"/>
            </w:tcBorders>
            <w:shd w:val="clear" w:color="auto" w:fill="auto"/>
            <w:vAlign w:val="center"/>
          </w:tcPr>
          <w:p w14:paraId="3919307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支持对传感器设备信息的模糊查询和准确查询，支持按类型查询。按照设备编码、设备类型、安装时间、设备工作状态、单位、位置等维度进行数据呈现。支持查看详细信息、编辑，更新位置等信息维护操作。</w:t>
            </w:r>
          </w:p>
        </w:tc>
        <w:tc>
          <w:tcPr>
            <w:tcW w:w="722" w:type="dxa"/>
            <w:vMerge w:val="continue"/>
            <w:tcBorders>
              <w:tl2br w:val="nil"/>
              <w:tr2bl w:val="nil"/>
            </w:tcBorders>
            <w:shd w:val="clear" w:color="auto" w:fill="auto"/>
            <w:vAlign w:val="center"/>
          </w:tcPr>
          <w:p w14:paraId="4EA691A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160A57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EA0A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28D384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105</w:t>
            </w:r>
          </w:p>
        </w:tc>
        <w:tc>
          <w:tcPr>
            <w:tcW w:w="980" w:type="dxa"/>
            <w:vMerge w:val="restart"/>
            <w:tcBorders>
              <w:tl2br w:val="nil"/>
              <w:tr2bl w:val="nil"/>
            </w:tcBorders>
            <w:shd w:val="clear" w:color="auto" w:fill="auto"/>
            <w:vAlign w:val="center"/>
          </w:tcPr>
          <w:p w14:paraId="7FEDFD7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风险评估管理</w:t>
            </w:r>
          </w:p>
        </w:tc>
        <w:tc>
          <w:tcPr>
            <w:tcW w:w="1118" w:type="dxa"/>
            <w:tcBorders>
              <w:tl2br w:val="nil"/>
              <w:tr2bl w:val="nil"/>
            </w:tcBorders>
            <w:shd w:val="clear" w:color="auto" w:fill="auto"/>
            <w:vAlign w:val="center"/>
          </w:tcPr>
          <w:p w14:paraId="3F6A92F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风险评估</w:t>
            </w:r>
          </w:p>
        </w:tc>
        <w:tc>
          <w:tcPr>
            <w:tcW w:w="6261" w:type="dxa"/>
            <w:tcBorders>
              <w:tl2br w:val="nil"/>
              <w:tr2bl w:val="nil"/>
            </w:tcBorders>
            <w:shd w:val="clear" w:color="auto" w:fill="auto"/>
            <w:vAlign w:val="center"/>
          </w:tcPr>
          <w:p w14:paraId="0C955DF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通过收集汇总排水管网的基础数据信息，包括管道结构状况、水流动态、降雨量、历史事故记录等，计算出排水系统的风险评估得分。依据风险评估得分，将排水管网划分为不同风险级别。以柱状图的形式直观呈现风险四级统计结果。</w:t>
            </w:r>
          </w:p>
        </w:tc>
        <w:tc>
          <w:tcPr>
            <w:tcW w:w="722" w:type="dxa"/>
            <w:vMerge w:val="restart"/>
            <w:tcBorders>
              <w:tl2br w:val="nil"/>
              <w:tr2bl w:val="nil"/>
            </w:tcBorders>
            <w:shd w:val="clear" w:color="auto" w:fill="auto"/>
            <w:vAlign w:val="center"/>
          </w:tcPr>
          <w:p w14:paraId="7A14687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061B7AF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7239E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E2CFE6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106</w:t>
            </w:r>
          </w:p>
        </w:tc>
        <w:tc>
          <w:tcPr>
            <w:tcW w:w="980" w:type="dxa"/>
            <w:vMerge w:val="continue"/>
            <w:tcBorders>
              <w:tl2br w:val="nil"/>
              <w:tr2bl w:val="nil"/>
            </w:tcBorders>
            <w:shd w:val="clear" w:color="auto" w:fill="auto"/>
            <w:vAlign w:val="center"/>
          </w:tcPr>
          <w:p w14:paraId="25F5F58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5462DC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风险统计分析</w:t>
            </w:r>
          </w:p>
        </w:tc>
        <w:tc>
          <w:tcPr>
            <w:tcW w:w="6261" w:type="dxa"/>
            <w:tcBorders>
              <w:tl2br w:val="nil"/>
              <w:tr2bl w:val="nil"/>
            </w:tcBorders>
            <w:shd w:val="clear" w:color="auto" w:fill="auto"/>
            <w:vAlign w:val="center"/>
          </w:tcPr>
          <w:p w14:paraId="4F70ADB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通过直观的图表展示，帮助用户全面了解风险点的历史报警情况，可以筛选某一时间段内的报警数据进行统计。从时间维度展示报警事件的频次变化趋势，通过折线图或柱状图展示不同时间段内的报警数量，识别报警的高峰和低谷。</w:t>
            </w:r>
          </w:p>
        </w:tc>
        <w:tc>
          <w:tcPr>
            <w:tcW w:w="722" w:type="dxa"/>
            <w:vMerge w:val="continue"/>
            <w:tcBorders>
              <w:tl2br w:val="nil"/>
              <w:tr2bl w:val="nil"/>
            </w:tcBorders>
            <w:shd w:val="clear" w:color="auto" w:fill="auto"/>
            <w:vAlign w:val="center"/>
          </w:tcPr>
          <w:p w14:paraId="086F7FD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44AB1A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6DAA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CA1431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107</w:t>
            </w:r>
          </w:p>
        </w:tc>
        <w:tc>
          <w:tcPr>
            <w:tcW w:w="980" w:type="dxa"/>
            <w:vMerge w:val="continue"/>
            <w:tcBorders>
              <w:tl2br w:val="nil"/>
              <w:tr2bl w:val="nil"/>
            </w:tcBorders>
            <w:shd w:val="clear" w:color="auto" w:fill="auto"/>
            <w:vAlign w:val="center"/>
          </w:tcPr>
          <w:p w14:paraId="4D54ADE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4426B4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风险报告管理</w:t>
            </w:r>
          </w:p>
        </w:tc>
        <w:tc>
          <w:tcPr>
            <w:tcW w:w="6261" w:type="dxa"/>
            <w:tcBorders>
              <w:tl2br w:val="nil"/>
              <w:tr2bl w:val="nil"/>
            </w:tcBorders>
            <w:shd w:val="clear" w:color="auto" w:fill="auto"/>
            <w:vAlign w:val="center"/>
          </w:tcPr>
          <w:p w14:paraId="32D23EF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以列表的方式展示系统中的风险评估报告情况，支持排水风险评估报告模板上传、下载，包括安全运行风险分布图监测报警统计分析、安全运行状况总结、相应处置建议等章节。</w:t>
            </w:r>
          </w:p>
        </w:tc>
        <w:tc>
          <w:tcPr>
            <w:tcW w:w="722" w:type="dxa"/>
            <w:vMerge w:val="continue"/>
            <w:tcBorders>
              <w:tl2br w:val="nil"/>
              <w:tr2bl w:val="nil"/>
            </w:tcBorders>
            <w:shd w:val="clear" w:color="auto" w:fill="auto"/>
            <w:vAlign w:val="center"/>
          </w:tcPr>
          <w:p w14:paraId="230BFBE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C16132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15C5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71EECC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108</w:t>
            </w:r>
          </w:p>
        </w:tc>
        <w:tc>
          <w:tcPr>
            <w:tcW w:w="980" w:type="dxa"/>
            <w:vMerge w:val="continue"/>
            <w:tcBorders>
              <w:tl2br w:val="nil"/>
              <w:tr2bl w:val="nil"/>
            </w:tcBorders>
            <w:shd w:val="clear" w:color="auto" w:fill="auto"/>
            <w:vAlign w:val="center"/>
          </w:tcPr>
          <w:p w14:paraId="459C53D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1E42A9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隐患排查热力图</w:t>
            </w:r>
          </w:p>
        </w:tc>
        <w:tc>
          <w:tcPr>
            <w:tcW w:w="6261" w:type="dxa"/>
            <w:tcBorders>
              <w:tl2br w:val="nil"/>
              <w:tr2bl w:val="nil"/>
            </w:tcBorders>
            <w:shd w:val="clear" w:color="auto" w:fill="auto"/>
            <w:vAlign w:val="center"/>
          </w:tcPr>
          <w:p w14:paraId="73EA2E8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7"/>
                <w:rFonts w:hint="eastAsia" w:ascii="宋体" w:hAnsi="宋体" w:eastAsia="宋体" w:cs="宋体"/>
                <w:snapToGrid w:val="0"/>
                <w:color w:val="auto"/>
                <w:sz w:val="21"/>
                <w:szCs w:val="21"/>
                <w:highlight w:val="none"/>
                <w:lang w:val="en-US" w:eastAsia="zh-CN" w:bidi="ar"/>
              </w:rPr>
              <w:t>以风险单元为骨架</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街道相关区域</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，最近排查结果为时点，汇总排查历史记 录以及隐患整个记录，生成整个城市的隐患风险热力图。</w:t>
            </w:r>
          </w:p>
        </w:tc>
        <w:tc>
          <w:tcPr>
            <w:tcW w:w="722" w:type="dxa"/>
            <w:vMerge w:val="continue"/>
            <w:tcBorders>
              <w:tl2br w:val="nil"/>
              <w:tr2bl w:val="nil"/>
            </w:tcBorders>
            <w:shd w:val="clear" w:color="auto" w:fill="auto"/>
            <w:vAlign w:val="center"/>
          </w:tcPr>
          <w:p w14:paraId="6434400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5E157F3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780A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69732C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109</w:t>
            </w:r>
          </w:p>
        </w:tc>
        <w:tc>
          <w:tcPr>
            <w:tcW w:w="980" w:type="dxa"/>
            <w:vMerge w:val="restart"/>
            <w:tcBorders>
              <w:tl2br w:val="nil"/>
              <w:tr2bl w:val="nil"/>
            </w:tcBorders>
            <w:shd w:val="clear" w:color="auto" w:fill="auto"/>
            <w:vAlign w:val="center"/>
          </w:tcPr>
          <w:p w14:paraId="176F807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监测监控管理</w:t>
            </w:r>
          </w:p>
        </w:tc>
        <w:tc>
          <w:tcPr>
            <w:tcW w:w="1118" w:type="dxa"/>
            <w:tcBorders>
              <w:tl2br w:val="nil"/>
              <w:tr2bl w:val="nil"/>
            </w:tcBorders>
            <w:shd w:val="clear" w:color="auto" w:fill="auto"/>
            <w:vAlign w:val="center"/>
          </w:tcPr>
          <w:p w14:paraId="7FBBCBD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实时展示</w:t>
            </w:r>
          </w:p>
        </w:tc>
        <w:tc>
          <w:tcPr>
            <w:tcW w:w="6261" w:type="dxa"/>
            <w:tcBorders>
              <w:tl2br w:val="nil"/>
              <w:tr2bl w:val="nil"/>
            </w:tcBorders>
            <w:shd w:val="clear" w:color="auto" w:fill="auto"/>
            <w:vAlign w:val="center"/>
          </w:tcPr>
          <w:p w14:paraId="0DA138C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 GIS 电子地图方式实现：实时显示监测点的监测数据，订阅到数据变化后自动进行更新；依据红橙蓝绿灰5 色显示监测点的状态，依据风险高低和在线与否进行 实时区分；</w:t>
            </w:r>
          </w:p>
        </w:tc>
        <w:tc>
          <w:tcPr>
            <w:tcW w:w="722" w:type="dxa"/>
            <w:vMerge w:val="restart"/>
            <w:tcBorders>
              <w:tl2br w:val="nil"/>
              <w:tr2bl w:val="nil"/>
            </w:tcBorders>
            <w:shd w:val="clear" w:color="auto" w:fill="auto"/>
            <w:vAlign w:val="center"/>
          </w:tcPr>
          <w:p w14:paraId="2C7B2C4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44054CB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5F0D42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598820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110</w:t>
            </w:r>
          </w:p>
        </w:tc>
        <w:tc>
          <w:tcPr>
            <w:tcW w:w="980" w:type="dxa"/>
            <w:vMerge w:val="continue"/>
            <w:tcBorders>
              <w:tl2br w:val="nil"/>
              <w:tr2bl w:val="nil"/>
            </w:tcBorders>
            <w:shd w:val="clear" w:color="auto" w:fill="auto"/>
            <w:vAlign w:val="center"/>
          </w:tcPr>
          <w:p w14:paraId="5895DC3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AF3A0C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监测阈值管理</w:t>
            </w:r>
          </w:p>
        </w:tc>
        <w:tc>
          <w:tcPr>
            <w:tcW w:w="6261" w:type="dxa"/>
            <w:tcBorders>
              <w:tl2br w:val="nil"/>
              <w:tr2bl w:val="nil"/>
            </w:tcBorders>
            <w:shd w:val="clear" w:color="auto" w:fill="auto"/>
            <w:vAlign w:val="center"/>
          </w:tcPr>
          <w:p w14:paraId="1FDCCF5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阈值管理实现对报警阈值的新建、删除、查询、查看详情，基于监测类型进行指标绑定。支持批量设置阈值，以及excel文档导入设置阈值。</w:t>
            </w:r>
          </w:p>
        </w:tc>
        <w:tc>
          <w:tcPr>
            <w:tcW w:w="722" w:type="dxa"/>
            <w:vMerge w:val="continue"/>
            <w:tcBorders>
              <w:tl2br w:val="nil"/>
              <w:tr2bl w:val="nil"/>
            </w:tcBorders>
            <w:shd w:val="clear" w:color="auto" w:fill="auto"/>
            <w:vAlign w:val="center"/>
          </w:tcPr>
          <w:p w14:paraId="55E92DA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BE9065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48C8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0FE4D4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111</w:t>
            </w:r>
          </w:p>
        </w:tc>
        <w:tc>
          <w:tcPr>
            <w:tcW w:w="980" w:type="dxa"/>
            <w:vMerge w:val="continue"/>
            <w:tcBorders>
              <w:tl2br w:val="nil"/>
              <w:tr2bl w:val="nil"/>
            </w:tcBorders>
            <w:shd w:val="clear" w:color="auto" w:fill="auto"/>
            <w:vAlign w:val="center"/>
          </w:tcPr>
          <w:p w14:paraId="61433784">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19B4B9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监测报警确认</w:t>
            </w:r>
          </w:p>
        </w:tc>
        <w:tc>
          <w:tcPr>
            <w:tcW w:w="6261" w:type="dxa"/>
            <w:tcBorders>
              <w:tl2br w:val="nil"/>
              <w:tr2bl w:val="nil"/>
            </w:tcBorders>
            <w:shd w:val="clear" w:color="auto" w:fill="auto"/>
            <w:vAlign w:val="center"/>
          </w:tcPr>
          <w:p w14:paraId="066425C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支持对设备实时报警数据，进行人工审核和确认，然后将确认过的报警信息转到监测报警界面，模块支持手动报警审核操作，支持审核信息的详情查看，支持列表导出，支持区域、监测类型、审核状态、报警级别、报警时间等维度检索。</w:t>
            </w:r>
          </w:p>
        </w:tc>
        <w:tc>
          <w:tcPr>
            <w:tcW w:w="722" w:type="dxa"/>
            <w:vMerge w:val="continue"/>
            <w:tcBorders>
              <w:tl2br w:val="nil"/>
              <w:tr2bl w:val="nil"/>
            </w:tcBorders>
            <w:shd w:val="clear" w:color="auto" w:fill="auto"/>
            <w:vAlign w:val="center"/>
          </w:tcPr>
          <w:p w14:paraId="3ABC4A1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AFFB33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6389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5E9F7F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112</w:t>
            </w:r>
          </w:p>
        </w:tc>
        <w:tc>
          <w:tcPr>
            <w:tcW w:w="980" w:type="dxa"/>
            <w:vMerge w:val="continue"/>
            <w:tcBorders>
              <w:tl2br w:val="nil"/>
              <w:tr2bl w:val="nil"/>
            </w:tcBorders>
            <w:shd w:val="clear" w:color="auto" w:fill="auto"/>
            <w:vAlign w:val="center"/>
          </w:tcPr>
          <w:p w14:paraId="17A8757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BB16EA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报警信息管理</w:t>
            </w:r>
          </w:p>
        </w:tc>
        <w:tc>
          <w:tcPr>
            <w:tcW w:w="6261" w:type="dxa"/>
            <w:tcBorders>
              <w:tl2br w:val="nil"/>
              <w:tr2bl w:val="nil"/>
            </w:tcBorders>
            <w:shd w:val="clear" w:color="auto" w:fill="auto"/>
            <w:vAlign w:val="center"/>
          </w:tcPr>
          <w:p w14:paraId="19B6BF0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监测报警是对监测指标异常报警的统一管理，展示经过审核的传感器实时报警信息，当监测指标超出设定的阈值或达到预设的报警要求时，经过报警审核，进入监测报警页面。</w:t>
            </w:r>
          </w:p>
        </w:tc>
        <w:tc>
          <w:tcPr>
            <w:tcW w:w="722" w:type="dxa"/>
            <w:vMerge w:val="continue"/>
            <w:tcBorders>
              <w:tl2br w:val="nil"/>
              <w:tr2bl w:val="nil"/>
            </w:tcBorders>
            <w:shd w:val="clear" w:color="auto" w:fill="auto"/>
            <w:vAlign w:val="center"/>
          </w:tcPr>
          <w:p w14:paraId="60238C1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7C5940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3074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884E5B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113</w:t>
            </w:r>
          </w:p>
        </w:tc>
        <w:tc>
          <w:tcPr>
            <w:tcW w:w="980" w:type="dxa"/>
            <w:vMerge w:val="continue"/>
            <w:tcBorders>
              <w:tl2br w:val="nil"/>
              <w:tr2bl w:val="nil"/>
            </w:tcBorders>
            <w:shd w:val="clear" w:color="auto" w:fill="auto"/>
            <w:vAlign w:val="center"/>
          </w:tcPr>
          <w:p w14:paraId="2839054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E2E356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历史分析</w:t>
            </w:r>
          </w:p>
        </w:tc>
        <w:tc>
          <w:tcPr>
            <w:tcW w:w="6261" w:type="dxa"/>
            <w:tcBorders>
              <w:tl2br w:val="nil"/>
              <w:tr2bl w:val="nil"/>
            </w:tcBorders>
            <w:shd w:val="clear" w:color="auto" w:fill="auto"/>
            <w:vAlign w:val="center"/>
          </w:tcPr>
          <w:p w14:paraId="6C7227A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以报表面板方式实现：读取雨情监测历史数据和河湖港渠水位历史数据，形成符合行业常规的双轴曲线分析结果，并对最高值、汇总值和阈值进行特别标注。</w:t>
            </w:r>
          </w:p>
        </w:tc>
        <w:tc>
          <w:tcPr>
            <w:tcW w:w="722" w:type="dxa"/>
            <w:vMerge w:val="continue"/>
            <w:tcBorders>
              <w:tl2br w:val="nil"/>
              <w:tr2bl w:val="nil"/>
            </w:tcBorders>
            <w:shd w:val="clear" w:color="auto" w:fill="auto"/>
            <w:vAlign w:val="center"/>
          </w:tcPr>
          <w:p w14:paraId="421228D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83CBAD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CDB5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DC8DF8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114</w:t>
            </w:r>
          </w:p>
        </w:tc>
        <w:tc>
          <w:tcPr>
            <w:tcW w:w="980" w:type="dxa"/>
            <w:vMerge w:val="restart"/>
            <w:tcBorders>
              <w:tl2br w:val="nil"/>
              <w:tr2bl w:val="nil"/>
            </w:tcBorders>
            <w:shd w:val="clear" w:color="auto" w:fill="auto"/>
            <w:vAlign w:val="center"/>
          </w:tcPr>
          <w:p w14:paraId="2F6100D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预警信息管理</w:t>
            </w:r>
          </w:p>
        </w:tc>
        <w:tc>
          <w:tcPr>
            <w:tcW w:w="1118" w:type="dxa"/>
            <w:tcBorders>
              <w:tl2br w:val="nil"/>
              <w:tr2bl w:val="nil"/>
            </w:tcBorders>
            <w:shd w:val="clear" w:color="auto" w:fill="auto"/>
            <w:vAlign w:val="center"/>
          </w:tcPr>
          <w:p w14:paraId="4AC0FCF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预警信息上报</w:t>
            </w:r>
          </w:p>
        </w:tc>
        <w:tc>
          <w:tcPr>
            <w:tcW w:w="6261" w:type="dxa"/>
            <w:tcBorders>
              <w:tl2br w:val="nil"/>
              <w:tr2bl w:val="nil"/>
            </w:tcBorders>
            <w:shd w:val="clear" w:color="auto" w:fill="auto"/>
            <w:vAlign w:val="center"/>
          </w:tcPr>
          <w:p w14:paraId="6BCD7EA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测预警构建了“监测-核实-审核-处置”全闭环管理体系。系统实时捕捉设备异常报警数据，同步触发现场核实流程，工作人员可上报核实信息。审核人员依托可视化工作平台，对报警信息进行人工研判与确认，实现风险甄别。</w:t>
            </w:r>
          </w:p>
        </w:tc>
        <w:tc>
          <w:tcPr>
            <w:tcW w:w="722" w:type="dxa"/>
            <w:vMerge w:val="restart"/>
            <w:tcBorders>
              <w:tl2br w:val="nil"/>
              <w:tr2bl w:val="nil"/>
            </w:tcBorders>
            <w:shd w:val="clear" w:color="auto" w:fill="auto"/>
            <w:vAlign w:val="center"/>
          </w:tcPr>
          <w:p w14:paraId="61CFCCE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58EB525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1C0F5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B973C5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115</w:t>
            </w:r>
          </w:p>
        </w:tc>
        <w:tc>
          <w:tcPr>
            <w:tcW w:w="980" w:type="dxa"/>
            <w:vMerge w:val="continue"/>
            <w:tcBorders>
              <w:tl2br w:val="nil"/>
              <w:tr2bl w:val="nil"/>
            </w:tcBorders>
            <w:shd w:val="clear" w:color="auto" w:fill="auto"/>
            <w:vAlign w:val="center"/>
          </w:tcPr>
          <w:p w14:paraId="4464510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4EC7E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预警处置派发</w:t>
            </w:r>
          </w:p>
        </w:tc>
        <w:tc>
          <w:tcPr>
            <w:tcW w:w="6261" w:type="dxa"/>
            <w:tcBorders>
              <w:tl2br w:val="nil"/>
              <w:tr2bl w:val="nil"/>
            </w:tcBorders>
            <w:shd w:val="clear" w:color="auto" w:fill="auto"/>
            <w:vAlign w:val="center"/>
          </w:tcPr>
          <w:p w14:paraId="739CCA8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经确认的报警信息将自动分派至对应专业部门，形成任务工单并跟踪处置进度，确保风险隐患及时闭环处理。该模块支持手动介入报警审核，灵活应对复杂场景需求；提供审核信息全景溯源功能，支持查看处置记录与沟通日志。</w:t>
            </w:r>
          </w:p>
        </w:tc>
        <w:tc>
          <w:tcPr>
            <w:tcW w:w="722" w:type="dxa"/>
            <w:vMerge w:val="continue"/>
            <w:tcBorders>
              <w:tl2br w:val="nil"/>
              <w:tr2bl w:val="nil"/>
            </w:tcBorders>
            <w:shd w:val="clear" w:color="auto" w:fill="auto"/>
            <w:vAlign w:val="center"/>
          </w:tcPr>
          <w:p w14:paraId="6C7EACD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A46F42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F9BB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A12F13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116</w:t>
            </w:r>
          </w:p>
        </w:tc>
        <w:tc>
          <w:tcPr>
            <w:tcW w:w="980" w:type="dxa"/>
            <w:vMerge w:val="continue"/>
            <w:tcBorders>
              <w:tl2br w:val="nil"/>
              <w:tr2bl w:val="nil"/>
            </w:tcBorders>
            <w:shd w:val="clear" w:color="auto" w:fill="auto"/>
            <w:vAlign w:val="center"/>
          </w:tcPr>
          <w:p w14:paraId="54E8EBA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1B1C37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预警信息管理</w:t>
            </w:r>
          </w:p>
        </w:tc>
        <w:tc>
          <w:tcPr>
            <w:tcW w:w="6261" w:type="dxa"/>
            <w:tcBorders>
              <w:tl2br w:val="nil"/>
              <w:tr2bl w:val="nil"/>
            </w:tcBorders>
            <w:shd w:val="clear" w:color="auto" w:fill="auto"/>
            <w:vAlign w:val="center"/>
          </w:tcPr>
          <w:p w14:paraId="5380261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配备高效数据管理工具，不仅支持审核记录的批量导出，还可通过区域、监测类型、审核状态、报警级别、报警时间等多维度组合检索，助力管理者快速定位关键信息，为排水系统风险管控提供数据支撑与决策依据。</w:t>
            </w:r>
          </w:p>
        </w:tc>
        <w:tc>
          <w:tcPr>
            <w:tcW w:w="722" w:type="dxa"/>
            <w:vMerge w:val="continue"/>
            <w:tcBorders>
              <w:tl2br w:val="nil"/>
              <w:tr2bl w:val="nil"/>
            </w:tcBorders>
            <w:shd w:val="clear" w:color="auto" w:fill="auto"/>
            <w:vAlign w:val="center"/>
          </w:tcPr>
          <w:p w14:paraId="372CA13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B9AF79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DEF9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58AF9B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117</w:t>
            </w:r>
          </w:p>
        </w:tc>
        <w:tc>
          <w:tcPr>
            <w:tcW w:w="980" w:type="dxa"/>
            <w:vMerge w:val="restart"/>
            <w:tcBorders>
              <w:tl2br w:val="nil"/>
              <w:tr2bl w:val="nil"/>
            </w:tcBorders>
            <w:shd w:val="clear" w:color="auto" w:fill="auto"/>
            <w:vAlign w:val="center"/>
          </w:tcPr>
          <w:p w14:paraId="577EA0E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辅助决策管理</w:t>
            </w:r>
          </w:p>
        </w:tc>
        <w:tc>
          <w:tcPr>
            <w:tcW w:w="1118" w:type="dxa"/>
            <w:tcBorders>
              <w:tl2br w:val="nil"/>
              <w:tr2bl w:val="nil"/>
            </w:tcBorders>
            <w:shd w:val="clear" w:color="auto" w:fill="auto"/>
            <w:vAlign w:val="center"/>
          </w:tcPr>
          <w:p w14:paraId="6AADD1B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排水防涝救援物资</w:t>
            </w:r>
          </w:p>
        </w:tc>
        <w:tc>
          <w:tcPr>
            <w:tcW w:w="6261" w:type="dxa"/>
            <w:tcBorders>
              <w:tl2br w:val="nil"/>
              <w:tr2bl w:val="nil"/>
            </w:tcBorders>
            <w:shd w:val="clear" w:color="auto" w:fill="auto"/>
            <w:vAlign w:val="center"/>
          </w:tcPr>
          <w:p w14:paraId="3B3A977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列表形式展示排水防涝应急物资装备信息，包括应急相关的物资、装备、储备库、应急设施及应急物资装备生产经营企业；其中应急设施包括消防设施、监控报警设施，监测报警设施包括监控视频、报警器、防控警报点等。</w:t>
            </w:r>
          </w:p>
        </w:tc>
        <w:tc>
          <w:tcPr>
            <w:tcW w:w="722" w:type="dxa"/>
            <w:vMerge w:val="restart"/>
            <w:tcBorders>
              <w:tl2br w:val="nil"/>
              <w:tr2bl w:val="nil"/>
            </w:tcBorders>
            <w:shd w:val="clear" w:color="auto" w:fill="auto"/>
            <w:vAlign w:val="center"/>
          </w:tcPr>
          <w:p w14:paraId="507A5493">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p w14:paraId="60FA098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restart"/>
            <w:tcBorders>
              <w:tl2br w:val="nil"/>
              <w:tr2bl w:val="nil"/>
            </w:tcBorders>
            <w:shd w:val="clear" w:color="auto" w:fill="auto"/>
            <w:vAlign w:val="center"/>
          </w:tcPr>
          <w:p w14:paraId="113BE9C0">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p w14:paraId="745BAB6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F491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6AA617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118</w:t>
            </w:r>
          </w:p>
        </w:tc>
        <w:tc>
          <w:tcPr>
            <w:tcW w:w="980" w:type="dxa"/>
            <w:vMerge w:val="continue"/>
            <w:tcBorders>
              <w:tl2br w:val="nil"/>
              <w:tr2bl w:val="nil"/>
            </w:tcBorders>
            <w:shd w:val="clear" w:color="auto" w:fill="auto"/>
            <w:vAlign w:val="center"/>
          </w:tcPr>
          <w:p w14:paraId="75B3889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893C63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防汛辅助决策</w:t>
            </w:r>
          </w:p>
        </w:tc>
        <w:tc>
          <w:tcPr>
            <w:tcW w:w="6261" w:type="dxa"/>
            <w:tcBorders>
              <w:tl2br w:val="nil"/>
              <w:tr2bl w:val="nil"/>
            </w:tcBorders>
            <w:shd w:val="clear" w:color="auto" w:fill="auto"/>
            <w:vAlign w:val="center"/>
          </w:tcPr>
          <w:p w14:paraId="5B8CF30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内涝预警模型通过输入降雨量与降雨持续时间，来模拟历史积水点的积水变化趋势。模型利用这些数据，结合地形地貌、排水管网布局等信息，预测积水点的积水深度和积水范围的变化。积水点在地图上落点，可以直观地展示积水位置和积水范围。模型还可以模拟积水点的淹没扩散仿真效果，展示积水如何随着时间的推移扩散到周边区域。</w:t>
            </w:r>
          </w:p>
        </w:tc>
        <w:tc>
          <w:tcPr>
            <w:tcW w:w="722" w:type="dxa"/>
            <w:vMerge w:val="continue"/>
            <w:tcBorders>
              <w:tl2br w:val="nil"/>
              <w:tr2bl w:val="nil"/>
            </w:tcBorders>
            <w:shd w:val="clear" w:color="auto" w:fill="auto"/>
            <w:vAlign w:val="center"/>
          </w:tcPr>
          <w:p w14:paraId="452475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1559F6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2D02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2EB62A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119</w:t>
            </w:r>
          </w:p>
        </w:tc>
        <w:tc>
          <w:tcPr>
            <w:tcW w:w="980" w:type="dxa"/>
            <w:vMerge w:val="continue"/>
            <w:tcBorders>
              <w:tl2br w:val="nil"/>
              <w:tr2bl w:val="nil"/>
            </w:tcBorders>
            <w:shd w:val="clear" w:color="auto" w:fill="auto"/>
            <w:vAlign w:val="center"/>
          </w:tcPr>
          <w:p w14:paraId="433B12D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03A62B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模拟开挖分析</w:t>
            </w:r>
          </w:p>
        </w:tc>
        <w:tc>
          <w:tcPr>
            <w:tcW w:w="6261" w:type="dxa"/>
            <w:tcBorders>
              <w:tl2br w:val="nil"/>
              <w:tr2bl w:val="nil"/>
            </w:tcBorders>
            <w:shd w:val="clear" w:color="auto" w:fill="auto"/>
            <w:vAlign w:val="center"/>
          </w:tcPr>
          <w:p w14:paraId="4555082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在电子地图的基础上，基于地理信息数据，假设管道上的一个位置出现安全事故，就安全事故的处置方式进行模拟开挖分析，展示排水管网的相互关联关系。</w:t>
            </w:r>
          </w:p>
        </w:tc>
        <w:tc>
          <w:tcPr>
            <w:tcW w:w="722" w:type="dxa"/>
            <w:vMerge w:val="continue"/>
            <w:tcBorders>
              <w:tl2br w:val="nil"/>
              <w:tr2bl w:val="nil"/>
            </w:tcBorders>
            <w:shd w:val="clear" w:color="auto" w:fill="auto"/>
            <w:vAlign w:val="center"/>
          </w:tcPr>
          <w:p w14:paraId="01ACC92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FD8BB2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73BA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F005CC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120</w:t>
            </w:r>
          </w:p>
        </w:tc>
        <w:tc>
          <w:tcPr>
            <w:tcW w:w="980" w:type="dxa"/>
            <w:vMerge w:val="continue"/>
            <w:tcBorders>
              <w:tl2br w:val="nil"/>
              <w:tr2bl w:val="nil"/>
            </w:tcBorders>
            <w:shd w:val="clear" w:color="auto" w:fill="auto"/>
            <w:vAlign w:val="center"/>
          </w:tcPr>
          <w:p w14:paraId="5A8F47E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8C2DC0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应急预案信息管理</w:t>
            </w:r>
          </w:p>
        </w:tc>
        <w:tc>
          <w:tcPr>
            <w:tcW w:w="6261" w:type="dxa"/>
            <w:tcBorders>
              <w:tl2br w:val="nil"/>
              <w:tr2bl w:val="nil"/>
            </w:tcBorders>
            <w:shd w:val="clear" w:color="auto" w:fill="auto"/>
            <w:vAlign w:val="center"/>
          </w:tcPr>
          <w:p w14:paraId="71D0F5F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建立博爱县防汛排涝各级各类应急预案数据归档库，实现事件快速关联响应和预案的查询统计，为事件处置提供支撑。主要包括预案结构化和数字化、预案查询统计等功能。</w:t>
            </w:r>
          </w:p>
        </w:tc>
        <w:tc>
          <w:tcPr>
            <w:tcW w:w="722" w:type="dxa"/>
            <w:vMerge w:val="continue"/>
            <w:tcBorders>
              <w:tl2br w:val="nil"/>
              <w:tr2bl w:val="nil"/>
            </w:tcBorders>
            <w:shd w:val="clear" w:color="auto" w:fill="auto"/>
            <w:vAlign w:val="center"/>
          </w:tcPr>
          <w:p w14:paraId="3F65320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3E1DDA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F0EC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DE836E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121</w:t>
            </w:r>
          </w:p>
        </w:tc>
        <w:tc>
          <w:tcPr>
            <w:tcW w:w="980" w:type="dxa"/>
            <w:vMerge w:val="continue"/>
            <w:tcBorders>
              <w:tl2br w:val="nil"/>
              <w:tr2bl w:val="nil"/>
            </w:tcBorders>
            <w:shd w:val="clear" w:color="auto" w:fill="auto"/>
            <w:vAlign w:val="center"/>
          </w:tcPr>
          <w:p w14:paraId="10B41E19">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97D3DA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应急知识库信息管理</w:t>
            </w:r>
          </w:p>
        </w:tc>
        <w:tc>
          <w:tcPr>
            <w:tcW w:w="6261" w:type="dxa"/>
            <w:tcBorders>
              <w:tl2br w:val="nil"/>
              <w:tr2bl w:val="nil"/>
            </w:tcBorders>
            <w:shd w:val="clear" w:color="auto" w:fill="auto"/>
            <w:vAlign w:val="center"/>
          </w:tcPr>
          <w:p w14:paraId="6904D4F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实现对排水领域知识库信息的管理，包括政策文件、法律法规、标准规范、典型事故案例等，支持对知识库信息的查询、新增、修改、删除和查询功能。</w:t>
            </w:r>
          </w:p>
        </w:tc>
        <w:tc>
          <w:tcPr>
            <w:tcW w:w="722" w:type="dxa"/>
            <w:vMerge w:val="continue"/>
            <w:tcBorders>
              <w:tl2br w:val="nil"/>
              <w:tr2bl w:val="nil"/>
            </w:tcBorders>
            <w:shd w:val="clear" w:color="auto" w:fill="auto"/>
            <w:vAlign w:val="center"/>
          </w:tcPr>
          <w:p w14:paraId="22ADD3E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BB00C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AD2B9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vAlign w:val="center"/>
          </w:tcPr>
          <w:p w14:paraId="4456ED43">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（五）热力安全专项应用</w:t>
            </w:r>
          </w:p>
        </w:tc>
      </w:tr>
      <w:tr w14:paraId="774CD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30E5FC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122</w:t>
            </w:r>
          </w:p>
        </w:tc>
        <w:tc>
          <w:tcPr>
            <w:tcW w:w="980" w:type="dxa"/>
            <w:vMerge w:val="restart"/>
            <w:tcBorders>
              <w:tl2br w:val="nil"/>
              <w:tr2bl w:val="nil"/>
            </w:tcBorders>
            <w:shd w:val="clear" w:color="auto" w:fill="auto"/>
            <w:vAlign w:val="center"/>
          </w:tcPr>
          <w:p w14:paraId="7A826F5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供热运行一张图</w:t>
            </w:r>
          </w:p>
        </w:tc>
        <w:tc>
          <w:tcPr>
            <w:tcW w:w="1118" w:type="dxa"/>
            <w:tcBorders>
              <w:tl2br w:val="nil"/>
              <w:tr2bl w:val="nil"/>
            </w:tcBorders>
            <w:shd w:val="clear" w:color="auto" w:fill="auto"/>
            <w:vAlign w:val="center"/>
          </w:tcPr>
          <w:p w14:paraId="66B3743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供热设施</w:t>
            </w:r>
          </w:p>
        </w:tc>
        <w:tc>
          <w:tcPr>
            <w:tcW w:w="6261" w:type="dxa"/>
            <w:tcBorders>
              <w:tl2br w:val="nil"/>
              <w:tr2bl w:val="nil"/>
            </w:tcBorders>
            <w:shd w:val="clear" w:color="auto" w:fill="auto"/>
            <w:vAlign w:val="center"/>
          </w:tcPr>
          <w:p w14:paraId="0E209BE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显示当前系统中的换热站数量和热源厂数量。点击相应图标可查看具体站点的详细信息。提供全部管线长度、一次管线长度和二次管线长度的数据。点击管线长度数值可进入管线管理页面，查看详细的管线分布和状态。</w:t>
            </w:r>
          </w:p>
        </w:tc>
        <w:tc>
          <w:tcPr>
            <w:tcW w:w="722" w:type="dxa"/>
            <w:vMerge w:val="restart"/>
            <w:tcBorders>
              <w:tl2br w:val="nil"/>
              <w:tr2bl w:val="nil"/>
            </w:tcBorders>
            <w:shd w:val="clear" w:color="auto" w:fill="auto"/>
            <w:vAlign w:val="center"/>
          </w:tcPr>
          <w:p w14:paraId="7C0A790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738E24A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253F62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269A1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123</w:t>
            </w:r>
          </w:p>
        </w:tc>
        <w:tc>
          <w:tcPr>
            <w:tcW w:w="980" w:type="dxa"/>
            <w:vMerge w:val="continue"/>
            <w:tcBorders>
              <w:tl2br w:val="nil"/>
              <w:tr2bl w:val="nil"/>
            </w:tcBorders>
            <w:shd w:val="clear" w:color="auto" w:fill="auto"/>
            <w:vAlign w:val="center"/>
          </w:tcPr>
          <w:p w14:paraId="08312D4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70B3C22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供热面积</w:t>
            </w:r>
          </w:p>
        </w:tc>
        <w:tc>
          <w:tcPr>
            <w:tcW w:w="6261" w:type="dxa"/>
            <w:tcBorders>
              <w:tl2br w:val="nil"/>
              <w:tr2bl w:val="nil"/>
            </w:tcBorders>
            <w:shd w:val="clear" w:color="auto" w:fill="auto"/>
            <w:vAlign w:val="center"/>
          </w:tcPr>
          <w:p w14:paraId="5395523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显示供热总面积、居住用面积和企业用面积。点击面积数值可进入面积管理页面，查看各区域的具体供热面积分布情况。</w:t>
            </w:r>
          </w:p>
        </w:tc>
        <w:tc>
          <w:tcPr>
            <w:tcW w:w="722" w:type="dxa"/>
            <w:vMerge w:val="continue"/>
            <w:tcBorders>
              <w:tl2br w:val="nil"/>
              <w:tr2bl w:val="nil"/>
            </w:tcBorders>
            <w:shd w:val="clear" w:color="auto" w:fill="auto"/>
            <w:vAlign w:val="center"/>
          </w:tcPr>
          <w:p w14:paraId="3611112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FD7910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2C77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733B3E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124</w:t>
            </w:r>
          </w:p>
        </w:tc>
        <w:tc>
          <w:tcPr>
            <w:tcW w:w="980" w:type="dxa"/>
            <w:vMerge w:val="continue"/>
            <w:tcBorders>
              <w:tl2br w:val="nil"/>
              <w:tr2bl w:val="nil"/>
            </w:tcBorders>
            <w:shd w:val="clear" w:color="auto" w:fill="auto"/>
            <w:vAlign w:val="center"/>
          </w:tcPr>
          <w:p w14:paraId="4866A3C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15361B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风险监测</w:t>
            </w:r>
          </w:p>
        </w:tc>
        <w:tc>
          <w:tcPr>
            <w:tcW w:w="6261" w:type="dxa"/>
            <w:tcBorders>
              <w:tl2br w:val="nil"/>
              <w:tr2bl w:val="nil"/>
            </w:tcBorders>
            <w:shd w:val="clear" w:color="auto" w:fill="auto"/>
            <w:vAlign w:val="center"/>
          </w:tcPr>
          <w:p w14:paraId="50FBB3BF">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提供换热站、热源厂和供热管线的风险监测数据。通过柱状图展示不同风险等级的数量分布，点击图表可进入风险详情页面，查看具体的监测结果和处理建议。</w:t>
            </w:r>
          </w:p>
        </w:tc>
        <w:tc>
          <w:tcPr>
            <w:tcW w:w="722" w:type="dxa"/>
            <w:vMerge w:val="continue"/>
            <w:tcBorders>
              <w:tl2br w:val="nil"/>
              <w:tr2bl w:val="nil"/>
            </w:tcBorders>
            <w:shd w:val="clear" w:color="auto" w:fill="auto"/>
            <w:vAlign w:val="center"/>
          </w:tcPr>
          <w:p w14:paraId="3396891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5E5C8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3F5C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F4B346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125</w:t>
            </w:r>
          </w:p>
        </w:tc>
        <w:tc>
          <w:tcPr>
            <w:tcW w:w="980" w:type="dxa"/>
            <w:vMerge w:val="continue"/>
            <w:tcBorders>
              <w:tl2br w:val="nil"/>
              <w:tr2bl w:val="nil"/>
            </w:tcBorders>
            <w:shd w:val="clear" w:color="auto" w:fill="auto"/>
            <w:vAlign w:val="center"/>
          </w:tcPr>
          <w:p w14:paraId="19F3E04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90A773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监督监管</w:t>
            </w:r>
          </w:p>
        </w:tc>
        <w:tc>
          <w:tcPr>
            <w:tcW w:w="6261" w:type="dxa"/>
            <w:tcBorders>
              <w:tl2br w:val="nil"/>
              <w:tr2bl w:val="nil"/>
            </w:tcBorders>
            <w:shd w:val="clear" w:color="auto" w:fill="auto"/>
            <w:vAlign w:val="center"/>
          </w:tcPr>
          <w:p w14:paraId="2478923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提供任务类型的筛选功能，用户可以选择不同的任务类型进行查看。目前暂无数据，但当有相关任务时，会在此处显示任务详情和进度。</w:t>
            </w:r>
          </w:p>
        </w:tc>
        <w:tc>
          <w:tcPr>
            <w:tcW w:w="722" w:type="dxa"/>
            <w:vMerge w:val="continue"/>
            <w:tcBorders>
              <w:tl2br w:val="nil"/>
              <w:tr2bl w:val="nil"/>
            </w:tcBorders>
            <w:shd w:val="clear" w:color="auto" w:fill="auto"/>
            <w:vAlign w:val="center"/>
          </w:tcPr>
          <w:p w14:paraId="06C291A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F32CF9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FA78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785934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126</w:t>
            </w:r>
          </w:p>
        </w:tc>
        <w:tc>
          <w:tcPr>
            <w:tcW w:w="980" w:type="dxa"/>
            <w:vMerge w:val="continue"/>
            <w:tcBorders>
              <w:tl2br w:val="nil"/>
              <w:tr2bl w:val="nil"/>
            </w:tcBorders>
            <w:shd w:val="clear" w:color="auto" w:fill="auto"/>
            <w:vAlign w:val="center"/>
          </w:tcPr>
          <w:p w14:paraId="1EFB4FF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694A59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处置排名</w:t>
            </w:r>
          </w:p>
        </w:tc>
        <w:tc>
          <w:tcPr>
            <w:tcW w:w="6261" w:type="dxa"/>
            <w:tcBorders>
              <w:tl2br w:val="nil"/>
              <w:tr2bl w:val="nil"/>
            </w:tcBorders>
            <w:shd w:val="clear" w:color="auto" w:fill="auto"/>
            <w:vAlign w:val="center"/>
          </w:tcPr>
          <w:p w14:paraId="42A41E9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列表展示了各热力公司的处置数和处置完成率，帮助用户了解各公司在应急处置方面的表现。点击公司名称可进入该公司详情页面，查看具体的处置记录和分析报告。</w:t>
            </w:r>
          </w:p>
        </w:tc>
        <w:tc>
          <w:tcPr>
            <w:tcW w:w="722" w:type="dxa"/>
            <w:vMerge w:val="continue"/>
            <w:tcBorders>
              <w:tl2br w:val="nil"/>
              <w:tr2bl w:val="nil"/>
            </w:tcBorders>
            <w:shd w:val="clear" w:color="auto" w:fill="auto"/>
            <w:vAlign w:val="center"/>
          </w:tcPr>
          <w:p w14:paraId="3DD830B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4EBDF7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C75E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D12B15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127</w:t>
            </w:r>
          </w:p>
        </w:tc>
        <w:tc>
          <w:tcPr>
            <w:tcW w:w="980" w:type="dxa"/>
            <w:vMerge w:val="restart"/>
            <w:tcBorders>
              <w:tl2br w:val="nil"/>
              <w:tr2bl w:val="nil"/>
            </w:tcBorders>
            <w:shd w:val="clear" w:color="auto" w:fill="auto"/>
            <w:vAlign w:val="center"/>
          </w:tcPr>
          <w:p w14:paraId="6B0BFC8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基础信息管理</w:t>
            </w:r>
          </w:p>
        </w:tc>
        <w:tc>
          <w:tcPr>
            <w:tcW w:w="1118" w:type="dxa"/>
            <w:tcBorders>
              <w:tl2br w:val="nil"/>
              <w:tr2bl w:val="nil"/>
            </w:tcBorders>
            <w:shd w:val="clear" w:color="auto" w:fill="auto"/>
            <w:vAlign w:val="center"/>
          </w:tcPr>
          <w:p w14:paraId="1E12B8F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供热企业基础信息</w:t>
            </w:r>
          </w:p>
        </w:tc>
        <w:tc>
          <w:tcPr>
            <w:tcW w:w="6261" w:type="dxa"/>
            <w:tcBorders>
              <w:tl2br w:val="nil"/>
              <w:tr2bl w:val="nil"/>
            </w:tcBorders>
            <w:shd w:val="clear" w:color="auto" w:fill="auto"/>
            <w:vAlign w:val="center"/>
          </w:tcPr>
          <w:p w14:paraId="64C6617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示全县热力公司信息。数据来源由各热力公司通过企业平台上报。界面上可以新添加热力公司，包括的内容有：供热企业名称，公司简称，地址，热源信息，供热面积，经度，纬度，审核状态等，支持区县、企业等维度汇总查询。</w:t>
            </w:r>
          </w:p>
        </w:tc>
        <w:tc>
          <w:tcPr>
            <w:tcW w:w="722" w:type="dxa"/>
            <w:vMerge w:val="restart"/>
            <w:tcBorders>
              <w:tl2br w:val="nil"/>
              <w:tr2bl w:val="nil"/>
            </w:tcBorders>
            <w:shd w:val="clear" w:color="auto" w:fill="auto"/>
            <w:vAlign w:val="center"/>
          </w:tcPr>
          <w:p w14:paraId="0DFF6FA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20A07A7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0AC1E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9209B5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128</w:t>
            </w:r>
          </w:p>
        </w:tc>
        <w:tc>
          <w:tcPr>
            <w:tcW w:w="980" w:type="dxa"/>
            <w:vMerge w:val="continue"/>
            <w:tcBorders>
              <w:tl2br w:val="nil"/>
              <w:tr2bl w:val="nil"/>
            </w:tcBorders>
            <w:shd w:val="clear" w:color="auto" w:fill="auto"/>
            <w:vAlign w:val="center"/>
          </w:tcPr>
          <w:p w14:paraId="1A5A8F04">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57767B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热源信息</w:t>
            </w:r>
          </w:p>
        </w:tc>
        <w:tc>
          <w:tcPr>
            <w:tcW w:w="6261" w:type="dxa"/>
            <w:tcBorders>
              <w:tl2br w:val="nil"/>
              <w:tr2bl w:val="nil"/>
            </w:tcBorders>
            <w:shd w:val="clear" w:color="auto" w:fill="auto"/>
            <w:vAlign w:val="center"/>
          </w:tcPr>
          <w:p w14:paraId="7A18076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展示各供热企业的热源信息。数据来源由各供热企业通过企业平台上报。包括锅炉和管理人员的一些信息，支持区县、企业等维度汇总查询。</w:t>
            </w:r>
          </w:p>
        </w:tc>
        <w:tc>
          <w:tcPr>
            <w:tcW w:w="722" w:type="dxa"/>
            <w:vMerge w:val="continue"/>
            <w:tcBorders>
              <w:tl2br w:val="nil"/>
              <w:tr2bl w:val="nil"/>
            </w:tcBorders>
            <w:shd w:val="clear" w:color="auto" w:fill="auto"/>
            <w:vAlign w:val="center"/>
          </w:tcPr>
          <w:p w14:paraId="2D4623D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24BDF8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55E9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D22F4D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129</w:t>
            </w:r>
          </w:p>
        </w:tc>
        <w:tc>
          <w:tcPr>
            <w:tcW w:w="980" w:type="dxa"/>
            <w:vMerge w:val="continue"/>
            <w:tcBorders>
              <w:tl2br w:val="nil"/>
              <w:tr2bl w:val="nil"/>
            </w:tcBorders>
            <w:shd w:val="clear" w:color="auto" w:fill="auto"/>
            <w:vAlign w:val="center"/>
          </w:tcPr>
          <w:p w14:paraId="19949E1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655632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换热站信息</w:t>
            </w:r>
          </w:p>
        </w:tc>
        <w:tc>
          <w:tcPr>
            <w:tcW w:w="6261" w:type="dxa"/>
            <w:tcBorders>
              <w:tl2br w:val="nil"/>
              <w:tr2bl w:val="nil"/>
            </w:tcBorders>
            <w:shd w:val="clear" w:color="auto" w:fill="auto"/>
            <w:vAlign w:val="center"/>
          </w:tcPr>
          <w:p w14:paraId="0838D97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展示各热力公司的换热站信息。数据来源由各供热企业通过企业平台上报。主要内容包括：所属热力公司，换热站名称，换热站地址，所供面积，所供户数，总换热能力等，支持区县、企业等维度汇总查询。</w:t>
            </w:r>
          </w:p>
        </w:tc>
        <w:tc>
          <w:tcPr>
            <w:tcW w:w="722" w:type="dxa"/>
            <w:vMerge w:val="continue"/>
            <w:tcBorders>
              <w:tl2br w:val="nil"/>
              <w:tr2bl w:val="nil"/>
            </w:tcBorders>
            <w:shd w:val="clear" w:color="auto" w:fill="auto"/>
            <w:vAlign w:val="center"/>
          </w:tcPr>
          <w:p w14:paraId="198C414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A15CEE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5587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275AED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130</w:t>
            </w:r>
          </w:p>
        </w:tc>
        <w:tc>
          <w:tcPr>
            <w:tcW w:w="980" w:type="dxa"/>
            <w:vMerge w:val="continue"/>
            <w:tcBorders>
              <w:tl2br w:val="nil"/>
              <w:tr2bl w:val="nil"/>
            </w:tcBorders>
            <w:shd w:val="clear" w:color="auto" w:fill="auto"/>
            <w:vAlign w:val="center"/>
          </w:tcPr>
          <w:p w14:paraId="5728147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E024D5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供热管网信息</w:t>
            </w:r>
          </w:p>
        </w:tc>
        <w:tc>
          <w:tcPr>
            <w:tcW w:w="6261" w:type="dxa"/>
            <w:tcBorders>
              <w:tl2br w:val="nil"/>
              <w:tr2bl w:val="nil"/>
            </w:tcBorders>
            <w:shd w:val="clear" w:color="auto" w:fill="auto"/>
            <w:vAlign w:val="center"/>
          </w:tcPr>
          <w:p w14:paraId="1DABE38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展示各热力公司的管网信息。数据来源由各供热企业通过企业平台上报。主要内容包括：热力公司名称，热源，投产年份，管径，敷设方式，运行状况等，支持区县、企业等维度汇总查询。</w:t>
            </w:r>
          </w:p>
        </w:tc>
        <w:tc>
          <w:tcPr>
            <w:tcW w:w="722" w:type="dxa"/>
            <w:vMerge w:val="continue"/>
            <w:tcBorders>
              <w:tl2br w:val="nil"/>
              <w:tr2bl w:val="nil"/>
            </w:tcBorders>
            <w:shd w:val="clear" w:color="auto" w:fill="auto"/>
            <w:vAlign w:val="center"/>
          </w:tcPr>
          <w:p w14:paraId="212B58B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9D118B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4A5D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95474C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131</w:t>
            </w:r>
          </w:p>
        </w:tc>
        <w:tc>
          <w:tcPr>
            <w:tcW w:w="980" w:type="dxa"/>
            <w:vMerge w:val="continue"/>
            <w:tcBorders>
              <w:tl2br w:val="nil"/>
              <w:tr2bl w:val="nil"/>
            </w:tcBorders>
            <w:shd w:val="clear" w:color="auto" w:fill="auto"/>
            <w:vAlign w:val="center"/>
          </w:tcPr>
          <w:p w14:paraId="30217B5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47704A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报警阀门井检修井信息</w:t>
            </w:r>
          </w:p>
        </w:tc>
        <w:tc>
          <w:tcPr>
            <w:tcW w:w="6261" w:type="dxa"/>
            <w:tcBorders>
              <w:tl2br w:val="nil"/>
              <w:tr2bl w:val="nil"/>
            </w:tcBorders>
            <w:shd w:val="clear" w:color="auto" w:fill="auto"/>
            <w:vAlign w:val="center"/>
          </w:tcPr>
          <w:p w14:paraId="672C085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7"/>
                <w:rFonts w:hint="eastAsia" w:ascii="宋体" w:hAnsi="宋体" w:eastAsia="宋体" w:cs="宋体"/>
                <w:snapToGrid w:val="0"/>
                <w:color w:val="auto"/>
                <w:sz w:val="21"/>
                <w:szCs w:val="21"/>
                <w:highlight w:val="none"/>
                <w:lang w:val="en-US" w:eastAsia="zh-CN" w:bidi="ar"/>
              </w:rPr>
              <w:t>实现对热力系统的阀门井、检修井</w:t>
            </w:r>
            <w:r>
              <w:rPr>
                <w:rStyle w:val="78"/>
                <w:rFonts w:hint="eastAsia" w:ascii="宋体" w:hAnsi="宋体" w:eastAsia="宋体" w:cs="宋体"/>
                <w:snapToGrid w:val="0"/>
                <w:color w:val="auto"/>
                <w:sz w:val="21"/>
                <w:szCs w:val="21"/>
                <w:highlight w:val="none"/>
                <w:lang w:val="en-US" w:eastAsia="zh-CN" w:bidi="ar"/>
              </w:rPr>
              <w:t xml:space="preserve">2 </w:t>
            </w:r>
            <w:r>
              <w:rPr>
                <w:rStyle w:val="77"/>
                <w:rFonts w:hint="eastAsia" w:ascii="宋体" w:hAnsi="宋体" w:eastAsia="宋体" w:cs="宋体"/>
                <w:snapToGrid w:val="0"/>
                <w:color w:val="auto"/>
                <w:sz w:val="21"/>
                <w:szCs w:val="21"/>
                <w:highlight w:val="none"/>
                <w:lang w:val="en-US" w:eastAsia="zh-CN" w:bidi="ar"/>
              </w:rPr>
              <w:t>类关键要素进行建库管理，内容包括资</w:t>
            </w:r>
            <w:r>
              <w:rPr>
                <w:rStyle w:val="78"/>
                <w:rFonts w:hint="eastAsia" w:ascii="宋体" w:hAnsi="宋体" w:eastAsia="宋体" w:cs="宋体"/>
                <w:snapToGrid w:val="0"/>
                <w:color w:val="auto"/>
                <w:sz w:val="21"/>
                <w:szCs w:val="21"/>
                <w:highlight w:val="none"/>
                <w:lang w:val="en-US" w:eastAsia="zh-CN" w:bidi="ar"/>
              </w:rPr>
              <w:t xml:space="preserve"> </w:t>
            </w:r>
            <w:r>
              <w:rPr>
                <w:rStyle w:val="77"/>
                <w:rFonts w:hint="eastAsia" w:ascii="宋体" w:hAnsi="宋体" w:eastAsia="宋体" w:cs="宋体"/>
                <w:snapToGrid w:val="0"/>
                <w:color w:val="auto"/>
                <w:sz w:val="21"/>
                <w:szCs w:val="21"/>
                <w:highlight w:val="none"/>
                <w:lang w:val="en-US" w:eastAsia="zh-CN" w:bidi="ar"/>
              </w:rPr>
              <w:t>产档案、地理轮廓、报警阈值、拓扑挂接。</w:t>
            </w:r>
          </w:p>
        </w:tc>
        <w:tc>
          <w:tcPr>
            <w:tcW w:w="722" w:type="dxa"/>
            <w:vMerge w:val="continue"/>
            <w:tcBorders>
              <w:tl2br w:val="nil"/>
              <w:tr2bl w:val="nil"/>
            </w:tcBorders>
            <w:shd w:val="clear" w:color="auto" w:fill="auto"/>
            <w:vAlign w:val="center"/>
          </w:tcPr>
          <w:p w14:paraId="1CAE03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0C22C9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4EE6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1D3A1D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132</w:t>
            </w:r>
          </w:p>
        </w:tc>
        <w:tc>
          <w:tcPr>
            <w:tcW w:w="980" w:type="dxa"/>
            <w:vMerge w:val="continue"/>
            <w:tcBorders>
              <w:tl2br w:val="nil"/>
              <w:tr2bl w:val="nil"/>
            </w:tcBorders>
            <w:shd w:val="clear" w:color="auto" w:fill="auto"/>
            <w:vAlign w:val="center"/>
          </w:tcPr>
          <w:p w14:paraId="699A72B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CD34C4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监测点位</w:t>
            </w:r>
          </w:p>
        </w:tc>
        <w:tc>
          <w:tcPr>
            <w:tcW w:w="6261" w:type="dxa"/>
            <w:tcBorders>
              <w:tl2br w:val="nil"/>
              <w:tr2bl w:val="nil"/>
            </w:tcBorders>
            <w:shd w:val="clear" w:color="auto" w:fill="auto"/>
            <w:vAlign w:val="center"/>
          </w:tcPr>
          <w:p w14:paraId="15094CA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Style w:val="77"/>
                <w:rFonts w:hint="eastAsia" w:ascii="宋体" w:hAnsi="宋体" w:eastAsia="宋体" w:cs="宋体"/>
                <w:snapToGrid w:val="0"/>
                <w:color w:val="auto"/>
                <w:sz w:val="21"/>
                <w:szCs w:val="21"/>
                <w:highlight w:val="none"/>
                <w:lang w:val="en-US" w:eastAsia="zh-CN" w:bidi="ar"/>
              </w:rPr>
              <w:t>实现对热力系统监测点的档案管理，功能包括添加、删除、修改、绑定、解</w:t>
            </w:r>
            <w:r>
              <w:rPr>
                <w:rStyle w:val="78"/>
                <w:rFonts w:hint="eastAsia" w:ascii="宋体" w:hAnsi="宋体" w:eastAsia="宋体" w:cs="宋体"/>
                <w:snapToGrid w:val="0"/>
                <w:color w:val="auto"/>
                <w:sz w:val="21"/>
                <w:szCs w:val="21"/>
                <w:highlight w:val="none"/>
                <w:lang w:val="en-US" w:eastAsia="zh-CN" w:bidi="ar"/>
              </w:rPr>
              <w:t xml:space="preserve"> </w:t>
            </w:r>
            <w:r>
              <w:rPr>
                <w:rStyle w:val="77"/>
                <w:rFonts w:hint="eastAsia" w:ascii="宋体" w:hAnsi="宋体" w:eastAsia="宋体" w:cs="宋体"/>
                <w:snapToGrid w:val="0"/>
                <w:color w:val="auto"/>
                <w:sz w:val="21"/>
                <w:szCs w:val="21"/>
                <w:highlight w:val="none"/>
                <w:lang w:val="en-US" w:eastAsia="zh-CN" w:bidi="ar"/>
              </w:rPr>
              <w:t>绑、调整阈值、调整报警等级、调整位置</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实测管网位置及系统管网位置</w:t>
            </w:r>
            <w:r>
              <w:rPr>
                <w:rStyle w:val="78"/>
                <w:rFonts w:hint="eastAsia" w:ascii="宋体" w:hAnsi="宋体" w:eastAsia="宋体" w:cs="宋体"/>
                <w:snapToGrid w:val="0"/>
                <w:color w:val="auto"/>
                <w:sz w:val="21"/>
                <w:szCs w:val="21"/>
                <w:highlight w:val="none"/>
                <w:lang w:val="en-US" w:eastAsia="zh-CN" w:bidi="ar"/>
              </w:rPr>
              <w:t>)</w:t>
            </w:r>
            <w:r>
              <w:rPr>
                <w:rStyle w:val="77"/>
                <w:rFonts w:hint="eastAsia" w:ascii="宋体" w:hAnsi="宋体" w:eastAsia="宋体" w:cs="宋体"/>
                <w:snapToGrid w:val="0"/>
                <w:color w:val="auto"/>
                <w:sz w:val="21"/>
                <w:szCs w:val="21"/>
                <w:highlight w:val="none"/>
                <w:lang w:val="en-US" w:eastAsia="zh-CN" w:bidi="ar"/>
              </w:rPr>
              <w:t>、修改</w:t>
            </w:r>
            <w:r>
              <w:rPr>
                <w:rStyle w:val="78"/>
                <w:rFonts w:hint="eastAsia" w:ascii="宋体" w:hAnsi="宋体" w:eastAsia="宋体" w:cs="宋体"/>
                <w:snapToGrid w:val="0"/>
                <w:color w:val="auto"/>
                <w:sz w:val="21"/>
                <w:szCs w:val="21"/>
                <w:highlight w:val="none"/>
                <w:lang w:val="en-US" w:eastAsia="zh-CN" w:bidi="ar"/>
              </w:rPr>
              <w:t xml:space="preserve"> </w:t>
            </w:r>
            <w:r>
              <w:rPr>
                <w:rStyle w:val="77"/>
                <w:rFonts w:hint="eastAsia" w:ascii="宋体" w:hAnsi="宋体" w:eastAsia="宋体" w:cs="宋体"/>
                <w:snapToGrid w:val="0"/>
                <w:color w:val="auto"/>
                <w:sz w:val="21"/>
                <w:szCs w:val="21"/>
                <w:highlight w:val="none"/>
                <w:lang w:val="en-US" w:eastAsia="zh-CN" w:bidi="ar"/>
              </w:rPr>
              <w:t>编号等。</w:t>
            </w:r>
          </w:p>
        </w:tc>
        <w:tc>
          <w:tcPr>
            <w:tcW w:w="722" w:type="dxa"/>
            <w:vMerge w:val="continue"/>
            <w:tcBorders>
              <w:tl2br w:val="nil"/>
              <w:tr2bl w:val="nil"/>
            </w:tcBorders>
            <w:shd w:val="clear" w:color="auto" w:fill="auto"/>
            <w:vAlign w:val="center"/>
          </w:tcPr>
          <w:p w14:paraId="630C71E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8424CC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744A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09C7E3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133</w:t>
            </w:r>
          </w:p>
        </w:tc>
        <w:tc>
          <w:tcPr>
            <w:tcW w:w="980" w:type="dxa"/>
            <w:vMerge w:val="restart"/>
            <w:tcBorders>
              <w:tl2br w:val="nil"/>
              <w:tr2bl w:val="nil"/>
            </w:tcBorders>
            <w:shd w:val="clear" w:color="auto" w:fill="auto"/>
            <w:vAlign w:val="center"/>
          </w:tcPr>
          <w:p w14:paraId="1DA7A57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风险隐患管理</w:t>
            </w:r>
          </w:p>
        </w:tc>
        <w:tc>
          <w:tcPr>
            <w:tcW w:w="1118" w:type="dxa"/>
            <w:tcBorders>
              <w:tl2br w:val="nil"/>
              <w:tr2bl w:val="nil"/>
            </w:tcBorders>
            <w:shd w:val="clear" w:color="auto" w:fill="auto"/>
            <w:vAlign w:val="center"/>
          </w:tcPr>
          <w:p w14:paraId="7A49273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风险信息管理</w:t>
            </w:r>
          </w:p>
        </w:tc>
        <w:tc>
          <w:tcPr>
            <w:tcW w:w="6261" w:type="dxa"/>
            <w:tcBorders>
              <w:tl2br w:val="nil"/>
              <w:tr2bl w:val="nil"/>
            </w:tcBorders>
            <w:shd w:val="clear" w:color="auto" w:fill="auto"/>
            <w:vAlign w:val="center"/>
          </w:tcPr>
          <w:p w14:paraId="3EB2F87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按专业分类分级管理运营过程中产生的热源、换热站、管线等供热设施的各级风险，实现集中管理，分级管控。对于风险名称、等级、处置建议、发生定位、风险分析、风险记录等基础信息支持录入、维护、excel文档导入等，支持详情查看，照片上传。</w:t>
            </w:r>
          </w:p>
        </w:tc>
        <w:tc>
          <w:tcPr>
            <w:tcW w:w="722" w:type="dxa"/>
            <w:vMerge w:val="restart"/>
            <w:tcBorders>
              <w:tl2br w:val="nil"/>
              <w:tr2bl w:val="nil"/>
            </w:tcBorders>
            <w:shd w:val="clear" w:color="auto" w:fill="auto"/>
            <w:vAlign w:val="center"/>
          </w:tcPr>
          <w:p w14:paraId="547CCCA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1D4B2E4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732BB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675CDC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134</w:t>
            </w:r>
          </w:p>
        </w:tc>
        <w:tc>
          <w:tcPr>
            <w:tcW w:w="980" w:type="dxa"/>
            <w:vMerge w:val="continue"/>
            <w:tcBorders>
              <w:tl2br w:val="nil"/>
              <w:tr2bl w:val="nil"/>
            </w:tcBorders>
            <w:shd w:val="clear" w:color="auto" w:fill="auto"/>
            <w:vAlign w:val="center"/>
          </w:tcPr>
          <w:p w14:paraId="163C2C4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0174A4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风险分布四色图</w:t>
            </w:r>
          </w:p>
        </w:tc>
        <w:tc>
          <w:tcPr>
            <w:tcW w:w="6261" w:type="dxa"/>
            <w:tcBorders>
              <w:tl2br w:val="nil"/>
              <w:tr2bl w:val="nil"/>
            </w:tcBorders>
            <w:shd w:val="clear" w:color="auto" w:fill="auto"/>
            <w:vAlign w:val="center"/>
          </w:tcPr>
          <w:p w14:paraId="0703C5E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建立对供热安全风险的分层分级四色预警。包括一级风险、二级风险、三级风险和四级风险，分别用红、橙、黄、蓝四种颜色标示。不同级别风险分析结果及时发出相应级别的预警提醒。</w:t>
            </w:r>
          </w:p>
        </w:tc>
        <w:tc>
          <w:tcPr>
            <w:tcW w:w="722" w:type="dxa"/>
            <w:vMerge w:val="continue"/>
            <w:tcBorders>
              <w:tl2br w:val="nil"/>
              <w:tr2bl w:val="nil"/>
            </w:tcBorders>
            <w:shd w:val="clear" w:color="auto" w:fill="auto"/>
            <w:vAlign w:val="center"/>
          </w:tcPr>
          <w:p w14:paraId="691A18E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B865B4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CCCD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917BCD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135</w:t>
            </w:r>
          </w:p>
        </w:tc>
        <w:tc>
          <w:tcPr>
            <w:tcW w:w="980" w:type="dxa"/>
            <w:vMerge w:val="continue"/>
            <w:tcBorders>
              <w:tl2br w:val="nil"/>
              <w:tr2bl w:val="nil"/>
            </w:tcBorders>
            <w:shd w:val="clear" w:color="auto" w:fill="auto"/>
            <w:vAlign w:val="center"/>
          </w:tcPr>
          <w:p w14:paraId="1C6600A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25F111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风险统计分析</w:t>
            </w:r>
          </w:p>
        </w:tc>
        <w:tc>
          <w:tcPr>
            <w:tcW w:w="6261" w:type="dxa"/>
            <w:tcBorders>
              <w:tl2br w:val="nil"/>
              <w:tr2bl w:val="nil"/>
            </w:tcBorders>
            <w:shd w:val="clear" w:color="auto" w:fill="auto"/>
            <w:vAlign w:val="center"/>
          </w:tcPr>
          <w:p w14:paraId="0BF49C6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对过往发生的风险数据，进行时间、等级、发生总数、企业处置、类型占比、级别占比等维度进行统计分析。</w:t>
            </w:r>
          </w:p>
        </w:tc>
        <w:tc>
          <w:tcPr>
            <w:tcW w:w="722" w:type="dxa"/>
            <w:vMerge w:val="continue"/>
            <w:tcBorders>
              <w:tl2br w:val="nil"/>
              <w:tr2bl w:val="nil"/>
            </w:tcBorders>
            <w:shd w:val="clear" w:color="auto" w:fill="auto"/>
            <w:vAlign w:val="center"/>
          </w:tcPr>
          <w:p w14:paraId="10975FD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6E583E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479E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3E4233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136</w:t>
            </w:r>
          </w:p>
        </w:tc>
        <w:tc>
          <w:tcPr>
            <w:tcW w:w="980" w:type="dxa"/>
            <w:vMerge w:val="continue"/>
            <w:tcBorders>
              <w:tl2br w:val="nil"/>
              <w:tr2bl w:val="nil"/>
            </w:tcBorders>
            <w:shd w:val="clear" w:color="auto" w:fill="auto"/>
            <w:vAlign w:val="center"/>
          </w:tcPr>
          <w:p w14:paraId="35E4731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CE760A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隐患排查热力图</w:t>
            </w:r>
          </w:p>
        </w:tc>
        <w:tc>
          <w:tcPr>
            <w:tcW w:w="6261" w:type="dxa"/>
            <w:tcBorders>
              <w:tl2br w:val="nil"/>
              <w:tr2bl w:val="nil"/>
            </w:tcBorders>
            <w:shd w:val="clear" w:color="auto" w:fill="auto"/>
            <w:vAlign w:val="center"/>
          </w:tcPr>
          <w:p w14:paraId="20B795B8">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以风险单元为骨架(街道相关区域)，最近排查结果为时点，汇总排查历史记 录以及隐患整个记录，生成整个城市的隐患风险热力图。</w:t>
            </w:r>
          </w:p>
        </w:tc>
        <w:tc>
          <w:tcPr>
            <w:tcW w:w="722" w:type="dxa"/>
            <w:vMerge w:val="continue"/>
            <w:tcBorders>
              <w:tl2br w:val="nil"/>
              <w:tr2bl w:val="nil"/>
            </w:tcBorders>
            <w:shd w:val="clear" w:color="auto" w:fill="auto"/>
            <w:vAlign w:val="center"/>
          </w:tcPr>
          <w:p w14:paraId="542F16E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54CD04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AA4C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82604A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137</w:t>
            </w:r>
          </w:p>
        </w:tc>
        <w:tc>
          <w:tcPr>
            <w:tcW w:w="980" w:type="dxa"/>
            <w:vMerge w:val="restart"/>
            <w:tcBorders>
              <w:tl2br w:val="nil"/>
              <w:tr2bl w:val="nil"/>
            </w:tcBorders>
            <w:shd w:val="clear" w:color="auto" w:fill="auto"/>
            <w:vAlign w:val="center"/>
          </w:tcPr>
          <w:p w14:paraId="2F05160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监测监控管理</w:t>
            </w:r>
          </w:p>
        </w:tc>
        <w:tc>
          <w:tcPr>
            <w:tcW w:w="1118" w:type="dxa"/>
            <w:tcBorders>
              <w:tl2br w:val="nil"/>
              <w:tr2bl w:val="nil"/>
            </w:tcBorders>
            <w:shd w:val="clear" w:color="auto" w:fill="auto"/>
            <w:vAlign w:val="center"/>
          </w:tcPr>
          <w:p w14:paraId="7B49CC2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实时展示</w:t>
            </w:r>
          </w:p>
        </w:tc>
        <w:tc>
          <w:tcPr>
            <w:tcW w:w="6261" w:type="dxa"/>
            <w:tcBorders>
              <w:tl2br w:val="nil"/>
              <w:tr2bl w:val="nil"/>
            </w:tcBorders>
            <w:shd w:val="clear" w:color="auto" w:fill="auto"/>
            <w:vAlign w:val="center"/>
          </w:tcPr>
          <w:p w14:paraId="19052F3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 GIS 电子地图方式实现：1. 实时显示监测点的监测数据，订阅到数据变化后自动进行更新；2. 依据红橙蓝绿灰5 色显示监测点的状态，依据风险高低和在线与否进行 实时区分；3. 支持对不同类型的监测点进行图层开闭；4. 支持把位置分享给移动端。</w:t>
            </w:r>
          </w:p>
        </w:tc>
        <w:tc>
          <w:tcPr>
            <w:tcW w:w="722" w:type="dxa"/>
            <w:vMerge w:val="restart"/>
            <w:tcBorders>
              <w:tl2br w:val="nil"/>
              <w:tr2bl w:val="nil"/>
            </w:tcBorders>
            <w:shd w:val="clear" w:color="auto" w:fill="auto"/>
            <w:vAlign w:val="center"/>
          </w:tcPr>
          <w:p w14:paraId="47D47FC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6D8C251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6D167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D22D41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138</w:t>
            </w:r>
          </w:p>
        </w:tc>
        <w:tc>
          <w:tcPr>
            <w:tcW w:w="980" w:type="dxa"/>
            <w:vMerge w:val="continue"/>
            <w:tcBorders>
              <w:tl2br w:val="nil"/>
              <w:tr2bl w:val="nil"/>
            </w:tcBorders>
            <w:shd w:val="clear" w:color="auto" w:fill="auto"/>
            <w:vAlign w:val="center"/>
          </w:tcPr>
          <w:p w14:paraId="4D986B7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2088E9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场站负荷率监测</w:t>
            </w:r>
          </w:p>
        </w:tc>
        <w:tc>
          <w:tcPr>
            <w:tcW w:w="6261" w:type="dxa"/>
            <w:tcBorders>
              <w:tl2br w:val="nil"/>
              <w:tr2bl w:val="nil"/>
            </w:tcBorders>
            <w:shd w:val="clear" w:color="auto" w:fill="auto"/>
            <w:vAlign w:val="center"/>
          </w:tcPr>
          <w:p w14:paraId="67CFDC0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展示具体的负荷率数值和相关图表，帮助用户直观了解各场站在选定日期内的负荷情况。可以通过柱状图或折线图的形式展示不同场站的负荷率变化趋势，便于用户快速识别出负荷率异常的场站。</w:t>
            </w:r>
          </w:p>
        </w:tc>
        <w:tc>
          <w:tcPr>
            <w:tcW w:w="722" w:type="dxa"/>
            <w:vMerge w:val="continue"/>
            <w:tcBorders>
              <w:tl2br w:val="nil"/>
              <w:tr2bl w:val="nil"/>
            </w:tcBorders>
            <w:shd w:val="clear" w:color="auto" w:fill="auto"/>
            <w:vAlign w:val="center"/>
          </w:tcPr>
          <w:p w14:paraId="21554CD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D6AA99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6ECE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5B9FCA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139</w:t>
            </w:r>
          </w:p>
        </w:tc>
        <w:tc>
          <w:tcPr>
            <w:tcW w:w="980" w:type="dxa"/>
            <w:vMerge w:val="continue"/>
            <w:tcBorders>
              <w:tl2br w:val="nil"/>
              <w:tr2bl w:val="nil"/>
            </w:tcBorders>
            <w:shd w:val="clear" w:color="auto" w:fill="auto"/>
            <w:vAlign w:val="center"/>
          </w:tcPr>
          <w:p w14:paraId="71026F2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99493C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场站热符合监测</w:t>
            </w:r>
          </w:p>
        </w:tc>
        <w:tc>
          <w:tcPr>
            <w:tcW w:w="6261" w:type="dxa"/>
            <w:tcBorders>
              <w:tl2br w:val="nil"/>
              <w:tr2bl w:val="nil"/>
            </w:tcBorders>
            <w:shd w:val="clear" w:color="auto" w:fill="auto"/>
            <w:vAlign w:val="center"/>
          </w:tcPr>
          <w:p w14:paraId="0D99ED7F">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该区域将展示具体的热负荷数值和相关图表，帮助用户直观了解各场站在选定时间段内的热负荷情况。可以通过柱状图或折线图的形式展示不同场站在指定时间段内的热负荷变化趋势，便于用户快速识别出热负荷异常的场站。</w:t>
            </w:r>
          </w:p>
        </w:tc>
        <w:tc>
          <w:tcPr>
            <w:tcW w:w="722" w:type="dxa"/>
            <w:vMerge w:val="continue"/>
            <w:tcBorders>
              <w:tl2br w:val="nil"/>
              <w:tr2bl w:val="nil"/>
            </w:tcBorders>
            <w:shd w:val="clear" w:color="auto" w:fill="auto"/>
            <w:vAlign w:val="center"/>
          </w:tcPr>
          <w:p w14:paraId="224EACA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B25434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4E30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531228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140</w:t>
            </w:r>
          </w:p>
        </w:tc>
        <w:tc>
          <w:tcPr>
            <w:tcW w:w="980" w:type="dxa"/>
            <w:vMerge w:val="restart"/>
            <w:tcBorders>
              <w:tl2br w:val="nil"/>
              <w:tr2bl w:val="nil"/>
            </w:tcBorders>
            <w:shd w:val="clear" w:color="auto" w:fill="auto"/>
            <w:vAlign w:val="center"/>
          </w:tcPr>
          <w:p w14:paraId="073C5E5C">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预测预警管理</w:t>
            </w:r>
          </w:p>
          <w:p w14:paraId="6116DB5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A7F39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报警信息</w:t>
            </w:r>
          </w:p>
        </w:tc>
        <w:tc>
          <w:tcPr>
            <w:tcW w:w="6261" w:type="dxa"/>
            <w:tcBorders>
              <w:tl2br w:val="nil"/>
              <w:tr2bl w:val="nil"/>
            </w:tcBorders>
            <w:shd w:val="clear" w:color="auto" w:fill="auto"/>
            <w:vAlign w:val="center"/>
          </w:tcPr>
          <w:p w14:paraId="0D48116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信息模块通过列表形式详细呈现了供热系统中的各类报警数据，包括设施名称、设备名称、监测项、报警时间、报警地址、报警值、处置状态等关键信息。用户可以对每条报警记录进行查看、处置和误报标记操作，确保及时响应和处理各种异常情况。</w:t>
            </w:r>
          </w:p>
        </w:tc>
        <w:tc>
          <w:tcPr>
            <w:tcW w:w="722" w:type="dxa"/>
            <w:vMerge w:val="restart"/>
            <w:tcBorders>
              <w:tl2br w:val="nil"/>
              <w:tr2bl w:val="nil"/>
            </w:tcBorders>
            <w:shd w:val="clear" w:color="auto" w:fill="auto"/>
            <w:vAlign w:val="center"/>
          </w:tcPr>
          <w:p w14:paraId="030D297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41C3B1F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2EBCC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C30012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141</w:t>
            </w:r>
          </w:p>
        </w:tc>
        <w:tc>
          <w:tcPr>
            <w:tcW w:w="980" w:type="dxa"/>
            <w:vMerge w:val="continue"/>
            <w:tcBorders>
              <w:tl2br w:val="nil"/>
              <w:tr2bl w:val="nil"/>
            </w:tcBorders>
            <w:shd w:val="clear" w:color="auto" w:fill="auto"/>
            <w:vAlign w:val="center"/>
          </w:tcPr>
          <w:p w14:paraId="24866C6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EFFECC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报警详情查看</w:t>
            </w:r>
          </w:p>
        </w:tc>
        <w:tc>
          <w:tcPr>
            <w:tcW w:w="6261" w:type="dxa"/>
            <w:tcBorders>
              <w:tl2br w:val="nil"/>
              <w:tr2bl w:val="nil"/>
            </w:tcBorders>
            <w:shd w:val="clear" w:color="auto" w:fill="auto"/>
            <w:vAlign w:val="center"/>
          </w:tcPr>
          <w:p w14:paraId="0A5F530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点击某条报警信息后的查看，弹出报警信息详情弹窗，可对报警详情内容、设备监测曲线等数据进行查看，其中报警处置内容可与处置弹窗中的设置内容进行同步展示。</w:t>
            </w:r>
          </w:p>
        </w:tc>
        <w:tc>
          <w:tcPr>
            <w:tcW w:w="722" w:type="dxa"/>
            <w:vMerge w:val="continue"/>
            <w:tcBorders>
              <w:tl2br w:val="nil"/>
              <w:tr2bl w:val="nil"/>
            </w:tcBorders>
            <w:shd w:val="clear" w:color="auto" w:fill="auto"/>
            <w:vAlign w:val="center"/>
          </w:tcPr>
          <w:p w14:paraId="165E714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790BC4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994AB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01BD12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142</w:t>
            </w:r>
          </w:p>
        </w:tc>
        <w:tc>
          <w:tcPr>
            <w:tcW w:w="980" w:type="dxa"/>
            <w:vMerge w:val="continue"/>
            <w:tcBorders>
              <w:tl2br w:val="nil"/>
              <w:tr2bl w:val="nil"/>
            </w:tcBorders>
            <w:shd w:val="clear" w:color="auto" w:fill="auto"/>
            <w:vAlign w:val="center"/>
          </w:tcPr>
          <w:p w14:paraId="04729B8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70C495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报警信息处置</w:t>
            </w:r>
          </w:p>
        </w:tc>
        <w:tc>
          <w:tcPr>
            <w:tcW w:w="6261" w:type="dxa"/>
            <w:tcBorders>
              <w:tl2br w:val="nil"/>
              <w:tr2bl w:val="nil"/>
            </w:tcBorders>
            <w:shd w:val="clear" w:color="auto" w:fill="auto"/>
            <w:vAlign w:val="center"/>
          </w:tcPr>
          <w:p w14:paraId="357CD9D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点击某条报警信息后的处置，可弹出报警信息处置弹窗，通过选择核实结果、预警等级、预案内容，输入描述文本，可对此条报警信息进行处置操作。</w:t>
            </w:r>
          </w:p>
        </w:tc>
        <w:tc>
          <w:tcPr>
            <w:tcW w:w="722" w:type="dxa"/>
            <w:vMerge w:val="continue"/>
            <w:tcBorders>
              <w:tl2br w:val="nil"/>
              <w:tr2bl w:val="nil"/>
            </w:tcBorders>
            <w:shd w:val="clear" w:color="auto" w:fill="auto"/>
            <w:vAlign w:val="center"/>
          </w:tcPr>
          <w:p w14:paraId="0215AFB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A0BDC1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FDD5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DD2DBD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143</w:t>
            </w:r>
          </w:p>
        </w:tc>
        <w:tc>
          <w:tcPr>
            <w:tcW w:w="980" w:type="dxa"/>
            <w:vMerge w:val="continue"/>
            <w:tcBorders>
              <w:tl2br w:val="nil"/>
              <w:tr2bl w:val="nil"/>
            </w:tcBorders>
            <w:shd w:val="clear" w:color="auto" w:fill="auto"/>
            <w:vAlign w:val="center"/>
          </w:tcPr>
          <w:p w14:paraId="23D206A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347C35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w:t>
            </w:r>
          </w:p>
        </w:tc>
        <w:tc>
          <w:tcPr>
            <w:tcW w:w="6261" w:type="dxa"/>
            <w:tcBorders>
              <w:tl2br w:val="nil"/>
              <w:tr2bl w:val="nil"/>
            </w:tcBorders>
            <w:shd w:val="clear" w:color="auto" w:fill="auto"/>
            <w:vAlign w:val="center"/>
          </w:tcPr>
          <w:p w14:paraId="5EB4D2D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选择警情管理下的预警处置，进入预警处置页面，在此页面中可生成预警处置信息进行查看和推送操作，并可跟踪其预警处置任务的完成情况。</w:t>
            </w:r>
          </w:p>
        </w:tc>
        <w:tc>
          <w:tcPr>
            <w:tcW w:w="722" w:type="dxa"/>
            <w:vMerge w:val="continue"/>
            <w:tcBorders>
              <w:tl2br w:val="nil"/>
              <w:tr2bl w:val="nil"/>
            </w:tcBorders>
            <w:shd w:val="clear" w:color="auto" w:fill="auto"/>
            <w:vAlign w:val="center"/>
          </w:tcPr>
          <w:p w14:paraId="0BF0FAC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9C9B05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EE24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6E7CD4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144</w:t>
            </w:r>
          </w:p>
        </w:tc>
        <w:tc>
          <w:tcPr>
            <w:tcW w:w="980" w:type="dxa"/>
            <w:vMerge w:val="continue"/>
            <w:tcBorders>
              <w:tl2br w:val="nil"/>
              <w:tr2bl w:val="nil"/>
            </w:tcBorders>
            <w:shd w:val="clear" w:color="auto" w:fill="auto"/>
            <w:vAlign w:val="center"/>
          </w:tcPr>
          <w:p w14:paraId="4C47147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41DB79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预警详情查看</w:t>
            </w:r>
          </w:p>
        </w:tc>
        <w:tc>
          <w:tcPr>
            <w:tcW w:w="6261" w:type="dxa"/>
            <w:tcBorders>
              <w:tl2br w:val="nil"/>
              <w:tr2bl w:val="nil"/>
            </w:tcBorders>
            <w:shd w:val="clear" w:color="auto" w:fill="auto"/>
            <w:vAlign w:val="center"/>
          </w:tcPr>
          <w:p w14:paraId="143481F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点击某条预警信息后的查看，弹出预警信息详情弹窗，可对预警详情内容、处置流程，及相应的应急预案内容进行查看。</w:t>
            </w:r>
          </w:p>
        </w:tc>
        <w:tc>
          <w:tcPr>
            <w:tcW w:w="722" w:type="dxa"/>
            <w:vMerge w:val="continue"/>
            <w:tcBorders>
              <w:tl2br w:val="nil"/>
              <w:tr2bl w:val="nil"/>
            </w:tcBorders>
            <w:shd w:val="clear" w:color="auto" w:fill="auto"/>
            <w:vAlign w:val="center"/>
          </w:tcPr>
          <w:p w14:paraId="460F681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78B70A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37259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34515B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145</w:t>
            </w:r>
          </w:p>
        </w:tc>
        <w:tc>
          <w:tcPr>
            <w:tcW w:w="980" w:type="dxa"/>
            <w:vMerge w:val="continue"/>
            <w:tcBorders>
              <w:tl2br w:val="nil"/>
              <w:tr2bl w:val="nil"/>
            </w:tcBorders>
            <w:shd w:val="clear" w:color="auto" w:fill="auto"/>
            <w:vAlign w:val="center"/>
          </w:tcPr>
          <w:p w14:paraId="37B24D1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67B81F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预警处置</w:t>
            </w:r>
          </w:p>
        </w:tc>
        <w:tc>
          <w:tcPr>
            <w:tcW w:w="6261" w:type="dxa"/>
            <w:tcBorders>
              <w:tl2br w:val="nil"/>
              <w:tr2bl w:val="nil"/>
            </w:tcBorders>
            <w:shd w:val="clear" w:color="auto" w:fill="auto"/>
            <w:vAlign w:val="center"/>
          </w:tcPr>
          <w:p w14:paraId="1242E19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处置模块主要用于管理和处理各类预警信息。当报警信息经过初步处置后，会自动推送到该模块进行进一步的跟踪和管理。在预警处置模块中，用户可以查看详细的预警信息，包括设施名称、设备名称、预警类型、预警内容、预警时间、预警值及当前的处置状态等。</w:t>
            </w:r>
          </w:p>
        </w:tc>
        <w:tc>
          <w:tcPr>
            <w:tcW w:w="722" w:type="dxa"/>
            <w:vMerge w:val="continue"/>
            <w:tcBorders>
              <w:tl2br w:val="nil"/>
              <w:tr2bl w:val="nil"/>
            </w:tcBorders>
            <w:shd w:val="clear" w:color="auto" w:fill="auto"/>
            <w:vAlign w:val="center"/>
          </w:tcPr>
          <w:p w14:paraId="4535EA5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7944A4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73FE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1A5BED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146</w:t>
            </w:r>
          </w:p>
        </w:tc>
        <w:tc>
          <w:tcPr>
            <w:tcW w:w="980" w:type="dxa"/>
            <w:vMerge w:val="continue"/>
            <w:tcBorders>
              <w:tl2br w:val="nil"/>
              <w:tr2bl w:val="nil"/>
            </w:tcBorders>
            <w:shd w:val="clear" w:color="auto" w:fill="auto"/>
            <w:vAlign w:val="center"/>
          </w:tcPr>
          <w:p w14:paraId="3A94572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45AE41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预案管理</w:t>
            </w:r>
          </w:p>
        </w:tc>
        <w:tc>
          <w:tcPr>
            <w:tcW w:w="6261" w:type="dxa"/>
            <w:tcBorders>
              <w:tl2br w:val="nil"/>
              <w:tr2bl w:val="nil"/>
            </w:tcBorders>
            <w:shd w:val="clear" w:color="auto" w:fill="auto"/>
            <w:vAlign w:val="center"/>
          </w:tcPr>
          <w:p w14:paraId="131DBF6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通过列表形式展示所有预案信息，包括预案名称、应急类型及预案主要内容等，并提供新增、编辑、预览、下载和删除等功能，方便用户根据实际需求进行预案的创建、修改和查阅。</w:t>
            </w:r>
          </w:p>
        </w:tc>
        <w:tc>
          <w:tcPr>
            <w:tcW w:w="722" w:type="dxa"/>
            <w:vMerge w:val="continue"/>
            <w:tcBorders>
              <w:tl2br w:val="nil"/>
              <w:tr2bl w:val="nil"/>
            </w:tcBorders>
            <w:shd w:val="clear" w:color="auto" w:fill="auto"/>
            <w:vAlign w:val="center"/>
          </w:tcPr>
          <w:p w14:paraId="716252D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730AC8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B5C92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1B4F6E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147</w:t>
            </w:r>
          </w:p>
        </w:tc>
        <w:tc>
          <w:tcPr>
            <w:tcW w:w="980" w:type="dxa"/>
            <w:vMerge w:val="restart"/>
            <w:tcBorders>
              <w:tl2br w:val="nil"/>
              <w:tr2bl w:val="nil"/>
            </w:tcBorders>
            <w:shd w:val="clear" w:color="auto" w:fill="auto"/>
            <w:vAlign w:val="center"/>
          </w:tcPr>
          <w:p w14:paraId="46F4CFF7">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en-US" w:bidi="ar-SA"/>
              </w:rPr>
            </w:pPr>
            <w:r>
              <w:rPr>
                <w:rFonts w:hint="eastAsia" w:ascii="宋体" w:hAnsi="宋体" w:eastAsia="宋体" w:cs="宋体"/>
                <w:i w:val="0"/>
                <w:iCs w:val="0"/>
                <w:snapToGrid w:val="0"/>
                <w:color w:val="auto"/>
                <w:kern w:val="0"/>
                <w:sz w:val="21"/>
                <w:szCs w:val="21"/>
                <w:highlight w:val="none"/>
                <w:u w:val="none"/>
                <w:lang w:val="en-US" w:eastAsia="zh-CN" w:bidi="ar"/>
              </w:rPr>
              <w:t>辅助决策管理</w:t>
            </w:r>
          </w:p>
        </w:tc>
        <w:tc>
          <w:tcPr>
            <w:tcW w:w="1118" w:type="dxa"/>
            <w:tcBorders>
              <w:tl2br w:val="nil"/>
              <w:tr2bl w:val="nil"/>
            </w:tcBorders>
            <w:shd w:val="clear" w:color="auto" w:fill="auto"/>
            <w:vAlign w:val="center"/>
          </w:tcPr>
          <w:p w14:paraId="474544A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知识库管理</w:t>
            </w:r>
          </w:p>
        </w:tc>
        <w:tc>
          <w:tcPr>
            <w:tcW w:w="6261" w:type="dxa"/>
            <w:tcBorders>
              <w:tl2br w:val="nil"/>
              <w:tr2bl w:val="nil"/>
            </w:tcBorders>
            <w:shd w:val="clear" w:color="auto" w:fill="auto"/>
            <w:vAlign w:val="center"/>
          </w:tcPr>
          <w:p w14:paraId="2175C66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以列表形式展示所有知识库文件，包括文件名称、文件类型、上传时间及上传人员等详细信息，并提供预览、下载和删除等功能，方便用户随时查阅和使用所需资料。</w:t>
            </w:r>
          </w:p>
        </w:tc>
        <w:tc>
          <w:tcPr>
            <w:tcW w:w="722" w:type="dxa"/>
            <w:vMerge w:val="restart"/>
            <w:tcBorders>
              <w:tl2br w:val="nil"/>
              <w:tr2bl w:val="nil"/>
            </w:tcBorders>
            <w:shd w:val="clear" w:color="auto" w:fill="auto"/>
            <w:vAlign w:val="center"/>
          </w:tcPr>
          <w:p w14:paraId="10C25053">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21EF3934">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649C8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EFAA80A">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148</w:t>
            </w:r>
          </w:p>
        </w:tc>
        <w:tc>
          <w:tcPr>
            <w:tcW w:w="980" w:type="dxa"/>
            <w:vMerge w:val="continue"/>
            <w:tcBorders>
              <w:tl2br w:val="nil"/>
              <w:tr2bl w:val="nil"/>
            </w:tcBorders>
            <w:shd w:val="clear" w:color="auto" w:fill="auto"/>
            <w:vAlign w:val="center"/>
          </w:tcPr>
          <w:p w14:paraId="3D8585F4">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86E7382">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专家库管理</w:t>
            </w:r>
          </w:p>
        </w:tc>
        <w:tc>
          <w:tcPr>
            <w:tcW w:w="6261" w:type="dxa"/>
            <w:tcBorders>
              <w:tl2br w:val="nil"/>
              <w:tr2bl w:val="nil"/>
            </w:tcBorders>
            <w:shd w:val="clear" w:color="auto" w:fill="auto"/>
            <w:vAlign w:val="center"/>
          </w:tcPr>
          <w:p w14:paraId="1F6D1D1B">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以列表形式展示所有专家的详细资料，包括姓名、职称、技术特长、所属机构及联系方式等，并提供资料查看、编辑和删除等功能，方便用户随时更新和查阅专家信息。</w:t>
            </w:r>
          </w:p>
        </w:tc>
        <w:tc>
          <w:tcPr>
            <w:tcW w:w="722" w:type="dxa"/>
            <w:vMerge w:val="continue"/>
            <w:tcBorders>
              <w:tl2br w:val="nil"/>
              <w:tr2bl w:val="nil"/>
            </w:tcBorders>
            <w:shd w:val="clear" w:color="auto" w:fill="auto"/>
            <w:vAlign w:val="center"/>
          </w:tcPr>
          <w:p w14:paraId="23E1DE64">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c>
          <w:tcPr>
            <w:tcW w:w="655" w:type="dxa"/>
            <w:vMerge w:val="continue"/>
            <w:tcBorders>
              <w:tl2br w:val="nil"/>
              <w:tr2bl w:val="nil"/>
            </w:tcBorders>
            <w:shd w:val="clear" w:color="auto" w:fill="auto"/>
            <w:vAlign w:val="center"/>
          </w:tcPr>
          <w:p w14:paraId="451542CC">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p>
        </w:tc>
      </w:tr>
      <w:tr w14:paraId="7F70DD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vAlign w:val="center"/>
          </w:tcPr>
          <w:p w14:paraId="32D5D166">
            <w:pPr>
              <w:keepNext w:val="0"/>
              <w:keepLines w:val="0"/>
              <w:widowControl/>
              <w:suppressLineNumbers w:val="0"/>
              <w:kinsoku/>
              <w:wordWrap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（六）桥梁安全专项应用</w:t>
            </w:r>
          </w:p>
        </w:tc>
      </w:tr>
      <w:tr w14:paraId="700AC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CFC11B3">
            <w:pPr>
              <w:keepNext w:val="0"/>
              <w:keepLines w:val="0"/>
              <w:widowControl/>
              <w:suppressLineNumbers w:val="0"/>
              <w:kinsoku/>
              <w:wordWrap w:val="0"/>
              <w:spacing w:line="360"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149</w:t>
            </w:r>
          </w:p>
        </w:tc>
        <w:tc>
          <w:tcPr>
            <w:tcW w:w="980" w:type="dxa"/>
            <w:vMerge w:val="restart"/>
            <w:tcBorders>
              <w:tl2br w:val="nil"/>
              <w:tr2bl w:val="nil"/>
            </w:tcBorders>
            <w:shd w:val="clear" w:color="auto" w:fill="auto"/>
            <w:vAlign w:val="center"/>
          </w:tcPr>
          <w:p w14:paraId="67F6416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桥梁运行一张图</w:t>
            </w:r>
          </w:p>
        </w:tc>
        <w:tc>
          <w:tcPr>
            <w:tcW w:w="1118" w:type="dxa"/>
            <w:tcBorders>
              <w:tl2br w:val="nil"/>
              <w:tr2bl w:val="nil"/>
            </w:tcBorders>
            <w:shd w:val="clear" w:color="auto" w:fill="auto"/>
            <w:vAlign w:val="center"/>
          </w:tcPr>
          <w:p w14:paraId="2AF0EEA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监测总览</w:t>
            </w:r>
          </w:p>
        </w:tc>
        <w:tc>
          <w:tcPr>
            <w:tcW w:w="6261" w:type="dxa"/>
            <w:tcBorders>
              <w:tl2br w:val="nil"/>
              <w:tr2bl w:val="nil"/>
            </w:tcBorders>
            <w:shd w:val="clear" w:color="auto" w:fill="auto"/>
            <w:vAlign w:val="center"/>
          </w:tcPr>
          <w:p w14:paraId="5CB98CB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监测总览中从桥梁总数、风险等级、结构类型、建设年代、养护等级五个维度展示了项目中所有桥梁的监测统计数据。</w:t>
            </w:r>
          </w:p>
        </w:tc>
        <w:tc>
          <w:tcPr>
            <w:tcW w:w="722" w:type="dxa"/>
            <w:vMerge w:val="restart"/>
            <w:tcBorders>
              <w:tl2br w:val="nil"/>
              <w:tr2bl w:val="nil"/>
            </w:tcBorders>
            <w:shd w:val="clear" w:color="auto" w:fill="auto"/>
            <w:vAlign w:val="center"/>
          </w:tcPr>
          <w:p w14:paraId="6C88F0B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27AE5AB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170A1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3A4E9C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150</w:t>
            </w:r>
          </w:p>
        </w:tc>
        <w:tc>
          <w:tcPr>
            <w:tcW w:w="980" w:type="dxa"/>
            <w:vMerge w:val="continue"/>
            <w:tcBorders>
              <w:tl2br w:val="nil"/>
              <w:tr2bl w:val="nil"/>
            </w:tcBorders>
            <w:shd w:val="clear" w:color="auto" w:fill="auto"/>
            <w:vAlign w:val="center"/>
          </w:tcPr>
          <w:p w14:paraId="36BA305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C2108A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设备总览</w:t>
            </w:r>
          </w:p>
        </w:tc>
        <w:tc>
          <w:tcPr>
            <w:tcW w:w="6261" w:type="dxa"/>
            <w:tcBorders>
              <w:tl2br w:val="nil"/>
              <w:tr2bl w:val="nil"/>
            </w:tcBorders>
            <w:shd w:val="clear" w:color="auto" w:fill="auto"/>
            <w:vAlign w:val="center"/>
          </w:tcPr>
          <w:p w14:paraId="6F5E498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设备总览中对所有桥梁安装设备的总数和总在线率进行了统计，并对在线设备和离线设备的设备类型进行了统计。其中，选择右上角的下拉框可通过选择桥梁名称对不同桥梁的数据进行筛选。</w:t>
            </w:r>
          </w:p>
        </w:tc>
        <w:tc>
          <w:tcPr>
            <w:tcW w:w="722" w:type="dxa"/>
            <w:vMerge w:val="continue"/>
            <w:tcBorders>
              <w:tl2br w:val="nil"/>
              <w:tr2bl w:val="nil"/>
            </w:tcBorders>
            <w:shd w:val="clear" w:color="auto" w:fill="auto"/>
            <w:vAlign w:val="center"/>
          </w:tcPr>
          <w:p w14:paraId="6F5BD18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4A952E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3111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380DB8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151</w:t>
            </w:r>
          </w:p>
        </w:tc>
        <w:tc>
          <w:tcPr>
            <w:tcW w:w="980" w:type="dxa"/>
            <w:vMerge w:val="continue"/>
            <w:tcBorders>
              <w:tl2br w:val="nil"/>
              <w:tr2bl w:val="nil"/>
            </w:tcBorders>
            <w:shd w:val="clear" w:color="auto" w:fill="auto"/>
            <w:vAlign w:val="center"/>
          </w:tcPr>
          <w:p w14:paraId="7F9D53D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C1DD19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隐患总览</w:t>
            </w:r>
          </w:p>
        </w:tc>
        <w:tc>
          <w:tcPr>
            <w:tcW w:w="6261" w:type="dxa"/>
            <w:tcBorders>
              <w:tl2br w:val="nil"/>
              <w:tr2bl w:val="nil"/>
            </w:tcBorders>
            <w:shd w:val="clear" w:color="auto" w:fill="auto"/>
            <w:vAlign w:val="center"/>
          </w:tcPr>
          <w:p w14:paraId="7F2CC71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隐患总览中对所有桥梁的加剧隐患类型和新增隐患类型进行了统计。选择右上角的下拉框可通过选择桥梁名称对不同桥梁的数据进行筛选。</w:t>
            </w:r>
          </w:p>
        </w:tc>
        <w:tc>
          <w:tcPr>
            <w:tcW w:w="722" w:type="dxa"/>
            <w:vMerge w:val="continue"/>
            <w:tcBorders>
              <w:tl2br w:val="nil"/>
              <w:tr2bl w:val="nil"/>
            </w:tcBorders>
            <w:shd w:val="clear" w:color="auto" w:fill="auto"/>
            <w:vAlign w:val="center"/>
          </w:tcPr>
          <w:p w14:paraId="04707E1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AE63E8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74E05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F7B94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152</w:t>
            </w:r>
          </w:p>
        </w:tc>
        <w:tc>
          <w:tcPr>
            <w:tcW w:w="980" w:type="dxa"/>
            <w:vMerge w:val="continue"/>
            <w:tcBorders>
              <w:tl2br w:val="nil"/>
              <w:tr2bl w:val="nil"/>
            </w:tcBorders>
            <w:shd w:val="clear" w:color="auto" w:fill="auto"/>
            <w:vAlign w:val="center"/>
          </w:tcPr>
          <w:p w14:paraId="4221CE9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16F999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月底风险态势统计</w:t>
            </w:r>
          </w:p>
        </w:tc>
        <w:tc>
          <w:tcPr>
            <w:tcW w:w="6261" w:type="dxa"/>
            <w:tcBorders>
              <w:tl2br w:val="nil"/>
              <w:tr2bl w:val="nil"/>
            </w:tcBorders>
            <w:shd w:val="clear" w:color="auto" w:fill="auto"/>
            <w:vAlign w:val="center"/>
          </w:tcPr>
          <w:p w14:paraId="0F94AEF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统计所有桥梁的月度风险态势变化情况。具体的，按照技术状况指标和风险因子两个维度对每月期间每座桥梁关联的技术指标和风险因子发生的态势变化结果进行数量统计。</w:t>
            </w:r>
          </w:p>
        </w:tc>
        <w:tc>
          <w:tcPr>
            <w:tcW w:w="722" w:type="dxa"/>
            <w:vMerge w:val="continue"/>
            <w:tcBorders>
              <w:tl2br w:val="nil"/>
              <w:tr2bl w:val="nil"/>
            </w:tcBorders>
            <w:shd w:val="clear" w:color="auto" w:fill="auto"/>
            <w:vAlign w:val="center"/>
          </w:tcPr>
          <w:p w14:paraId="42731FC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5E25B38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3F077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A6489A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153</w:t>
            </w:r>
          </w:p>
        </w:tc>
        <w:tc>
          <w:tcPr>
            <w:tcW w:w="980" w:type="dxa"/>
            <w:vMerge w:val="continue"/>
            <w:tcBorders>
              <w:tl2br w:val="nil"/>
              <w:tr2bl w:val="nil"/>
            </w:tcBorders>
            <w:shd w:val="clear" w:color="auto" w:fill="auto"/>
            <w:vAlign w:val="center"/>
          </w:tcPr>
          <w:p w14:paraId="49C4073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99C955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处置总览</w:t>
            </w:r>
          </w:p>
        </w:tc>
        <w:tc>
          <w:tcPr>
            <w:tcW w:w="6261" w:type="dxa"/>
            <w:tcBorders>
              <w:tl2br w:val="nil"/>
              <w:tr2bl w:val="nil"/>
            </w:tcBorders>
            <w:shd w:val="clear" w:color="auto" w:fill="auto"/>
            <w:vAlign w:val="center"/>
          </w:tcPr>
          <w:p w14:paraId="144E74A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处置总览中按照信息上报、审查立案、处置派遣、问题处置、处置审查五个事件处置流程对所有桥梁的预警处置事件和隐患处置事件的处置动态进行了统计。</w:t>
            </w:r>
          </w:p>
        </w:tc>
        <w:tc>
          <w:tcPr>
            <w:tcW w:w="722" w:type="dxa"/>
            <w:vMerge w:val="continue"/>
            <w:tcBorders>
              <w:tl2br w:val="nil"/>
              <w:tr2bl w:val="nil"/>
            </w:tcBorders>
            <w:shd w:val="clear" w:color="auto" w:fill="auto"/>
            <w:vAlign w:val="center"/>
          </w:tcPr>
          <w:p w14:paraId="5033B82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364905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0EA4D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8AFD83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154</w:t>
            </w:r>
          </w:p>
        </w:tc>
        <w:tc>
          <w:tcPr>
            <w:tcW w:w="980" w:type="dxa"/>
            <w:vMerge w:val="continue"/>
            <w:tcBorders>
              <w:tl2br w:val="nil"/>
              <w:tr2bl w:val="nil"/>
            </w:tcBorders>
            <w:shd w:val="clear" w:color="auto" w:fill="auto"/>
            <w:vAlign w:val="center"/>
          </w:tcPr>
          <w:p w14:paraId="19487301">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D86D03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任务总览</w:t>
            </w:r>
          </w:p>
        </w:tc>
        <w:tc>
          <w:tcPr>
            <w:tcW w:w="6261" w:type="dxa"/>
            <w:tcBorders>
              <w:tl2br w:val="nil"/>
              <w:tr2bl w:val="nil"/>
            </w:tcBorders>
            <w:shd w:val="clear" w:color="auto" w:fill="auto"/>
            <w:vAlign w:val="center"/>
          </w:tcPr>
          <w:p w14:paraId="62ED2D9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任务总览中通过列表的形式对发布的各项任务进行信息的滚动展示，具体包括报警核实、预警处置、巡检任务、隐患处置四种任务类型。点击右上角的桥梁名称，可对不同桥梁的任务信息进行筛选展示。</w:t>
            </w:r>
          </w:p>
        </w:tc>
        <w:tc>
          <w:tcPr>
            <w:tcW w:w="722" w:type="dxa"/>
            <w:vMerge w:val="continue"/>
            <w:tcBorders>
              <w:tl2br w:val="nil"/>
              <w:tr2bl w:val="nil"/>
            </w:tcBorders>
            <w:shd w:val="clear" w:color="auto" w:fill="auto"/>
            <w:vAlign w:val="center"/>
          </w:tcPr>
          <w:p w14:paraId="3571000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F2AB95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A0C9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11524A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155</w:t>
            </w:r>
          </w:p>
        </w:tc>
        <w:tc>
          <w:tcPr>
            <w:tcW w:w="980" w:type="dxa"/>
            <w:vMerge w:val="continue"/>
            <w:tcBorders>
              <w:tl2br w:val="nil"/>
              <w:tr2bl w:val="nil"/>
            </w:tcBorders>
            <w:shd w:val="clear" w:color="auto" w:fill="auto"/>
            <w:vAlign w:val="center"/>
          </w:tcPr>
          <w:p w14:paraId="10037A2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ADC390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图层管理</w:t>
            </w:r>
          </w:p>
        </w:tc>
        <w:tc>
          <w:tcPr>
            <w:tcW w:w="6261" w:type="dxa"/>
            <w:tcBorders>
              <w:tl2br w:val="nil"/>
              <w:tr2bl w:val="nil"/>
            </w:tcBorders>
            <w:shd w:val="clear" w:color="auto" w:fill="auto"/>
            <w:vAlign w:val="center"/>
          </w:tcPr>
          <w:p w14:paraId="75DAEB4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点击右侧图层管理图标，弹出图层管理列表，图层管理中可分监测状态和风险等级两个维度对桥梁点位进行统计，勾选不同的图层信息，地图上展示相应的点位状态。</w:t>
            </w:r>
          </w:p>
        </w:tc>
        <w:tc>
          <w:tcPr>
            <w:tcW w:w="722" w:type="dxa"/>
            <w:vMerge w:val="continue"/>
            <w:tcBorders>
              <w:tl2br w:val="nil"/>
              <w:tr2bl w:val="nil"/>
            </w:tcBorders>
            <w:shd w:val="clear" w:color="auto" w:fill="auto"/>
            <w:vAlign w:val="center"/>
          </w:tcPr>
          <w:p w14:paraId="2E6CA6F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7343F09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D2FF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EBDF6B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156</w:t>
            </w:r>
          </w:p>
        </w:tc>
        <w:tc>
          <w:tcPr>
            <w:tcW w:w="980" w:type="dxa"/>
            <w:vMerge w:val="continue"/>
            <w:tcBorders>
              <w:tl2br w:val="nil"/>
              <w:tr2bl w:val="nil"/>
            </w:tcBorders>
            <w:shd w:val="clear" w:color="auto" w:fill="auto"/>
            <w:vAlign w:val="center"/>
          </w:tcPr>
          <w:p w14:paraId="222E034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F5918D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点位信息</w:t>
            </w:r>
          </w:p>
        </w:tc>
        <w:tc>
          <w:tcPr>
            <w:tcW w:w="6261" w:type="dxa"/>
            <w:tcBorders>
              <w:tl2br w:val="nil"/>
              <w:tr2bl w:val="nil"/>
            </w:tcBorders>
            <w:shd w:val="clear" w:color="auto" w:fill="auto"/>
            <w:vAlign w:val="center"/>
          </w:tcPr>
          <w:p w14:paraId="255CBF3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地图中的桥梁点位，弹出点位信息弹窗，弹窗中显示桥梁名称、点位经纬度、所处位置等基础字段信息。此外，点击【一桥一档】、【设备监测】、【视频监控】按钮，可分别跳转至该桥梁的一桥一档基础信息页面、设备监测详情页面以及视频监控详情页面。</w:t>
            </w:r>
          </w:p>
        </w:tc>
        <w:tc>
          <w:tcPr>
            <w:tcW w:w="722" w:type="dxa"/>
            <w:vMerge w:val="continue"/>
            <w:tcBorders>
              <w:tl2br w:val="nil"/>
              <w:tr2bl w:val="nil"/>
            </w:tcBorders>
            <w:shd w:val="clear" w:color="auto" w:fill="auto"/>
            <w:vAlign w:val="center"/>
          </w:tcPr>
          <w:p w14:paraId="260BC44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1DD105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ACBA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3F955A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157</w:t>
            </w:r>
          </w:p>
        </w:tc>
        <w:tc>
          <w:tcPr>
            <w:tcW w:w="980" w:type="dxa"/>
            <w:vMerge w:val="restart"/>
            <w:tcBorders>
              <w:tl2br w:val="nil"/>
              <w:tr2bl w:val="nil"/>
            </w:tcBorders>
            <w:shd w:val="clear" w:color="auto" w:fill="auto"/>
            <w:vAlign w:val="center"/>
          </w:tcPr>
          <w:p w14:paraId="3E2C14E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基础信息管理</w:t>
            </w:r>
          </w:p>
        </w:tc>
        <w:tc>
          <w:tcPr>
            <w:tcW w:w="1118" w:type="dxa"/>
            <w:tcBorders>
              <w:tl2br w:val="nil"/>
              <w:tr2bl w:val="nil"/>
            </w:tcBorders>
            <w:shd w:val="clear" w:color="auto" w:fill="auto"/>
            <w:vAlign w:val="center"/>
          </w:tcPr>
          <w:p w14:paraId="047C642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桥梁信息管理</w:t>
            </w:r>
          </w:p>
        </w:tc>
        <w:tc>
          <w:tcPr>
            <w:tcW w:w="6261" w:type="dxa"/>
            <w:tcBorders>
              <w:tl2br w:val="nil"/>
              <w:tr2bl w:val="nil"/>
            </w:tcBorders>
            <w:shd w:val="clear" w:color="auto" w:fill="auto"/>
            <w:vAlign w:val="center"/>
          </w:tcPr>
          <w:p w14:paraId="21D77A8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对桥梁各类信息的集成管理和显示，包含新建、修改、查询、删除、查看桥梁基本信息以及设置功能。实现所在区域、管养单位、所属道路、桥梁类型、桥梁编码、养护等级、养护类别基础信息的统一管理。</w:t>
            </w:r>
          </w:p>
        </w:tc>
        <w:tc>
          <w:tcPr>
            <w:tcW w:w="722" w:type="dxa"/>
            <w:vMerge w:val="restart"/>
            <w:tcBorders>
              <w:tl2br w:val="nil"/>
              <w:tr2bl w:val="nil"/>
            </w:tcBorders>
            <w:shd w:val="clear" w:color="auto" w:fill="auto"/>
            <w:vAlign w:val="center"/>
          </w:tcPr>
          <w:p w14:paraId="5954693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301AA89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079A2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DBEBEF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158</w:t>
            </w:r>
          </w:p>
        </w:tc>
        <w:tc>
          <w:tcPr>
            <w:tcW w:w="980" w:type="dxa"/>
            <w:vMerge w:val="continue"/>
            <w:tcBorders>
              <w:tl2br w:val="nil"/>
              <w:tr2bl w:val="nil"/>
            </w:tcBorders>
            <w:shd w:val="clear" w:color="auto" w:fill="auto"/>
            <w:vAlign w:val="center"/>
          </w:tcPr>
          <w:p w14:paraId="213F976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EF893D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桥梁档案管理</w:t>
            </w:r>
          </w:p>
        </w:tc>
        <w:tc>
          <w:tcPr>
            <w:tcW w:w="6261" w:type="dxa"/>
            <w:tcBorders>
              <w:tl2br w:val="nil"/>
              <w:tr2bl w:val="nil"/>
            </w:tcBorders>
            <w:shd w:val="clear" w:color="auto" w:fill="auto"/>
            <w:vAlign w:val="center"/>
          </w:tcPr>
          <w:p w14:paraId="5C35DB3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桥梁档案管理是对桥梁建设和运营档案资料的综合管理，对进行信息化处理后的建设方案、桥梁竣工图纸、桥梁验收资料、桥梁改扩建资料、桥梁加固工程资料相关信息，展示桥梁的档案信息。</w:t>
            </w:r>
          </w:p>
        </w:tc>
        <w:tc>
          <w:tcPr>
            <w:tcW w:w="722" w:type="dxa"/>
            <w:vMerge w:val="continue"/>
            <w:tcBorders>
              <w:tl2br w:val="nil"/>
              <w:tr2bl w:val="nil"/>
            </w:tcBorders>
            <w:shd w:val="clear" w:color="auto" w:fill="auto"/>
            <w:vAlign w:val="center"/>
          </w:tcPr>
          <w:p w14:paraId="2C00533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8C9676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AAE5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10B0F29">
            <w:pPr>
              <w:keepNext w:val="0"/>
              <w:keepLines w:val="0"/>
              <w:widowControl/>
              <w:suppressLineNumbers w:val="0"/>
              <w:kinsoku/>
              <w:wordWrap w:val="0"/>
              <w:spacing w:line="360"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159</w:t>
            </w:r>
          </w:p>
        </w:tc>
        <w:tc>
          <w:tcPr>
            <w:tcW w:w="980" w:type="dxa"/>
            <w:vMerge w:val="continue"/>
            <w:tcBorders>
              <w:tl2br w:val="nil"/>
              <w:tr2bl w:val="nil"/>
            </w:tcBorders>
            <w:shd w:val="clear" w:color="auto" w:fill="auto"/>
            <w:vAlign w:val="center"/>
          </w:tcPr>
          <w:p w14:paraId="5C8AF821">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2D567D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传感设施管理</w:t>
            </w:r>
          </w:p>
        </w:tc>
        <w:tc>
          <w:tcPr>
            <w:tcW w:w="6261" w:type="dxa"/>
            <w:tcBorders>
              <w:tl2br w:val="nil"/>
              <w:tr2bl w:val="nil"/>
            </w:tcBorders>
            <w:shd w:val="clear" w:color="auto" w:fill="auto"/>
            <w:vAlign w:val="center"/>
          </w:tcPr>
          <w:p w14:paraId="2011081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为桥梁物联感知系统传感设施提供统一管理功能，记录每座桥梁上传感器的基础信息：设备名称、设备编号、设备类型、监测项资料、设备资料、采样频率、上报频率、量程、计算转换公式、测量精度信息。</w:t>
            </w:r>
          </w:p>
        </w:tc>
        <w:tc>
          <w:tcPr>
            <w:tcW w:w="722" w:type="dxa"/>
            <w:vMerge w:val="continue"/>
            <w:tcBorders>
              <w:tl2br w:val="nil"/>
              <w:tr2bl w:val="nil"/>
            </w:tcBorders>
            <w:shd w:val="clear" w:color="auto" w:fill="auto"/>
            <w:vAlign w:val="center"/>
          </w:tcPr>
          <w:p w14:paraId="1F4A632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24F6127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43A5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40C83C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160</w:t>
            </w:r>
          </w:p>
        </w:tc>
        <w:tc>
          <w:tcPr>
            <w:tcW w:w="980" w:type="dxa"/>
            <w:vMerge w:val="restart"/>
            <w:tcBorders>
              <w:tl2br w:val="nil"/>
              <w:tr2bl w:val="nil"/>
            </w:tcBorders>
            <w:shd w:val="clear" w:color="auto" w:fill="auto"/>
            <w:vAlign w:val="center"/>
          </w:tcPr>
          <w:p w14:paraId="4067F68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风险隐患管理</w:t>
            </w:r>
          </w:p>
        </w:tc>
        <w:tc>
          <w:tcPr>
            <w:tcW w:w="1118" w:type="dxa"/>
            <w:tcBorders>
              <w:tl2br w:val="nil"/>
              <w:tr2bl w:val="nil"/>
            </w:tcBorders>
            <w:shd w:val="clear" w:color="auto" w:fill="auto"/>
            <w:vAlign w:val="center"/>
          </w:tcPr>
          <w:p w14:paraId="10629EF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风险评分管理</w:t>
            </w:r>
          </w:p>
        </w:tc>
        <w:tc>
          <w:tcPr>
            <w:tcW w:w="6261" w:type="dxa"/>
            <w:tcBorders>
              <w:tl2br w:val="nil"/>
              <w:tr2bl w:val="nil"/>
            </w:tcBorders>
            <w:shd w:val="clear" w:color="auto" w:fill="auto"/>
            <w:vAlign w:val="center"/>
          </w:tcPr>
          <w:p w14:paraId="498EC9C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风险评分概览中显示该条风险评分信息的风险等级、风险评分总分，并以雷达图的形式展示各评分项分值；桥梁定位中可通过地图查看此桥梁的地理位置。</w:t>
            </w:r>
          </w:p>
        </w:tc>
        <w:tc>
          <w:tcPr>
            <w:tcW w:w="722" w:type="dxa"/>
            <w:vMerge w:val="restart"/>
            <w:tcBorders>
              <w:tl2br w:val="nil"/>
              <w:tr2bl w:val="nil"/>
            </w:tcBorders>
            <w:shd w:val="clear" w:color="auto" w:fill="auto"/>
            <w:vAlign w:val="center"/>
          </w:tcPr>
          <w:p w14:paraId="5DE7038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7722A76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5D027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4B9A10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161</w:t>
            </w:r>
          </w:p>
        </w:tc>
        <w:tc>
          <w:tcPr>
            <w:tcW w:w="980" w:type="dxa"/>
            <w:vMerge w:val="continue"/>
            <w:tcBorders>
              <w:tl2br w:val="nil"/>
              <w:tr2bl w:val="nil"/>
            </w:tcBorders>
            <w:shd w:val="clear" w:color="auto" w:fill="auto"/>
            <w:vAlign w:val="center"/>
          </w:tcPr>
          <w:p w14:paraId="57C010E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665318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风险态势管理</w:t>
            </w:r>
          </w:p>
        </w:tc>
        <w:tc>
          <w:tcPr>
            <w:tcW w:w="6261" w:type="dxa"/>
            <w:tcBorders>
              <w:tl2br w:val="nil"/>
              <w:tr2bl w:val="nil"/>
            </w:tcBorders>
            <w:shd w:val="clear" w:color="auto" w:fill="auto"/>
            <w:vAlign w:val="center"/>
          </w:tcPr>
          <w:p w14:paraId="1B57D7A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菜单栏中选择风险评估下的风险态势管理，进入风险态势管理页面，在此页面中可对所有桥梁的风险态势变化结果进行查看。</w:t>
            </w:r>
          </w:p>
        </w:tc>
        <w:tc>
          <w:tcPr>
            <w:tcW w:w="722" w:type="dxa"/>
            <w:vMerge w:val="continue"/>
            <w:tcBorders>
              <w:tl2br w:val="nil"/>
              <w:tr2bl w:val="nil"/>
            </w:tcBorders>
            <w:shd w:val="clear" w:color="auto" w:fill="auto"/>
            <w:vAlign w:val="center"/>
          </w:tcPr>
          <w:p w14:paraId="543733C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451003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9EA4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79CB79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162</w:t>
            </w:r>
          </w:p>
        </w:tc>
        <w:tc>
          <w:tcPr>
            <w:tcW w:w="980" w:type="dxa"/>
            <w:vMerge w:val="continue"/>
            <w:tcBorders>
              <w:tl2br w:val="nil"/>
              <w:tr2bl w:val="nil"/>
            </w:tcBorders>
            <w:shd w:val="clear" w:color="auto" w:fill="auto"/>
            <w:vAlign w:val="center"/>
          </w:tcPr>
          <w:p w14:paraId="2FD8353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04022B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月度风险态势统计</w:t>
            </w:r>
          </w:p>
        </w:tc>
        <w:tc>
          <w:tcPr>
            <w:tcW w:w="6261" w:type="dxa"/>
            <w:tcBorders>
              <w:tl2br w:val="nil"/>
              <w:tr2bl w:val="nil"/>
            </w:tcBorders>
            <w:shd w:val="clear" w:color="auto" w:fill="auto"/>
            <w:vAlign w:val="center"/>
          </w:tcPr>
          <w:p w14:paraId="5BB3638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风险因子月度态势统计图中对每座桥上个月内关联设置的所有风险因子的最高风险的态势变化情况按照升高、降低、不变三种态势变化结果进行了数量统计。</w:t>
            </w:r>
          </w:p>
        </w:tc>
        <w:tc>
          <w:tcPr>
            <w:tcW w:w="722" w:type="dxa"/>
            <w:vMerge w:val="continue"/>
            <w:tcBorders>
              <w:tl2br w:val="nil"/>
              <w:tr2bl w:val="nil"/>
            </w:tcBorders>
            <w:shd w:val="clear" w:color="auto" w:fill="auto"/>
            <w:vAlign w:val="center"/>
          </w:tcPr>
          <w:p w14:paraId="1514036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DCC391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158C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88A46F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163</w:t>
            </w:r>
          </w:p>
        </w:tc>
        <w:tc>
          <w:tcPr>
            <w:tcW w:w="980" w:type="dxa"/>
            <w:vMerge w:val="continue"/>
            <w:tcBorders>
              <w:tl2br w:val="nil"/>
              <w:tr2bl w:val="nil"/>
            </w:tcBorders>
            <w:shd w:val="clear" w:color="auto" w:fill="auto"/>
            <w:vAlign w:val="center"/>
          </w:tcPr>
          <w:p w14:paraId="626BE734">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19184BF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桥梁风险态势统计列表</w:t>
            </w:r>
          </w:p>
        </w:tc>
        <w:tc>
          <w:tcPr>
            <w:tcW w:w="6261" w:type="dxa"/>
            <w:tcBorders>
              <w:tl2br w:val="nil"/>
              <w:tr2bl w:val="nil"/>
            </w:tcBorders>
            <w:shd w:val="clear" w:color="auto" w:fill="auto"/>
            <w:vAlign w:val="center"/>
          </w:tcPr>
          <w:p w14:paraId="1233547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列表中展示不同统计分析年月下所有桥梁的技术状况指标月度态势变化统计结果和风险因子月度态势变化统计结果。</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选择筛选条件，点击【查询】，桥梁风险态势统计列表可按桥梁名称、桥梁编号、统计分析年月、态势变化类型进行筛选。</w:t>
            </w:r>
          </w:p>
        </w:tc>
        <w:tc>
          <w:tcPr>
            <w:tcW w:w="722" w:type="dxa"/>
            <w:vMerge w:val="continue"/>
            <w:tcBorders>
              <w:tl2br w:val="nil"/>
              <w:tr2bl w:val="nil"/>
            </w:tcBorders>
            <w:shd w:val="clear" w:color="auto" w:fill="auto"/>
            <w:vAlign w:val="center"/>
          </w:tcPr>
          <w:p w14:paraId="51B131A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B9C542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000F2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38E4C0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164</w:t>
            </w:r>
          </w:p>
        </w:tc>
        <w:tc>
          <w:tcPr>
            <w:tcW w:w="980" w:type="dxa"/>
            <w:vMerge w:val="continue"/>
            <w:tcBorders>
              <w:tl2br w:val="nil"/>
              <w:tr2bl w:val="nil"/>
            </w:tcBorders>
            <w:shd w:val="clear" w:color="auto" w:fill="auto"/>
            <w:vAlign w:val="center"/>
          </w:tcPr>
          <w:p w14:paraId="67BFC9E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04748E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历史风险态势查询</w:t>
            </w:r>
          </w:p>
        </w:tc>
        <w:tc>
          <w:tcPr>
            <w:tcW w:w="6261" w:type="dxa"/>
            <w:tcBorders>
              <w:tl2br w:val="nil"/>
              <w:tr2bl w:val="nil"/>
            </w:tcBorders>
            <w:shd w:val="clear" w:color="auto" w:fill="auto"/>
            <w:vAlign w:val="center"/>
          </w:tcPr>
          <w:p w14:paraId="2D99B73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可通过选择桥梁名称和态势变化类型，查看某桥梁在不同态势变化类型统计条件下的历史态势详情信息。</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技术状况指标分值列表内对该桥梁下所有录入的技术状况指标分值及其分值的态势变化情况（与上次的分值进行对比分析）进行展示，列表内容可按技术状况指标名称和统计分析年月进行查询。</w:t>
            </w:r>
          </w:p>
        </w:tc>
        <w:tc>
          <w:tcPr>
            <w:tcW w:w="722" w:type="dxa"/>
            <w:vMerge w:val="continue"/>
            <w:tcBorders>
              <w:tl2br w:val="nil"/>
              <w:tr2bl w:val="nil"/>
            </w:tcBorders>
            <w:shd w:val="clear" w:color="auto" w:fill="auto"/>
            <w:vAlign w:val="center"/>
          </w:tcPr>
          <w:p w14:paraId="721C4C5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8767FB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3AD8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A8A671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165</w:t>
            </w:r>
          </w:p>
        </w:tc>
        <w:tc>
          <w:tcPr>
            <w:tcW w:w="980" w:type="dxa"/>
            <w:vMerge w:val="restart"/>
            <w:tcBorders>
              <w:tl2br w:val="nil"/>
              <w:tr2bl w:val="nil"/>
            </w:tcBorders>
            <w:shd w:val="clear" w:color="auto" w:fill="auto"/>
            <w:vAlign w:val="center"/>
          </w:tcPr>
          <w:p w14:paraId="4074FF0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监测监控管理</w:t>
            </w:r>
          </w:p>
        </w:tc>
        <w:tc>
          <w:tcPr>
            <w:tcW w:w="1118" w:type="dxa"/>
            <w:tcBorders>
              <w:tl2br w:val="nil"/>
              <w:tr2bl w:val="nil"/>
            </w:tcBorders>
            <w:shd w:val="clear" w:color="auto" w:fill="auto"/>
            <w:vAlign w:val="center"/>
          </w:tcPr>
          <w:p w14:paraId="57F3B2B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实时展示</w:t>
            </w:r>
          </w:p>
        </w:tc>
        <w:tc>
          <w:tcPr>
            <w:tcW w:w="6261" w:type="dxa"/>
            <w:tcBorders>
              <w:tl2br w:val="nil"/>
              <w:tr2bl w:val="nil"/>
            </w:tcBorders>
            <w:shd w:val="clear" w:color="auto" w:fill="auto"/>
            <w:vAlign w:val="center"/>
          </w:tcPr>
          <w:p w14:paraId="097D656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监测桥梁结构的变形、应力、振动等参数，通过传感器实时采集数据，并进 行分析和评估，以判断桥梁结构的健康状况。监测桥梁周围的环境条件，如气象条件、温湿度等，以便了解其对桥梁结构 的影响，及时预警可能的危险情况。</w:t>
            </w:r>
          </w:p>
        </w:tc>
        <w:tc>
          <w:tcPr>
            <w:tcW w:w="722" w:type="dxa"/>
            <w:vMerge w:val="restart"/>
            <w:tcBorders>
              <w:tl2br w:val="nil"/>
              <w:tr2bl w:val="nil"/>
            </w:tcBorders>
            <w:shd w:val="clear" w:color="auto" w:fill="auto"/>
            <w:vAlign w:val="center"/>
          </w:tcPr>
          <w:p w14:paraId="1409B31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2B99DF7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31785F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5A866C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166</w:t>
            </w:r>
          </w:p>
        </w:tc>
        <w:tc>
          <w:tcPr>
            <w:tcW w:w="980" w:type="dxa"/>
            <w:vMerge w:val="continue"/>
            <w:tcBorders>
              <w:tl2br w:val="nil"/>
              <w:tr2bl w:val="nil"/>
            </w:tcBorders>
            <w:shd w:val="clear" w:color="auto" w:fill="auto"/>
            <w:vAlign w:val="center"/>
          </w:tcPr>
          <w:p w14:paraId="6D32350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137666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视频识别</w:t>
            </w:r>
          </w:p>
        </w:tc>
        <w:tc>
          <w:tcPr>
            <w:tcW w:w="6261" w:type="dxa"/>
            <w:tcBorders>
              <w:tl2br w:val="nil"/>
              <w:tr2bl w:val="nil"/>
            </w:tcBorders>
            <w:shd w:val="clear" w:color="auto" w:fill="auto"/>
            <w:vAlign w:val="center"/>
          </w:tcPr>
          <w:p w14:paraId="5FF6BBD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系统可通过摄像头自动识别桥面状况，如有异常，在系统中会进行报警，识 别内容包括桥面铺装、人行道、栏杆、排水设施及伸缩缝等。</w:t>
            </w:r>
          </w:p>
        </w:tc>
        <w:tc>
          <w:tcPr>
            <w:tcW w:w="722" w:type="dxa"/>
            <w:vMerge w:val="continue"/>
            <w:tcBorders>
              <w:tl2br w:val="nil"/>
              <w:tr2bl w:val="nil"/>
            </w:tcBorders>
            <w:shd w:val="clear" w:color="auto" w:fill="auto"/>
            <w:vAlign w:val="center"/>
          </w:tcPr>
          <w:p w14:paraId="7241634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E05125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FE20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440FFC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167</w:t>
            </w:r>
          </w:p>
        </w:tc>
        <w:tc>
          <w:tcPr>
            <w:tcW w:w="980" w:type="dxa"/>
            <w:vMerge w:val="continue"/>
            <w:tcBorders>
              <w:tl2br w:val="nil"/>
              <w:tr2bl w:val="nil"/>
            </w:tcBorders>
            <w:shd w:val="clear" w:color="auto" w:fill="auto"/>
            <w:vAlign w:val="center"/>
          </w:tcPr>
          <w:p w14:paraId="10AE093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59932A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设备状态统计</w:t>
            </w:r>
          </w:p>
        </w:tc>
        <w:tc>
          <w:tcPr>
            <w:tcW w:w="6261" w:type="dxa"/>
            <w:tcBorders>
              <w:tl2br w:val="nil"/>
              <w:tr2bl w:val="nil"/>
            </w:tcBorders>
            <w:shd w:val="clear" w:color="auto" w:fill="auto"/>
            <w:vAlign w:val="center"/>
          </w:tcPr>
          <w:p w14:paraId="1974567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设备状态统计中显示所有桥梁下安装监测设备的设备状态统计信息。设备状态分为正常监测、设备报警和设备离线三种类型。</w:t>
            </w:r>
          </w:p>
        </w:tc>
        <w:tc>
          <w:tcPr>
            <w:tcW w:w="722" w:type="dxa"/>
            <w:vMerge w:val="continue"/>
            <w:tcBorders>
              <w:tl2br w:val="nil"/>
              <w:tr2bl w:val="nil"/>
            </w:tcBorders>
            <w:shd w:val="clear" w:color="auto" w:fill="auto"/>
            <w:vAlign w:val="center"/>
          </w:tcPr>
          <w:p w14:paraId="4B9C1E5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B9EE5F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50D34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F11811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168</w:t>
            </w:r>
          </w:p>
        </w:tc>
        <w:tc>
          <w:tcPr>
            <w:tcW w:w="980" w:type="dxa"/>
            <w:vMerge w:val="continue"/>
            <w:tcBorders>
              <w:tl2br w:val="nil"/>
              <w:tr2bl w:val="nil"/>
            </w:tcBorders>
            <w:shd w:val="clear" w:color="auto" w:fill="auto"/>
            <w:vAlign w:val="center"/>
          </w:tcPr>
          <w:p w14:paraId="1741ED1A">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6EF847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桥梁监测列表</w:t>
            </w:r>
          </w:p>
        </w:tc>
        <w:tc>
          <w:tcPr>
            <w:tcW w:w="6261" w:type="dxa"/>
            <w:tcBorders>
              <w:tl2br w:val="nil"/>
              <w:tr2bl w:val="nil"/>
            </w:tcBorders>
            <w:shd w:val="clear" w:color="auto" w:fill="auto"/>
            <w:vAlign w:val="center"/>
          </w:tcPr>
          <w:p w14:paraId="3C32447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桥梁监测列表中显示被监测桥梁的设备状态统计信息，列表按桥梁名称可进行筛选。</w:t>
            </w:r>
          </w:p>
        </w:tc>
        <w:tc>
          <w:tcPr>
            <w:tcW w:w="722" w:type="dxa"/>
            <w:vMerge w:val="continue"/>
            <w:tcBorders>
              <w:tl2br w:val="nil"/>
              <w:tr2bl w:val="nil"/>
            </w:tcBorders>
            <w:shd w:val="clear" w:color="auto" w:fill="auto"/>
            <w:vAlign w:val="center"/>
          </w:tcPr>
          <w:p w14:paraId="3F3AB7F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6DAB827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5EFE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683E5105">
            <w:pPr>
              <w:keepNext w:val="0"/>
              <w:keepLines w:val="0"/>
              <w:widowControl/>
              <w:suppressLineNumbers w:val="0"/>
              <w:kinsoku/>
              <w:wordWrap w:val="0"/>
              <w:spacing w:line="360"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169</w:t>
            </w:r>
          </w:p>
        </w:tc>
        <w:tc>
          <w:tcPr>
            <w:tcW w:w="980" w:type="dxa"/>
            <w:vMerge w:val="continue"/>
            <w:tcBorders>
              <w:tl2br w:val="nil"/>
              <w:tr2bl w:val="nil"/>
            </w:tcBorders>
            <w:shd w:val="clear" w:color="auto" w:fill="auto"/>
            <w:vAlign w:val="center"/>
          </w:tcPr>
          <w:p w14:paraId="48CEDF4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D1DA82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监测数据分析</w:t>
            </w:r>
          </w:p>
        </w:tc>
        <w:tc>
          <w:tcPr>
            <w:tcW w:w="6261" w:type="dxa"/>
            <w:tcBorders>
              <w:tl2br w:val="nil"/>
              <w:tr2bl w:val="nil"/>
            </w:tcBorders>
            <w:shd w:val="clear" w:color="auto" w:fill="auto"/>
            <w:vAlign w:val="center"/>
          </w:tcPr>
          <w:p w14:paraId="1E17961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在某桥梁监测分析页面中，通过选择监测时间、监测项、设备名称可对监测趋势、监测特征值统计列表中的数据进行筛选展示，筛选条件中监测项和设备名称可进行联动筛选。</w:t>
            </w:r>
          </w:p>
        </w:tc>
        <w:tc>
          <w:tcPr>
            <w:tcW w:w="722" w:type="dxa"/>
            <w:vMerge w:val="continue"/>
            <w:tcBorders>
              <w:tl2br w:val="nil"/>
              <w:tr2bl w:val="nil"/>
            </w:tcBorders>
            <w:shd w:val="clear" w:color="auto" w:fill="auto"/>
            <w:vAlign w:val="center"/>
          </w:tcPr>
          <w:p w14:paraId="0980DED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216C40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915B2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425CE05">
            <w:pPr>
              <w:keepNext w:val="0"/>
              <w:keepLines w:val="0"/>
              <w:widowControl/>
              <w:suppressLineNumbers w:val="0"/>
              <w:kinsoku/>
              <w:wordWrap w:val="0"/>
              <w:spacing w:line="360"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170</w:t>
            </w:r>
          </w:p>
        </w:tc>
        <w:tc>
          <w:tcPr>
            <w:tcW w:w="980" w:type="dxa"/>
            <w:vMerge w:val="continue"/>
            <w:tcBorders>
              <w:tl2br w:val="nil"/>
              <w:tr2bl w:val="nil"/>
            </w:tcBorders>
            <w:shd w:val="clear" w:color="auto" w:fill="auto"/>
            <w:vAlign w:val="center"/>
          </w:tcPr>
          <w:p w14:paraId="13BFA55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BC3EB0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阈值设置</w:t>
            </w:r>
          </w:p>
        </w:tc>
        <w:tc>
          <w:tcPr>
            <w:tcW w:w="6261" w:type="dxa"/>
            <w:tcBorders>
              <w:tl2br w:val="nil"/>
              <w:tr2bl w:val="nil"/>
            </w:tcBorders>
            <w:shd w:val="clear" w:color="auto" w:fill="auto"/>
            <w:vAlign w:val="center"/>
          </w:tcPr>
          <w:p w14:paraId="4D9CEAE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菜单栏中选择监测监控下的阈值设置，进入阈值设置页面，在此页面中可按监测项对所有监测设备的监测参数进行分级阈值设置。</w:t>
            </w:r>
          </w:p>
        </w:tc>
        <w:tc>
          <w:tcPr>
            <w:tcW w:w="722" w:type="dxa"/>
            <w:vMerge w:val="continue"/>
            <w:tcBorders>
              <w:tl2br w:val="nil"/>
              <w:tr2bl w:val="nil"/>
            </w:tcBorders>
            <w:shd w:val="clear" w:color="auto" w:fill="auto"/>
            <w:vAlign w:val="center"/>
          </w:tcPr>
          <w:p w14:paraId="40C962B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CD6CD6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5858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4061E05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171</w:t>
            </w:r>
          </w:p>
        </w:tc>
        <w:tc>
          <w:tcPr>
            <w:tcW w:w="980" w:type="dxa"/>
            <w:vMerge w:val="restart"/>
            <w:tcBorders>
              <w:tl2br w:val="nil"/>
              <w:tr2bl w:val="nil"/>
            </w:tcBorders>
            <w:shd w:val="clear" w:color="auto" w:fill="auto"/>
            <w:vAlign w:val="center"/>
          </w:tcPr>
          <w:p w14:paraId="534B321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预警信息管理</w:t>
            </w:r>
          </w:p>
        </w:tc>
        <w:tc>
          <w:tcPr>
            <w:tcW w:w="1118" w:type="dxa"/>
            <w:tcBorders>
              <w:tl2br w:val="nil"/>
              <w:tr2bl w:val="nil"/>
            </w:tcBorders>
            <w:shd w:val="clear" w:color="auto" w:fill="auto"/>
            <w:vAlign w:val="center"/>
          </w:tcPr>
          <w:p w14:paraId="6096F71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报警信息</w:t>
            </w:r>
          </w:p>
        </w:tc>
        <w:tc>
          <w:tcPr>
            <w:tcW w:w="6261" w:type="dxa"/>
            <w:tcBorders>
              <w:tl2br w:val="nil"/>
              <w:tr2bl w:val="nil"/>
            </w:tcBorders>
            <w:shd w:val="clear" w:color="auto" w:fill="auto"/>
            <w:vAlign w:val="center"/>
          </w:tcPr>
          <w:p w14:paraId="400658A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选择警情管理下的报警信息，进入报警信息页面，在此页面中可对所有设备发生的报警信息进行查看和处置。</w:t>
            </w:r>
          </w:p>
        </w:tc>
        <w:tc>
          <w:tcPr>
            <w:tcW w:w="722" w:type="dxa"/>
            <w:vMerge w:val="restart"/>
            <w:tcBorders>
              <w:tl2br w:val="nil"/>
              <w:tr2bl w:val="nil"/>
            </w:tcBorders>
            <w:shd w:val="clear" w:color="auto" w:fill="auto"/>
            <w:vAlign w:val="center"/>
          </w:tcPr>
          <w:p w14:paraId="61254FA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127690C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77F7F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AFE579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172</w:t>
            </w:r>
          </w:p>
        </w:tc>
        <w:tc>
          <w:tcPr>
            <w:tcW w:w="980" w:type="dxa"/>
            <w:vMerge w:val="continue"/>
            <w:tcBorders>
              <w:tl2br w:val="nil"/>
              <w:tr2bl w:val="nil"/>
            </w:tcBorders>
            <w:shd w:val="clear" w:color="auto" w:fill="auto"/>
            <w:vAlign w:val="center"/>
          </w:tcPr>
          <w:p w14:paraId="6292F2B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2FA5FA5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报警信息查询</w:t>
            </w:r>
          </w:p>
        </w:tc>
        <w:tc>
          <w:tcPr>
            <w:tcW w:w="6261" w:type="dxa"/>
            <w:tcBorders>
              <w:tl2br w:val="nil"/>
              <w:tr2bl w:val="nil"/>
            </w:tcBorders>
            <w:shd w:val="clear" w:color="auto" w:fill="auto"/>
            <w:vAlign w:val="center"/>
          </w:tcPr>
          <w:p w14:paraId="6378A13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报警信息列表可按报警设备、报警项、桥梁名称、处置状态进行搜索查询。</w:t>
            </w:r>
          </w:p>
        </w:tc>
        <w:tc>
          <w:tcPr>
            <w:tcW w:w="722" w:type="dxa"/>
            <w:vMerge w:val="continue"/>
            <w:tcBorders>
              <w:tl2br w:val="nil"/>
              <w:tr2bl w:val="nil"/>
            </w:tcBorders>
            <w:shd w:val="clear" w:color="auto" w:fill="auto"/>
            <w:vAlign w:val="center"/>
          </w:tcPr>
          <w:p w14:paraId="2CFAEEB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5A82B1A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AA3C9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214A8A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173</w:t>
            </w:r>
          </w:p>
        </w:tc>
        <w:tc>
          <w:tcPr>
            <w:tcW w:w="980" w:type="dxa"/>
            <w:vMerge w:val="continue"/>
            <w:tcBorders>
              <w:tl2br w:val="nil"/>
              <w:tr2bl w:val="nil"/>
            </w:tcBorders>
            <w:shd w:val="clear" w:color="auto" w:fill="auto"/>
            <w:vAlign w:val="center"/>
          </w:tcPr>
          <w:p w14:paraId="7541AD2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0549884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报警详情查看</w:t>
            </w:r>
          </w:p>
        </w:tc>
        <w:tc>
          <w:tcPr>
            <w:tcW w:w="6261" w:type="dxa"/>
            <w:tcBorders>
              <w:tl2br w:val="nil"/>
              <w:tr2bl w:val="nil"/>
            </w:tcBorders>
            <w:shd w:val="clear" w:color="auto" w:fill="auto"/>
            <w:vAlign w:val="center"/>
          </w:tcPr>
          <w:p w14:paraId="5615B57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点击某条报警信息后的查看，弹出报警信息详情弹窗，可对报警详情内容、设备监测曲线等数据进行查看，其中报警处置内容可与处置弹窗中的设置内容进行同步展示。</w:t>
            </w:r>
          </w:p>
        </w:tc>
        <w:tc>
          <w:tcPr>
            <w:tcW w:w="722" w:type="dxa"/>
            <w:vMerge w:val="continue"/>
            <w:tcBorders>
              <w:tl2br w:val="nil"/>
              <w:tr2bl w:val="nil"/>
            </w:tcBorders>
            <w:shd w:val="clear" w:color="auto" w:fill="auto"/>
            <w:vAlign w:val="center"/>
          </w:tcPr>
          <w:p w14:paraId="52C5A57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7150CD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5DA12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2D4959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174</w:t>
            </w:r>
          </w:p>
        </w:tc>
        <w:tc>
          <w:tcPr>
            <w:tcW w:w="980" w:type="dxa"/>
            <w:vMerge w:val="continue"/>
            <w:tcBorders>
              <w:tl2br w:val="nil"/>
              <w:tr2bl w:val="nil"/>
            </w:tcBorders>
            <w:shd w:val="clear" w:color="auto" w:fill="auto"/>
            <w:vAlign w:val="center"/>
          </w:tcPr>
          <w:p w14:paraId="289AAE6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1594DC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报警信息处置</w:t>
            </w:r>
          </w:p>
        </w:tc>
        <w:tc>
          <w:tcPr>
            <w:tcW w:w="6261" w:type="dxa"/>
            <w:tcBorders>
              <w:tl2br w:val="nil"/>
              <w:tr2bl w:val="nil"/>
            </w:tcBorders>
            <w:shd w:val="clear" w:color="auto" w:fill="auto"/>
            <w:vAlign w:val="center"/>
          </w:tcPr>
          <w:p w14:paraId="3F2A01F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点击某条报警信息后的处置，可弹出报警信息处置弹窗，通过选择核实结果、预警等级、预案内容，输入描述文本，可对此条报警信息进行处置操作。</w:t>
            </w:r>
          </w:p>
        </w:tc>
        <w:tc>
          <w:tcPr>
            <w:tcW w:w="722" w:type="dxa"/>
            <w:vMerge w:val="continue"/>
            <w:tcBorders>
              <w:tl2br w:val="nil"/>
              <w:tr2bl w:val="nil"/>
            </w:tcBorders>
            <w:shd w:val="clear" w:color="auto" w:fill="auto"/>
            <w:vAlign w:val="center"/>
          </w:tcPr>
          <w:p w14:paraId="6E00EC0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FC02B1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C643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85F3B4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175</w:t>
            </w:r>
          </w:p>
        </w:tc>
        <w:tc>
          <w:tcPr>
            <w:tcW w:w="980" w:type="dxa"/>
            <w:vMerge w:val="continue"/>
            <w:tcBorders>
              <w:tl2br w:val="nil"/>
              <w:tr2bl w:val="nil"/>
            </w:tcBorders>
            <w:shd w:val="clear" w:color="auto" w:fill="auto"/>
            <w:vAlign w:val="center"/>
          </w:tcPr>
          <w:p w14:paraId="6672595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96FA16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w:t>
            </w:r>
          </w:p>
        </w:tc>
        <w:tc>
          <w:tcPr>
            <w:tcW w:w="6261" w:type="dxa"/>
            <w:tcBorders>
              <w:tl2br w:val="nil"/>
              <w:tr2bl w:val="nil"/>
            </w:tcBorders>
            <w:shd w:val="clear" w:color="auto" w:fill="auto"/>
            <w:vAlign w:val="center"/>
          </w:tcPr>
          <w:p w14:paraId="0B85250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选择警情管理下的预警处置，进入预警处置页面，在此页面中可生成预警处置信息进行查看和推送操作，并可跟踪其预警处置任务的完成情况。</w:t>
            </w:r>
          </w:p>
        </w:tc>
        <w:tc>
          <w:tcPr>
            <w:tcW w:w="722" w:type="dxa"/>
            <w:vMerge w:val="continue"/>
            <w:tcBorders>
              <w:tl2br w:val="nil"/>
              <w:tr2bl w:val="nil"/>
            </w:tcBorders>
            <w:shd w:val="clear" w:color="auto" w:fill="auto"/>
            <w:vAlign w:val="center"/>
          </w:tcPr>
          <w:p w14:paraId="2C49578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07040EF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B9BF2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77D6BD6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176</w:t>
            </w:r>
          </w:p>
        </w:tc>
        <w:tc>
          <w:tcPr>
            <w:tcW w:w="980" w:type="dxa"/>
            <w:vMerge w:val="continue"/>
            <w:tcBorders>
              <w:tl2br w:val="nil"/>
              <w:tr2bl w:val="nil"/>
            </w:tcBorders>
            <w:shd w:val="clear" w:color="auto" w:fill="auto"/>
            <w:vAlign w:val="center"/>
          </w:tcPr>
          <w:p w14:paraId="3402DAE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3D094C8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预警信息查询</w:t>
            </w:r>
          </w:p>
        </w:tc>
        <w:tc>
          <w:tcPr>
            <w:tcW w:w="6261" w:type="dxa"/>
            <w:tcBorders>
              <w:tl2br w:val="nil"/>
              <w:tr2bl w:val="nil"/>
            </w:tcBorders>
            <w:shd w:val="clear" w:color="auto" w:fill="auto"/>
            <w:vAlign w:val="center"/>
          </w:tcPr>
          <w:p w14:paraId="79DE806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预警处置列表可按预警设备、预警类型、桥梁名称、预警等级、处置状态进行搜索查询。</w:t>
            </w:r>
          </w:p>
        </w:tc>
        <w:tc>
          <w:tcPr>
            <w:tcW w:w="722" w:type="dxa"/>
            <w:vMerge w:val="continue"/>
            <w:tcBorders>
              <w:tl2br w:val="nil"/>
              <w:tr2bl w:val="nil"/>
            </w:tcBorders>
            <w:shd w:val="clear" w:color="auto" w:fill="auto"/>
            <w:vAlign w:val="center"/>
          </w:tcPr>
          <w:p w14:paraId="3EC8288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BFED89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6EBDC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26F7615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177</w:t>
            </w:r>
          </w:p>
        </w:tc>
        <w:tc>
          <w:tcPr>
            <w:tcW w:w="980" w:type="dxa"/>
            <w:vMerge w:val="continue"/>
            <w:tcBorders>
              <w:tl2br w:val="nil"/>
              <w:tr2bl w:val="nil"/>
            </w:tcBorders>
            <w:shd w:val="clear" w:color="auto" w:fill="auto"/>
            <w:vAlign w:val="center"/>
          </w:tcPr>
          <w:p w14:paraId="41C7CF8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B799F1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预警详情查看</w:t>
            </w:r>
          </w:p>
        </w:tc>
        <w:tc>
          <w:tcPr>
            <w:tcW w:w="6261" w:type="dxa"/>
            <w:tcBorders>
              <w:tl2br w:val="nil"/>
              <w:tr2bl w:val="nil"/>
            </w:tcBorders>
            <w:shd w:val="clear" w:color="auto" w:fill="auto"/>
            <w:vAlign w:val="center"/>
          </w:tcPr>
          <w:p w14:paraId="717367C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点击某条预警信息后的查看，弹出预警信息详情弹窗，可对预警详情内容、处置流程，及相应的应急预案内容进行查看。</w:t>
            </w:r>
          </w:p>
        </w:tc>
        <w:tc>
          <w:tcPr>
            <w:tcW w:w="722" w:type="dxa"/>
            <w:vMerge w:val="continue"/>
            <w:tcBorders>
              <w:tl2br w:val="nil"/>
              <w:tr2bl w:val="nil"/>
            </w:tcBorders>
            <w:shd w:val="clear" w:color="auto" w:fill="auto"/>
            <w:vAlign w:val="center"/>
          </w:tcPr>
          <w:p w14:paraId="780BED0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BC2568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3F8B0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16C6C17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178</w:t>
            </w:r>
          </w:p>
        </w:tc>
        <w:tc>
          <w:tcPr>
            <w:tcW w:w="980" w:type="dxa"/>
            <w:vMerge w:val="continue"/>
            <w:tcBorders>
              <w:tl2br w:val="nil"/>
              <w:tr2bl w:val="nil"/>
            </w:tcBorders>
            <w:shd w:val="clear" w:color="auto" w:fill="auto"/>
            <w:vAlign w:val="center"/>
          </w:tcPr>
          <w:p w14:paraId="7AF09CA1">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6FCC10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预警信息处置</w:t>
            </w:r>
          </w:p>
        </w:tc>
        <w:tc>
          <w:tcPr>
            <w:tcW w:w="6261" w:type="dxa"/>
            <w:tcBorders>
              <w:tl2br w:val="nil"/>
              <w:tr2bl w:val="nil"/>
            </w:tcBorders>
            <w:shd w:val="clear" w:color="auto" w:fill="auto"/>
            <w:vAlign w:val="center"/>
          </w:tcPr>
          <w:p w14:paraId="668ECAB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点击某条预警信息后的推送，可将此条预警处置信息推送至协同处置系统。在协同处置系统中可进行具体处置流程的操作。</w:t>
            </w:r>
          </w:p>
        </w:tc>
        <w:tc>
          <w:tcPr>
            <w:tcW w:w="722" w:type="dxa"/>
            <w:vMerge w:val="continue"/>
            <w:tcBorders>
              <w:tl2br w:val="nil"/>
              <w:tr2bl w:val="nil"/>
            </w:tcBorders>
            <w:shd w:val="clear" w:color="auto" w:fill="auto"/>
            <w:vAlign w:val="center"/>
          </w:tcPr>
          <w:p w14:paraId="11102E5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58DF5E2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52B6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5378578A">
            <w:pPr>
              <w:keepNext w:val="0"/>
              <w:keepLines w:val="0"/>
              <w:widowControl/>
              <w:suppressLineNumbers w:val="0"/>
              <w:kinsoku/>
              <w:wordWrap w:val="0"/>
              <w:spacing w:line="360"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179</w:t>
            </w:r>
          </w:p>
        </w:tc>
        <w:tc>
          <w:tcPr>
            <w:tcW w:w="980" w:type="dxa"/>
            <w:vMerge w:val="restart"/>
            <w:tcBorders>
              <w:tl2br w:val="nil"/>
              <w:tr2bl w:val="nil"/>
            </w:tcBorders>
            <w:shd w:val="clear" w:color="auto" w:fill="auto"/>
            <w:vAlign w:val="center"/>
          </w:tcPr>
          <w:p w14:paraId="0521A99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辅助决策管理</w:t>
            </w:r>
          </w:p>
        </w:tc>
        <w:tc>
          <w:tcPr>
            <w:tcW w:w="1118" w:type="dxa"/>
            <w:tcBorders>
              <w:tl2br w:val="nil"/>
              <w:tr2bl w:val="nil"/>
            </w:tcBorders>
            <w:shd w:val="clear" w:color="auto" w:fill="auto"/>
            <w:vAlign w:val="center"/>
          </w:tcPr>
          <w:p w14:paraId="550A967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预案管理</w:t>
            </w:r>
          </w:p>
        </w:tc>
        <w:tc>
          <w:tcPr>
            <w:tcW w:w="6261" w:type="dxa"/>
            <w:tcBorders>
              <w:tl2br w:val="nil"/>
              <w:tr2bl w:val="nil"/>
            </w:tcBorders>
            <w:shd w:val="clear" w:color="auto" w:fill="auto"/>
            <w:vAlign w:val="center"/>
          </w:tcPr>
          <w:p w14:paraId="5813586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实现对桥梁应急预案基本信息的管理，包括对预案信息的查询、新增、修改、删除功能。</w:t>
            </w:r>
          </w:p>
        </w:tc>
        <w:tc>
          <w:tcPr>
            <w:tcW w:w="722" w:type="dxa"/>
            <w:vMerge w:val="restart"/>
            <w:tcBorders>
              <w:tl2br w:val="nil"/>
              <w:tr2bl w:val="nil"/>
            </w:tcBorders>
            <w:shd w:val="clear" w:color="auto" w:fill="auto"/>
            <w:vAlign w:val="center"/>
          </w:tcPr>
          <w:p w14:paraId="59416B3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vAlign w:val="center"/>
          </w:tcPr>
          <w:p w14:paraId="4DE2B3E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w:t>
            </w:r>
          </w:p>
        </w:tc>
      </w:tr>
      <w:tr w14:paraId="12434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B322D7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180</w:t>
            </w:r>
          </w:p>
        </w:tc>
        <w:tc>
          <w:tcPr>
            <w:tcW w:w="980" w:type="dxa"/>
            <w:vMerge w:val="continue"/>
            <w:tcBorders>
              <w:tl2br w:val="nil"/>
              <w:tr2bl w:val="nil"/>
            </w:tcBorders>
            <w:shd w:val="clear" w:color="auto" w:fill="auto"/>
            <w:vAlign w:val="center"/>
          </w:tcPr>
          <w:p w14:paraId="7A8DE7C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4FA5259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养护管理</w:t>
            </w:r>
          </w:p>
        </w:tc>
        <w:tc>
          <w:tcPr>
            <w:tcW w:w="6261" w:type="dxa"/>
            <w:tcBorders>
              <w:tl2br w:val="nil"/>
              <w:tr2bl w:val="nil"/>
            </w:tcBorders>
            <w:shd w:val="clear" w:color="auto" w:fill="auto"/>
            <w:vAlign w:val="center"/>
          </w:tcPr>
          <w:p w14:paraId="044BEB2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记录桥梁维修养护的实施单位、桥梁、时间、维修结果、文件附件信息。系统记录用户提交的检测养护信息内容，并保存在检测养护历史记录中。</w:t>
            </w:r>
          </w:p>
        </w:tc>
        <w:tc>
          <w:tcPr>
            <w:tcW w:w="722" w:type="dxa"/>
            <w:vMerge w:val="continue"/>
            <w:tcBorders>
              <w:tl2br w:val="nil"/>
              <w:tr2bl w:val="nil"/>
            </w:tcBorders>
            <w:shd w:val="clear" w:color="auto" w:fill="auto"/>
            <w:vAlign w:val="center"/>
          </w:tcPr>
          <w:p w14:paraId="1B0370E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3D6F566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B242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0FE21FC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181</w:t>
            </w:r>
          </w:p>
        </w:tc>
        <w:tc>
          <w:tcPr>
            <w:tcW w:w="980" w:type="dxa"/>
            <w:vMerge w:val="continue"/>
            <w:tcBorders>
              <w:tl2br w:val="nil"/>
              <w:tr2bl w:val="nil"/>
            </w:tcBorders>
            <w:shd w:val="clear" w:color="auto" w:fill="auto"/>
            <w:vAlign w:val="center"/>
          </w:tcPr>
          <w:p w14:paraId="70842A4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6F71F71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检测报告管理</w:t>
            </w:r>
          </w:p>
        </w:tc>
        <w:tc>
          <w:tcPr>
            <w:tcW w:w="6261" w:type="dxa"/>
            <w:tcBorders>
              <w:tl2br w:val="nil"/>
              <w:tr2bl w:val="nil"/>
            </w:tcBorders>
            <w:shd w:val="clear" w:color="auto" w:fill="auto"/>
            <w:vAlign w:val="center"/>
          </w:tcPr>
          <w:p w14:paraId="65C8BC8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录入桥梁检测报告，记录检测报告的检测单位、桥梁、时间、检测结果、结论与建议、文件附件信息。</w:t>
            </w:r>
          </w:p>
        </w:tc>
        <w:tc>
          <w:tcPr>
            <w:tcW w:w="722" w:type="dxa"/>
            <w:vMerge w:val="continue"/>
            <w:tcBorders>
              <w:tl2br w:val="nil"/>
              <w:tr2bl w:val="nil"/>
            </w:tcBorders>
            <w:shd w:val="clear" w:color="auto" w:fill="auto"/>
            <w:vAlign w:val="center"/>
          </w:tcPr>
          <w:p w14:paraId="5D9B00D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472C05B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C4A1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vAlign w:val="center"/>
          </w:tcPr>
          <w:p w14:paraId="33BDC63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182</w:t>
            </w:r>
          </w:p>
        </w:tc>
        <w:tc>
          <w:tcPr>
            <w:tcW w:w="980" w:type="dxa"/>
            <w:vMerge w:val="continue"/>
            <w:tcBorders>
              <w:tl2br w:val="nil"/>
              <w:tr2bl w:val="nil"/>
            </w:tcBorders>
            <w:shd w:val="clear" w:color="auto" w:fill="auto"/>
            <w:vAlign w:val="center"/>
          </w:tcPr>
          <w:p w14:paraId="066EC228">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vAlign w:val="center"/>
          </w:tcPr>
          <w:p w14:paraId="5F9BBEC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知识库管理</w:t>
            </w:r>
          </w:p>
        </w:tc>
        <w:tc>
          <w:tcPr>
            <w:tcW w:w="6261" w:type="dxa"/>
            <w:tcBorders>
              <w:tl2br w:val="nil"/>
              <w:tr2bl w:val="nil"/>
            </w:tcBorders>
            <w:shd w:val="clear" w:color="auto" w:fill="auto"/>
            <w:vAlign w:val="center"/>
          </w:tcPr>
          <w:p w14:paraId="551BE52E">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实现对桥梁知识库信息的管理，包括对知识库信息的查询、新增、修改、删除和查询功能。</w:t>
            </w:r>
          </w:p>
        </w:tc>
        <w:tc>
          <w:tcPr>
            <w:tcW w:w="722" w:type="dxa"/>
            <w:vMerge w:val="continue"/>
            <w:tcBorders>
              <w:tl2br w:val="nil"/>
              <w:tr2bl w:val="nil"/>
            </w:tcBorders>
            <w:shd w:val="clear" w:color="auto" w:fill="auto"/>
            <w:vAlign w:val="center"/>
          </w:tcPr>
          <w:p w14:paraId="1A7EF42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vAlign w:val="center"/>
          </w:tcPr>
          <w:p w14:paraId="15BD501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540D7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vAlign w:val="center"/>
          </w:tcPr>
          <w:p w14:paraId="5C18533D">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第三部分 城市运行管理服务平台建设</w:t>
            </w:r>
          </w:p>
        </w:tc>
      </w:tr>
      <w:tr w14:paraId="515B6C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92D67BF">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序号</w:t>
            </w:r>
          </w:p>
        </w:tc>
        <w:tc>
          <w:tcPr>
            <w:tcW w:w="2098" w:type="dxa"/>
            <w:gridSpan w:val="2"/>
            <w:tcBorders>
              <w:tl2br w:val="nil"/>
              <w:tr2bl w:val="nil"/>
            </w:tcBorders>
            <w:shd w:val="clear" w:color="auto" w:fill="auto"/>
            <w:noWrap/>
            <w:vAlign w:val="center"/>
          </w:tcPr>
          <w:p w14:paraId="7846B72A">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建设内容</w:t>
            </w:r>
          </w:p>
        </w:tc>
        <w:tc>
          <w:tcPr>
            <w:tcW w:w="6261" w:type="dxa"/>
            <w:tcBorders>
              <w:tl2br w:val="nil"/>
              <w:tr2bl w:val="nil"/>
            </w:tcBorders>
            <w:shd w:val="clear" w:color="auto" w:fill="auto"/>
            <w:noWrap/>
            <w:vAlign w:val="center"/>
          </w:tcPr>
          <w:p w14:paraId="153863CB">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snapToGrid w:val="0"/>
                <w:color w:val="auto"/>
                <w:kern w:val="0"/>
                <w:sz w:val="21"/>
                <w:szCs w:val="21"/>
                <w:highlight w:val="none"/>
                <w:u w:val="none"/>
                <w:lang w:val="en-US" w:eastAsia="zh-CN" w:bidi="ar"/>
              </w:rPr>
              <w:t>功能要求</w:t>
            </w:r>
          </w:p>
        </w:tc>
        <w:tc>
          <w:tcPr>
            <w:tcW w:w="722" w:type="dxa"/>
            <w:tcBorders>
              <w:tl2br w:val="nil"/>
              <w:tr2bl w:val="nil"/>
            </w:tcBorders>
            <w:shd w:val="clear" w:color="auto" w:fill="auto"/>
            <w:noWrap/>
            <w:vAlign w:val="center"/>
          </w:tcPr>
          <w:p w14:paraId="082B9C5F">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数量</w:t>
            </w:r>
          </w:p>
        </w:tc>
        <w:tc>
          <w:tcPr>
            <w:tcW w:w="655" w:type="dxa"/>
            <w:tcBorders>
              <w:tl2br w:val="nil"/>
              <w:tr2bl w:val="nil"/>
            </w:tcBorders>
            <w:shd w:val="clear" w:color="auto" w:fill="auto"/>
            <w:noWrap/>
            <w:vAlign w:val="center"/>
          </w:tcPr>
          <w:p w14:paraId="282BD3F5">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单位</w:t>
            </w:r>
          </w:p>
        </w:tc>
      </w:tr>
      <w:tr w14:paraId="15B05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680" w:hRule="atLeast"/>
          <w:jc w:val="center"/>
        </w:trPr>
        <w:tc>
          <w:tcPr>
            <w:tcW w:w="694" w:type="dxa"/>
            <w:gridSpan w:val="2"/>
            <w:tcBorders>
              <w:tl2br w:val="nil"/>
              <w:tr2bl w:val="nil"/>
            </w:tcBorders>
            <w:shd w:val="clear" w:color="auto" w:fill="auto"/>
            <w:noWrap/>
            <w:vAlign w:val="center"/>
          </w:tcPr>
          <w:p w14:paraId="73298766">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1</w:t>
            </w:r>
          </w:p>
        </w:tc>
        <w:tc>
          <w:tcPr>
            <w:tcW w:w="980" w:type="dxa"/>
            <w:vMerge w:val="restart"/>
            <w:tcBorders>
              <w:tl2br w:val="nil"/>
              <w:tr2bl w:val="nil"/>
            </w:tcBorders>
            <w:shd w:val="clear" w:color="auto" w:fill="auto"/>
            <w:noWrap/>
            <w:vAlign w:val="center"/>
          </w:tcPr>
          <w:p w14:paraId="093B97C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数据体系建设</w:t>
            </w:r>
          </w:p>
        </w:tc>
        <w:tc>
          <w:tcPr>
            <w:tcW w:w="1118" w:type="dxa"/>
            <w:tcBorders>
              <w:tl2br w:val="nil"/>
              <w:tr2bl w:val="nil"/>
            </w:tcBorders>
            <w:shd w:val="clear" w:color="auto" w:fill="auto"/>
            <w:noWrap/>
            <w:vAlign w:val="center"/>
          </w:tcPr>
          <w:p w14:paraId="3DE9EFB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系统工作地图整理</w:t>
            </w:r>
          </w:p>
        </w:tc>
        <w:tc>
          <w:tcPr>
            <w:tcW w:w="6261" w:type="dxa"/>
            <w:tcBorders>
              <w:tl2br w:val="nil"/>
              <w:tr2bl w:val="nil"/>
            </w:tcBorders>
            <w:shd w:val="clear" w:color="auto" w:fill="auto"/>
            <w:vAlign w:val="center"/>
          </w:tcPr>
          <w:p w14:paraId="73176E4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根据提供的大比例尺地形图数据，对建筑物、水系、植被、交通等要素进行整理，按照城市综合管理服务平台建设要求整理成满足系统运用的基础地理信息数据库。</w:t>
            </w:r>
          </w:p>
        </w:tc>
        <w:tc>
          <w:tcPr>
            <w:tcW w:w="722" w:type="dxa"/>
            <w:vMerge w:val="restart"/>
            <w:tcBorders>
              <w:tl2br w:val="nil"/>
              <w:tr2bl w:val="nil"/>
            </w:tcBorders>
            <w:shd w:val="clear" w:color="auto" w:fill="auto"/>
            <w:noWrap/>
            <w:vAlign w:val="center"/>
          </w:tcPr>
          <w:p w14:paraId="068D5BC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w:t>
            </w:r>
          </w:p>
        </w:tc>
        <w:tc>
          <w:tcPr>
            <w:tcW w:w="655" w:type="dxa"/>
            <w:vMerge w:val="restart"/>
            <w:tcBorders>
              <w:tl2br w:val="nil"/>
              <w:tr2bl w:val="nil"/>
            </w:tcBorders>
            <w:shd w:val="clear" w:color="auto" w:fill="auto"/>
            <w:noWrap/>
            <w:vAlign w:val="center"/>
          </w:tcPr>
          <w:p w14:paraId="3FBE232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平方公里</w:t>
            </w:r>
          </w:p>
        </w:tc>
      </w:tr>
      <w:tr w14:paraId="2D75B3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5D1D0A44">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2</w:t>
            </w:r>
          </w:p>
        </w:tc>
        <w:tc>
          <w:tcPr>
            <w:tcW w:w="980" w:type="dxa"/>
            <w:vMerge w:val="continue"/>
            <w:tcBorders>
              <w:tl2br w:val="nil"/>
              <w:tr2bl w:val="nil"/>
            </w:tcBorders>
            <w:shd w:val="clear" w:color="auto" w:fill="auto"/>
            <w:noWrap/>
            <w:vAlign w:val="center"/>
          </w:tcPr>
          <w:p w14:paraId="46E7053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49FB63A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网格划分</w:t>
            </w:r>
          </w:p>
        </w:tc>
        <w:tc>
          <w:tcPr>
            <w:tcW w:w="6261" w:type="dxa"/>
            <w:tcBorders>
              <w:tl2br w:val="nil"/>
              <w:tr2bl w:val="nil"/>
            </w:tcBorders>
            <w:shd w:val="clear" w:color="auto" w:fill="auto"/>
            <w:vAlign w:val="center"/>
          </w:tcPr>
          <w:p w14:paraId="1733AC5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在基础作业底图上划分万米单元网格，同时以路、街为主体，划分不跨越社区、不跨越自然地理空间、便于实际管理的最小监督单元网格。</w:t>
            </w:r>
          </w:p>
        </w:tc>
        <w:tc>
          <w:tcPr>
            <w:tcW w:w="722" w:type="dxa"/>
            <w:vMerge w:val="continue"/>
            <w:tcBorders>
              <w:tl2br w:val="nil"/>
              <w:tr2bl w:val="nil"/>
            </w:tcBorders>
            <w:shd w:val="clear" w:color="auto" w:fill="auto"/>
            <w:noWrap/>
            <w:vAlign w:val="center"/>
          </w:tcPr>
          <w:p w14:paraId="6F8F90E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1AABD43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3D197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7DB30885">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3</w:t>
            </w:r>
          </w:p>
        </w:tc>
        <w:tc>
          <w:tcPr>
            <w:tcW w:w="980" w:type="dxa"/>
            <w:vMerge w:val="continue"/>
            <w:tcBorders>
              <w:tl2br w:val="nil"/>
              <w:tr2bl w:val="nil"/>
            </w:tcBorders>
            <w:shd w:val="clear" w:color="auto" w:fill="auto"/>
            <w:noWrap/>
            <w:vAlign w:val="center"/>
          </w:tcPr>
          <w:p w14:paraId="40D06E5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02FD470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部件数据普查</w:t>
            </w:r>
          </w:p>
        </w:tc>
        <w:tc>
          <w:tcPr>
            <w:tcW w:w="6261" w:type="dxa"/>
            <w:tcBorders>
              <w:tl2br w:val="nil"/>
              <w:tr2bl w:val="nil"/>
            </w:tcBorders>
            <w:shd w:val="clear" w:color="auto" w:fill="auto"/>
            <w:vAlign w:val="center"/>
          </w:tcPr>
          <w:p w14:paraId="17CE2BD3">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按照住建部相关的标准规范，分类调查覆盖规定范围内的所有城市管理部件，进行拉网式数据普查测绘（路边线向外延伸15米）。</w:t>
            </w:r>
          </w:p>
        </w:tc>
        <w:tc>
          <w:tcPr>
            <w:tcW w:w="722" w:type="dxa"/>
            <w:vMerge w:val="continue"/>
            <w:tcBorders>
              <w:tl2br w:val="nil"/>
              <w:tr2bl w:val="nil"/>
            </w:tcBorders>
            <w:shd w:val="clear" w:color="auto" w:fill="auto"/>
            <w:noWrap/>
            <w:vAlign w:val="center"/>
          </w:tcPr>
          <w:p w14:paraId="10DF945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1B879E3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10282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610AD95E">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4</w:t>
            </w:r>
          </w:p>
        </w:tc>
        <w:tc>
          <w:tcPr>
            <w:tcW w:w="980" w:type="dxa"/>
            <w:vMerge w:val="continue"/>
            <w:tcBorders>
              <w:tl2br w:val="nil"/>
              <w:tr2bl w:val="nil"/>
            </w:tcBorders>
            <w:shd w:val="clear" w:color="auto" w:fill="auto"/>
            <w:noWrap/>
            <w:vAlign w:val="center"/>
          </w:tcPr>
          <w:p w14:paraId="2DA1D9E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051C536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地理编码数据普查</w:t>
            </w:r>
          </w:p>
        </w:tc>
        <w:tc>
          <w:tcPr>
            <w:tcW w:w="6261" w:type="dxa"/>
            <w:tcBorders>
              <w:tl2br w:val="nil"/>
              <w:tr2bl w:val="nil"/>
            </w:tcBorders>
            <w:shd w:val="clear" w:color="auto" w:fill="auto"/>
            <w:vAlign w:val="center"/>
          </w:tcPr>
          <w:p w14:paraId="28E777E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按照住建部相关的标准规范，对行政区域地名、地片与小区地名、街巷地名、门（楼）牌地址、标志物地址、兴趣点地址进行普查入库。</w:t>
            </w:r>
          </w:p>
        </w:tc>
        <w:tc>
          <w:tcPr>
            <w:tcW w:w="722" w:type="dxa"/>
            <w:vMerge w:val="continue"/>
            <w:tcBorders>
              <w:tl2br w:val="nil"/>
              <w:tr2bl w:val="nil"/>
            </w:tcBorders>
            <w:shd w:val="clear" w:color="auto" w:fill="auto"/>
            <w:noWrap/>
            <w:vAlign w:val="center"/>
          </w:tcPr>
          <w:p w14:paraId="41069CC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002E8CE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5505E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6765FBC">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5</w:t>
            </w:r>
          </w:p>
        </w:tc>
        <w:tc>
          <w:tcPr>
            <w:tcW w:w="980" w:type="dxa"/>
            <w:vMerge w:val="continue"/>
            <w:tcBorders>
              <w:tl2br w:val="nil"/>
              <w:tr2bl w:val="nil"/>
            </w:tcBorders>
            <w:shd w:val="clear" w:color="auto" w:fill="auto"/>
            <w:noWrap/>
            <w:vAlign w:val="center"/>
          </w:tcPr>
          <w:p w14:paraId="1ADD84A2">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05FF659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内业数据处理及建库</w:t>
            </w:r>
          </w:p>
        </w:tc>
        <w:tc>
          <w:tcPr>
            <w:tcW w:w="6261" w:type="dxa"/>
            <w:tcBorders>
              <w:tl2br w:val="nil"/>
              <w:tr2bl w:val="nil"/>
            </w:tcBorders>
            <w:shd w:val="clear" w:color="auto" w:fill="auto"/>
            <w:vAlign w:val="center"/>
          </w:tcPr>
          <w:p w14:paraId="5266F5D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对测绘的初始数据进行预处理和格式转换，并进行数据质量检查和批量生产入库。</w:t>
            </w:r>
          </w:p>
        </w:tc>
        <w:tc>
          <w:tcPr>
            <w:tcW w:w="722" w:type="dxa"/>
            <w:vMerge w:val="continue"/>
            <w:tcBorders>
              <w:tl2br w:val="nil"/>
              <w:tr2bl w:val="nil"/>
            </w:tcBorders>
            <w:shd w:val="clear" w:color="auto" w:fill="auto"/>
            <w:noWrap/>
            <w:vAlign w:val="center"/>
          </w:tcPr>
          <w:p w14:paraId="59C834A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0E16E3A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3003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8186868">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6</w:t>
            </w:r>
          </w:p>
        </w:tc>
        <w:tc>
          <w:tcPr>
            <w:tcW w:w="980" w:type="dxa"/>
            <w:vMerge w:val="restart"/>
            <w:tcBorders>
              <w:tl2br w:val="nil"/>
              <w:tr2bl w:val="nil"/>
            </w:tcBorders>
            <w:shd w:val="clear" w:color="auto" w:fill="auto"/>
            <w:noWrap/>
            <w:vAlign w:val="center"/>
          </w:tcPr>
          <w:p w14:paraId="0491AC1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应用体系建设</w:t>
            </w:r>
          </w:p>
        </w:tc>
        <w:tc>
          <w:tcPr>
            <w:tcW w:w="1118" w:type="dxa"/>
            <w:tcBorders>
              <w:tl2br w:val="nil"/>
              <w:tr2bl w:val="nil"/>
            </w:tcBorders>
            <w:shd w:val="clear" w:color="auto" w:fill="auto"/>
            <w:noWrap/>
            <w:vAlign w:val="center"/>
          </w:tcPr>
          <w:p w14:paraId="36696D4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业务指导系统</w:t>
            </w:r>
          </w:p>
        </w:tc>
        <w:tc>
          <w:tcPr>
            <w:tcW w:w="6261" w:type="dxa"/>
            <w:tcBorders>
              <w:tl2br w:val="nil"/>
              <w:tr2bl w:val="nil"/>
            </w:tcBorders>
            <w:shd w:val="clear" w:color="auto" w:fill="auto"/>
            <w:vAlign w:val="center"/>
          </w:tcPr>
          <w:p w14:paraId="7BC2C3F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博爱县城市运行管理服务平台共用国家平台业务指导系统，根据国家平台配置的权限直接使用相关功能，查看权限范围内的城市管理业务指导信息。业务指导系统包括政策法规、行业动态、经验交流等功能模块。</w:t>
            </w:r>
          </w:p>
        </w:tc>
        <w:tc>
          <w:tcPr>
            <w:tcW w:w="722" w:type="dxa"/>
            <w:vMerge w:val="restart"/>
            <w:tcBorders>
              <w:tl2br w:val="nil"/>
              <w:tr2bl w:val="nil"/>
            </w:tcBorders>
            <w:shd w:val="clear" w:color="auto" w:fill="auto"/>
            <w:noWrap/>
            <w:vAlign w:val="center"/>
          </w:tcPr>
          <w:p w14:paraId="1328E7E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vMerge w:val="restart"/>
            <w:tcBorders>
              <w:tl2br w:val="nil"/>
              <w:tr2bl w:val="nil"/>
            </w:tcBorders>
            <w:shd w:val="clear" w:color="auto" w:fill="auto"/>
            <w:noWrap/>
            <w:vAlign w:val="center"/>
          </w:tcPr>
          <w:p w14:paraId="5435EF3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423C7A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7A16AAF6">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7</w:t>
            </w:r>
          </w:p>
        </w:tc>
        <w:tc>
          <w:tcPr>
            <w:tcW w:w="980" w:type="dxa"/>
            <w:vMerge w:val="continue"/>
            <w:tcBorders>
              <w:tl2br w:val="nil"/>
              <w:tr2bl w:val="nil"/>
            </w:tcBorders>
            <w:shd w:val="clear" w:color="auto" w:fill="auto"/>
            <w:noWrap/>
            <w:vAlign w:val="center"/>
          </w:tcPr>
          <w:p w14:paraId="6055AE3B">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030370C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指挥协调系统</w:t>
            </w:r>
          </w:p>
        </w:tc>
        <w:tc>
          <w:tcPr>
            <w:tcW w:w="6261" w:type="dxa"/>
            <w:tcBorders>
              <w:tl2br w:val="nil"/>
              <w:tr2bl w:val="nil"/>
            </w:tcBorders>
            <w:shd w:val="clear" w:color="auto" w:fill="auto"/>
            <w:vAlign w:val="center"/>
          </w:tcPr>
          <w:p w14:paraId="098988F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在新型智慧城市大背景下，综合运用“互联网+”先进技术和“网格化+”管理模式，基于“云计算”和“大数据”等技术，满足用户量和数据量逐年增加对系统的高并发访问请求，满足对数据分析和数据挖掘的需求。</w:t>
            </w:r>
          </w:p>
        </w:tc>
        <w:tc>
          <w:tcPr>
            <w:tcW w:w="722" w:type="dxa"/>
            <w:vMerge w:val="continue"/>
            <w:tcBorders>
              <w:tl2br w:val="nil"/>
              <w:tr2bl w:val="nil"/>
            </w:tcBorders>
            <w:shd w:val="clear" w:color="auto" w:fill="auto"/>
            <w:noWrap/>
            <w:vAlign w:val="center"/>
          </w:tcPr>
          <w:p w14:paraId="74D13C7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3D05E5A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64FA3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541AB4F8">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8</w:t>
            </w:r>
          </w:p>
        </w:tc>
        <w:tc>
          <w:tcPr>
            <w:tcW w:w="980" w:type="dxa"/>
            <w:vMerge w:val="continue"/>
            <w:tcBorders>
              <w:tl2br w:val="nil"/>
              <w:tr2bl w:val="nil"/>
            </w:tcBorders>
            <w:shd w:val="clear" w:color="auto" w:fill="auto"/>
            <w:noWrap/>
            <w:vAlign w:val="center"/>
          </w:tcPr>
          <w:p w14:paraId="5E49DA7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745ED04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公众服务系统-微信公众号、12319、城市随手拍服务升级</w:t>
            </w:r>
          </w:p>
        </w:tc>
        <w:tc>
          <w:tcPr>
            <w:tcW w:w="6261" w:type="dxa"/>
            <w:tcBorders>
              <w:tl2br w:val="nil"/>
              <w:tr2bl w:val="nil"/>
            </w:tcBorders>
            <w:shd w:val="clear" w:color="auto" w:fill="auto"/>
            <w:vAlign w:val="center"/>
          </w:tcPr>
          <w:p w14:paraId="3734F16E">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对微信公众号进行升级改造，并依托升级后微信公众号，开发公众诉求受理功能，并丰富强化便民服务功能。微信服务平台是为了方便市民上报、投诉或咨询城管问题的一个微信公众号，是市民与数字化城市管理系统之间的一个桥梁。市民只需通过微信关注该微信公众号，就可以对城市管理问题进行上报、投诉、咨询，并可查看城管新闻、通知公告等。</w:t>
            </w:r>
          </w:p>
          <w:p w14:paraId="1036C81E">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（2）对博爱县 12319 呼叫中心平台进行融合对接，将现有 12319 热线服务平台接入运管服平台公众服务系统，实现受理来自信息采集员、社会公众及 12319 城管热线等其他呼叫中心受理的城市管理问题，对他们所反映事件或所举报情况进行核实，并对事件发生地点进行地图定位，经登记立案后传递给指挥中心派单处理。</w:t>
            </w:r>
          </w:p>
          <w:p w14:paraId="4559BE30">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3）通过随手拍（小程序），鼓励民众上报城管问题，快速闭环解决群众问题，设置问题上报奖励和回访评价机制，提高群众的参与城市管理程度，丰富群众与政府工作部门的沟通渠道，让市民有更多的获得感。</w:t>
            </w:r>
          </w:p>
        </w:tc>
        <w:tc>
          <w:tcPr>
            <w:tcW w:w="722" w:type="dxa"/>
            <w:vMerge w:val="continue"/>
            <w:tcBorders>
              <w:tl2br w:val="nil"/>
              <w:tr2bl w:val="nil"/>
            </w:tcBorders>
            <w:shd w:val="clear" w:color="auto" w:fill="auto"/>
            <w:noWrap/>
            <w:vAlign w:val="center"/>
          </w:tcPr>
          <w:p w14:paraId="25D47D6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05E55AD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31808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394AFF62">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9</w:t>
            </w:r>
          </w:p>
        </w:tc>
        <w:tc>
          <w:tcPr>
            <w:tcW w:w="980" w:type="dxa"/>
            <w:vMerge w:val="continue"/>
            <w:tcBorders>
              <w:tl2br w:val="nil"/>
              <w:tr2bl w:val="nil"/>
            </w:tcBorders>
            <w:shd w:val="clear" w:color="auto" w:fill="auto"/>
            <w:noWrap/>
            <w:vAlign w:val="center"/>
          </w:tcPr>
          <w:p w14:paraId="608E3F9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vMerge w:val="restart"/>
            <w:tcBorders>
              <w:tl2br w:val="nil"/>
              <w:tr2bl w:val="nil"/>
            </w:tcBorders>
            <w:shd w:val="clear" w:color="auto" w:fill="auto"/>
            <w:noWrap/>
            <w:vAlign w:val="center"/>
          </w:tcPr>
          <w:p w14:paraId="0711E43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决策建议系统通</w:t>
            </w:r>
          </w:p>
        </w:tc>
        <w:tc>
          <w:tcPr>
            <w:tcW w:w="6261" w:type="dxa"/>
            <w:tcBorders>
              <w:tl2br w:val="nil"/>
              <w:tr2bl w:val="nil"/>
            </w:tcBorders>
            <w:shd w:val="clear" w:color="auto" w:fill="auto"/>
            <w:vAlign w:val="center"/>
          </w:tcPr>
          <w:p w14:paraId="0C60311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基于城市管理运行数据构建的综合可视化与分析平台，旨在全面呈现城市管理各方面运行状况。该专题涵盖运行指标、基本信息、部件设施、实时运行、城管资源分布、高发问题分析、区域分析、类型分析、处置分析及趋势分析等多个模块，支持从宏观运行效率到微观案件分布的多维度查询与展示。系统通过地图交互、动态监测和统计图表等方式，实现对案件处置、人员车辆动态、高发问题规律、部门处置效能等的实时监控与深度分析，为城市管理决策和资源调配提供数据支撑。</w:t>
            </w:r>
          </w:p>
        </w:tc>
        <w:tc>
          <w:tcPr>
            <w:tcW w:w="722" w:type="dxa"/>
            <w:vMerge w:val="continue"/>
            <w:tcBorders>
              <w:tl2br w:val="nil"/>
              <w:tr2bl w:val="nil"/>
            </w:tcBorders>
            <w:shd w:val="clear" w:color="auto" w:fill="auto"/>
            <w:noWrap/>
            <w:vAlign w:val="center"/>
          </w:tcPr>
          <w:p w14:paraId="0E17F87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2548560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8D936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C498D9A">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10</w:t>
            </w:r>
          </w:p>
        </w:tc>
        <w:tc>
          <w:tcPr>
            <w:tcW w:w="980" w:type="dxa"/>
            <w:vMerge w:val="continue"/>
            <w:tcBorders>
              <w:tl2br w:val="nil"/>
              <w:tr2bl w:val="nil"/>
            </w:tcBorders>
            <w:shd w:val="clear" w:color="auto" w:fill="auto"/>
            <w:noWrap/>
            <w:vAlign w:val="center"/>
          </w:tcPr>
          <w:p w14:paraId="4DED0B7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vMerge w:val="continue"/>
            <w:tcBorders>
              <w:tl2br w:val="nil"/>
              <w:tr2bl w:val="nil"/>
            </w:tcBorders>
            <w:shd w:val="clear" w:color="auto" w:fill="auto"/>
            <w:noWrap/>
            <w:vAlign w:val="center"/>
          </w:tcPr>
          <w:p w14:paraId="50BC971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6261" w:type="dxa"/>
            <w:tcBorders>
              <w:tl2br w:val="nil"/>
              <w:tr2bl w:val="nil"/>
            </w:tcBorders>
            <w:shd w:val="clear" w:color="auto" w:fill="auto"/>
            <w:vAlign w:val="center"/>
          </w:tcPr>
          <w:p w14:paraId="18A0A70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通过对接（餐饮油烟在线监控系统）油烟监测设备餐饮油烟排放的实时监测数据，实现对餐饮企业（饭店）油烟排放的定性（油烟净化器是否按规定开启）与定量（油烟浓度分析）双重监管。当发生油烟净化器非正常关闭或者油烟浓度超标时，自动生成告警信息，即时推送到属地城市运行分中心、相关处置部门、监管单位等，相关处置部门根据监管部门的要求进行查处和整改，整改结果反馈到运行中心和监管单位，形成闭环化监管模式。</w:t>
            </w:r>
          </w:p>
        </w:tc>
        <w:tc>
          <w:tcPr>
            <w:tcW w:w="722" w:type="dxa"/>
            <w:vMerge w:val="continue"/>
            <w:tcBorders>
              <w:tl2br w:val="nil"/>
              <w:tr2bl w:val="nil"/>
            </w:tcBorders>
            <w:shd w:val="clear" w:color="auto" w:fill="auto"/>
            <w:noWrap/>
            <w:vAlign w:val="center"/>
          </w:tcPr>
          <w:p w14:paraId="480D54B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760FEC7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D6F2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6294721D">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11</w:t>
            </w:r>
          </w:p>
        </w:tc>
        <w:tc>
          <w:tcPr>
            <w:tcW w:w="980" w:type="dxa"/>
            <w:vMerge w:val="continue"/>
            <w:tcBorders>
              <w:tl2br w:val="nil"/>
              <w:tr2bl w:val="nil"/>
            </w:tcBorders>
            <w:shd w:val="clear" w:color="auto" w:fill="auto"/>
            <w:noWrap/>
            <w:vAlign w:val="center"/>
          </w:tcPr>
          <w:p w14:paraId="674C8994">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3CCF8D2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综合评价系统</w:t>
            </w:r>
          </w:p>
        </w:tc>
        <w:tc>
          <w:tcPr>
            <w:tcW w:w="6261" w:type="dxa"/>
            <w:tcBorders>
              <w:tl2br w:val="nil"/>
              <w:tr2bl w:val="nil"/>
            </w:tcBorders>
            <w:shd w:val="clear" w:color="auto" w:fill="auto"/>
            <w:vAlign w:val="center"/>
          </w:tcPr>
          <w:p w14:paraId="71DF6C15">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根据城市运行管理服务服务评价工作要求，围绕“干净、整洁、有序”和“市政设施安全、房屋建筑安全、交通设施安全”等核心指标，对各城市开展综合评价工作。平台可在城市运行管理服务服务评价指标体系的基础上，结合实际增加特色型指标</w:t>
            </w:r>
          </w:p>
        </w:tc>
        <w:tc>
          <w:tcPr>
            <w:tcW w:w="722" w:type="dxa"/>
            <w:vMerge w:val="continue"/>
            <w:tcBorders>
              <w:tl2br w:val="nil"/>
              <w:tr2bl w:val="nil"/>
            </w:tcBorders>
            <w:shd w:val="clear" w:color="auto" w:fill="auto"/>
            <w:noWrap/>
            <w:vAlign w:val="center"/>
          </w:tcPr>
          <w:p w14:paraId="1317C60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1B67FDE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047D3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C1EC48A">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12</w:t>
            </w:r>
          </w:p>
        </w:tc>
        <w:tc>
          <w:tcPr>
            <w:tcW w:w="980" w:type="dxa"/>
            <w:vMerge w:val="continue"/>
            <w:tcBorders>
              <w:tl2br w:val="nil"/>
              <w:tr2bl w:val="nil"/>
            </w:tcBorders>
            <w:shd w:val="clear" w:color="auto" w:fill="auto"/>
            <w:noWrap/>
            <w:vAlign w:val="center"/>
          </w:tcPr>
          <w:p w14:paraId="726B4BF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45543DD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数据交换系统</w:t>
            </w:r>
          </w:p>
        </w:tc>
        <w:tc>
          <w:tcPr>
            <w:tcW w:w="6261" w:type="dxa"/>
            <w:tcBorders>
              <w:tl2br w:val="nil"/>
              <w:tr2bl w:val="nil"/>
            </w:tcBorders>
            <w:shd w:val="clear" w:color="auto" w:fill="auto"/>
            <w:vAlign w:val="center"/>
          </w:tcPr>
          <w:p w14:paraId="6525AA3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从城市运行管理服务业务内容出发，打通数据渠道，打破数据“壁垒”，实现数据的横向交换与纵向联通。通过数据交换系统对接相关部门的城市运行管理服务数据，形成综合性城市运行管理服务数据库，实现与省级、国家、焦作平台进行数据交换。</w:t>
            </w:r>
          </w:p>
        </w:tc>
        <w:tc>
          <w:tcPr>
            <w:tcW w:w="722" w:type="dxa"/>
            <w:vMerge w:val="continue"/>
            <w:tcBorders>
              <w:tl2br w:val="nil"/>
              <w:tr2bl w:val="nil"/>
            </w:tcBorders>
            <w:shd w:val="clear" w:color="auto" w:fill="auto"/>
            <w:noWrap/>
            <w:vAlign w:val="center"/>
          </w:tcPr>
          <w:p w14:paraId="7B1A8B6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6DFC159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44770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0BC4357D">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13</w:t>
            </w:r>
          </w:p>
        </w:tc>
        <w:tc>
          <w:tcPr>
            <w:tcW w:w="980" w:type="dxa"/>
            <w:vMerge w:val="continue"/>
            <w:tcBorders>
              <w:tl2br w:val="nil"/>
              <w:tr2bl w:val="nil"/>
            </w:tcBorders>
            <w:shd w:val="clear" w:color="auto" w:fill="auto"/>
            <w:noWrap/>
            <w:vAlign w:val="center"/>
          </w:tcPr>
          <w:p w14:paraId="37D8633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7C3AE86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数据汇聚系统</w:t>
            </w:r>
          </w:p>
        </w:tc>
        <w:tc>
          <w:tcPr>
            <w:tcW w:w="6261" w:type="dxa"/>
            <w:tcBorders>
              <w:tl2br w:val="nil"/>
              <w:tr2bl w:val="nil"/>
            </w:tcBorders>
            <w:shd w:val="clear" w:color="auto" w:fill="auto"/>
            <w:vAlign w:val="center"/>
          </w:tcPr>
          <w:p w14:paraId="0A30891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从城市运行管理服务业务内容出发，以城市运行、管理、服务各类数据为目标，打通数据渠道，打破数据“壁垒”，实现数据的横向汇聚，建立统一的城市运行管理服务综合性数据库，实现对于各类数据的统一管理、统一治理、统一应用，充分发挥数据的价值和作用，以数据支撑城市决策。</w:t>
            </w:r>
          </w:p>
        </w:tc>
        <w:tc>
          <w:tcPr>
            <w:tcW w:w="722" w:type="dxa"/>
            <w:vMerge w:val="continue"/>
            <w:tcBorders>
              <w:tl2br w:val="nil"/>
              <w:tr2bl w:val="nil"/>
            </w:tcBorders>
            <w:shd w:val="clear" w:color="auto" w:fill="auto"/>
            <w:noWrap/>
            <w:vAlign w:val="center"/>
          </w:tcPr>
          <w:p w14:paraId="1A8D57B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65F05D3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1AB02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F7D75C5">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14</w:t>
            </w:r>
          </w:p>
        </w:tc>
        <w:tc>
          <w:tcPr>
            <w:tcW w:w="980" w:type="dxa"/>
            <w:vMerge w:val="continue"/>
            <w:tcBorders>
              <w:tl2br w:val="nil"/>
              <w:tr2bl w:val="nil"/>
            </w:tcBorders>
            <w:shd w:val="clear" w:color="auto" w:fill="auto"/>
            <w:noWrap/>
            <w:vAlign w:val="center"/>
          </w:tcPr>
          <w:p w14:paraId="086737C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146A3AC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应用维护系统</w:t>
            </w:r>
          </w:p>
        </w:tc>
        <w:tc>
          <w:tcPr>
            <w:tcW w:w="6261" w:type="dxa"/>
            <w:tcBorders>
              <w:tl2br w:val="nil"/>
              <w:tr2bl w:val="nil"/>
            </w:tcBorders>
            <w:shd w:val="clear" w:color="auto" w:fill="auto"/>
            <w:vAlign w:val="center"/>
          </w:tcPr>
          <w:p w14:paraId="6A39C63B">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根据系统运维管理需要，对组织机构、人员权限、业务流程、工作表单、功能参数等事项进行日常管理和维护。</w:t>
            </w:r>
          </w:p>
        </w:tc>
        <w:tc>
          <w:tcPr>
            <w:tcW w:w="722" w:type="dxa"/>
            <w:vMerge w:val="continue"/>
            <w:tcBorders>
              <w:tl2br w:val="nil"/>
              <w:tr2bl w:val="nil"/>
            </w:tcBorders>
            <w:shd w:val="clear" w:color="auto" w:fill="auto"/>
            <w:noWrap/>
            <w:vAlign w:val="center"/>
          </w:tcPr>
          <w:p w14:paraId="2ADBF69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406D217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7F767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1350F24">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15</w:t>
            </w:r>
          </w:p>
        </w:tc>
        <w:tc>
          <w:tcPr>
            <w:tcW w:w="980" w:type="dxa"/>
            <w:vMerge w:val="continue"/>
            <w:tcBorders>
              <w:tl2br w:val="nil"/>
              <w:tr2bl w:val="nil"/>
            </w:tcBorders>
            <w:shd w:val="clear" w:color="auto" w:fill="auto"/>
            <w:noWrap/>
            <w:vAlign w:val="center"/>
          </w:tcPr>
          <w:p w14:paraId="23F3C64C">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58B9450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系统对接</w:t>
            </w:r>
          </w:p>
        </w:tc>
        <w:tc>
          <w:tcPr>
            <w:tcW w:w="6261" w:type="dxa"/>
            <w:tcBorders>
              <w:tl2br w:val="nil"/>
              <w:tr2bl w:val="nil"/>
            </w:tcBorders>
            <w:shd w:val="clear" w:color="auto" w:fill="auto"/>
            <w:vAlign w:val="center"/>
          </w:tcPr>
          <w:p w14:paraId="6389F6AE">
            <w:pPr>
              <w:keepNext w:val="0"/>
              <w:keepLines w:val="0"/>
              <w:widowControl/>
              <w:suppressLineNumbers w:val="0"/>
              <w:kinsoku/>
              <w:wordWrap w:val="0"/>
              <w:spacing w:line="360" w:lineRule="auto"/>
              <w:jc w:val="left"/>
              <w:textAlignment w:val="center"/>
              <w:rPr>
                <w:rFonts w:hint="eastAsia"/>
                <w:lang w:val="en-US" w:eastAsia="zh-CN"/>
              </w:rPr>
            </w:pPr>
            <w:r>
              <w:rPr>
                <w:rFonts w:hint="eastAsia"/>
                <w:lang w:val="en-US" w:eastAsia="zh-CN"/>
              </w:rPr>
              <w:t>预留系统对接接口，对接城市生命线安全运行监测系统。</w:t>
            </w:r>
            <w:r>
              <w:rPr>
                <w:rFonts w:hint="eastAsia"/>
                <w:lang w:val="en-US" w:eastAsia="zh-CN"/>
              </w:rPr>
              <w:br w:type="textWrapping"/>
            </w:r>
            <w:r>
              <w:rPr>
                <w:rFonts w:hint="eastAsia"/>
                <w:lang w:val="en-US" w:eastAsia="zh-CN"/>
              </w:rPr>
              <w:t>开发系统对接接口，对接上级已建餐饮油烟监测平台。</w:t>
            </w:r>
          </w:p>
          <w:p w14:paraId="4FA5EB84">
            <w:pPr>
              <w:keepNext w:val="0"/>
              <w:keepLines w:val="0"/>
              <w:widowControl/>
              <w:suppressLineNumbers w:val="0"/>
              <w:kinsoku/>
              <w:wordWrap w:val="0"/>
              <w:spacing w:line="360" w:lineRule="auto"/>
              <w:jc w:val="left"/>
              <w:textAlignment w:val="center"/>
              <w:rPr>
                <w:rFonts w:hint="eastAsia"/>
                <w:lang w:val="en-US" w:eastAsia="zh-CN"/>
              </w:rPr>
            </w:pPr>
            <w:r>
              <w:rPr>
                <w:rFonts w:hint="eastAsia"/>
                <w:lang w:val="en-US" w:eastAsia="zh-CN"/>
              </w:rPr>
              <w:t>开发系统对接接口，对接上级运行管理服务平台。</w:t>
            </w:r>
          </w:p>
          <w:p w14:paraId="5C71FCD7">
            <w:pPr>
              <w:pStyle w:val="31"/>
              <w:spacing w:line="360" w:lineRule="auto"/>
              <w:ind w:left="0" w:leftChars="0" w:firstLine="0" w:firstLineChars="0"/>
              <w:rPr>
                <w:rFonts w:hint="eastAsia"/>
              </w:rPr>
            </w:pPr>
            <w:r>
              <w:rPr>
                <w:rFonts w:hint="eastAsia" w:ascii="宋体" w:hAnsi="宋体" w:eastAsia="宋体" w:cs="宋体"/>
                <w:i w:val="0"/>
                <w:iCs w:val="0"/>
                <w:snapToGrid w:val="0"/>
                <w:color w:val="auto"/>
                <w:kern w:val="0"/>
                <w:sz w:val="21"/>
                <w:szCs w:val="21"/>
                <w:highlight w:val="none"/>
                <w:u w:val="none"/>
                <w:lang w:val="en-US" w:eastAsia="zh-CN" w:bidi="ar"/>
              </w:rPr>
              <w:t>做好数字化城市管理系统内数据承接、导入、存储、备份工作。与党建引领高效能治理平台实现对接，做到实时传输数据。</w:t>
            </w:r>
          </w:p>
        </w:tc>
        <w:tc>
          <w:tcPr>
            <w:tcW w:w="722" w:type="dxa"/>
            <w:vMerge w:val="continue"/>
            <w:tcBorders>
              <w:tl2br w:val="nil"/>
              <w:tr2bl w:val="nil"/>
            </w:tcBorders>
            <w:shd w:val="clear" w:color="auto" w:fill="auto"/>
            <w:noWrap/>
            <w:vAlign w:val="center"/>
          </w:tcPr>
          <w:p w14:paraId="21BCBC9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c>
          <w:tcPr>
            <w:tcW w:w="655" w:type="dxa"/>
            <w:vMerge w:val="continue"/>
            <w:tcBorders>
              <w:tl2br w:val="nil"/>
              <w:tr2bl w:val="nil"/>
            </w:tcBorders>
            <w:shd w:val="clear" w:color="auto" w:fill="auto"/>
            <w:noWrap/>
            <w:vAlign w:val="center"/>
          </w:tcPr>
          <w:p w14:paraId="322A9A5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p>
        </w:tc>
      </w:tr>
      <w:tr w14:paraId="25AB3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10430" w:type="dxa"/>
            <w:gridSpan w:val="7"/>
            <w:tcBorders>
              <w:tl2br w:val="nil"/>
              <w:tr2bl w:val="nil"/>
            </w:tcBorders>
            <w:shd w:val="clear" w:color="auto" w:fill="auto"/>
            <w:noWrap/>
            <w:vAlign w:val="center"/>
          </w:tcPr>
          <w:p w14:paraId="44FC787F">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第四部分 计算资源和网络安全及运维建设</w:t>
            </w:r>
          </w:p>
        </w:tc>
      </w:tr>
      <w:tr w14:paraId="12865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1EC79535">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序号</w:t>
            </w:r>
          </w:p>
        </w:tc>
        <w:tc>
          <w:tcPr>
            <w:tcW w:w="2098" w:type="dxa"/>
            <w:gridSpan w:val="2"/>
            <w:tcBorders>
              <w:tl2br w:val="nil"/>
              <w:tr2bl w:val="nil"/>
            </w:tcBorders>
            <w:shd w:val="clear" w:color="auto" w:fill="auto"/>
            <w:noWrap/>
            <w:vAlign w:val="center"/>
          </w:tcPr>
          <w:p w14:paraId="2C69B348">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建设内容</w:t>
            </w:r>
          </w:p>
        </w:tc>
        <w:tc>
          <w:tcPr>
            <w:tcW w:w="6261" w:type="dxa"/>
            <w:tcBorders>
              <w:tl2br w:val="nil"/>
              <w:tr2bl w:val="nil"/>
            </w:tcBorders>
            <w:shd w:val="clear" w:color="auto" w:fill="auto"/>
            <w:noWrap/>
            <w:vAlign w:val="center"/>
          </w:tcPr>
          <w:p w14:paraId="42C9443D">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技术要求</w:t>
            </w:r>
          </w:p>
        </w:tc>
        <w:tc>
          <w:tcPr>
            <w:tcW w:w="722" w:type="dxa"/>
            <w:tcBorders>
              <w:tl2br w:val="nil"/>
              <w:tr2bl w:val="nil"/>
            </w:tcBorders>
            <w:shd w:val="clear" w:color="auto" w:fill="auto"/>
            <w:noWrap/>
            <w:vAlign w:val="center"/>
          </w:tcPr>
          <w:p w14:paraId="1E7783D3">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数量</w:t>
            </w:r>
          </w:p>
        </w:tc>
        <w:tc>
          <w:tcPr>
            <w:tcW w:w="655" w:type="dxa"/>
            <w:tcBorders>
              <w:tl2br w:val="nil"/>
              <w:tr2bl w:val="nil"/>
            </w:tcBorders>
            <w:shd w:val="clear" w:color="auto" w:fill="auto"/>
            <w:noWrap/>
            <w:vAlign w:val="center"/>
          </w:tcPr>
          <w:p w14:paraId="7EE5EA14">
            <w:pPr>
              <w:keepNext w:val="0"/>
              <w:keepLines w:val="0"/>
              <w:widowControl/>
              <w:suppressLineNumbers w:val="0"/>
              <w:kinsoku/>
              <w:wordWrap w:val="0"/>
              <w:spacing w:line="36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snapToGrid w:val="0"/>
                <w:color w:val="auto"/>
                <w:kern w:val="0"/>
                <w:sz w:val="21"/>
                <w:szCs w:val="21"/>
                <w:highlight w:val="none"/>
                <w:u w:val="none"/>
                <w:lang w:val="en-US" w:eastAsia="zh-CN" w:bidi="ar"/>
              </w:rPr>
              <w:t>单位</w:t>
            </w:r>
          </w:p>
        </w:tc>
      </w:tr>
      <w:tr w14:paraId="3D3A6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689078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980" w:type="dxa"/>
            <w:vMerge w:val="restart"/>
            <w:tcBorders>
              <w:tl2br w:val="nil"/>
              <w:tr2bl w:val="nil"/>
            </w:tcBorders>
            <w:shd w:val="clear" w:color="auto" w:fill="auto"/>
            <w:vAlign w:val="center"/>
          </w:tcPr>
          <w:p w14:paraId="33E71DE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计算存储资源服务</w:t>
            </w:r>
            <w:r>
              <w:rPr>
                <w:rFonts w:hint="eastAsia" w:ascii="宋体" w:hAnsi="宋体" w:eastAsia="宋体" w:cs="宋体"/>
                <w:i w:val="0"/>
                <w:iCs w:val="0"/>
                <w:snapToGrid w:val="0"/>
                <w:color w:val="auto"/>
                <w:kern w:val="0"/>
                <w:sz w:val="20"/>
                <w:szCs w:val="20"/>
                <w:highlight w:val="none"/>
                <w:u w:val="none"/>
                <w:lang w:val="en-US" w:eastAsia="zh-CN" w:bidi="ar"/>
              </w:rPr>
              <w:t>（国产化）</w:t>
            </w:r>
          </w:p>
        </w:tc>
        <w:tc>
          <w:tcPr>
            <w:tcW w:w="1118" w:type="dxa"/>
            <w:tcBorders>
              <w:tl2br w:val="nil"/>
              <w:tr2bl w:val="nil"/>
            </w:tcBorders>
            <w:shd w:val="clear" w:color="auto" w:fill="auto"/>
            <w:noWrap/>
            <w:vAlign w:val="center"/>
          </w:tcPr>
          <w:p w14:paraId="5ABFF49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计算存储资源云服务</w:t>
            </w:r>
          </w:p>
        </w:tc>
        <w:tc>
          <w:tcPr>
            <w:tcW w:w="6261" w:type="dxa"/>
            <w:tcBorders>
              <w:tl2br w:val="nil"/>
              <w:tr2bl w:val="nil"/>
            </w:tcBorders>
            <w:shd w:val="clear" w:color="auto" w:fill="auto"/>
            <w:vAlign w:val="center"/>
          </w:tcPr>
          <w:p w14:paraId="4CCA4EC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1、提供国产化云服务，技术要求不低于：</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（1）配置≥8颗国产处理器；单颗处理器主频≥2.5GHz，≥32核心64线程；内存配置：≥32*32G DDR5 5600MHz内存；硬盘配置：≥16块8TB 7.2K SATA 数据盘，8块1.92TB U.2 Nvme SSD缓存盘，配置8块480G SSD系统盘，支持RAID1；网络接口≥8个1Gb电口，≥16个10Gb光口（含模块）；同时提供计算虚拟化、存储虚拟化、网络虚拟化，支持创建多个虚拟机并提供虚拟机CBT备份以及CDP持续数据保护服务；</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2、管理软件要求：</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(1)实现对虚拟机全生命周期管理、集群HA、虚拟机备份、双活存储池等功能；</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(2)实现包含块存储、多副本、数据本地化、机架感知等功能；</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(3)实现包含vLAN、VxLAN、安全组、虚拟路由器、虚拟防火墙、DHCP等功能；</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3、提供满足计算存储资源运行服务的环境；</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4、提供电信级电力、空调等基础环境保障；</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5、提供7×24的网联接状况监控以及日常巡检服务；</w:t>
            </w:r>
          </w:p>
        </w:tc>
        <w:tc>
          <w:tcPr>
            <w:tcW w:w="722" w:type="dxa"/>
            <w:tcBorders>
              <w:tl2br w:val="nil"/>
              <w:tr2bl w:val="nil"/>
            </w:tcBorders>
            <w:shd w:val="clear" w:color="auto" w:fill="auto"/>
            <w:noWrap/>
            <w:vAlign w:val="center"/>
          </w:tcPr>
          <w:p w14:paraId="7C8705E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655" w:type="dxa"/>
            <w:tcBorders>
              <w:tl2br w:val="nil"/>
              <w:tr2bl w:val="nil"/>
            </w:tcBorders>
            <w:shd w:val="clear" w:color="auto" w:fill="auto"/>
            <w:noWrap/>
            <w:vAlign w:val="center"/>
          </w:tcPr>
          <w:p w14:paraId="4B55428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年</w:t>
            </w:r>
          </w:p>
        </w:tc>
      </w:tr>
      <w:tr w14:paraId="50C21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07DD244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980" w:type="dxa"/>
            <w:vMerge w:val="continue"/>
            <w:tcBorders>
              <w:tl2br w:val="nil"/>
              <w:tr2bl w:val="nil"/>
            </w:tcBorders>
            <w:shd w:val="clear" w:color="auto" w:fill="auto"/>
            <w:vAlign w:val="center"/>
          </w:tcPr>
          <w:p w14:paraId="1672E2D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479C5DE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服务器操作系统</w:t>
            </w:r>
          </w:p>
        </w:tc>
        <w:tc>
          <w:tcPr>
            <w:tcW w:w="6261" w:type="dxa"/>
            <w:tcBorders>
              <w:tl2br w:val="nil"/>
              <w:tr2bl w:val="nil"/>
            </w:tcBorders>
            <w:shd w:val="clear" w:color="auto" w:fill="auto"/>
            <w:vAlign w:val="center"/>
          </w:tcPr>
          <w:p w14:paraId="1E61F640">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1.符合 CGL 5.0 标准（提供 Linux 基金会官网证明），提供明确显示产品厂商、操作系统镜像版本的网站截图及链接；</w:t>
            </w:r>
          </w:p>
          <w:p w14:paraId="45424DEF">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2.系统具有同品牌的高可用集群、云平台、云桌面等软件产品，能够提供同品牌产品的电子版软著；</w:t>
            </w:r>
          </w:p>
          <w:p w14:paraId="64ACF76B">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3.产品具备安全管理工具，提供系统安全加固、账户保护、 网络保护、应用执行控制和应用防护控制等功能，提供应 用程序执行控制功能，阻止未知软件、应用程序的恶意执 行，避免木马病毒攻击，保障系统运行环境的安全可靠；</w:t>
            </w:r>
          </w:p>
          <w:p w14:paraId="21E32F8D">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4.产品入围《安全可靠测评结果公告》</w:t>
            </w:r>
            <w:r>
              <w:rPr>
                <w:rFonts w:hint="eastAsia" w:ascii="宋体" w:hAnsi="宋体" w:eastAsia="宋体" w:cs="宋体"/>
                <w:b/>
                <w:bCs/>
                <w:i w:val="0"/>
                <w:iCs w:val="0"/>
                <w:snapToGrid w:val="0"/>
                <w:color w:val="auto"/>
                <w:kern w:val="0"/>
                <w:sz w:val="21"/>
                <w:szCs w:val="21"/>
                <w:highlight w:val="none"/>
                <w:u w:val="none"/>
                <w:lang w:val="en-US" w:eastAsia="zh-CN" w:bidi="ar"/>
              </w:rPr>
              <w:t>（提供相关证明材料）</w:t>
            </w:r>
            <w:r>
              <w:rPr>
                <w:rFonts w:hint="eastAsia" w:ascii="宋体" w:hAnsi="宋体" w:eastAsia="宋体" w:cs="宋体"/>
                <w:i w:val="0"/>
                <w:iCs w:val="0"/>
                <w:snapToGrid w:val="0"/>
                <w:color w:val="auto"/>
                <w:kern w:val="0"/>
                <w:sz w:val="21"/>
                <w:szCs w:val="21"/>
                <w:highlight w:val="none"/>
                <w:u w:val="none"/>
                <w:lang w:val="en-US" w:eastAsia="zh-CN" w:bidi="ar"/>
              </w:rPr>
              <w:t>。</w:t>
            </w:r>
          </w:p>
        </w:tc>
        <w:tc>
          <w:tcPr>
            <w:tcW w:w="722" w:type="dxa"/>
            <w:tcBorders>
              <w:tl2br w:val="nil"/>
              <w:tr2bl w:val="nil"/>
            </w:tcBorders>
            <w:shd w:val="clear" w:color="auto" w:fill="auto"/>
            <w:noWrap/>
            <w:vAlign w:val="center"/>
          </w:tcPr>
          <w:p w14:paraId="4A4614C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20</w:t>
            </w:r>
          </w:p>
        </w:tc>
        <w:tc>
          <w:tcPr>
            <w:tcW w:w="655" w:type="dxa"/>
            <w:tcBorders>
              <w:tl2br w:val="nil"/>
              <w:tr2bl w:val="nil"/>
            </w:tcBorders>
            <w:shd w:val="clear" w:color="auto" w:fill="auto"/>
            <w:noWrap/>
            <w:vAlign w:val="center"/>
          </w:tcPr>
          <w:p w14:paraId="6CFD675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361093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FFF692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980" w:type="dxa"/>
            <w:vMerge w:val="continue"/>
            <w:tcBorders>
              <w:tl2br w:val="nil"/>
              <w:tr2bl w:val="nil"/>
            </w:tcBorders>
            <w:shd w:val="clear" w:color="auto" w:fill="auto"/>
            <w:vAlign w:val="center"/>
          </w:tcPr>
          <w:p w14:paraId="2253206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351179C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数据库</w:t>
            </w:r>
          </w:p>
        </w:tc>
        <w:tc>
          <w:tcPr>
            <w:tcW w:w="6261" w:type="dxa"/>
            <w:tcBorders>
              <w:tl2br w:val="nil"/>
              <w:tr2bl w:val="nil"/>
            </w:tcBorders>
            <w:shd w:val="clear" w:color="auto" w:fill="auto"/>
            <w:vAlign w:val="center"/>
          </w:tcPr>
          <w:p w14:paraId="78233AA1">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1.产品具备完全自主知识产权，避免潜在的版权纠纷，要求软件自主可控；产品入围《安全可靠测评结果公告》。</w:t>
            </w:r>
            <w:r>
              <w:rPr>
                <w:rFonts w:hint="eastAsia" w:ascii="宋体" w:hAnsi="宋体" w:eastAsia="宋体" w:cs="宋体"/>
                <w:b/>
                <w:bCs/>
                <w:i w:val="0"/>
                <w:iCs w:val="0"/>
                <w:snapToGrid w:val="0"/>
                <w:color w:val="auto"/>
                <w:kern w:val="0"/>
                <w:sz w:val="21"/>
                <w:szCs w:val="21"/>
                <w:highlight w:val="none"/>
                <w:u w:val="none"/>
                <w:lang w:val="en-US" w:eastAsia="zh-CN" w:bidi="ar"/>
              </w:rPr>
              <w:t>（提供相关证明材料）</w:t>
            </w:r>
            <w:r>
              <w:rPr>
                <w:rFonts w:hint="eastAsia" w:ascii="宋体" w:hAnsi="宋体" w:eastAsia="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2.数据库同时支持 ARM 和 C86 架构的云部署和物理机部署。</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3.支持B树索引、聚集索引、唯一索引、非唯一索引、函数索引、分区索引(包括本地分区索引和全局分区索引)；</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4.支持备份工具对备份文件使用LZ4和Zstandard算法的解压操作，支持预写日志文件使用LZ4、Zstandard算法进行压缩；。</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5.支持向量表的构建及高维（三维）向量数据的存储，支持向量索引结构的构建与优化，支持多种向量相似性度量方法（如欧氏距离）的快速计算，并实现基于近似最近邻搜索的目标向量相似度检索；</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6.支持身份鉴别、访问控制、数据完整性、数据备份与恢复功能，支持国密算法。</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7.支持数据库操作审计，包含用户登录、数据库启停、审计启停、用户锁定解锁、数据库对象增删改等。</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8.身份鉴别应采用口令、密码技术、生物技术等两种或两种以上组合的鉴别技术对用户进行身份鉴别，且其中一种鉴别技术至少应使用密码技术来实现；</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9.产品自带可视化管理工具通过直观的图形界面。支持GIS数据通过拖拽方式进行编辑；</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10.支持国产硬件体系，支持不同CPU架构的服务器；支持国产操作系统平台；</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11.支持Hibernate、MyBatis、MyBatis-Plus、Spring接口访问数据库；</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12.支持覆盖索引功能实现查询时避免回溯操作，在单并发执行查询下扫描数据块数量减少不低于80%，性能提升不低于50%；10并发执行查询下性能提升不低于10%，TPS提升不低于10%。</w:t>
            </w:r>
            <w:r>
              <w:rPr>
                <w:rFonts w:hint="eastAsia" w:ascii="宋体" w:hAnsi="宋体" w:eastAsia="宋体" w:cs="宋体"/>
                <w:b/>
                <w:bCs/>
                <w:i w:val="0"/>
                <w:iCs w:val="0"/>
                <w:snapToGrid w:val="0"/>
                <w:color w:val="auto"/>
                <w:kern w:val="0"/>
                <w:sz w:val="21"/>
                <w:szCs w:val="21"/>
                <w:highlight w:val="none"/>
                <w:u w:val="none"/>
                <w:lang w:val="en-US" w:eastAsia="zh-CN" w:bidi="ar"/>
              </w:rPr>
              <w:t>（提供相关证明材料）</w:t>
            </w:r>
          </w:p>
        </w:tc>
        <w:tc>
          <w:tcPr>
            <w:tcW w:w="722" w:type="dxa"/>
            <w:tcBorders>
              <w:tl2br w:val="nil"/>
              <w:tr2bl w:val="nil"/>
            </w:tcBorders>
            <w:shd w:val="clear" w:color="auto" w:fill="auto"/>
            <w:noWrap/>
            <w:vAlign w:val="center"/>
          </w:tcPr>
          <w:p w14:paraId="3DBB127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655" w:type="dxa"/>
            <w:tcBorders>
              <w:tl2br w:val="nil"/>
              <w:tr2bl w:val="nil"/>
            </w:tcBorders>
            <w:shd w:val="clear" w:color="auto" w:fill="auto"/>
            <w:noWrap/>
            <w:vAlign w:val="center"/>
          </w:tcPr>
          <w:p w14:paraId="05F06C6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4E336A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5D6000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w:t>
            </w:r>
          </w:p>
        </w:tc>
        <w:tc>
          <w:tcPr>
            <w:tcW w:w="980" w:type="dxa"/>
            <w:vMerge w:val="continue"/>
            <w:tcBorders>
              <w:tl2br w:val="nil"/>
              <w:tr2bl w:val="nil"/>
            </w:tcBorders>
            <w:shd w:val="clear" w:color="auto" w:fill="auto"/>
            <w:vAlign w:val="center"/>
          </w:tcPr>
          <w:p w14:paraId="0820BE10">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03BEBE4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中间件</w:t>
            </w:r>
          </w:p>
        </w:tc>
        <w:tc>
          <w:tcPr>
            <w:tcW w:w="6261" w:type="dxa"/>
            <w:tcBorders>
              <w:tl2br w:val="nil"/>
              <w:tr2bl w:val="nil"/>
            </w:tcBorders>
            <w:shd w:val="clear" w:color="auto" w:fill="auto"/>
            <w:vAlign w:val="center"/>
          </w:tcPr>
          <w:p w14:paraId="79ABF8C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1.产品进入安可替代工程适配产品清单名录</w:t>
            </w:r>
            <w:r>
              <w:rPr>
                <w:rFonts w:hint="eastAsia" w:ascii="宋体" w:hAnsi="宋体" w:eastAsia="宋体" w:cs="宋体"/>
                <w:b/>
                <w:bCs/>
                <w:i w:val="0"/>
                <w:iCs w:val="0"/>
                <w:snapToGrid w:val="0"/>
                <w:color w:val="auto"/>
                <w:kern w:val="0"/>
                <w:sz w:val="21"/>
                <w:szCs w:val="21"/>
                <w:highlight w:val="none"/>
                <w:u w:val="none"/>
                <w:lang w:val="en-US" w:eastAsia="zh-CN" w:bidi="ar"/>
              </w:rPr>
              <w:t>（提供相关证明材料）；</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2.产品遵循JavaEE标准规范，通过JavaEE 7，JavaEE 8  Jakarta EE 9标准认证，提供官网网址及网页截图。</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3.确保产品安全可靠，规避中间件产品的安全漏洞威胁，通过第三方测试机构测试；</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4.产品符合自主可控要求，为产品制造商自主研发产品，非开源产品改造；</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5.具备web、EJB应用、应用服务器集群等基本功能，提供类库管理、集成环境管理、图形化监控、JVM配置等功能，支持数据库连接池、多数据源管理。</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6.支持线程池分组：定义业务的重要性，分为普通和重要，由不同线程池分开处理重要业务和普通业务的请求，保障重要业务的高性能和稳定性，并取得以上功能专利。提供官方网站网址及网页截图。</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7.提供完善的集群技术与 Session 管理，内置分布式会话管理方案，支持 Sesison 数据配置接入分布式缓存实现 Sesison 数据的独立管理；</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支持EJB集群，EJB集群需要支持多种负载管理算法(支持简单轮转、加权轮转、随机、备份等负载均衡策略等)和故障EJB自动隔离功能；EJB容器支持除了iiop之外的自主序列化协议，并取得以上功能专利，提供官方网站网址、网页截图。</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9.支持通过界面进行补丁升级、回退功能。提供界面截图；</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10.支持中间件自动化安装，启停，卸载功能，提供中间件内存、数据库连接池批量修改；支持定制中间件弹性伸缩的策略，当中间件实例故障时，支持故障中间件实例隔离与恢复。</w:t>
            </w:r>
          </w:p>
        </w:tc>
        <w:tc>
          <w:tcPr>
            <w:tcW w:w="722" w:type="dxa"/>
            <w:tcBorders>
              <w:tl2br w:val="nil"/>
              <w:tr2bl w:val="nil"/>
            </w:tcBorders>
            <w:shd w:val="clear" w:color="auto" w:fill="auto"/>
            <w:noWrap/>
            <w:vAlign w:val="center"/>
          </w:tcPr>
          <w:p w14:paraId="77094A0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655" w:type="dxa"/>
            <w:tcBorders>
              <w:tl2br w:val="nil"/>
              <w:tr2bl w:val="nil"/>
            </w:tcBorders>
            <w:shd w:val="clear" w:color="auto" w:fill="auto"/>
            <w:noWrap/>
            <w:vAlign w:val="center"/>
          </w:tcPr>
          <w:p w14:paraId="2CC0FB1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47B33E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9A95B8D">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5</w:t>
            </w:r>
          </w:p>
        </w:tc>
        <w:tc>
          <w:tcPr>
            <w:tcW w:w="980" w:type="dxa"/>
            <w:vMerge w:val="continue"/>
            <w:tcBorders>
              <w:tl2br w:val="nil"/>
              <w:tr2bl w:val="nil"/>
            </w:tcBorders>
            <w:shd w:val="clear" w:color="auto" w:fill="auto"/>
            <w:vAlign w:val="center"/>
          </w:tcPr>
          <w:p w14:paraId="0AF6BF9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549CC01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操作终端</w:t>
            </w:r>
          </w:p>
        </w:tc>
        <w:tc>
          <w:tcPr>
            <w:tcW w:w="6261" w:type="dxa"/>
            <w:tcBorders>
              <w:tl2br w:val="nil"/>
              <w:tr2bl w:val="nil"/>
            </w:tcBorders>
            <w:shd w:val="clear" w:color="auto" w:fill="auto"/>
            <w:vAlign w:val="center"/>
          </w:tcPr>
          <w:p w14:paraId="52A232C9">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8核2.7GHZ国产化处理器，内存容量：≥16GB，硬盘容量：≥512GB SSD+1TB HDD，2GB独立显卡，配备国产化操作系统，配备≥23.8英寸显示屏。</w:t>
            </w:r>
          </w:p>
        </w:tc>
        <w:tc>
          <w:tcPr>
            <w:tcW w:w="722" w:type="dxa"/>
            <w:tcBorders>
              <w:tl2br w:val="nil"/>
              <w:tr2bl w:val="nil"/>
            </w:tcBorders>
            <w:shd w:val="clear" w:color="auto" w:fill="auto"/>
            <w:noWrap/>
            <w:vAlign w:val="center"/>
          </w:tcPr>
          <w:p w14:paraId="7C1CA44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4</w:t>
            </w:r>
          </w:p>
        </w:tc>
        <w:tc>
          <w:tcPr>
            <w:tcW w:w="655" w:type="dxa"/>
            <w:tcBorders>
              <w:tl2br w:val="nil"/>
              <w:tr2bl w:val="nil"/>
            </w:tcBorders>
            <w:shd w:val="clear" w:color="auto" w:fill="auto"/>
            <w:noWrap/>
            <w:vAlign w:val="center"/>
          </w:tcPr>
          <w:p w14:paraId="1628AB4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台</w:t>
            </w:r>
          </w:p>
        </w:tc>
      </w:tr>
      <w:tr w14:paraId="1CA1F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66C7C44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w:t>
            </w:r>
          </w:p>
        </w:tc>
        <w:tc>
          <w:tcPr>
            <w:tcW w:w="980" w:type="dxa"/>
            <w:vMerge w:val="continue"/>
            <w:tcBorders>
              <w:tl2br w:val="nil"/>
              <w:tr2bl w:val="nil"/>
            </w:tcBorders>
            <w:shd w:val="clear" w:color="auto" w:fill="auto"/>
            <w:vAlign w:val="center"/>
          </w:tcPr>
          <w:p w14:paraId="2C879465">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75DED10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超融合交换机</w:t>
            </w:r>
          </w:p>
        </w:tc>
        <w:tc>
          <w:tcPr>
            <w:tcW w:w="6261" w:type="dxa"/>
            <w:tcBorders>
              <w:tl2br w:val="nil"/>
              <w:tr2bl w:val="nil"/>
            </w:tcBorders>
            <w:shd w:val="clear" w:color="auto" w:fill="auto"/>
            <w:vAlign w:val="center"/>
          </w:tcPr>
          <w:p w14:paraId="3811F475">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1.交换能力：国产以太网交换芯片，交换容量≥2.56Tbps，包转发率≥1260Mpps，以官网或彩页最小值为准；</w:t>
            </w:r>
          </w:p>
          <w:p w14:paraId="69BB8808">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2.接口要求：≥16个1000Base-T电口，≥20个1G/10G SFP+ 端口，≥8个10G/25G SFP28端口，2个扩展插槽；</w:t>
            </w:r>
          </w:p>
          <w:p w14:paraId="64781028">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3.最大MAC地址≥144K，路由表≥48K；</w:t>
            </w:r>
          </w:p>
          <w:p w14:paraId="67ABC3C2">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4.可靠性：支持 VPC 或 M-LAG 技术，实现多台设备间的链路聚合；</w:t>
            </w:r>
          </w:p>
          <w:p w14:paraId="398957EE">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5.BGP协议支持MD5加密，BGP协议支持SM3国密加密；</w:t>
            </w:r>
          </w:p>
          <w:p w14:paraId="39EF167D">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6.支持M-LAG+VARP组合使用，构建双活系统，满足三层负载均衡转发要求；</w:t>
            </w:r>
          </w:p>
          <w:p w14:paraId="11FE0339">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7.支持IP SLA，与静态路由结合，可用于测量网络性能；</w:t>
            </w:r>
          </w:p>
          <w:p w14:paraId="1626CA1E">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8.支持VxLAN二层/三层网关，支持VXLAN tunnel，支持VXLAN 路由，支持BGP EVPN；</w:t>
            </w:r>
          </w:p>
          <w:p w14:paraId="3C076A02">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9.实配可热插拔的冗余电源，实现1:1冗余；最大功耗≤100W，提供证明材料；</w:t>
            </w:r>
          </w:p>
          <w:p w14:paraId="6DE00AD6">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10.配置12个10G多模光模块，一条5米25G SFP+有源光缆；</w:t>
            </w:r>
          </w:p>
          <w:p w14:paraId="683D96C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11.提供3年原厂质保服务。</w:t>
            </w:r>
          </w:p>
        </w:tc>
        <w:tc>
          <w:tcPr>
            <w:tcW w:w="722" w:type="dxa"/>
            <w:tcBorders>
              <w:tl2br w:val="nil"/>
              <w:tr2bl w:val="nil"/>
            </w:tcBorders>
            <w:shd w:val="clear" w:color="auto" w:fill="auto"/>
            <w:noWrap/>
            <w:vAlign w:val="center"/>
          </w:tcPr>
          <w:p w14:paraId="23C6DEC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2</w:t>
            </w:r>
          </w:p>
        </w:tc>
        <w:tc>
          <w:tcPr>
            <w:tcW w:w="655" w:type="dxa"/>
            <w:tcBorders>
              <w:tl2br w:val="nil"/>
              <w:tr2bl w:val="nil"/>
            </w:tcBorders>
            <w:shd w:val="clear" w:color="auto" w:fill="auto"/>
            <w:noWrap/>
            <w:vAlign w:val="center"/>
          </w:tcPr>
          <w:p w14:paraId="51BED98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台</w:t>
            </w:r>
          </w:p>
        </w:tc>
      </w:tr>
      <w:tr w14:paraId="7CC0E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CE0A4C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7</w:t>
            </w:r>
          </w:p>
        </w:tc>
        <w:tc>
          <w:tcPr>
            <w:tcW w:w="980" w:type="dxa"/>
            <w:vMerge w:val="restart"/>
            <w:tcBorders>
              <w:tl2br w:val="nil"/>
              <w:tr2bl w:val="nil"/>
            </w:tcBorders>
            <w:shd w:val="clear" w:color="auto" w:fill="auto"/>
            <w:vAlign w:val="center"/>
          </w:tcPr>
          <w:p w14:paraId="14358DB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网络安全系统</w:t>
            </w:r>
            <w:r>
              <w:rPr>
                <w:rFonts w:hint="eastAsia" w:ascii="宋体" w:hAnsi="宋体" w:eastAsia="宋体" w:cs="宋体"/>
                <w:i w:val="0"/>
                <w:iCs w:val="0"/>
                <w:snapToGrid w:val="0"/>
                <w:color w:val="auto"/>
                <w:kern w:val="0"/>
                <w:sz w:val="20"/>
                <w:szCs w:val="20"/>
                <w:highlight w:val="none"/>
                <w:u w:val="none"/>
                <w:lang w:val="en-US" w:eastAsia="zh-CN" w:bidi="ar"/>
              </w:rPr>
              <w:t>（国产化）</w:t>
            </w:r>
          </w:p>
        </w:tc>
        <w:tc>
          <w:tcPr>
            <w:tcW w:w="1118" w:type="dxa"/>
            <w:tcBorders>
              <w:tl2br w:val="nil"/>
              <w:tr2bl w:val="nil"/>
            </w:tcBorders>
            <w:shd w:val="clear" w:color="auto" w:fill="auto"/>
            <w:noWrap/>
            <w:vAlign w:val="center"/>
          </w:tcPr>
          <w:p w14:paraId="77FFAB6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防火墙系统</w:t>
            </w:r>
          </w:p>
        </w:tc>
        <w:tc>
          <w:tcPr>
            <w:tcW w:w="6261" w:type="dxa"/>
            <w:tcBorders>
              <w:tl2br w:val="nil"/>
              <w:tr2bl w:val="nil"/>
            </w:tcBorders>
            <w:shd w:val="clear" w:color="auto" w:fill="auto"/>
            <w:vAlign w:val="center"/>
          </w:tcPr>
          <w:p w14:paraId="5ED2C446">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1、标准1U设备；国产化CPU及操作系统，≥6个10/100/1000M Base-TX；≥2个千兆combo口，≥4个万兆光口，≥1个扩展槽位；冗余电源，≥128GSSD硬盘；默认支持IPSec VPN和SSL VPN模块（200个并发用户）；开通AV模块，IPS模块，上网行为管理模块，三年特征库升级服务；质保期三年。</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2、整机网络层吞吐量≥6G，整机应用层吞吐量≥3.2G，最大并发≥400万，每秒新建≥4万；</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3、支持三操作系统，可在Web界面完成系统备份、系统恢复、指定启动系统操作；</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3、支持静态路由，动态路由（OSPF、RIP、BGP、ISIS等），VLAN间路由，单臂路由，组播路由等；支持基于应用的策略路由，支持基于 WEB地址URL的策略路由，支持基于文件类型的策略路由；</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4、支持ISP路由，支持联通、电信、教育网、移动等ISP服务商地址列表，列表可导出及导入，可通过Web界面选择不同的ISP服务商实现快速切换；</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5、支持一体化安全策略配置，可以通过一条策略实现用户认证、IPS、AV、URL过滤、协议控制、流量控制、并发、新建限制、垃圾邮件过滤、审计等功能,简化用户管理；</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6、支持数据防泄密功能，可针对SMTP协议主题、正文的敏感信息检测，支持对HTTP协议POST数据的消息体的敏感信息检测，支持对FTP协议上传下载文件内容的敏感信息检测；</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7、内置IPS特征库，特征规则数量不少于9500条，特征库可按分组进行管理。支持扩展特征库，提高IPS的检测能力；</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8、支持HTTP,SMTP,FTP,POP3,IMAP,FTP,WEBMAIL多种应用协议下的病毒防护，支持自定义非标准端口下应用协议的病毒防护；支持应用协议自识别，防止更改协议端口从而绕过病毒查杀的事件发生；</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9、支持隔离病毒源地址，防止病毒源主机访问内部网络，提高网络整体安全性（需提供界面截图并盖公章）；</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10、支持工业协议控制，包含modbus、opc等，支持协议的完整性检查，支持协议分片的控制，支持工业动态协议的NAT和访问控制；</w:t>
            </w:r>
          </w:p>
        </w:tc>
        <w:tc>
          <w:tcPr>
            <w:tcW w:w="722" w:type="dxa"/>
            <w:tcBorders>
              <w:tl2br w:val="nil"/>
              <w:tr2bl w:val="nil"/>
            </w:tcBorders>
            <w:shd w:val="clear" w:color="auto" w:fill="auto"/>
            <w:noWrap/>
            <w:vAlign w:val="center"/>
          </w:tcPr>
          <w:p w14:paraId="6E30485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0816F21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6F4273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783BF38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8</w:t>
            </w:r>
          </w:p>
        </w:tc>
        <w:tc>
          <w:tcPr>
            <w:tcW w:w="980" w:type="dxa"/>
            <w:vMerge w:val="continue"/>
            <w:tcBorders>
              <w:tl2br w:val="nil"/>
              <w:tr2bl w:val="nil"/>
            </w:tcBorders>
            <w:shd w:val="clear" w:color="auto" w:fill="auto"/>
            <w:vAlign w:val="center"/>
          </w:tcPr>
          <w:p w14:paraId="70283C6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47C24F6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杀毒系统</w:t>
            </w:r>
          </w:p>
        </w:tc>
        <w:tc>
          <w:tcPr>
            <w:tcW w:w="6261" w:type="dxa"/>
            <w:tcBorders>
              <w:tl2br w:val="nil"/>
              <w:tr2bl w:val="nil"/>
            </w:tcBorders>
            <w:shd w:val="clear" w:color="auto" w:fill="auto"/>
            <w:vAlign w:val="center"/>
          </w:tcPr>
          <w:p w14:paraId="4A76A4C4">
            <w:pPr>
              <w:keepNext w:val="0"/>
              <w:keepLines w:val="0"/>
              <w:widowControl/>
              <w:numPr>
                <w:ilvl w:val="0"/>
                <w:numId w:val="8"/>
              </w:numPr>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配置网络版控制中心、配置≥10个Linux服务器（国产化）客户端、≥100个国产化终端操作系统客户端授权，包括资产管理、运维管理、病毒查杀、外设管理、非法外联监控、网络管理、终端响应、日志管理等功能，三年病毒库升级；</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▲2、产品应具备多维度的态势大屏，至少包括资产态势大屏、运维态势大屏、威胁态势大屏。展示内容至少包括威胁告警统计、攻击阶段统计、威胁等级统计、漏洞信息 Top5、终端威胁告警Top5、最新告警事件、威胁态势评分等信息</w:t>
            </w:r>
            <w:r>
              <w:rPr>
                <w:rFonts w:hint="eastAsia" w:ascii="宋体" w:hAnsi="宋体" w:eastAsia="宋体" w:cs="宋体"/>
                <w:b/>
                <w:bCs/>
                <w:i w:val="0"/>
                <w:iCs w:val="0"/>
                <w:snapToGrid w:val="0"/>
                <w:color w:val="auto"/>
                <w:kern w:val="0"/>
                <w:sz w:val="21"/>
                <w:szCs w:val="21"/>
                <w:highlight w:val="none"/>
                <w:u w:val="none"/>
                <w:lang w:val="en-US" w:eastAsia="zh-CN" w:bidi="ar"/>
              </w:rPr>
              <w:t>（需提供相关证明材料）；</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产品应具备对全网资产进行统一管理的能力，包括资产运维、资产清点，资产发现等。终端运维至少包括对终端进行关闭、重启、锁屏、结束进程、断开网络、远程协助等操作；资产清点至少包括数据库、中间件、环境变量、内核模块、共享目录、Web应用、Web站点、安装包、证书等资产信息；</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4、资产发现需支持通过ARP、PING、NMAP三种方式发现未安装客户端的资产；</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产品应具备对全网资产进行一键风险评估的能力，可一键完成漏洞风险、合规检查、弱密码检查、病毒查杀、Webshell检测、内存马检测、反弹shell等体检项目；并根据终端威胁风险情况进行失陷终端分析、勒索风险评估、全网威胁统计、泄露防护统计等；全网威胁统计内容至少包括攻击源分析和受攻击资产分分析；</w:t>
            </w:r>
          </w:p>
          <w:p w14:paraId="1A844DFC">
            <w:pPr>
              <w:keepNext w:val="0"/>
              <w:keepLines w:val="0"/>
              <w:widowControl/>
              <w:numPr>
                <w:ilvl w:val="-1"/>
                <w:numId w:val="0"/>
              </w:numPr>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6、产品应具备病毒查杀能力，可自行选择查杀效率、查杀位置、查杀引擎、处置方式等，并且应直观展示已处理和未处理的病毒数量，展示内容应至少包括已处理/未处理的全病毒数量、已处理/未处理的勒索病毒数量、已处理/未处理的挖矿病毒数量、已处理/未处理的蠕虫病毒数量；同时，针对Windows系统，产品应具备勒索病毒专项防护能力，包括勒索诱捕、文件保险箱、数据备份等，实时检测勒索病毒，防止勒索病毒入侵；</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支持开启主动防御，支持实时检测病毒入侵，支持选择实时防护引擎、扫描文件阈值，支持锁定设置项，防止客户端用户更改配置，支持开启系统关键点防护、注册表防护、驱动加载防护、程序注入防护、U盘防护、进程防护、文件监控；</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8、支持以列表方式展示入侵检测事件的信息，包括事件等级、事件类型、影响资产、在线状态、发生次数、处置状态、数据范围、最近发现时间；</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9、支持以列表方式展示事件等级、爆破应用、攻击来源、爆破结果、影响资产、在线状态、发生次数、处置状态、数据范围、最近发现时间；</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10、支持软件分发及补丁分发功能，支持补丁分发P2P机制，自动从已下载补丁的终端上下载补丁，分担服务器压力，同时根据终端带宽情况配置P2P节点机等待生效时间优化P2P的配置；</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11、支持对终端的非法外联行为进行监控和告警，一旦发现终端发生非法外联行为，即可根据设定动作进行响应，直至非法外联行为中止后才会解除；</w:t>
            </w:r>
          </w:p>
        </w:tc>
        <w:tc>
          <w:tcPr>
            <w:tcW w:w="722" w:type="dxa"/>
            <w:tcBorders>
              <w:tl2br w:val="nil"/>
              <w:tr2bl w:val="nil"/>
            </w:tcBorders>
            <w:shd w:val="clear" w:color="auto" w:fill="auto"/>
            <w:noWrap/>
            <w:vAlign w:val="center"/>
          </w:tcPr>
          <w:p w14:paraId="20F8386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2B518692">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53A84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7E569B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9</w:t>
            </w:r>
          </w:p>
        </w:tc>
        <w:tc>
          <w:tcPr>
            <w:tcW w:w="980" w:type="dxa"/>
            <w:vMerge w:val="continue"/>
            <w:tcBorders>
              <w:tl2br w:val="nil"/>
              <w:tr2bl w:val="nil"/>
            </w:tcBorders>
            <w:shd w:val="clear" w:color="auto" w:fill="auto"/>
            <w:vAlign w:val="center"/>
          </w:tcPr>
          <w:p w14:paraId="11FF79D4">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63C5EB1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日志审计</w:t>
            </w:r>
          </w:p>
        </w:tc>
        <w:tc>
          <w:tcPr>
            <w:tcW w:w="6261" w:type="dxa"/>
            <w:tcBorders>
              <w:tl2br w:val="nil"/>
              <w:tr2bl w:val="nil"/>
            </w:tcBorders>
            <w:shd w:val="clear" w:color="auto" w:fill="auto"/>
            <w:vAlign w:val="center"/>
          </w:tcPr>
          <w:p w14:paraId="351C2A97">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1、1U标准机箱，国产化CPU及操作系统，≥6个千兆电口，≥4个千兆光口，≥2个扩展插槽，1个Console接口，2个USB接口，≥128GmSATA +4TB企业级硬盘，提供≥三年硬件维保服务。</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2、综合日志处理性能≥4000EPS，日志采集处理均值≥8000EPS，配置≥50个审计对象授权；</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3、支持SNMP Trap、Syslog、ODBC\JDBC、文件\文件夹、WMI、FTP、SFTP、SMB、NetBIOS、OPSEC等多种方式完成日志收集功能；</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4、支持日志范式化，实现对多元异构日志格式的进行统一描述和处理；支持为未解析日志提供一种简洁在线编辑解析文件视图，做到精准解析；</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5、支持全智能范式化解析模式,支持解析字段的编辑调整(如: 修改字段名称) ；</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6、支持查看事件详情，显示日志详情和原始消息；支持以日志详情中的任意字段为筛选条件，快速以该字段为条件对日志进行统计分析；</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7、支持过滤条件和高级搜索模式方式查询，其中过滤条件查询可以对任意日志字段设置禁用、取反等操作；高级查询模式查询需支持单一条件和组合条件复杂查询；</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产品能够通过主被动结合的手段，实时不间断地采集用户网络中各种不同厂商的安全设备、网络设备、主机、操作系统、数据库以及各种应用系统产生的海量日志信息，并将这些信息汇集到审计中心，进行集中化存储、备份、查询、审计、告警、响应，并出具丰富的报表报告，获悉全网的整体安全运行情况，实现全生命周期的日志管理；</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▲9、支持对日志提供在线/离线地图定位,支持源IP与目的IP分布走向的视网膜图展示,支持事件拓扑分析用于描述整个事件的访问关系及过程,支持多维分析；</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▲10、支持基于规则的关联分析引擎,能够提供逻辑关联、统计关联的关联分折能力,关联规则支持规则嵌套和引用,支持多规则联合</w:t>
            </w:r>
            <w:r>
              <w:rPr>
                <w:rFonts w:hint="eastAsia" w:ascii="宋体" w:hAnsi="宋体" w:eastAsia="宋体" w:cs="宋体"/>
                <w:b/>
                <w:bCs/>
                <w:i w:val="0"/>
                <w:iCs w:val="0"/>
                <w:snapToGrid w:val="0"/>
                <w:color w:val="auto"/>
                <w:kern w:val="0"/>
                <w:sz w:val="21"/>
                <w:szCs w:val="21"/>
                <w:highlight w:val="none"/>
                <w:u w:val="none"/>
                <w:lang w:val="en-US" w:eastAsia="zh-CN" w:bidi="ar"/>
              </w:rPr>
              <w:t>（需提供相关证明材料）</w:t>
            </w:r>
            <w:r>
              <w:rPr>
                <w:rFonts w:hint="eastAsia" w:ascii="宋体" w:hAnsi="宋体" w:eastAsia="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11、支持安全监测场景，至少包含恶意代码、可疑控制、入侵利用、违规行为、嗅探行为、关联审计等；</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12、支持告警智能合并模式；支持按照告警名称、告警分类、告警等级、设备地址、设备类型合并条件来智能合并；</w:t>
            </w:r>
          </w:p>
        </w:tc>
        <w:tc>
          <w:tcPr>
            <w:tcW w:w="722" w:type="dxa"/>
            <w:tcBorders>
              <w:tl2br w:val="nil"/>
              <w:tr2bl w:val="nil"/>
            </w:tcBorders>
            <w:shd w:val="clear" w:color="auto" w:fill="auto"/>
            <w:noWrap/>
            <w:vAlign w:val="center"/>
          </w:tcPr>
          <w:p w14:paraId="0A02C1E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1AAF872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68319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17FD3AF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10</w:t>
            </w:r>
          </w:p>
        </w:tc>
        <w:tc>
          <w:tcPr>
            <w:tcW w:w="980" w:type="dxa"/>
            <w:vMerge w:val="continue"/>
            <w:tcBorders>
              <w:tl2br w:val="nil"/>
              <w:tr2bl w:val="nil"/>
            </w:tcBorders>
            <w:shd w:val="clear" w:color="auto" w:fill="auto"/>
            <w:vAlign w:val="center"/>
          </w:tcPr>
          <w:p w14:paraId="61F4FBF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516A7E2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堡垒机</w:t>
            </w:r>
          </w:p>
        </w:tc>
        <w:tc>
          <w:tcPr>
            <w:tcW w:w="6261" w:type="dxa"/>
            <w:tcBorders>
              <w:tl2br w:val="nil"/>
              <w:tr2bl w:val="nil"/>
            </w:tcBorders>
            <w:shd w:val="clear" w:color="auto" w:fill="auto"/>
            <w:vAlign w:val="center"/>
          </w:tcPr>
          <w:p w14:paraId="3735030A">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1、1U机架式软硬一体设备，国产化CPU及操作系统，≥6个千兆电口，≥4个千兆光口，1个Console管理口，存储容量≥4TB，≥3个扩展槽；</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2、最大支持≥800路字符会话或≥200路图形会话并发，配置≥50个资源授权；</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3、双因素认证：集成双因子认证功能，支持账号口令、动态口令卡、短信等多种认证方式；</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4、管理入口和运维入口分离，管理入口和运维入口分别使用不同的登录端口，针对运维人员只需开放运维端口，实现管理配置和运维操作分离；</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5、支持用户管理，包括添加、删除、启用、禁用、移动、修改功能，支持用户帐号的批量导入导出功能；</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6、支持资源管理功能，包括添加、删除、启用、禁用、移动、修改功能，支持资源组管理功能，包括添加、删除、修改功能；</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7、支持基于角色进行授权访问控制RBAC（Role-Based Access Control），包括系统管理员根据不同角色进行管理工作、运维人员根据不同角色进行运维工作，从而满足最小特权原则、责任分离原则和数据抽象原则；</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8、支持数据库协议自动改密，改密类型支持：Oracle、PostgreSQL、MySql、DB2、Informix 、SYBASE，Mssql(2005,2008,2012)（需提供界面截图并盖公章）；</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9、支持WEB界面上传改密脚本，通过自定义脚本模式实现新增改密类型，满足多种改密需求；</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10、支持用户账号与资源账号的僵尸、幽灵、孤儿帐号稽核功能，并可以导出异常账号稽核情况报告，方便管理员统计异常账号情况；</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11、运维用户可以设置自动运维操作定时/周期执行，实现网络设备（华为、思科、h3c）配置的自动备份、供用户查看、下载；</w:t>
            </w:r>
          </w:p>
        </w:tc>
        <w:tc>
          <w:tcPr>
            <w:tcW w:w="722" w:type="dxa"/>
            <w:tcBorders>
              <w:tl2br w:val="nil"/>
              <w:tr2bl w:val="nil"/>
            </w:tcBorders>
            <w:shd w:val="clear" w:color="auto" w:fill="auto"/>
            <w:noWrap/>
            <w:vAlign w:val="center"/>
          </w:tcPr>
          <w:p w14:paraId="55C8D7A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033EC45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7E946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423A0D8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w:t>
            </w:r>
          </w:p>
        </w:tc>
        <w:tc>
          <w:tcPr>
            <w:tcW w:w="980" w:type="dxa"/>
            <w:vMerge w:val="continue"/>
            <w:tcBorders>
              <w:tl2br w:val="nil"/>
              <w:tr2bl w:val="nil"/>
            </w:tcBorders>
            <w:shd w:val="clear" w:color="auto" w:fill="auto"/>
            <w:vAlign w:val="center"/>
          </w:tcPr>
          <w:p w14:paraId="5A420F39">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69D2229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数据库审计</w:t>
            </w:r>
          </w:p>
        </w:tc>
        <w:tc>
          <w:tcPr>
            <w:tcW w:w="6261" w:type="dxa"/>
            <w:tcBorders>
              <w:tl2br w:val="nil"/>
              <w:tr2bl w:val="nil"/>
            </w:tcBorders>
            <w:shd w:val="clear" w:color="auto" w:fill="auto"/>
            <w:vAlign w:val="center"/>
          </w:tcPr>
          <w:p w14:paraId="675E42CC">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1、1U上架专用设备，国产化CPU及操作系统，≥6个电口（含1个管理口，1个HA口），≥4个千兆SFP接口插槽（不含光收发模块），≥3个接口扩展槽，1个RJ45串口，硬盘≥4T，配置≥13个被审计数据库服务数；</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2、最大硬件吞吐量：≥4Gbps，可审计流量≥300Mbps；每秒入库速度：≥15000；</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2、支持Oracle、PostgreSQL、SQL Server、DB2、Informix、Sybase、MySQL、Teradata、CACHE、marialDB、Greenplum等主流数据库的审计；支持国产数据库人大金仓、达梦、南大通用、神通、高斯、瀚高、巨杉、OceanBase等数据库的防护。</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支持审计访问数据库的时间，源/目的IP，源/目的端口，源/目的mac，资源账号，数据库名，规则名称，表名，命令，SQL语句、级别，响应时间、错误码，影响行数，连接方式，客户端程序名，模式名，客户端用户，SQL执行结果；</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4、系统支持数据库中存储过程自动学习，可学习存储过程中涉及的操作并与审计事件中的存储过程名进行关联，方便确认存储过程是否存在风险；</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5、支持对邮件协议的审计，包括smtp、pop3、imap协议，能够审计发件人、收件人、邮件主题、时间、内容等；</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6、支持API（HTTP/HTTPS）自学习业务操作特征，并生成业务URL树，针对关注的业务系统可细粒度配置审计规则；</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7、支持自动建立数据库操作行为基线，数据库操作行为基线包括数据库账号、操作类型（SQL模板）等行为特征，对超出数据库操作行为基线的操作可自动识别，并及时告警；</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8、可审计记录FTP、邮件、HTTP等方式传输的文件（包括文本、Word、Excel等格式），并且可对审计到的文件进行查询和下载；</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9、支持基于网络流量的资产发现功能，能够发现数据库表和资源账号，其中数据库表的自动发现支持表名、数据库名、发现次数和发现日期，资源账号自动发现支持在线天数、首次发现日期、末次发现日期；</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支持基于网络流量的服务器自识别功能，能够发现流量中存在的协议类型、IP地址、端口、版本、流量、识别方式、识别时间等信息，同时可配置自动开启全审计策略，无需人工干预，即可快速添加资产进行审计；</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11、数据库审计支持用户数据库中敏感信息的自动发现，可定位敏感数据存储的服务器、库名、表名、列名，并形成针对敏感信息的审计规则，支持对敏感信息敏感级别进行定义，各级别可对应不同风险值，方便对敏感数据泄露进行风险进行评估；</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12、支持基于数据库访问时间、源/目的IP、数据库名、数据库表名、字段值、数据库登陆账号、数据库操作命令、SQL语句关键字、SQL响应时间、数据库返回行数、客户端程序、客户端用户、级别、数据库返回信息等不低于36种查询条件，其中支持数据库返回信息实时说明，帮助管理员快速对返回信息进行识别；</w:t>
            </w:r>
          </w:p>
        </w:tc>
        <w:tc>
          <w:tcPr>
            <w:tcW w:w="722" w:type="dxa"/>
            <w:tcBorders>
              <w:tl2br w:val="nil"/>
              <w:tr2bl w:val="nil"/>
            </w:tcBorders>
            <w:shd w:val="clear" w:color="auto" w:fill="auto"/>
            <w:noWrap/>
            <w:vAlign w:val="center"/>
          </w:tcPr>
          <w:p w14:paraId="776E6A9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61E771F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57DD09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74F26B0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12</w:t>
            </w:r>
          </w:p>
        </w:tc>
        <w:tc>
          <w:tcPr>
            <w:tcW w:w="980" w:type="dxa"/>
            <w:vMerge w:val="continue"/>
            <w:tcBorders>
              <w:tl2br w:val="nil"/>
              <w:tr2bl w:val="nil"/>
            </w:tcBorders>
            <w:shd w:val="clear" w:color="auto" w:fill="auto"/>
            <w:vAlign w:val="center"/>
          </w:tcPr>
          <w:p w14:paraId="5396544F">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637B2775">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漏洞扫描</w:t>
            </w:r>
          </w:p>
        </w:tc>
        <w:tc>
          <w:tcPr>
            <w:tcW w:w="6261" w:type="dxa"/>
            <w:tcBorders>
              <w:tl2br w:val="nil"/>
              <w:tr2bl w:val="nil"/>
            </w:tcBorders>
            <w:shd w:val="clear" w:color="auto" w:fill="auto"/>
            <w:vAlign w:val="center"/>
          </w:tcPr>
          <w:p w14:paraId="2E0D2A78">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1、1U设备，国产化Cpu及操作系统，≥128 SSD+1T SATA，16G内存；≥6个10/100/1000M Base-TX接口、≥4个千兆SFP接口，1个RJ45 Console口，2个USB接口，另具备2个接口扩展插槽，自带液晶屏，冗余电源；</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主机漏扫、配置核查、Web漏扫功能开通。主机漏扫和基线核查可扫描IP地址总数无限制，单任务最大可扫描≥100IP地址；主机漏扫并发扫描≥100IP地址；基线核查可核查Windows系列设备类型；Web漏扫可扫描子域名或IP总数量为≥5个，Web漏扫并发为≥5个子域名或IP；含主机漏扫、配置核查、Web漏扫3个模块三年漏洞库升级服务；</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3、漏洞规则库不少于 400000个。漏洞库与CVE、CNCVE、CNNVD和BUGTRAQ等国际、国内标准兼容；</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4、扫描对象支持：主流操作系统、网络设备、云平台、大数据组件、容器等产品漏洞扫描；</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5、支持设置口令猜测参数，包括口令猜测时间、口令猜测次数和口令猜测间隔，间隔时间设置范围为0-1800秒；</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支持多种协议口令猜测，包括SMB、Snmp、Telnet、Pop3、SSH、Ftp、RDP、DB2、MySQL、Oracle、PostgreSQL、HighGo、MongoDB、UXDB、STDB、kingbase、RTSP、ActiveMQ、WebLogic、WebCAM、REDIS、SMTP等，允许外挂用户提供的用户名字典、密码字典和用户名密码组合字典（提供截图证明）</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7、支持口令文件解析方式进行口令猜解，可通过在线获取或上传密码文件方式进行获取目标主机弱口令信息；</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8、支持丰富的扫描任务参数设置，包括扫描方式、执行方式、执行时间段、任务模板、策略模板、插件超时时间、模糊扫描等；</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9、支持端口扫描策略设置，包含标准、常用、快速、全端口、自定义等多种策略；</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支持35种以上默认扫描策略模板，如自动模版匹配策略、完全扫描策略、常规安全策略、原理扫描策略、高风险漏洞扫描策略、信息收集策略、数据库类扫描策略、web服务扫描策略、windows主机扫描策略、网络设备扫描策略、虚拟化扫描策略、CMS系统扫描策略、视频图像类扫描策略、EXP扫描策略、危险扫描策略、高危可利用漏洞清单2024、内网高危漏洞列表、两高一弱漏洞扫描策略等，同时针对紧急爆发的重大漏洞提供应急响应策略模板；</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11、支持主机资产管理功能，资产信息包含资产名称、资产编号、IP地址、资产类型、系统类型、mac地址、等保级别、保护等级、资产价值、负责人、Banner信息、描述信息等，并可按需添加自定义属性；</w:t>
            </w:r>
          </w:p>
        </w:tc>
        <w:tc>
          <w:tcPr>
            <w:tcW w:w="722" w:type="dxa"/>
            <w:tcBorders>
              <w:tl2br w:val="nil"/>
              <w:tr2bl w:val="nil"/>
            </w:tcBorders>
            <w:shd w:val="clear" w:color="auto" w:fill="auto"/>
            <w:noWrap/>
            <w:vAlign w:val="center"/>
          </w:tcPr>
          <w:p w14:paraId="57B0739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780899A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750E50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5B16A4D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13</w:t>
            </w:r>
          </w:p>
        </w:tc>
        <w:tc>
          <w:tcPr>
            <w:tcW w:w="980" w:type="dxa"/>
            <w:vMerge w:val="continue"/>
            <w:tcBorders>
              <w:tl2br w:val="nil"/>
              <w:tr2bl w:val="nil"/>
            </w:tcBorders>
            <w:shd w:val="clear" w:color="auto" w:fill="auto"/>
            <w:vAlign w:val="center"/>
          </w:tcPr>
          <w:p w14:paraId="332396E7">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66A99649">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上网行为管理</w:t>
            </w:r>
          </w:p>
        </w:tc>
        <w:tc>
          <w:tcPr>
            <w:tcW w:w="6261" w:type="dxa"/>
            <w:tcBorders>
              <w:tl2br w:val="nil"/>
              <w:tr2bl w:val="nil"/>
            </w:tcBorders>
            <w:shd w:val="clear" w:color="auto" w:fill="auto"/>
            <w:vAlign w:val="center"/>
          </w:tcPr>
          <w:p w14:paraId="237E8D10">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1、标准1U设备，冗余电源，国产化CPU及操作系统，内置≥1T硬盘，≥10个千兆电口，≥4个光电复用接口，≥4个万兆光口，≥1扩展槽位；配置三年特征库升级服务和三年硬件维保；</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2、吞吐量≥9G，最大并发≥142万，每秒新建≥7.8万；适用于≥500M带宽接入网络。</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▲3、支持IPV6网络，ISP、策略路由，负载均衡，地址转换，动态域名服务，虚拟化，代理上网，网络引流，IPsecVPN\SSLVPN远程办公等功能</w:t>
            </w:r>
            <w:r>
              <w:rPr>
                <w:rFonts w:hint="eastAsia" w:ascii="宋体" w:hAnsi="宋体" w:eastAsia="宋体" w:cs="宋体"/>
                <w:b/>
                <w:bCs/>
                <w:i w:val="0"/>
                <w:iCs w:val="0"/>
                <w:snapToGrid w:val="0"/>
                <w:color w:val="auto"/>
                <w:kern w:val="0"/>
                <w:sz w:val="21"/>
                <w:szCs w:val="21"/>
                <w:highlight w:val="none"/>
                <w:u w:val="none"/>
                <w:lang w:val="en-US" w:eastAsia="zh-CN" w:bidi="ar"/>
              </w:rPr>
              <w:t>（需提供相关证明材料）</w:t>
            </w:r>
            <w:r>
              <w:rPr>
                <w:rFonts w:hint="eastAsia" w:ascii="宋体" w:hAnsi="宋体" w:eastAsia="宋体" w:cs="宋体"/>
                <w:i w:val="0"/>
                <w:iCs w:val="0"/>
                <w:snapToGrid w:val="0"/>
                <w:color w:val="auto"/>
                <w:kern w:val="0"/>
                <w:sz w:val="21"/>
                <w:szCs w:val="21"/>
                <w:highlight w:val="none"/>
                <w:u w:val="none"/>
                <w:lang w:val="en-US" w:eastAsia="zh-CN" w:bidi="ar"/>
              </w:rPr>
              <w:t>；</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支持HTTPS解密功能，支持页面及命令行配置解密策略，包括入接口、源地址对象、目的地址对象、https对象、域名排除等。支持针对HTTPS网站、HTTPS搜索记录、HTTPS邮箱等内容进行审计；HTTPS邮箱支持审计主题、内容、附件等；支持HTTPS域名库，预定义域名以及自定义域名；</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设备内置应用识别规则库，应用规则数至少33500条以上，支持超过15000种的应用，支持超过8500种的海外应用，移动应用至少2000多种，URL库至少4000万以上，并保持至少两个星期更新一次，保证应用识别的准确率；</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6、防翻墙管控，至少支持120+种翻墙代理软件的审计控制，可有效的阻止翻墙行为，并可独立展示翻墙行为代理服务器所属地域、用户、用户组、应用等排行；</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7、支持WEB Portal认证功能，支持本地认证、Radius认证、LDAP认证 和LDAP用户同步，支持对接IMC、SAM等常见AAA服务器，支持配置强制重新认证间隔，支持配置认证通过后重定向URL，要求本机自身支持短信认证功能；</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8、提供智能策略分析功能，支持策略命中分析、策略冗余分析、策略冲突检查，并可在WEB界面显示检测结果；支持实时和周期性对所有安全策略进行分析；</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9、支持针对PC端杀毒软件的安装情况、版本号、未更新天数进行检测，没有安装或不符合要求的不允许接入网络或者提示安装；</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10、支持杀毒功能，可对HTTP、FTP、POP3、SMTP、IMAP协议的病毒进行查杀；支持多种压缩文件的病毒查杀。压缩默认支持5层，最大20层；</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11、提供WEB防护功能，可对防盗链、CSRF攻击、CC攻击防护、网页防篡改等攻击行为进行防护；</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12、支持IPS功能，支持基于源、目的、规则集的入侵检测；支持针对WEB服务器防护，包括木马/后门、挖矿、病毒蠕虫、SQL注入、木马外联、间谍软件、工控攻击等；</w:t>
            </w:r>
          </w:p>
        </w:tc>
        <w:tc>
          <w:tcPr>
            <w:tcW w:w="722" w:type="dxa"/>
            <w:tcBorders>
              <w:tl2br w:val="nil"/>
              <w:tr2bl w:val="nil"/>
            </w:tcBorders>
            <w:shd w:val="clear" w:color="auto" w:fill="auto"/>
            <w:noWrap/>
            <w:vAlign w:val="center"/>
          </w:tcPr>
          <w:p w14:paraId="68D1F9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w:t>
            </w:r>
          </w:p>
        </w:tc>
        <w:tc>
          <w:tcPr>
            <w:tcW w:w="655" w:type="dxa"/>
            <w:tcBorders>
              <w:tl2br w:val="nil"/>
              <w:tr2bl w:val="nil"/>
            </w:tcBorders>
            <w:shd w:val="clear" w:color="auto" w:fill="auto"/>
            <w:noWrap/>
            <w:vAlign w:val="center"/>
          </w:tcPr>
          <w:p w14:paraId="10B7A90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套</w:t>
            </w:r>
          </w:p>
        </w:tc>
      </w:tr>
      <w:tr w14:paraId="78212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6C60EFB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14</w:t>
            </w:r>
          </w:p>
        </w:tc>
        <w:tc>
          <w:tcPr>
            <w:tcW w:w="980" w:type="dxa"/>
            <w:vMerge w:val="restart"/>
            <w:tcBorders>
              <w:tl2br w:val="nil"/>
              <w:tr2bl w:val="nil"/>
            </w:tcBorders>
            <w:shd w:val="clear" w:color="auto" w:fill="auto"/>
            <w:noWrap/>
            <w:vAlign w:val="center"/>
          </w:tcPr>
          <w:p w14:paraId="4DCD6BA4">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网络数据传输服务</w:t>
            </w:r>
          </w:p>
        </w:tc>
        <w:tc>
          <w:tcPr>
            <w:tcW w:w="1118" w:type="dxa"/>
            <w:tcBorders>
              <w:tl2br w:val="nil"/>
              <w:tr2bl w:val="nil"/>
            </w:tcBorders>
            <w:shd w:val="clear" w:color="auto" w:fill="auto"/>
            <w:noWrap/>
            <w:vAlign w:val="center"/>
          </w:tcPr>
          <w:p w14:paraId="4A7A7CF1">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数据传输</w:t>
            </w:r>
          </w:p>
        </w:tc>
        <w:tc>
          <w:tcPr>
            <w:tcW w:w="6261" w:type="dxa"/>
            <w:tcBorders>
              <w:tl2br w:val="nil"/>
              <w:tr2bl w:val="nil"/>
            </w:tcBorders>
            <w:shd w:val="clear" w:color="auto" w:fill="auto"/>
            <w:noWrap/>
            <w:vAlign w:val="center"/>
          </w:tcPr>
          <w:p w14:paraId="53E87DB2">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用于前端监测感知设备的数据传输，不低于130张，每月流量不低于1G/张。</w:t>
            </w:r>
          </w:p>
        </w:tc>
        <w:tc>
          <w:tcPr>
            <w:tcW w:w="722" w:type="dxa"/>
            <w:tcBorders>
              <w:tl2br w:val="nil"/>
              <w:tr2bl w:val="nil"/>
            </w:tcBorders>
            <w:shd w:val="clear" w:color="auto" w:fill="auto"/>
            <w:noWrap/>
            <w:vAlign w:val="center"/>
          </w:tcPr>
          <w:p w14:paraId="5BA1FD4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655" w:type="dxa"/>
            <w:tcBorders>
              <w:tl2br w:val="nil"/>
              <w:tr2bl w:val="nil"/>
            </w:tcBorders>
            <w:shd w:val="clear" w:color="auto" w:fill="auto"/>
            <w:noWrap/>
            <w:vAlign w:val="center"/>
          </w:tcPr>
          <w:p w14:paraId="25AF3996">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年</w:t>
            </w:r>
          </w:p>
        </w:tc>
      </w:tr>
      <w:tr w14:paraId="7F834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31FC825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15</w:t>
            </w:r>
          </w:p>
        </w:tc>
        <w:tc>
          <w:tcPr>
            <w:tcW w:w="980" w:type="dxa"/>
            <w:vMerge w:val="continue"/>
            <w:tcBorders>
              <w:tl2br w:val="nil"/>
              <w:tr2bl w:val="nil"/>
            </w:tcBorders>
            <w:shd w:val="clear" w:color="auto" w:fill="auto"/>
            <w:noWrap/>
            <w:vAlign w:val="center"/>
          </w:tcPr>
          <w:p w14:paraId="7856813D">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42D2E02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网络传输</w:t>
            </w:r>
          </w:p>
        </w:tc>
        <w:tc>
          <w:tcPr>
            <w:tcW w:w="6261" w:type="dxa"/>
            <w:tcBorders>
              <w:tl2br w:val="nil"/>
              <w:tr2bl w:val="nil"/>
            </w:tcBorders>
            <w:shd w:val="clear" w:color="auto" w:fill="auto"/>
            <w:vAlign w:val="center"/>
          </w:tcPr>
          <w:p w14:paraId="71425574">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1、燃气、供水、热力、污水处理等企业数据传输线路，7条，带宽不低于50M；</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2、指挥中心、数据中心互联网线路，2条，带宽不低于200M；</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3、12319呼叫中心线路，1条，带宽不低于2M；</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4、视频监控线路，38条，带宽不低于50M；</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5、与上级平台对接线路，1条，带宽不低于100M；</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6、数据中心与指挥中心连接线路，1条，带宽不低于200M</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7、5G网络无线网络服务（含45套车载定位系统服务，14套燃气相邻空间、易涝点、桥梁前端感知设备，8套水生态感知设备）。</w:t>
            </w:r>
          </w:p>
        </w:tc>
        <w:tc>
          <w:tcPr>
            <w:tcW w:w="722" w:type="dxa"/>
            <w:tcBorders>
              <w:tl2br w:val="nil"/>
              <w:tr2bl w:val="nil"/>
            </w:tcBorders>
            <w:shd w:val="clear" w:color="auto" w:fill="auto"/>
            <w:noWrap/>
            <w:vAlign w:val="center"/>
          </w:tcPr>
          <w:p w14:paraId="6362D570">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655" w:type="dxa"/>
            <w:tcBorders>
              <w:tl2br w:val="nil"/>
              <w:tr2bl w:val="nil"/>
            </w:tcBorders>
            <w:shd w:val="clear" w:color="auto" w:fill="auto"/>
            <w:noWrap/>
            <w:vAlign w:val="center"/>
          </w:tcPr>
          <w:p w14:paraId="3367C5C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年</w:t>
            </w:r>
          </w:p>
        </w:tc>
      </w:tr>
      <w:tr w14:paraId="2BBA4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1DC1952D">
            <w:pPr>
              <w:keepNext w:val="0"/>
              <w:keepLines w:val="0"/>
              <w:widowControl/>
              <w:suppressLineNumbers w:val="0"/>
              <w:kinsoku/>
              <w:wordWrap w:val="0"/>
              <w:spacing w:line="360" w:lineRule="auto"/>
              <w:jc w:val="center"/>
              <w:textAlignment w:val="center"/>
              <w:rPr>
                <w:rFonts w:hint="default"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16</w:t>
            </w:r>
          </w:p>
        </w:tc>
        <w:tc>
          <w:tcPr>
            <w:tcW w:w="980" w:type="dxa"/>
            <w:vMerge w:val="continue"/>
            <w:tcBorders>
              <w:tl2br w:val="nil"/>
              <w:tr2bl w:val="nil"/>
            </w:tcBorders>
            <w:shd w:val="clear" w:color="auto" w:fill="auto"/>
            <w:noWrap/>
            <w:vAlign w:val="center"/>
          </w:tcPr>
          <w:p w14:paraId="200E4C66">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19B19EC7">
            <w:pPr>
              <w:keepNext w:val="0"/>
              <w:keepLines w:val="0"/>
              <w:widowControl/>
              <w:suppressLineNumbers w:val="0"/>
              <w:kinsoku/>
              <w:wordWrap w:val="0"/>
              <w:spacing w:line="360" w:lineRule="auto"/>
              <w:jc w:val="center"/>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车载定位系统</w:t>
            </w:r>
          </w:p>
        </w:tc>
        <w:tc>
          <w:tcPr>
            <w:tcW w:w="6261" w:type="dxa"/>
            <w:tcBorders>
              <w:tl2br w:val="nil"/>
              <w:tr2bl w:val="nil"/>
            </w:tcBorders>
            <w:shd w:val="clear" w:color="auto" w:fill="auto"/>
            <w:vAlign w:val="center"/>
          </w:tcPr>
          <w:p w14:paraId="6263B59C">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针对环卫作业车辆提供系统定位服务，车辆运行轨迹，车辆运行时长等。</w:t>
            </w:r>
          </w:p>
          <w:p w14:paraId="1A5FAE7C">
            <w:pPr>
              <w:keepNext w:val="0"/>
              <w:keepLines w:val="0"/>
              <w:widowControl/>
              <w:suppressLineNumbers w:val="0"/>
              <w:kinsoku/>
              <w:wordWrap w:val="0"/>
              <w:spacing w:line="360" w:lineRule="auto"/>
              <w:jc w:val="left"/>
              <w:textAlignment w:val="center"/>
              <w:rPr>
                <w:rFonts w:hint="eastAsia" w:ascii="宋体" w:hAnsi="宋体" w:eastAsia="宋体" w:cs="宋体"/>
                <w:i w:val="0"/>
                <w:iCs w:val="0"/>
                <w:snapToGrid w:val="0"/>
                <w:color w:val="auto"/>
                <w:kern w:val="0"/>
                <w:sz w:val="21"/>
                <w:szCs w:val="21"/>
                <w:highlight w:val="none"/>
                <w:u w:val="none"/>
                <w:lang w:val="en-US" w:eastAsia="zh-CN" w:bidi="ar"/>
              </w:rPr>
            </w:pPr>
            <w:r>
              <w:rPr>
                <w:rFonts w:hint="eastAsia" w:ascii="宋体" w:hAnsi="宋体" w:eastAsia="宋体" w:cs="宋体"/>
                <w:i w:val="0"/>
                <w:iCs w:val="0"/>
                <w:snapToGrid w:val="0"/>
                <w:color w:val="auto"/>
                <w:kern w:val="0"/>
                <w:sz w:val="21"/>
                <w:szCs w:val="21"/>
                <w:highlight w:val="none"/>
                <w:u w:val="none"/>
                <w:lang w:val="en-US" w:eastAsia="zh-CN" w:bidi="ar"/>
              </w:rPr>
              <w:t>包含软硬件安装调试。</w:t>
            </w:r>
          </w:p>
        </w:tc>
        <w:tc>
          <w:tcPr>
            <w:tcW w:w="722" w:type="dxa"/>
            <w:tcBorders>
              <w:tl2br w:val="nil"/>
              <w:tr2bl w:val="nil"/>
            </w:tcBorders>
            <w:shd w:val="clear" w:color="auto" w:fill="auto"/>
            <w:noWrap/>
            <w:vAlign w:val="center"/>
          </w:tcPr>
          <w:p w14:paraId="5F8066FA">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45</w:t>
            </w:r>
          </w:p>
        </w:tc>
        <w:tc>
          <w:tcPr>
            <w:tcW w:w="655" w:type="dxa"/>
            <w:tcBorders>
              <w:tl2br w:val="nil"/>
              <w:tr2bl w:val="nil"/>
            </w:tcBorders>
            <w:shd w:val="clear" w:color="auto" w:fill="auto"/>
            <w:noWrap/>
            <w:vAlign w:val="center"/>
          </w:tcPr>
          <w:p w14:paraId="64564B0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套</w:t>
            </w:r>
          </w:p>
        </w:tc>
      </w:tr>
      <w:tr w14:paraId="3DC29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264D844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17</w:t>
            </w:r>
          </w:p>
        </w:tc>
        <w:tc>
          <w:tcPr>
            <w:tcW w:w="980" w:type="dxa"/>
            <w:vMerge w:val="restart"/>
            <w:tcBorders>
              <w:tl2br w:val="nil"/>
              <w:tr2bl w:val="nil"/>
            </w:tcBorders>
            <w:shd w:val="clear" w:color="auto" w:fill="auto"/>
            <w:noWrap/>
            <w:vAlign w:val="center"/>
          </w:tcPr>
          <w:p w14:paraId="6C248BE8">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等保测评和运行服务</w:t>
            </w:r>
          </w:p>
        </w:tc>
        <w:tc>
          <w:tcPr>
            <w:tcW w:w="1118" w:type="dxa"/>
            <w:tcBorders>
              <w:tl2br w:val="nil"/>
              <w:tr2bl w:val="nil"/>
            </w:tcBorders>
            <w:shd w:val="clear" w:color="auto" w:fill="auto"/>
            <w:noWrap/>
            <w:vAlign w:val="center"/>
          </w:tcPr>
          <w:p w14:paraId="0B8892DF">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等保测评服务</w:t>
            </w:r>
          </w:p>
        </w:tc>
        <w:tc>
          <w:tcPr>
            <w:tcW w:w="6261" w:type="dxa"/>
            <w:tcBorders>
              <w:tl2br w:val="nil"/>
              <w:tr2bl w:val="nil"/>
            </w:tcBorders>
            <w:shd w:val="clear" w:color="auto" w:fill="auto"/>
            <w:vAlign w:val="center"/>
          </w:tcPr>
          <w:p w14:paraId="306F462F">
            <w:pPr>
              <w:keepNext w:val="0"/>
              <w:keepLines w:val="0"/>
              <w:widowControl/>
              <w:suppressLineNumbers w:val="0"/>
              <w:kinsoku/>
              <w:wordWrap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项目建设完成后，系统平台进行二级等保测评服务；</w:t>
            </w:r>
          </w:p>
        </w:tc>
        <w:tc>
          <w:tcPr>
            <w:tcW w:w="722" w:type="dxa"/>
            <w:tcBorders>
              <w:tl2br w:val="nil"/>
              <w:tr2bl w:val="nil"/>
            </w:tcBorders>
            <w:shd w:val="clear" w:color="auto" w:fill="auto"/>
            <w:noWrap/>
            <w:vAlign w:val="center"/>
          </w:tcPr>
          <w:p w14:paraId="165523CB">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w:t>
            </w:r>
          </w:p>
        </w:tc>
        <w:tc>
          <w:tcPr>
            <w:tcW w:w="655" w:type="dxa"/>
            <w:tcBorders>
              <w:tl2br w:val="nil"/>
              <w:tr2bl w:val="nil"/>
            </w:tcBorders>
            <w:shd w:val="clear" w:color="auto" w:fill="auto"/>
            <w:noWrap/>
            <w:vAlign w:val="center"/>
          </w:tcPr>
          <w:p w14:paraId="37296B6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年</w:t>
            </w:r>
          </w:p>
        </w:tc>
      </w:tr>
      <w:tr w14:paraId="61EB5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7" w:hRule="atLeast"/>
          <w:jc w:val="center"/>
        </w:trPr>
        <w:tc>
          <w:tcPr>
            <w:tcW w:w="694" w:type="dxa"/>
            <w:gridSpan w:val="2"/>
            <w:tcBorders>
              <w:tl2br w:val="nil"/>
              <w:tr2bl w:val="nil"/>
            </w:tcBorders>
            <w:shd w:val="clear" w:color="auto" w:fill="auto"/>
            <w:noWrap/>
            <w:vAlign w:val="center"/>
          </w:tcPr>
          <w:p w14:paraId="32FC8ABC">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18</w:t>
            </w:r>
          </w:p>
        </w:tc>
        <w:tc>
          <w:tcPr>
            <w:tcW w:w="980" w:type="dxa"/>
            <w:vMerge w:val="continue"/>
            <w:tcBorders>
              <w:tl2br w:val="nil"/>
              <w:tr2bl w:val="nil"/>
            </w:tcBorders>
            <w:shd w:val="clear" w:color="auto" w:fill="auto"/>
            <w:noWrap/>
            <w:vAlign w:val="center"/>
          </w:tcPr>
          <w:p w14:paraId="54B37E43">
            <w:pPr>
              <w:kinsoku/>
              <w:wordWrap w:val="0"/>
              <w:spacing w:line="360" w:lineRule="auto"/>
              <w:jc w:val="center"/>
              <w:rPr>
                <w:rFonts w:hint="eastAsia" w:ascii="宋体" w:hAnsi="宋体" w:eastAsia="宋体" w:cs="宋体"/>
                <w:i w:val="0"/>
                <w:iCs w:val="0"/>
                <w:color w:val="auto"/>
                <w:sz w:val="21"/>
                <w:szCs w:val="21"/>
                <w:highlight w:val="none"/>
                <w:u w:val="none"/>
              </w:rPr>
            </w:pPr>
          </w:p>
        </w:tc>
        <w:tc>
          <w:tcPr>
            <w:tcW w:w="1118" w:type="dxa"/>
            <w:tcBorders>
              <w:tl2br w:val="nil"/>
              <w:tr2bl w:val="nil"/>
            </w:tcBorders>
            <w:shd w:val="clear" w:color="auto" w:fill="auto"/>
            <w:noWrap/>
            <w:vAlign w:val="center"/>
          </w:tcPr>
          <w:p w14:paraId="4360E933">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运行服务</w:t>
            </w:r>
          </w:p>
        </w:tc>
        <w:tc>
          <w:tcPr>
            <w:tcW w:w="6261" w:type="dxa"/>
            <w:tcBorders>
              <w:tl2br w:val="nil"/>
              <w:tr2bl w:val="nil"/>
            </w:tcBorders>
            <w:shd w:val="clear" w:color="auto" w:fill="auto"/>
            <w:vAlign w:val="center"/>
          </w:tcPr>
          <w:p w14:paraId="584C95FE">
            <w:pPr>
              <w:keepNext w:val="0"/>
              <w:keepLines w:val="0"/>
              <w:widowControl/>
              <w:suppressLineNumbers w:val="0"/>
              <w:kinsoku/>
              <w:wordWrap w:val="0"/>
              <w:spacing w:line="360" w:lineRule="auto"/>
              <w:jc w:val="left"/>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snapToGrid w:val="0"/>
                <w:color w:val="auto"/>
                <w:kern w:val="0"/>
                <w:sz w:val="21"/>
                <w:szCs w:val="21"/>
                <w:highlight w:val="none"/>
                <w:u w:val="none"/>
                <w:lang w:val="en-US" w:eastAsia="zh-CN" w:bidi="ar"/>
              </w:rPr>
              <w:t>1、负责原系统和新建系统的日常维护，日常巡检，故障处理，确保系统正常运行；</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2、负责指挥中心的日常运转以及事件分派处置，提供不少于3人坐席运维；</w:t>
            </w:r>
            <w:r>
              <w:rPr>
                <w:rFonts w:hint="eastAsia" w:ascii="宋体" w:hAnsi="宋体" w:eastAsia="宋体" w:cs="宋体"/>
                <w:i w:val="0"/>
                <w:iCs w:val="0"/>
                <w:snapToGrid w:val="0"/>
                <w:color w:val="auto"/>
                <w:kern w:val="0"/>
                <w:sz w:val="21"/>
                <w:szCs w:val="21"/>
                <w:highlight w:val="none"/>
                <w:u w:val="none"/>
                <w:lang w:val="en-US" w:eastAsia="zh-CN" w:bidi="ar"/>
              </w:rPr>
              <w:br w:type="textWrapping"/>
            </w:r>
            <w:r>
              <w:rPr>
                <w:rFonts w:hint="eastAsia" w:ascii="宋体" w:hAnsi="宋体" w:eastAsia="宋体" w:cs="宋体"/>
                <w:i w:val="0"/>
                <w:iCs w:val="0"/>
                <w:snapToGrid w:val="0"/>
                <w:color w:val="auto"/>
                <w:kern w:val="0"/>
                <w:sz w:val="21"/>
                <w:szCs w:val="21"/>
                <w:highlight w:val="none"/>
                <w:u w:val="none"/>
                <w:lang w:val="en-US" w:eastAsia="zh-CN" w:bidi="ar"/>
              </w:rPr>
              <w:t>3、负责前端监测感知设备的日常维护、日常巡检，故障处理，确保故障恢复时间不超过24小时；视频监控3年内用电由供应商承担费用</w:t>
            </w:r>
            <w:r>
              <w:rPr>
                <w:rFonts w:hint="eastAsia" w:ascii="宋体" w:hAnsi="宋体" w:eastAsia="宋体" w:cs="宋体"/>
                <w:i w:val="0"/>
                <w:iCs w:val="0"/>
                <w:snapToGrid w:val="0"/>
                <w:color w:val="FF0000"/>
                <w:kern w:val="0"/>
                <w:sz w:val="21"/>
                <w:szCs w:val="21"/>
                <w:highlight w:val="none"/>
                <w:u w:val="none"/>
                <w:lang w:val="en-US" w:eastAsia="zh-CN" w:bidi="ar"/>
              </w:rPr>
              <w:t>。</w:t>
            </w:r>
          </w:p>
        </w:tc>
        <w:tc>
          <w:tcPr>
            <w:tcW w:w="722" w:type="dxa"/>
            <w:tcBorders>
              <w:tl2br w:val="nil"/>
              <w:tr2bl w:val="nil"/>
            </w:tcBorders>
            <w:shd w:val="clear" w:color="auto" w:fill="auto"/>
            <w:noWrap/>
            <w:vAlign w:val="center"/>
          </w:tcPr>
          <w:p w14:paraId="6B8CB4FE">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3</w:t>
            </w:r>
          </w:p>
        </w:tc>
        <w:tc>
          <w:tcPr>
            <w:tcW w:w="655" w:type="dxa"/>
            <w:tcBorders>
              <w:tl2br w:val="nil"/>
              <w:tr2bl w:val="nil"/>
            </w:tcBorders>
            <w:shd w:val="clear" w:color="auto" w:fill="auto"/>
            <w:noWrap/>
            <w:vAlign w:val="center"/>
          </w:tcPr>
          <w:p w14:paraId="165FDF17">
            <w:pPr>
              <w:keepNext w:val="0"/>
              <w:keepLines w:val="0"/>
              <w:widowControl/>
              <w:suppressLineNumbers w:val="0"/>
              <w:kinsoku/>
              <w:wordWrap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snapToGrid w:val="0"/>
                <w:color w:val="auto"/>
                <w:kern w:val="0"/>
                <w:sz w:val="21"/>
                <w:szCs w:val="21"/>
                <w:highlight w:val="none"/>
                <w:u w:val="none"/>
                <w:lang w:val="en-US" w:eastAsia="zh-CN" w:bidi="ar"/>
              </w:rPr>
              <w:t>年</w:t>
            </w:r>
          </w:p>
        </w:tc>
      </w:tr>
    </w:tbl>
    <w:p w14:paraId="1B1D1C31">
      <w:pPr>
        <w:rPr>
          <w:rFonts w:hint="eastAsia"/>
          <w:lang w:val="en-US" w:eastAsia="zh-CN"/>
        </w:rPr>
      </w:pPr>
    </w:p>
    <w:p w14:paraId="2DDF06CD">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outlineLvl w:val="9"/>
        <w:rPr>
          <w:rFonts w:hint="eastAsia" w:asciiTheme="minorEastAsia" w:hAnsiTheme="minorEastAsia" w:eastAsiaTheme="minorEastAsia" w:cstheme="minorEastAsia"/>
          <w:b/>
          <w:bCs/>
          <w:snapToGrid w:val="0"/>
          <w:color w:val="auto"/>
          <w:kern w:val="0"/>
          <w:sz w:val="24"/>
          <w:szCs w:val="24"/>
          <w:highlight w:val="none"/>
          <w:lang w:eastAsia="en-US"/>
        </w:rPr>
      </w:pPr>
      <w:r>
        <w:rPr>
          <w:rFonts w:hint="eastAsia" w:asciiTheme="minorEastAsia" w:hAnsiTheme="minorEastAsia" w:eastAsiaTheme="minorEastAsia" w:cstheme="minorEastAsia"/>
          <w:b/>
          <w:bCs/>
          <w:snapToGrid w:val="0"/>
          <w:color w:val="auto"/>
          <w:kern w:val="0"/>
          <w:sz w:val="24"/>
          <w:szCs w:val="24"/>
          <w:highlight w:val="none"/>
          <w:lang w:eastAsia="en-US" w:bidi="ar"/>
        </w:rPr>
        <w:t>注：</w:t>
      </w:r>
      <w:r>
        <w:rPr>
          <w:rFonts w:hint="eastAsia" w:asciiTheme="minorEastAsia" w:hAnsiTheme="minorEastAsia" w:eastAsiaTheme="minorEastAsia" w:cstheme="minorEastAsia"/>
          <w:b/>
          <w:bCs/>
          <w:snapToGrid w:val="0"/>
          <w:color w:val="auto"/>
          <w:kern w:val="0"/>
          <w:sz w:val="24"/>
          <w:szCs w:val="24"/>
          <w:highlight w:val="none"/>
          <w:lang w:val="en-US" w:eastAsia="zh-CN" w:bidi="ar"/>
        </w:rPr>
        <w:t>1</w:t>
      </w:r>
      <w:r>
        <w:rPr>
          <w:rFonts w:hint="eastAsia" w:asciiTheme="minorEastAsia" w:hAnsiTheme="minorEastAsia" w:eastAsiaTheme="minorEastAsia" w:cstheme="minorEastAsia"/>
          <w:b/>
          <w:bCs/>
          <w:snapToGrid w:val="0"/>
          <w:color w:val="auto"/>
          <w:kern w:val="0"/>
          <w:sz w:val="24"/>
          <w:szCs w:val="24"/>
          <w:highlight w:val="none"/>
          <w:lang w:eastAsia="en-US" w:bidi="ar"/>
        </w:rPr>
        <w:t>.属于节能产品政府采购品目规定必须强制采购的,必须采购当期节能产品政府采购品目内设备或产品；在价格、技术、服务等指标同等条件下，优先采购节能、环保产品（需提供</w:t>
      </w:r>
      <w:r>
        <w:rPr>
          <w:rFonts w:hint="eastAsia" w:asciiTheme="minorEastAsia" w:hAnsiTheme="minorEastAsia" w:eastAsiaTheme="minorEastAsia" w:cstheme="minorEastAsia"/>
          <w:b/>
          <w:bCs/>
          <w:snapToGrid w:val="0"/>
          <w:color w:val="auto"/>
          <w:kern w:val="0"/>
          <w:sz w:val="24"/>
          <w:szCs w:val="24"/>
          <w:highlight w:val="none"/>
          <w:lang w:val="en-US" w:eastAsia="zh-CN" w:bidi="ar"/>
        </w:rPr>
        <w:t>供应商</w:t>
      </w:r>
      <w:r>
        <w:rPr>
          <w:rFonts w:hint="eastAsia" w:asciiTheme="minorEastAsia" w:hAnsiTheme="minorEastAsia" w:eastAsiaTheme="minorEastAsia" w:cstheme="minorEastAsia"/>
          <w:b/>
          <w:bCs/>
          <w:snapToGrid w:val="0"/>
          <w:color w:val="auto"/>
          <w:kern w:val="0"/>
          <w:sz w:val="24"/>
          <w:szCs w:val="24"/>
          <w:highlight w:val="none"/>
          <w:lang w:eastAsia="en-US" w:bidi="ar"/>
        </w:rPr>
        <w:t xml:space="preserve">所投产品属于政府采购清单规定的节能环保产品的证明材料）。 </w:t>
      </w:r>
    </w:p>
    <w:p w14:paraId="2898BE7D">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outlineLvl w:val="9"/>
        <w:rPr>
          <w:rFonts w:hint="eastAsia" w:asciiTheme="minorEastAsia" w:hAnsiTheme="minorEastAsia" w:eastAsiaTheme="minorEastAsia" w:cstheme="minorEastAsia"/>
          <w:b/>
          <w:bCs/>
          <w:snapToGrid w:val="0"/>
          <w:color w:val="auto"/>
          <w:kern w:val="0"/>
          <w:sz w:val="24"/>
          <w:szCs w:val="24"/>
          <w:highlight w:val="none"/>
          <w:lang w:eastAsia="en-US"/>
        </w:rPr>
      </w:pPr>
      <w:r>
        <w:rPr>
          <w:rFonts w:hint="eastAsia" w:asciiTheme="minorEastAsia" w:hAnsiTheme="minorEastAsia" w:eastAsiaTheme="minorEastAsia" w:cstheme="minorEastAsia"/>
          <w:b/>
          <w:bCs/>
          <w:snapToGrid w:val="0"/>
          <w:color w:val="auto"/>
          <w:kern w:val="0"/>
          <w:sz w:val="24"/>
          <w:szCs w:val="24"/>
          <w:highlight w:val="none"/>
          <w:lang w:val="en-US" w:eastAsia="zh-CN" w:bidi="ar"/>
        </w:rPr>
        <w:t>2</w:t>
      </w:r>
      <w:r>
        <w:rPr>
          <w:rFonts w:hint="eastAsia" w:asciiTheme="minorEastAsia" w:hAnsiTheme="minorEastAsia" w:eastAsiaTheme="minorEastAsia" w:cstheme="minorEastAsia"/>
          <w:b/>
          <w:bCs/>
          <w:snapToGrid w:val="0"/>
          <w:color w:val="auto"/>
          <w:kern w:val="0"/>
          <w:sz w:val="24"/>
          <w:szCs w:val="24"/>
          <w:highlight w:val="none"/>
          <w:lang w:eastAsia="en-US" w:bidi="ar"/>
        </w:rPr>
        <w:t>.</w:t>
      </w:r>
      <w:r>
        <w:rPr>
          <w:rFonts w:hint="eastAsia" w:asciiTheme="minorEastAsia" w:hAnsiTheme="minorEastAsia" w:eastAsiaTheme="minorEastAsia" w:cstheme="minorEastAsia"/>
          <w:b/>
          <w:bCs/>
          <w:snapToGrid w:val="0"/>
          <w:color w:val="auto"/>
          <w:kern w:val="0"/>
          <w:sz w:val="24"/>
          <w:szCs w:val="24"/>
          <w:highlight w:val="none"/>
          <w:lang w:val="en-US" w:eastAsia="zh-CN" w:bidi="ar"/>
        </w:rPr>
        <w:t>供应商的投标报价应包括货物本身的费用、包装费、运输费、装卸费、运输过程保险费、安装费、质量保证费、相关的伴随服务费、调试、培训及技术支持服务确保技术人员到客户处现场培训、货物本身已支付或将支付的各种税费以及其它交付使用前的所有费用（项目前期安全风险评估费用、项目前期建设方案编制费用和项目评审验收考核时所产生的所有费用）。投标价不是唯一的或不是固定不变的投标文件将被作为非投投标而予以拒绝。</w:t>
      </w:r>
      <w:r>
        <w:rPr>
          <w:rFonts w:hint="eastAsia" w:asciiTheme="minorEastAsia" w:hAnsiTheme="minorEastAsia" w:eastAsiaTheme="minorEastAsia" w:cstheme="minorEastAsia"/>
          <w:b/>
          <w:bCs/>
          <w:snapToGrid w:val="0"/>
          <w:color w:val="auto"/>
          <w:kern w:val="0"/>
          <w:sz w:val="24"/>
          <w:szCs w:val="24"/>
          <w:highlight w:val="none"/>
          <w:lang w:eastAsia="en-US" w:bidi="ar"/>
        </w:rPr>
        <w:t xml:space="preserve"> </w:t>
      </w:r>
    </w:p>
    <w:p w14:paraId="3C55D8BB">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outlineLvl w:val="9"/>
        <w:rPr>
          <w:rFonts w:hint="eastAsia" w:asciiTheme="minorEastAsia" w:hAnsiTheme="minorEastAsia" w:eastAsiaTheme="minorEastAsia" w:cstheme="minorEastAsia"/>
          <w:b/>
          <w:bCs/>
          <w:snapToGrid w:val="0"/>
          <w:color w:val="auto"/>
          <w:kern w:val="0"/>
          <w:sz w:val="24"/>
          <w:szCs w:val="24"/>
          <w:highlight w:val="none"/>
          <w:lang w:eastAsia="zh-CN" w:bidi="ar"/>
        </w:rPr>
      </w:pPr>
      <w:r>
        <w:rPr>
          <w:rFonts w:hint="eastAsia" w:asciiTheme="minorEastAsia" w:hAnsiTheme="minorEastAsia" w:eastAsiaTheme="minorEastAsia" w:cstheme="minorEastAsia"/>
          <w:b/>
          <w:bCs/>
          <w:snapToGrid w:val="0"/>
          <w:color w:val="auto"/>
          <w:kern w:val="0"/>
          <w:sz w:val="24"/>
          <w:szCs w:val="24"/>
          <w:highlight w:val="none"/>
          <w:lang w:val="en-US" w:eastAsia="zh-CN" w:bidi="ar"/>
        </w:rPr>
        <w:t>3</w:t>
      </w:r>
      <w:r>
        <w:rPr>
          <w:rFonts w:hint="eastAsia" w:asciiTheme="minorEastAsia" w:hAnsiTheme="minorEastAsia" w:eastAsiaTheme="minorEastAsia" w:cstheme="minorEastAsia"/>
          <w:b/>
          <w:bCs/>
          <w:snapToGrid w:val="0"/>
          <w:color w:val="auto"/>
          <w:kern w:val="0"/>
          <w:sz w:val="24"/>
          <w:szCs w:val="24"/>
          <w:highlight w:val="none"/>
          <w:lang w:eastAsia="en-US" w:bidi="ar"/>
        </w:rPr>
        <w:t>.本项目核心产品：城市生命线运行监测系统</w:t>
      </w:r>
      <w:r>
        <w:rPr>
          <w:rFonts w:hint="eastAsia" w:asciiTheme="minorEastAsia" w:hAnsiTheme="minorEastAsia" w:eastAsiaTheme="minorEastAsia" w:cstheme="minorEastAsia"/>
          <w:b/>
          <w:bCs/>
          <w:snapToGrid w:val="0"/>
          <w:color w:val="auto"/>
          <w:kern w:val="0"/>
          <w:sz w:val="24"/>
          <w:szCs w:val="24"/>
          <w:highlight w:val="none"/>
          <w:lang w:eastAsia="zh-CN" w:bidi="ar"/>
        </w:rPr>
        <w:t>、城市运行管理服务平台。</w:t>
      </w:r>
    </w:p>
    <w:p w14:paraId="559091DC">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outlineLvl w:val="9"/>
        <w:rPr>
          <w:rFonts w:hint="eastAsia" w:asciiTheme="minorEastAsia" w:hAnsiTheme="minorEastAsia" w:eastAsiaTheme="minorEastAsia" w:cstheme="minorEastAsia"/>
          <w:b/>
          <w:bCs/>
          <w:snapToGrid w:val="0"/>
          <w:color w:val="auto"/>
          <w:kern w:val="0"/>
          <w:sz w:val="24"/>
          <w:szCs w:val="24"/>
          <w:highlight w:val="none"/>
          <w:lang w:eastAsia="zh-CN" w:bidi="ar"/>
        </w:rPr>
      </w:pPr>
      <w:r>
        <w:rPr>
          <w:rFonts w:hint="eastAsia" w:asciiTheme="minorEastAsia" w:hAnsiTheme="minorEastAsia" w:eastAsiaTheme="minorEastAsia" w:cstheme="minorEastAsia"/>
          <w:b/>
          <w:bCs/>
          <w:color w:val="auto"/>
          <w:sz w:val="24"/>
          <w:szCs w:val="24"/>
          <w:highlight w:val="none"/>
          <w:lang w:eastAsia="zh-CN" w:bidi="ar"/>
        </w:rPr>
        <w:t>提供相同品牌产品且通过资格审查、符合性审查的不同供应商参加同一合同项下投标的，按一家供应商计算；核心产品有多个时，提供单个相同品牌核心产品且通过资格审查、符合性审查的不同供应商参加同一合同项下投标的，也按一家供应商计算。</w:t>
      </w:r>
    </w:p>
    <w:p w14:paraId="0057FAEE">
      <w:pPr>
        <w:spacing w:line="360" w:lineRule="auto"/>
        <w:ind w:firstLine="482" w:firstLineChars="200"/>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b/>
          <w:bCs/>
          <w:snapToGrid w:val="0"/>
          <w:color w:val="auto"/>
          <w:kern w:val="0"/>
          <w:sz w:val="24"/>
          <w:szCs w:val="24"/>
          <w:highlight w:val="none"/>
          <w:lang w:val="en-US" w:eastAsia="zh-CN" w:bidi="ar"/>
        </w:rPr>
        <w:t>4</w:t>
      </w:r>
      <w:r>
        <w:rPr>
          <w:rFonts w:hint="eastAsia" w:asciiTheme="minorEastAsia" w:hAnsiTheme="minorEastAsia" w:eastAsiaTheme="minorEastAsia" w:cstheme="minorEastAsia"/>
          <w:b/>
          <w:bCs/>
          <w:snapToGrid w:val="0"/>
          <w:color w:val="auto"/>
          <w:kern w:val="0"/>
          <w:sz w:val="24"/>
          <w:szCs w:val="24"/>
          <w:highlight w:val="none"/>
          <w:lang w:eastAsia="en-US" w:bidi="ar"/>
        </w:rPr>
        <w:t>.本</w:t>
      </w:r>
      <w:r>
        <w:rPr>
          <w:rFonts w:hint="eastAsia" w:asciiTheme="minorEastAsia" w:hAnsiTheme="minorEastAsia" w:eastAsiaTheme="minorEastAsia" w:cstheme="minorEastAsia"/>
          <w:b/>
          <w:bCs/>
          <w:snapToGrid w:val="0"/>
          <w:color w:val="auto"/>
          <w:kern w:val="0"/>
          <w:sz w:val="24"/>
          <w:szCs w:val="24"/>
          <w:highlight w:val="none"/>
          <w:lang w:val="en-US" w:eastAsia="zh-CN" w:bidi="ar"/>
        </w:rPr>
        <w:t>项目</w:t>
      </w:r>
      <w:r>
        <w:rPr>
          <w:rFonts w:hint="eastAsia" w:asciiTheme="minorEastAsia" w:hAnsiTheme="minorEastAsia" w:eastAsiaTheme="minorEastAsia" w:cstheme="minorEastAsia"/>
          <w:b/>
          <w:bCs/>
          <w:snapToGrid w:val="0"/>
          <w:color w:val="auto"/>
          <w:kern w:val="0"/>
          <w:sz w:val="24"/>
          <w:szCs w:val="24"/>
          <w:highlight w:val="none"/>
          <w:lang w:eastAsia="en-US" w:bidi="ar"/>
        </w:rPr>
        <w:t>的所属行业：软件和信息技术服务业</w:t>
      </w:r>
      <w:r>
        <w:rPr>
          <w:rFonts w:hint="eastAsia" w:asciiTheme="minorEastAsia" w:hAnsiTheme="minorEastAsia" w:eastAsiaTheme="minorEastAsia" w:cstheme="minorEastAsia"/>
          <w:b/>
          <w:bCs/>
          <w:snapToGrid w:val="0"/>
          <w:color w:val="auto"/>
          <w:kern w:val="0"/>
          <w:sz w:val="24"/>
          <w:szCs w:val="24"/>
          <w:highlight w:val="none"/>
          <w:lang w:eastAsia="zh-CN" w:bidi="ar"/>
        </w:rPr>
        <w:t>。</w:t>
      </w:r>
    </w:p>
    <w:p w14:paraId="02CC9C55">
      <w:pPr>
        <w:pStyle w:val="4"/>
        <w:spacing w:before="0" w:after="0" w:line="360" w:lineRule="auto"/>
        <w:jc w:val="both"/>
        <w:rPr>
          <w:sz w:val="32"/>
          <w:szCs w:val="32"/>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720" w:num="1"/>
          <w:docGrid w:type="lines" w:linePitch="380" w:charSpace="0"/>
        </w:sectPr>
      </w:pPr>
      <w:bookmarkStart w:id="352" w:name="_Toc161588349"/>
    </w:p>
    <w:p w14:paraId="12D4411E">
      <w:pPr>
        <w:pStyle w:val="4"/>
        <w:spacing w:before="0" w:after="0" w:line="360" w:lineRule="auto"/>
        <w:ind w:firstLine="723" w:firstLineChars="200"/>
        <w:rPr>
          <w:rFonts w:hint="eastAsia"/>
          <w:sz w:val="36"/>
          <w:szCs w:val="36"/>
        </w:rPr>
      </w:pPr>
      <w:bookmarkStart w:id="353" w:name="_Toc16164"/>
      <w:bookmarkStart w:id="354" w:name="_Toc20726"/>
      <w:bookmarkStart w:id="355" w:name="_Toc8778"/>
      <w:r>
        <w:rPr>
          <w:rFonts w:hint="eastAsia"/>
          <w:sz w:val="36"/>
          <w:szCs w:val="36"/>
        </w:rPr>
        <w:t>第六章 质疑与投诉</w:t>
      </w:r>
      <w:bookmarkEnd w:id="352"/>
      <w:bookmarkEnd w:id="353"/>
      <w:bookmarkEnd w:id="354"/>
      <w:bookmarkEnd w:id="355"/>
    </w:p>
    <w:p w14:paraId="3A1E91B8">
      <w:pPr>
        <w:spacing w:line="360" w:lineRule="auto"/>
        <w:rPr>
          <w:rFonts w:ascii="宋体" w:hAnsi="宋体" w:cs="宋体"/>
          <w:b/>
          <w:bCs/>
          <w:sz w:val="30"/>
          <w:szCs w:val="30"/>
        </w:rPr>
      </w:pPr>
      <w:r>
        <w:rPr>
          <w:rFonts w:hint="eastAsia" w:ascii="宋体" w:hAnsi="宋体" w:cs="宋体"/>
          <w:b/>
          <w:bCs/>
          <w:sz w:val="30"/>
          <w:szCs w:val="30"/>
        </w:rPr>
        <w:t>一、质疑与答复</w:t>
      </w:r>
    </w:p>
    <w:p w14:paraId="0B737690">
      <w:pPr>
        <w:numPr>
          <w:ilvl w:val="0"/>
          <w:numId w:val="9"/>
        </w:numPr>
        <w:spacing w:line="360" w:lineRule="auto"/>
        <w:ind w:firstLine="480" w:firstLineChars="200"/>
        <w:rPr>
          <w:rFonts w:hint="default" w:ascii="宋体" w:hAnsi="宋体" w:eastAsia="宋体" w:cs="宋体"/>
          <w:sz w:val="24"/>
        </w:rPr>
      </w:pPr>
      <w:r>
        <w:rPr>
          <w:rFonts w:hint="eastAsia" w:ascii="宋体" w:hAnsi="宋体" w:eastAsia="宋体" w:cs="宋体"/>
          <w:sz w:val="24"/>
        </w:rPr>
        <w:t>参与政府采购活动的供应商认为采购文件、采购过程、中标或者成交结果使自己的权益受到损害的，可以在知道或者应知其权益受到损害之日起7个工作日内，以书面形式向采购人、采购代理机构提出质疑。</w:t>
      </w:r>
    </w:p>
    <w:p w14:paraId="10CD802E">
      <w:pPr>
        <w:numPr>
          <w:ilvl w:val="0"/>
          <w:numId w:val="9"/>
        </w:numPr>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供应商提出质疑应当提交质疑函和必要的证明材料。政府采购供应商质疑函范本下载地址：</w:t>
      </w:r>
      <w:r>
        <w:rPr>
          <w:rFonts w:hint="eastAsia" w:ascii="宋体" w:hAnsi="宋体" w:eastAsia="宋体" w:cs="宋体"/>
          <w:sz w:val="24"/>
        </w:rPr>
        <w:fldChar w:fldCharType="begin"/>
      </w:r>
      <w:r>
        <w:rPr>
          <w:rFonts w:hint="eastAsia" w:ascii="宋体" w:hAnsi="宋体" w:eastAsia="宋体" w:cs="宋体"/>
          <w:sz w:val="24"/>
        </w:rPr>
        <w:instrText xml:space="preserve"> HYPERLINK "http://download.ccgp.gov.cn/2018/zhiyihanfanben.zip；" </w:instrText>
      </w:r>
      <w:r>
        <w:rPr>
          <w:rFonts w:hint="eastAsia" w:ascii="宋体" w:hAnsi="宋体" w:eastAsia="宋体" w:cs="宋体"/>
          <w:sz w:val="24"/>
        </w:rPr>
        <w:fldChar w:fldCharType="separate"/>
      </w:r>
      <w:r>
        <w:rPr>
          <w:rFonts w:hint="eastAsia" w:ascii="宋体" w:hAnsi="宋体" w:eastAsia="宋体" w:cs="宋体"/>
          <w:sz w:val="24"/>
        </w:rPr>
        <w:t>http://download.ccgp.gov.cn/2018/zhiyihanfanben.zip；</w:t>
      </w:r>
      <w:r>
        <w:rPr>
          <w:rFonts w:hint="eastAsia" w:ascii="宋体" w:hAnsi="宋体" w:eastAsia="宋体" w:cs="宋体"/>
          <w:sz w:val="24"/>
        </w:rPr>
        <w:fldChar w:fldCharType="end"/>
      </w:r>
    </w:p>
    <w:p w14:paraId="40DA25C9">
      <w:pPr>
        <w:numPr>
          <w:ilvl w:val="0"/>
          <w:numId w:val="9"/>
        </w:numPr>
        <w:spacing w:line="360" w:lineRule="auto"/>
        <w:ind w:firstLine="480" w:firstLineChars="200"/>
        <w:rPr>
          <w:rFonts w:ascii="宋体" w:hAnsi="宋体" w:cs="宋体"/>
          <w:sz w:val="24"/>
        </w:rPr>
      </w:pPr>
      <w:r>
        <w:rPr>
          <w:rFonts w:hint="eastAsia" w:ascii="宋体" w:hAnsi="宋体" w:cs="宋体"/>
          <w:sz w:val="24"/>
        </w:rPr>
        <w:t>采购人、采购代理机构不得拒收质疑供应商在法定质疑期内发出的质疑函，应当在收到质疑函后7个工作日内作出答复，并以书面形式通知质疑供应商和其他有关供应商。</w:t>
      </w:r>
    </w:p>
    <w:p w14:paraId="6C5B8CE1">
      <w:pPr>
        <w:numPr>
          <w:ilvl w:val="0"/>
          <w:numId w:val="9"/>
        </w:numPr>
        <w:spacing w:line="360" w:lineRule="auto"/>
        <w:ind w:firstLine="480" w:firstLineChars="200"/>
        <w:rPr>
          <w:rFonts w:ascii="宋体" w:hAnsi="宋体" w:cs="宋体"/>
          <w:sz w:val="24"/>
        </w:rPr>
      </w:pPr>
      <w:r>
        <w:rPr>
          <w:rFonts w:hint="eastAsia" w:ascii="宋体" w:hAnsi="宋体" w:cs="宋体"/>
          <w:sz w:val="24"/>
        </w:rPr>
        <w:t>供应商提出质疑应当提交质疑函和必要的证明材料。质疑函应当包括下列内容：</w:t>
      </w:r>
    </w:p>
    <w:p w14:paraId="706D9492">
      <w:pPr>
        <w:numPr>
          <w:ilvl w:val="1"/>
          <w:numId w:val="9"/>
        </w:numPr>
        <w:spacing w:line="360" w:lineRule="auto"/>
        <w:ind w:left="420" w:leftChars="200" w:firstLine="480"/>
        <w:rPr>
          <w:rFonts w:ascii="宋体" w:hAnsi="宋体" w:cs="宋体"/>
          <w:sz w:val="24"/>
        </w:rPr>
      </w:pPr>
      <w:r>
        <w:rPr>
          <w:rFonts w:hint="eastAsia" w:ascii="宋体" w:hAnsi="宋体" w:cs="宋体"/>
          <w:sz w:val="24"/>
        </w:rPr>
        <w:t>供应商的姓名或者名称、地址、邮编、联系人及联系电话；</w:t>
      </w:r>
    </w:p>
    <w:p w14:paraId="5163528A">
      <w:pPr>
        <w:numPr>
          <w:ilvl w:val="1"/>
          <w:numId w:val="9"/>
        </w:numPr>
        <w:spacing w:line="360" w:lineRule="auto"/>
        <w:ind w:left="420" w:leftChars="200" w:firstLine="480"/>
        <w:rPr>
          <w:rFonts w:ascii="宋体" w:hAnsi="宋体" w:cs="宋体"/>
          <w:sz w:val="24"/>
        </w:rPr>
      </w:pPr>
      <w:r>
        <w:rPr>
          <w:rFonts w:hint="eastAsia" w:ascii="宋体" w:hAnsi="宋体" w:cs="宋体"/>
          <w:sz w:val="24"/>
        </w:rPr>
        <w:t>质疑项目的名称、编号；</w:t>
      </w:r>
    </w:p>
    <w:p w14:paraId="4163490E">
      <w:pPr>
        <w:numPr>
          <w:ilvl w:val="1"/>
          <w:numId w:val="9"/>
        </w:numPr>
        <w:spacing w:line="360" w:lineRule="auto"/>
        <w:ind w:left="420" w:leftChars="200" w:firstLine="480"/>
        <w:rPr>
          <w:rFonts w:ascii="宋体" w:hAnsi="宋体" w:cs="宋体"/>
          <w:sz w:val="24"/>
        </w:rPr>
      </w:pPr>
      <w:r>
        <w:rPr>
          <w:rFonts w:hint="eastAsia" w:ascii="宋体" w:hAnsi="宋体" w:cs="宋体"/>
          <w:sz w:val="24"/>
        </w:rPr>
        <w:t>具体、明确的质疑事项和与质疑事项相关的请求；</w:t>
      </w:r>
    </w:p>
    <w:p w14:paraId="121B3CB6">
      <w:pPr>
        <w:numPr>
          <w:ilvl w:val="1"/>
          <w:numId w:val="9"/>
        </w:numPr>
        <w:spacing w:line="360" w:lineRule="auto"/>
        <w:ind w:left="420" w:leftChars="200" w:firstLine="480"/>
        <w:rPr>
          <w:rFonts w:ascii="宋体" w:hAnsi="宋体" w:cs="宋体"/>
          <w:sz w:val="24"/>
        </w:rPr>
      </w:pPr>
      <w:r>
        <w:rPr>
          <w:rFonts w:hint="eastAsia" w:ascii="宋体" w:hAnsi="宋体" w:cs="宋体"/>
          <w:sz w:val="24"/>
        </w:rPr>
        <w:t>事实依据；</w:t>
      </w:r>
    </w:p>
    <w:p w14:paraId="407EC040">
      <w:pPr>
        <w:numPr>
          <w:ilvl w:val="1"/>
          <w:numId w:val="9"/>
        </w:numPr>
        <w:spacing w:line="360" w:lineRule="auto"/>
        <w:ind w:left="420" w:leftChars="200" w:firstLine="480"/>
        <w:rPr>
          <w:rFonts w:ascii="宋体" w:hAnsi="宋体" w:cs="宋体"/>
          <w:sz w:val="24"/>
        </w:rPr>
      </w:pPr>
      <w:r>
        <w:rPr>
          <w:rFonts w:hint="eastAsia" w:ascii="宋体" w:hAnsi="宋体" w:cs="宋体"/>
          <w:sz w:val="24"/>
        </w:rPr>
        <w:t>必要的法律依据；</w:t>
      </w:r>
    </w:p>
    <w:p w14:paraId="033C9548">
      <w:pPr>
        <w:numPr>
          <w:ilvl w:val="1"/>
          <w:numId w:val="9"/>
        </w:numPr>
        <w:spacing w:line="360" w:lineRule="auto"/>
        <w:ind w:left="420" w:leftChars="200" w:firstLine="480"/>
        <w:rPr>
          <w:rFonts w:ascii="宋体" w:hAnsi="宋体" w:cs="宋体"/>
          <w:sz w:val="24"/>
        </w:rPr>
      </w:pPr>
      <w:r>
        <w:rPr>
          <w:rFonts w:hint="eastAsia" w:ascii="宋体" w:hAnsi="宋体" w:cs="宋体"/>
          <w:sz w:val="24"/>
        </w:rPr>
        <w:t>提出质疑的日期；</w:t>
      </w:r>
    </w:p>
    <w:p w14:paraId="2B19A69B">
      <w:pPr>
        <w:numPr>
          <w:ilvl w:val="1"/>
          <w:numId w:val="9"/>
        </w:numPr>
        <w:spacing w:line="360" w:lineRule="auto"/>
        <w:ind w:left="420" w:leftChars="200" w:firstLine="480"/>
        <w:rPr>
          <w:rFonts w:ascii="宋体" w:hAnsi="宋体" w:cs="宋体"/>
          <w:sz w:val="24"/>
        </w:rPr>
      </w:pPr>
      <w:r>
        <w:rPr>
          <w:rFonts w:hint="eastAsia" w:ascii="宋体" w:hAnsi="宋体" w:cs="宋体"/>
          <w:sz w:val="24"/>
        </w:rPr>
        <w:t>获取招标文件的凭证；</w:t>
      </w:r>
    </w:p>
    <w:p w14:paraId="00469AB2">
      <w:pPr>
        <w:numPr>
          <w:ilvl w:val="1"/>
          <w:numId w:val="9"/>
        </w:numPr>
        <w:spacing w:line="360" w:lineRule="auto"/>
        <w:ind w:left="420" w:leftChars="200" w:firstLine="480"/>
        <w:rPr>
          <w:rFonts w:ascii="宋体" w:hAnsi="宋体" w:cs="宋体"/>
          <w:sz w:val="24"/>
        </w:rPr>
      </w:pPr>
      <w:r>
        <w:rPr>
          <w:rFonts w:hint="eastAsia" w:ascii="宋体" w:hAnsi="宋体" w:cs="宋体"/>
          <w:sz w:val="24"/>
        </w:rPr>
        <w:t>以上资料一式二份（采购人、采购代理机构各执一份）。</w:t>
      </w:r>
    </w:p>
    <w:p w14:paraId="21CA7D06">
      <w:pPr>
        <w:numPr>
          <w:ilvl w:val="0"/>
          <w:numId w:val="9"/>
        </w:numPr>
        <w:spacing w:line="360" w:lineRule="auto"/>
        <w:ind w:firstLine="480" w:firstLineChars="200"/>
        <w:rPr>
          <w:rFonts w:ascii="宋体" w:hAnsi="宋体" w:cs="宋体"/>
          <w:sz w:val="24"/>
        </w:rPr>
      </w:pPr>
      <w:r>
        <w:rPr>
          <w:rFonts w:hint="eastAsia" w:ascii="宋体" w:hAnsi="宋体" w:cs="宋体"/>
          <w:sz w:val="24"/>
          <w:lang w:eastAsia="zh-CN"/>
        </w:rPr>
        <w:t>供应商</w:t>
      </w:r>
      <w:r>
        <w:rPr>
          <w:rFonts w:hint="eastAsia" w:ascii="宋体" w:hAnsi="宋体" w:cs="宋体"/>
          <w:sz w:val="24"/>
        </w:rPr>
        <w:t>不得虚假质疑和恶意质疑，并对质疑内容的真实性承担责任。</w:t>
      </w:r>
    </w:p>
    <w:p w14:paraId="2ECAB5BF">
      <w:pPr>
        <w:spacing w:line="360" w:lineRule="auto"/>
        <w:rPr>
          <w:rFonts w:hint="eastAsia" w:ascii="宋体" w:hAnsi="宋体" w:eastAsia="宋体" w:cs="宋体"/>
          <w:b/>
          <w:bCs/>
          <w:sz w:val="30"/>
          <w:szCs w:val="30"/>
        </w:rPr>
      </w:pPr>
      <w:r>
        <w:rPr>
          <w:rFonts w:hint="eastAsia" w:ascii="宋体" w:hAnsi="宋体" w:eastAsia="宋体" w:cs="宋体"/>
          <w:b/>
          <w:bCs/>
          <w:sz w:val="30"/>
          <w:szCs w:val="30"/>
        </w:rPr>
        <w:t>二、投诉与处理</w:t>
      </w:r>
    </w:p>
    <w:p w14:paraId="70B091AD">
      <w:pPr>
        <w:numPr>
          <w:ilvl w:val="0"/>
          <w:numId w:val="10"/>
        </w:numPr>
        <w:spacing w:line="360" w:lineRule="auto"/>
        <w:ind w:firstLine="480" w:firstLineChars="200"/>
        <w:rPr>
          <w:rFonts w:hint="default" w:ascii="宋体" w:hAnsi="宋体" w:eastAsia="宋体" w:cs="宋体"/>
          <w:sz w:val="24"/>
        </w:rPr>
      </w:pPr>
      <w:r>
        <w:rPr>
          <w:rFonts w:hint="eastAsia" w:ascii="宋体" w:hAnsi="宋体" w:eastAsia="宋体" w:cs="宋体"/>
          <w:sz w:val="24"/>
        </w:rPr>
        <w:t>质疑供应商对采购人、采购代理机构的答复不满意，或者采购人、采购代理机构未在规定时间内作出答复的，可以在答复期满后15个工作日内向本办法第六条规定的财政部门提起投诉。</w:t>
      </w:r>
    </w:p>
    <w:p w14:paraId="5E00030F">
      <w:pPr>
        <w:numPr>
          <w:ilvl w:val="0"/>
          <w:numId w:val="10"/>
        </w:numPr>
        <w:spacing w:line="360" w:lineRule="auto"/>
        <w:ind w:firstLine="480" w:firstLineChars="200"/>
        <w:rPr>
          <w:rFonts w:hint="eastAsia" w:ascii="宋体" w:hAnsi="宋体" w:eastAsia="宋体" w:cs="宋体"/>
          <w:sz w:val="24"/>
        </w:rPr>
      </w:pPr>
      <w:r>
        <w:rPr>
          <w:rFonts w:hint="eastAsia" w:ascii="宋体" w:hAnsi="宋体" w:eastAsia="宋体" w:cs="宋体"/>
          <w:sz w:val="24"/>
        </w:rPr>
        <w:t>质疑供应商对采购人、采购代理机构的答复不满意，或者采购人、采购代理机构未在规定时间内作出答复的，可以在答复期满后15个工作日内向财政部门提起投诉。</w:t>
      </w:r>
    </w:p>
    <w:p w14:paraId="7F3AF28E">
      <w:pPr>
        <w:keepNext w:val="0"/>
        <w:keepLines w:val="0"/>
        <w:pageBreakBefore w:val="0"/>
        <w:widowControl w:val="0"/>
        <w:numPr>
          <w:ilvl w:val="0"/>
          <w:numId w:val="10"/>
        </w:numPr>
        <w:kinsoku/>
        <w:wordWrap w:val="0"/>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rPr>
      </w:pPr>
      <w:r>
        <w:rPr>
          <w:rFonts w:hint="eastAsia" w:ascii="宋体" w:hAnsi="宋体" w:eastAsia="宋体" w:cs="宋体"/>
          <w:sz w:val="24"/>
        </w:rPr>
        <w:t>投诉人投诉时,应当提交投诉书和必要的证明材料，并按照被投诉采购人、采购代理机构（以下简称被投诉人）和与投诉事项有关的供应商数量提供投诉书的副本。政府采购供应商投诉书范本下载地址：</w:t>
      </w:r>
      <w:r>
        <w:rPr>
          <w:rFonts w:hint="eastAsia" w:ascii="宋体" w:hAnsi="宋体" w:eastAsia="宋体" w:cs="宋体"/>
          <w:sz w:val="24"/>
        </w:rPr>
        <w:fldChar w:fldCharType="begin"/>
      </w:r>
      <w:r>
        <w:rPr>
          <w:rFonts w:hint="eastAsia" w:ascii="宋体" w:hAnsi="宋体" w:eastAsia="宋体" w:cs="宋体"/>
          <w:sz w:val="24"/>
        </w:rPr>
        <w:instrText xml:space="preserve"> HYPERLINK "http://download.ccgp.gov.cn/2018/tousushufanben.zip" </w:instrText>
      </w:r>
      <w:r>
        <w:rPr>
          <w:rFonts w:hint="eastAsia" w:ascii="宋体" w:hAnsi="宋体" w:eastAsia="宋体" w:cs="宋体"/>
          <w:sz w:val="24"/>
        </w:rPr>
        <w:fldChar w:fldCharType="separate"/>
      </w:r>
      <w:r>
        <w:rPr>
          <w:rFonts w:hint="eastAsia" w:ascii="宋体" w:hAnsi="宋体" w:eastAsia="宋体" w:cs="宋体"/>
          <w:sz w:val="24"/>
        </w:rPr>
        <w:t>http://download.ccgp.gov.cn/2018/tousushufanben.zip</w:t>
      </w:r>
      <w:r>
        <w:rPr>
          <w:rFonts w:hint="eastAsia" w:ascii="宋体" w:hAnsi="宋体" w:eastAsia="宋体" w:cs="宋体"/>
          <w:sz w:val="24"/>
        </w:rPr>
        <w:fldChar w:fldCharType="end"/>
      </w:r>
    </w:p>
    <w:p w14:paraId="11B22733">
      <w:pPr>
        <w:numPr>
          <w:ilvl w:val="0"/>
          <w:numId w:val="10"/>
        </w:numPr>
        <w:spacing w:line="360" w:lineRule="auto"/>
        <w:ind w:firstLine="480" w:firstLineChars="200"/>
        <w:rPr>
          <w:rFonts w:hint="eastAsia" w:ascii="宋体" w:hAnsi="宋体" w:eastAsia="宋体" w:cs="宋体"/>
          <w:sz w:val="24"/>
        </w:rPr>
      </w:pPr>
      <w:r>
        <w:rPr>
          <w:rFonts w:hint="eastAsia" w:ascii="宋体" w:hAnsi="宋体" w:eastAsia="宋体" w:cs="宋体"/>
          <w:sz w:val="24"/>
        </w:rPr>
        <w:t>财政部门自收到投诉之日起30个工作日内，对投诉事项作出处理决定并公示。</w:t>
      </w:r>
    </w:p>
    <w:p w14:paraId="58A9A62C">
      <w:pPr>
        <w:numPr>
          <w:ilvl w:val="0"/>
          <w:numId w:val="10"/>
        </w:numPr>
        <w:spacing w:line="360" w:lineRule="auto"/>
        <w:ind w:firstLine="480" w:firstLineChars="200"/>
        <w:rPr>
          <w:rFonts w:hint="eastAsia" w:ascii="宋体" w:hAnsi="宋体" w:eastAsia="宋体" w:cs="宋体"/>
          <w:sz w:val="24"/>
        </w:rPr>
      </w:pPr>
      <w:r>
        <w:rPr>
          <w:rFonts w:hint="eastAsia" w:ascii="宋体" w:hAnsi="宋体" w:eastAsia="宋体" w:cs="宋体"/>
          <w:sz w:val="24"/>
        </w:rPr>
        <w:t>投诉人在全国范围12个月内三次以上投诉查无实据的，由财政部门列入不良行为记录名单。</w:t>
      </w:r>
    </w:p>
    <w:p w14:paraId="5BBF17CB">
      <w:pPr>
        <w:numPr>
          <w:ilvl w:val="0"/>
          <w:numId w:val="10"/>
        </w:numPr>
        <w:spacing w:line="360" w:lineRule="auto"/>
        <w:ind w:firstLine="480" w:firstLineChars="200"/>
        <w:rPr>
          <w:rFonts w:ascii="宋体" w:hAnsi="宋体" w:cs="宋体"/>
          <w:sz w:val="24"/>
        </w:rPr>
      </w:pPr>
      <w:r>
        <w:rPr>
          <w:rFonts w:hint="eastAsia" w:ascii="宋体" w:hAnsi="宋体" w:eastAsia="宋体" w:cs="宋体"/>
          <w:sz w:val="24"/>
        </w:rPr>
        <w:t>投诉人有财政部94号令第三十七条情形的，属于虚假、恶意投诉，由财政部门列入不良行为记录名单，禁止其1至3年内参加政府采购活动。</w:t>
      </w:r>
    </w:p>
    <w:p w14:paraId="005DEEDA">
      <w:pPr>
        <w:spacing w:line="360" w:lineRule="auto"/>
        <w:ind w:firstLine="480" w:firstLineChars="200"/>
        <w:rPr>
          <w:rFonts w:hint="eastAsia" w:ascii="宋体" w:hAnsi="宋体" w:eastAsia="宋体" w:cs="宋体"/>
          <w:sz w:val="24"/>
        </w:rPr>
      </w:pPr>
      <w:bookmarkStart w:id="356" w:name="_Toc161588350"/>
      <w:bookmarkStart w:id="357" w:name="_Toc161584026"/>
      <w:r>
        <w:rPr>
          <w:rFonts w:hint="eastAsia" w:ascii="宋体" w:hAnsi="宋体" w:eastAsia="宋体" w:cs="宋体"/>
          <w:sz w:val="24"/>
        </w:rPr>
        <w:t>投诉联系电话：0391-8683273  地址：博爱县机关综合办公楼主楼1213室</w:t>
      </w:r>
      <w:bookmarkEnd w:id="356"/>
      <w:bookmarkEnd w:id="357"/>
      <w:r>
        <w:rPr>
          <w:rFonts w:hint="eastAsia" w:ascii="宋体" w:hAnsi="宋体" w:eastAsia="宋体" w:cs="宋体"/>
          <w:sz w:val="24"/>
        </w:rPr>
        <w:t xml:space="preserve"> </w:t>
      </w:r>
    </w:p>
    <w:p w14:paraId="3F2DF784">
      <w:pPr>
        <w:ind w:firstLine="480"/>
        <w:rPr>
          <w:rFonts w:ascii="宋体" w:hAnsi="宋体" w:cs="宋体"/>
          <w:sz w:val="24"/>
        </w:rPr>
      </w:pPr>
    </w:p>
    <w:p w14:paraId="73C595A1">
      <w:r>
        <w:br w:type="page"/>
      </w:r>
    </w:p>
    <w:p w14:paraId="3D7D6EF9">
      <w:pPr>
        <w:pStyle w:val="4"/>
        <w:ind w:right="-63" w:rightChars="-30"/>
        <w:rPr>
          <w:rFonts w:hint="eastAsia" w:ascii="Book Antiqua" w:hAnsi="Book Antiqua" w:eastAsia="宋体" w:cs="Times New Roman"/>
          <w:bCs/>
          <w:sz w:val="36"/>
          <w:szCs w:val="36"/>
        </w:rPr>
      </w:pPr>
      <w:bookmarkStart w:id="358" w:name="_Toc28894"/>
      <w:bookmarkStart w:id="359" w:name="_Toc22994"/>
      <w:r>
        <w:rPr>
          <w:rFonts w:hint="eastAsia" w:ascii="Book Antiqua" w:hAnsi="Book Antiqua" w:eastAsia="宋体" w:cs="Times New Roman"/>
          <w:bCs/>
          <w:sz w:val="36"/>
          <w:szCs w:val="36"/>
        </w:rPr>
        <w:t>第</w:t>
      </w:r>
      <w:r>
        <w:rPr>
          <w:rFonts w:hint="eastAsia" w:ascii="Book Antiqua" w:hAnsi="Book Antiqua" w:eastAsia="宋体" w:cs="Times New Roman"/>
          <w:bCs/>
          <w:sz w:val="36"/>
          <w:szCs w:val="36"/>
          <w:lang w:val="en-US" w:eastAsia="zh-CN"/>
        </w:rPr>
        <w:t>七</w:t>
      </w:r>
      <w:r>
        <w:rPr>
          <w:rFonts w:hint="eastAsia" w:ascii="Book Antiqua" w:hAnsi="Book Antiqua" w:eastAsia="宋体" w:cs="Times New Roman"/>
          <w:bCs/>
          <w:sz w:val="36"/>
          <w:szCs w:val="36"/>
        </w:rPr>
        <w:t xml:space="preserve">章 </w:t>
      </w:r>
      <w:r>
        <w:rPr>
          <w:rFonts w:hint="eastAsia" w:eastAsia="宋体" w:cs="Times New Roman"/>
          <w:sz w:val="36"/>
          <w:szCs w:val="36"/>
        </w:rPr>
        <w:t>履约验收</w:t>
      </w:r>
      <w:bookmarkEnd w:id="358"/>
      <w:bookmarkEnd w:id="359"/>
    </w:p>
    <w:p w14:paraId="783AE1B2">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供应商履约完成后，向采购人提出验收建议，采购人自收到验收建议之日起五个工作日内，采购人组织供应商参与，共同完成验收。技术复杂、专业性强等项目可适当延长验收时间。验收流程如下：</w:t>
      </w:r>
    </w:p>
    <w:p w14:paraId="083306E1">
      <w:pPr>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编制验收方案。明确验收时间、方式、程序等内容。技术复杂、社会影响较大的货物类项目，可以根据需要设置出厂检验、到货检验、安装调试检验、配套服务检验等多重验收环节；服务类项目、可根据项目特点对服务期内的服务实施情况分期考核，结合考核情况和服务效果进行验收；工程类项目按照行业部门规定的标准、方法和内容进行验收。</w:t>
      </w:r>
    </w:p>
    <w:p w14:paraId="5A0799E7">
      <w:pPr>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完善验收方式。对于采购人和使用人分离的采购项目，应邀请使用人参与验收。采购人可邀请参与本项目的其他供应商或第三方机构及专家参与验收。相关验收意见作为验收书的参考资料。政府向社会公众提供的公共服务项目，验收时应邀请服务对象参与并出具意见，验收结果应在焦作市政府采购网公示。</w:t>
      </w:r>
    </w:p>
    <w:p w14:paraId="63C72007">
      <w:pPr>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按照合同履约验收。验收时，应当按照采购合同的约定对每一项技术、服务、安全标准的履约情况进行确认。验收后，应当出具验收书，列明各项标准的验收情况及项目的总体评价，由验收双方共同签署。采购人将履约验收情况在焦作市政府采购网公示，履约验收各项资料采购人应当存档备查。</w:t>
      </w:r>
    </w:p>
    <w:p w14:paraId="69B81B31">
      <w:pPr>
        <w:spacing w:line="360" w:lineRule="auto"/>
        <w:ind w:firstLine="480" w:firstLineChars="200"/>
        <w:rPr>
          <w:rFonts w:hint="eastAsia" w:ascii="宋体" w:hAnsi="宋体" w:eastAsia="宋体" w:cs="宋体"/>
          <w:sz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落实履约验收责任。验收合格的项目，采购人应当按照合同约定及时支付资金。验收不合格的项目，采购人应当依法及时处理。合同履行、违约责任和解决争议的方式使用《中华人民共和国民法典》。供应商在履约过程中有政府采购法律法规规定的违法情形，采购人应及时报财政部门。</w:t>
      </w:r>
    </w:p>
    <w:p w14:paraId="6B4AE7C9">
      <w:pPr>
        <w:bidi w:val="0"/>
      </w:pPr>
    </w:p>
    <w:p w14:paraId="5AD92B66">
      <w:pPr>
        <w:bidi w:val="0"/>
        <w:sectPr>
          <w:pgSz w:w="11905" w:h="16838"/>
          <w:pgMar w:top="1417" w:right="1417" w:bottom="1417" w:left="1417" w:header="850" w:footer="992" w:gutter="0"/>
          <w:pgBorders>
            <w:top w:val="none" w:sz="0" w:space="0"/>
            <w:left w:val="none" w:sz="0" w:space="0"/>
            <w:bottom w:val="none" w:sz="0" w:space="0"/>
            <w:right w:val="none" w:sz="0" w:space="0"/>
          </w:pgBorders>
          <w:pgNumType w:fmt="decimal"/>
          <w:cols w:space="720" w:num="1"/>
          <w:docGrid w:type="lines" w:linePitch="318" w:charSpace="0"/>
        </w:sectPr>
      </w:pPr>
    </w:p>
    <w:p w14:paraId="31B36D70">
      <w:pPr>
        <w:pStyle w:val="4"/>
        <w:ind w:right="-63" w:rightChars="-30"/>
        <w:rPr>
          <w:rFonts w:hint="eastAsia" w:ascii="Book Antiqua" w:hAnsi="Book Antiqua" w:eastAsia="宋体" w:cs="Times New Roman"/>
          <w:bCs/>
          <w:sz w:val="36"/>
          <w:szCs w:val="36"/>
        </w:rPr>
      </w:pPr>
      <w:bookmarkStart w:id="360" w:name="_Toc16922"/>
      <w:bookmarkStart w:id="361" w:name="_Toc13906"/>
      <w:bookmarkStart w:id="362" w:name="_Toc31274"/>
      <w:bookmarkStart w:id="363" w:name="_Toc161588352"/>
      <w:r>
        <w:rPr>
          <w:rFonts w:hint="eastAsia" w:ascii="Book Antiqua" w:hAnsi="Book Antiqua" w:eastAsia="宋体" w:cs="Times New Roman"/>
          <w:bCs/>
          <w:sz w:val="36"/>
          <w:szCs w:val="36"/>
        </w:rPr>
        <w:t>第</w:t>
      </w:r>
      <w:r>
        <w:rPr>
          <w:rFonts w:hint="eastAsia" w:cs="Times New Roman"/>
          <w:bCs/>
          <w:sz w:val="36"/>
          <w:szCs w:val="36"/>
          <w:lang w:val="en-US" w:eastAsia="zh-CN"/>
        </w:rPr>
        <w:t>八</w:t>
      </w:r>
      <w:r>
        <w:rPr>
          <w:rFonts w:hint="eastAsia" w:ascii="Book Antiqua" w:hAnsi="Book Antiqua" w:eastAsia="宋体" w:cs="Times New Roman"/>
          <w:bCs/>
          <w:sz w:val="36"/>
          <w:szCs w:val="36"/>
        </w:rPr>
        <w:t>章 投标文件格式</w:t>
      </w:r>
      <w:bookmarkEnd w:id="349"/>
      <w:bookmarkEnd w:id="350"/>
      <w:bookmarkEnd w:id="351"/>
      <w:bookmarkEnd w:id="360"/>
      <w:bookmarkEnd w:id="361"/>
      <w:bookmarkEnd w:id="362"/>
      <w:bookmarkEnd w:id="363"/>
    </w:p>
    <w:p w14:paraId="61C6CED1">
      <w:pPr>
        <w:tabs>
          <w:tab w:val="left" w:pos="420"/>
        </w:tabs>
        <w:spacing w:line="360" w:lineRule="auto"/>
        <w:jc w:val="center"/>
        <w:rPr>
          <w:rFonts w:hint="eastAsia" w:ascii="宋体" w:hAnsi="宋体" w:eastAsia="宋体" w:cs="宋体"/>
          <w:b/>
          <w:bCs/>
          <w:color w:val="auto"/>
          <w:sz w:val="32"/>
          <w:highlight w:val="none"/>
        </w:rPr>
      </w:pPr>
      <w:bookmarkStart w:id="364" w:name="_Toc403122573"/>
      <w:bookmarkEnd w:id="364"/>
      <w:bookmarkStart w:id="365" w:name="_Toc402961301"/>
      <w:bookmarkEnd w:id="365"/>
      <w:bookmarkStart w:id="366" w:name="_Toc27452"/>
      <w:bookmarkEnd w:id="366"/>
      <w:bookmarkStart w:id="367" w:name="_Toc18905"/>
      <w:bookmarkEnd w:id="367"/>
    </w:p>
    <w:p w14:paraId="7CBF70FB">
      <w:pPr>
        <w:tabs>
          <w:tab w:val="left" w:pos="420"/>
        </w:tabs>
        <w:spacing w:line="360" w:lineRule="auto"/>
        <w:jc w:val="center"/>
        <w:rPr>
          <w:rFonts w:hint="eastAsia" w:ascii="宋体" w:hAnsi="宋体" w:eastAsia="宋体" w:cs="宋体"/>
          <w:b/>
          <w:bCs/>
          <w:color w:val="auto"/>
          <w:sz w:val="32"/>
          <w:highlight w:val="none"/>
        </w:rPr>
      </w:pPr>
    </w:p>
    <w:p w14:paraId="48393427">
      <w:pPr>
        <w:pStyle w:val="42"/>
        <w:snapToGrid w:val="0"/>
        <w:spacing w:line="360" w:lineRule="auto"/>
        <w:jc w:val="center"/>
        <w:rPr>
          <w:rFonts w:hint="eastAsia" w:hAnsi="宋体" w:cs="宋体"/>
          <w:b/>
          <w:bCs/>
          <w:color w:val="auto"/>
          <w:sz w:val="44"/>
          <w:szCs w:val="44"/>
          <w:highlight w:val="none"/>
          <w:lang w:bidi="ar"/>
        </w:rPr>
      </w:pPr>
      <w:r>
        <w:rPr>
          <w:rFonts w:hint="eastAsia" w:hAnsi="宋体" w:cs="宋体"/>
          <w:b/>
          <w:bCs/>
          <w:color w:val="auto"/>
          <w:sz w:val="44"/>
          <w:szCs w:val="44"/>
          <w:highlight w:val="none"/>
          <w:lang w:bidi="ar"/>
        </w:rPr>
        <w:t>博爱县城市生命线系统暨运行管理服务</w:t>
      </w:r>
    </w:p>
    <w:p w14:paraId="16AB7C8F">
      <w:pPr>
        <w:pStyle w:val="42"/>
        <w:snapToGrid w:val="0"/>
        <w:spacing w:line="360" w:lineRule="auto"/>
        <w:jc w:val="center"/>
        <w:rPr>
          <w:rFonts w:hint="eastAsia" w:ascii="宋体" w:hAnsi="宋体" w:eastAsia="宋体" w:cs="宋体"/>
          <w:b/>
          <w:bCs/>
          <w:color w:val="auto"/>
          <w:sz w:val="44"/>
          <w:szCs w:val="44"/>
          <w:highlight w:val="none"/>
          <w:lang w:eastAsia="zh-CN" w:bidi="ar"/>
        </w:rPr>
      </w:pPr>
      <w:r>
        <w:rPr>
          <w:rFonts w:hint="eastAsia" w:hAnsi="宋体" w:cs="宋体"/>
          <w:b/>
          <w:bCs/>
          <w:color w:val="auto"/>
          <w:sz w:val="44"/>
          <w:szCs w:val="44"/>
          <w:highlight w:val="none"/>
          <w:lang w:bidi="ar"/>
        </w:rPr>
        <w:t>平台项目（一期）</w:t>
      </w:r>
    </w:p>
    <w:p w14:paraId="6EF74F35">
      <w:pPr>
        <w:pStyle w:val="42"/>
        <w:snapToGrid w:val="0"/>
        <w:spacing w:line="360" w:lineRule="auto"/>
        <w:ind w:firstLine="562" w:firstLineChars="200"/>
        <w:jc w:val="center"/>
        <w:rPr>
          <w:rFonts w:hint="eastAsia" w:ascii="宋体" w:hAnsi="宋体" w:eastAsia="宋体" w:cs="宋体"/>
          <w:b/>
          <w:color w:val="auto"/>
          <w:sz w:val="28"/>
          <w:szCs w:val="28"/>
          <w:highlight w:val="none"/>
          <w:u w:val="single"/>
        </w:rPr>
      </w:pPr>
    </w:p>
    <w:p w14:paraId="50CF2135">
      <w:pPr>
        <w:pStyle w:val="42"/>
        <w:snapToGrid w:val="0"/>
        <w:spacing w:line="360" w:lineRule="auto"/>
        <w:ind w:firstLine="562" w:firstLineChars="200"/>
        <w:jc w:val="center"/>
        <w:rPr>
          <w:rFonts w:hint="eastAsia" w:ascii="宋体" w:hAnsi="宋体" w:eastAsia="宋体" w:cs="宋体"/>
          <w:b/>
          <w:color w:val="auto"/>
          <w:sz w:val="28"/>
          <w:szCs w:val="28"/>
          <w:highlight w:val="none"/>
          <w:u w:val="single"/>
        </w:rPr>
      </w:pPr>
    </w:p>
    <w:p w14:paraId="76D7D811">
      <w:pPr>
        <w:tabs>
          <w:tab w:val="left" w:pos="420"/>
        </w:tabs>
        <w:adjustRightInd w:val="0"/>
        <w:snapToGrid w:val="0"/>
        <w:spacing w:line="360" w:lineRule="auto"/>
        <w:ind w:left="0" w:firstLine="0"/>
        <w:jc w:val="center"/>
        <w:rPr>
          <w:rFonts w:hint="eastAsia" w:ascii="宋体" w:hAnsi="宋体" w:eastAsia="宋体" w:cs="宋体"/>
          <w:b/>
          <w:color w:val="auto"/>
          <w:sz w:val="144"/>
          <w:szCs w:val="144"/>
          <w:highlight w:val="none"/>
        </w:rPr>
      </w:pPr>
      <w:r>
        <w:rPr>
          <w:rFonts w:hint="eastAsia" w:ascii="宋体" w:hAnsi="宋体" w:eastAsia="宋体" w:cs="宋体"/>
          <w:b/>
          <w:color w:val="auto"/>
          <w:sz w:val="144"/>
          <w:szCs w:val="144"/>
          <w:highlight w:val="none"/>
        </w:rPr>
        <w:t>投标文件</w:t>
      </w:r>
    </w:p>
    <w:p w14:paraId="703DD12D">
      <w:pPr>
        <w:tabs>
          <w:tab w:val="left" w:pos="420"/>
        </w:tabs>
        <w:spacing w:line="360" w:lineRule="auto"/>
        <w:ind w:left="0" w:firstLine="0"/>
        <w:jc w:val="center"/>
        <w:rPr>
          <w:rFonts w:hint="default" w:ascii="宋体" w:hAnsi="宋体" w:eastAsia="宋体" w:cs="宋体"/>
          <w:color w:val="auto"/>
          <w:sz w:val="28"/>
          <w:highlight w:val="yellow"/>
          <w:lang w:val="en-US"/>
        </w:rPr>
      </w:pPr>
    </w:p>
    <w:p w14:paraId="02283D54">
      <w:pPr>
        <w:numPr>
          <w:ilvl w:val="0"/>
          <w:numId w:val="0"/>
        </w:numPr>
        <w:tabs>
          <w:tab w:val="left" w:pos="420"/>
        </w:tabs>
        <w:spacing w:line="360" w:lineRule="auto"/>
        <w:rPr>
          <w:rFonts w:hint="eastAsia" w:ascii="宋体" w:hAnsi="宋体" w:eastAsia="宋体" w:cs="宋体"/>
          <w:color w:val="auto"/>
          <w:highlight w:val="none"/>
        </w:rPr>
      </w:pPr>
    </w:p>
    <w:p w14:paraId="4471778F">
      <w:pPr>
        <w:numPr>
          <w:ilvl w:val="0"/>
          <w:numId w:val="0"/>
        </w:numPr>
        <w:tabs>
          <w:tab w:val="left" w:pos="420"/>
        </w:tabs>
        <w:spacing w:line="360" w:lineRule="auto"/>
        <w:ind w:left="40"/>
        <w:rPr>
          <w:rFonts w:hint="eastAsia" w:ascii="宋体" w:hAnsi="宋体" w:eastAsia="宋体" w:cs="宋体"/>
          <w:color w:val="auto"/>
          <w:highlight w:val="none"/>
        </w:rPr>
      </w:pPr>
    </w:p>
    <w:p w14:paraId="7826EB9D">
      <w:pPr>
        <w:tabs>
          <w:tab w:val="left" w:pos="420"/>
        </w:tabs>
        <w:spacing w:line="360" w:lineRule="auto"/>
        <w:ind w:left="735" w:leftChars="350" w:firstLine="614" w:firstLineChars="192"/>
        <w:rPr>
          <w:rFonts w:hint="eastAsia" w:ascii="宋体" w:hAnsi="宋体" w:eastAsia="宋体" w:cs="宋体"/>
          <w:color w:val="auto"/>
          <w:sz w:val="32"/>
          <w:highlight w:val="none"/>
        </w:rPr>
      </w:pPr>
    </w:p>
    <w:p w14:paraId="7903A12D">
      <w:pPr>
        <w:pStyle w:val="42"/>
        <w:spacing w:line="360" w:lineRule="auto"/>
        <w:rPr>
          <w:rFonts w:hint="eastAsia"/>
        </w:rPr>
      </w:pPr>
    </w:p>
    <w:p w14:paraId="22797725">
      <w:pPr>
        <w:tabs>
          <w:tab w:val="left" w:pos="420"/>
        </w:tabs>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盖章</w:t>
      </w:r>
      <w:r>
        <w:rPr>
          <w:rFonts w:hint="eastAsia" w:ascii="宋体" w:hAnsi="宋体" w:eastAsia="宋体" w:cs="宋体"/>
          <w:color w:val="auto"/>
          <w:sz w:val="24"/>
          <w:highlight w:val="none"/>
        </w:rPr>
        <w:t>）</w:t>
      </w:r>
    </w:p>
    <w:p w14:paraId="7D704545">
      <w:pPr>
        <w:tabs>
          <w:tab w:val="left" w:pos="420"/>
        </w:tabs>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签字或盖章</w:t>
      </w:r>
      <w:r>
        <w:rPr>
          <w:rFonts w:hint="eastAsia" w:ascii="宋体" w:hAnsi="宋体" w:eastAsia="宋体" w:cs="宋体"/>
          <w:color w:val="auto"/>
          <w:sz w:val="24"/>
          <w:highlight w:val="none"/>
        </w:rPr>
        <w:t>）</w:t>
      </w:r>
    </w:p>
    <w:p w14:paraId="623E9019">
      <w:pPr>
        <w:tabs>
          <w:tab w:val="left" w:pos="420"/>
        </w:tabs>
        <w:spacing w:line="360" w:lineRule="auto"/>
        <w:ind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E9E79D0">
      <w:pPr>
        <w:keepNext w:val="0"/>
        <w:keepLines w:val="0"/>
        <w:pageBreakBefore w:val="0"/>
        <w:widowControl w:val="0"/>
        <w:tabs>
          <w:tab w:val="left" w:pos="420"/>
        </w:tabs>
        <w:kinsoku/>
        <w:wordWrap/>
        <w:overflowPunct/>
        <w:topLinePunct w:val="0"/>
        <w:autoSpaceDE/>
        <w:autoSpaceDN/>
        <w:bidi w:val="0"/>
        <w:snapToGrid/>
        <w:spacing w:line="360" w:lineRule="auto"/>
        <w:ind w:left="679" w:hanging="852" w:hangingChars="283"/>
        <w:jc w:val="center"/>
        <w:textAlignment w:val="auto"/>
        <w:rPr>
          <w:rFonts w:hint="eastAsia" w:ascii="宋体" w:hAnsi="宋体" w:eastAsia="宋体" w:cs="宋体"/>
          <w:color w:val="auto"/>
          <w:sz w:val="24"/>
          <w:highlight w:val="none"/>
        </w:rPr>
      </w:pPr>
      <w:bookmarkStart w:id="368" w:name="_Toc7793"/>
      <w:bookmarkStart w:id="369" w:name="_Toc29756"/>
      <w:bookmarkStart w:id="370" w:name="_Toc8964"/>
      <w:bookmarkStart w:id="371" w:name="_Toc31019"/>
      <w:bookmarkStart w:id="372" w:name="_Toc15997"/>
      <w:bookmarkStart w:id="373" w:name="_Toc11751"/>
      <w:bookmarkStart w:id="374" w:name="_Toc31756"/>
      <w:bookmarkStart w:id="375" w:name="_Toc19471"/>
      <w:bookmarkStart w:id="376" w:name="_Toc11916"/>
      <w:bookmarkStart w:id="377" w:name="_Toc21556"/>
      <w:bookmarkStart w:id="378" w:name="_Toc16282"/>
      <w:bookmarkStart w:id="379" w:name="_Toc17862"/>
      <w:r>
        <w:rPr>
          <w:rFonts w:hint="eastAsia" w:ascii="宋体" w:hAnsi="宋体" w:eastAsia="宋体" w:cs="宋体"/>
          <w:b/>
          <w:color w:val="auto"/>
          <w:kern w:val="0"/>
          <w:sz w:val="30"/>
          <w:szCs w:val="30"/>
          <w:highlight w:val="none"/>
        </w:rPr>
        <w:br w:type="page"/>
      </w:r>
      <w:bookmarkStart w:id="380" w:name="_Toc6164"/>
      <w:bookmarkStart w:id="381" w:name="_Toc22550"/>
      <w:bookmarkStart w:id="382" w:name="_Toc24834"/>
      <w:r>
        <w:rPr>
          <w:rFonts w:hint="eastAsia" w:ascii="宋体" w:hAnsi="宋体" w:eastAsia="宋体" w:cs="宋体"/>
          <w:color w:val="auto"/>
          <w:sz w:val="40"/>
          <w:highlight w:val="none"/>
        </w:rPr>
        <w:t>目 录</w:t>
      </w:r>
    </w:p>
    <w:p w14:paraId="287C9220">
      <w:pPr>
        <w:pStyle w:val="31"/>
        <w:keepNext w:val="0"/>
        <w:keepLines w:val="0"/>
        <w:pageBreakBefore w:val="0"/>
        <w:widowControl w:val="0"/>
        <w:numPr>
          <w:ilvl w:val="0"/>
          <w:numId w:val="0"/>
        </w:numPr>
        <w:tabs>
          <w:tab w:val="left" w:pos="420"/>
        </w:tabs>
        <w:kinsoku/>
        <w:wordWrap/>
        <w:overflowPunct/>
        <w:topLinePunct w:val="0"/>
        <w:autoSpaceDE/>
        <w:autoSpaceDN/>
        <w:bidi w:val="0"/>
        <w:adjustRightInd w:val="0"/>
        <w:snapToGrid/>
        <w:spacing w:after="0" w:line="360" w:lineRule="auto"/>
        <w:ind w:firstLine="480" w:firstLineChars="200"/>
        <w:jc w:val="left"/>
        <w:textAlignment w:val="auto"/>
        <w:rPr>
          <w:rFonts w:hint="eastAsia" w:ascii="宋体" w:hAnsi="宋体" w:eastAsia="宋体" w:cs="宋体"/>
          <w:color w:val="auto"/>
          <w:kern w:val="0"/>
          <w:sz w:val="24"/>
          <w:szCs w:val="24"/>
          <w:highlight w:val="none"/>
        </w:rPr>
      </w:pPr>
    </w:p>
    <w:p w14:paraId="754CD654">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一、投标函</w:t>
      </w:r>
    </w:p>
    <w:p w14:paraId="2279AB47">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二、投标报价表格</w:t>
      </w:r>
    </w:p>
    <w:p w14:paraId="5FFE1554">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三、技术要求偏离表</w:t>
      </w:r>
    </w:p>
    <w:p w14:paraId="32D65CE7">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四、法定代表人（负责人）身份证明及授权委托书</w:t>
      </w:r>
    </w:p>
    <w:p w14:paraId="1E257979">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五、供应商的资格证明承诺函</w:t>
      </w:r>
    </w:p>
    <w:p w14:paraId="585FBF51">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六、近年完成的类似项目情况表</w:t>
      </w:r>
    </w:p>
    <w:p w14:paraId="65D149AF">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七、技术部分</w:t>
      </w:r>
    </w:p>
    <w:p w14:paraId="42F8F9FB">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八、反商业贿赂承诺书</w:t>
      </w:r>
    </w:p>
    <w:p w14:paraId="7A97B1C1">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九、投标承诺函</w:t>
      </w:r>
    </w:p>
    <w:p w14:paraId="6AFADA35">
      <w:pPr>
        <w:pStyle w:val="31"/>
        <w:tabs>
          <w:tab w:val="left" w:pos="420"/>
        </w:tabs>
        <w:adjustRightIn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 w:val="0"/>
          <w:color w:val="auto"/>
          <w:kern w:val="0"/>
          <w:sz w:val="24"/>
          <w:szCs w:val="24"/>
          <w:highlight w:val="none"/>
          <w:lang w:val="en-US" w:eastAsia="zh-CN"/>
        </w:rPr>
        <w:t>十</w:t>
      </w:r>
      <w:r>
        <w:rPr>
          <w:rFonts w:hint="eastAsia" w:ascii="宋体" w:hAnsi="宋体" w:eastAsia="宋体" w:cs="宋体"/>
          <w:b w:val="0"/>
          <w:color w:val="auto"/>
          <w:kern w:val="0"/>
          <w:sz w:val="24"/>
          <w:szCs w:val="24"/>
          <w:highlight w:val="none"/>
          <w:lang w:val="zh-CN"/>
        </w:rPr>
        <w:t>、关于符合本国产品标准的声明函</w:t>
      </w:r>
    </w:p>
    <w:p w14:paraId="37F614BA">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r>
        <w:rPr>
          <w:rFonts w:hint="eastAsia" w:ascii="宋体" w:hAnsi="宋体" w:eastAsia="宋体" w:cs="宋体"/>
          <w:color w:val="auto"/>
          <w:kern w:val="0"/>
          <w:sz w:val="24"/>
          <w:szCs w:val="24"/>
          <w:highlight w:val="none"/>
          <w:lang w:val="en-US" w:eastAsia="zh-CN"/>
        </w:rPr>
        <w:t>一</w:t>
      </w:r>
      <w:r>
        <w:rPr>
          <w:rFonts w:hint="eastAsia" w:ascii="宋体" w:hAnsi="宋体" w:eastAsia="宋体" w:cs="宋体"/>
          <w:color w:val="auto"/>
          <w:kern w:val="0"/>
          <w:sz w:val="24"/>
          <w:szCs w:val="24"/>
          <w:highlight w:val="none"/>
        </w:rPr>
        <w:t>、中小企业声明函（如有）</w:t>
      </w:r>
    </w:p>
    <w:p w14:paraId="3564BD2A">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r>
        <w:rPr>
          <w:rFonts w:hint="eastAsia" w:ascii="宋体" w:hAnsi="宋体" w:eastAsia="宋体" w:cs="宋体"/>
          <w:color w:val="auto"/>
          <w:kern w:val="0"/>
          <w:sz w:val="24"/>
          <w:szCs w:val="24"/>
          <w:highlight w:val="none"/>
          <w:lang w:val="en-US" w:eastAsia="zh-CN"/>
        </w:rPr>
        <w:t>二</w:t>
      </w:r>
      <w:r>
        <w:rPr>
          <w:rFonts w:hint="eastAsia" w:ascii="宋体" w:hAnsi="宋体" w:eastAsia="宋体" w:cs="宋体"/>
          <w:color w:val="auto"/>
          <w:kern w:val="0"/>
          <w:sz w:val="24"/>
          <w:szCs w:val="24"/>
          <w:highlight w:val="none"/>
        </w:rPr>
        <w:t>、残疾人福利单位声明（如有）</w:t>
      </w:r>
    </w:p>
    <w:p w14:paraId="702958A7">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r>
        <w:rPr>
          <w:rFonts w:hint="eastAsia" w:ascii="宋体" w:hAnsi="宋体" w:eastAsia="宋体" w:cs="宋体"/>
          <w:color w:val="auto"/>
          <w:kern w:val="0"/>
          <w:sz w:val="24"/>
          <w:szCs w:val="24"/>
          <w:highlight w:val="none"/>
          <w:lang w:val="en-US" w:eastAsia="zh-CN"/>
        </w:rPr>
        <w:t>三</w:t>
      </w:r>
      <w:r>
        <w:rPr>
          <w:rFonts w:hint="eastAsia" w:ascii="宋体" w:hAnsi="宋体" w:eastAsia="宋体" w:cs="宋体"/>
          <w:color w:val="auto"/>
          <w:kern w:val="0"/>
          <w:sz w:val="24"/>
          <w:szCs w:val="24"/>
          <w:highlight w:val="none"/>
        </w:rPr>
        <w:t>、监狱企业证明文件（如有）</w:t>
      </w:r>
    </w:p>
    <w:p w14:paraId="770E1C80">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r>
        <w:rPr>
          <w:rFonts w:hint="eastAsia" w:ascii="宋体" w:hAnsi="宋体" w:eastAsia="宋体" w:cs="宋体"/>
          <w:color w:val="auto"/>
          <w:kern w:val="0"/>
          <w:sz w:val="24"/>
          <w:szCs w:val="24"/>
          <w:highlight w:val="none"/>
          <w:lang w:val="en-US" w:eastAsia="zh-CN"/>
        </w:rPr>
        <w:t>四</w:t>
      </w:r>
      <w:r>
        <w:rPr>
          <w:rFonts w:hint="eastAsia" w:ascii="宋体" w:hAnsi="宋体" w:eastAsia="宋体" w:cs="宋体"/>
          <w:color w:val="auto"/>
          <w:kern w:val="0"/>
          <w:sz w:val="24"/>
          <w:szCs w:val="24"/>
          <w:highlight w:val="none"/>
        </w:rPr>
        <w:t>、节能环保产品证明文件（如有）</w:t>
      </w:r>
    </w:p>
    <w:p w14:paraId="24F8C272">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kern w:val="0"/>
          <w:sz w:val="24"/>
          <w:szCs w:val="24"/>
          <w:highlight w:val="none"/>
        </w:rPr>
        <w:t>十</w:t>
      </w:r>
      <w:r>
        <w:rPr>
          <w:rFonts w:hint="eastAsia" w:ascii="宋体" w:hAnsi="宋体" w:eastAsia="宋体" w:cs="宋体"/>
          <w:color w:val="auto"/>
          <w:kern w:val="0"/>
          <w:sz w:val="24"/>
          <w:szCs w:val="24"/>
          <w:highlight w:val="none"/>
          <w:lang w:val="en-US" w:eastAsia="zh-CN"/>
        </w:rPr>
        <w:t>五</w:t>
      </w:r>
      <w:r>
        <w:rPr>
          <w:rFonts w:hint="eastAsia" w:ascii="宋体" w:hAnsi="宋体" w:eastAsia="宋体" w:cs="宋体"/>
          <w:color w:val="auto"/>
          <w:kern w:val="0"/>
          <w:sz w:val="24"/>
          <w:szCs w:val="24"/>
          <w:highlight w:val="none"/>
        </w:rPr>
        <w:t>、其他材料</w:t>
      </w:r>
    </w:p>
    <w:p w14:paraId="427508D8">
      <w:pPr>
        <w:pStyle w:val="31"/>
        <w:keepNext w:val="0"/>
        <w:keepLines w:val="0"/>
        <w:pageBreakBefore w:val="0"/>
        <w:widowControl w:val="0"/>
        <w:tabs>
          <w:tab w:val="left" w:pos="420"/>
        </w:tabs>
        <w:kinsoku/>
        <w:wordWrap/>
        <w:overflowPunct/>
        <w:topLinePunct w:val="0"/>
        <w:autoSpaceDE/>
        <w:autoSpaceDN/>
        <w:bidi w:val="0"/>
        <w:adjustRightInd w:val="0"/>
        <w:snapToGrid/>
        <w:spacing w:after="0" w:line="360" w:lineRule="auto"/>
        <w:ind w:left="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注：若供应商不适用投标文件格式中“十一、十二、十三、十四、十五项”的要求或格式，可删除这几项，下面序号可顺延。</w:t>
      </w:r>
    </w:p>
    <w:p w14:paraId="7DE1D566">
      <w:pPr>
        <w:keepNext w:val="0"/>
        <w:keepLines w:val="0"/>
        <w:pageBreakBefore w:val="0"/>
        <w:widowControl w:val="0"/>
        <w:numPr>
          <w:ilvl w:val="0"/>
          <w:numId w:val="0"/>
        </w:numPr>
        <w:tabs>
          <w:tab w:val="left" w:pos="420"/>
        </w:tabs>
        <w:kinsoku/>
        <w:wordWrap/>
        <w:overflowPunct/>
        <w:bidi w:val="0"/>
        <w:spacing w:line="360" w:lineRule="auto"/>
        <w:jc w:val="center"/>
        <w:textAlignment w:val="auto"/>
        <w:outlineLvl w:val="1"/>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bookmarkStart w:id="383" w:name="_Toc17178"/>
      <w:bookmarkStart w:id="384" w:name="_Toc10106"/>
      <w:bookmarkStart w:id="385" w:name="_Toc25112"/>
      <w:bookmarkStart w:id="386" w:name="_Toc18952"/>
      <w:bookmarkStart w:id="387" w:name="_Toc9852"/>
      <w:bookmarkStart w:id="388" w:name="_Toc26328"/>
      <w:bookmarkStart w:id="389" w:name="_Toc21674"/>
      <w:bookmarkStart w:id="390" w:name="_Toc1047"/>
      <w:bookmarkStart w:id="391" w:name="_Toc25128"/>
      <w:bookmarkStart w:id="392" w:name="_Toc7831"/>
      <w:bookmarkStart w:id="393" w:name="_Toc21601"/>
      <w:r>
        <w:rPr>
          <w:rFonts w:hint="eastAsia" w:ascii="宋体" w:hAnsi="宋体" w:cs="宋体"/>
          <w:b/>
          <w:color w:val="auto"/>
          <w:kern w:val="0"/>
          <w:sz w:val="30"/>
          <w:szCs w:val="30"/>
          <w:highlight w:val="none"/>
          <w:lang w:val="en-US" w:eastAsia="zh-CN"/>
        </w:rPr>
        <w:t>一</w:t>
      </w:r>
      <w:r>
        <w:rPr>
          <w:rFonts w:hint="eastAsia" w:ascii="宋体" w:hAnsi="宋体" w:eastAsia="宋体" w:cs="宋体"/>
          <w:b/>
          <w:color w:val="auto"/>
          <w:kern w:val="0"/>
          <w:sz w:val="30"/>
          <w:szCs w:val="30"/>
          <w:highlight w:val="none"/>
        </w:rPr>
        <w:t>、投标函</w:t>
      </w:r>
      <w:bookmarkEnd w:id="383"/>
    </w:p>
    <w:p w14:paraId="0996E93B">
      <w:pPr>
        <w:tabs>
          <w:tab w:val="left" w:pos="420"/>
        </w:tabs>
        <w:spacing w:line="360" w:lineRule="auto"/>
        <w:ind w:left="0" w:firstLine="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 xml:space="preserve">    (采购人名称）   </w:t>
      </w:r>
    </w:p>
    <w:p w14:paraId="765E48D6">
      <w:pPr>
        <w:tabs>
          <w:tab w:val="left" w:pos="420"/>
        </w:tabs>
        <w:spacing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我们收到了项目编号为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（项目名称）招标文件，经详细研究，我们决定参加该项目的投标活动并按要求提交投标文件。我们郑重声明以下诸点并负法律责任：</w:t>
      </w:r>
    </w:p>
    <w:p w14:paraId="37888869">
      <w:pPr>
        <w:tabs>
          <w:tab w:val="left" w:pos="420"/>
        </w:tabs>
        <w:wordWrap w:val="0"/>
        <w:spacing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愿按照招标文件中规定的条款和要求，提供完成招标文件规定的全部工作，投标总报价为（大写）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人民币（RMB￥：</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r>
        <w:rPr>
          <w:rFonts w:hint="eastAsia" w:ascii="宋体" w:hAnsi="宋体" w:cs="宋体"/>
          <w:color w:val="auto"/>
          <w:sz w:val="24"/>
          <w:szCs w:val="24"/>
          <w:highlight w:val="none"/>
          <w:lang w:val="en-US" w:eastAsia="zh-CN"/>
        </w:rPr>
        <w:t>供货安装期为</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highlight w:val="none"/>
          <w:u w:val="none"/>
        </w:rPr>
        <w:t>合同履行期限</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A5C1C34">
      <w:pPr>
        <w:tabs>
          <w:tab w:val="left" w:pos="420"/>
        </w:tabs>
        <w:spacing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在</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文件递交截止时间后至确定</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rPr>
        <w:t>人的投标有效期内，我单位不得要求退出竞标或者修改</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w:t>
      </w:r>
    </w:p>
    <w:p w14:paraId="3AE29EED">
      <w:pPr>
        <w:tabs>
          <w:tab w:val="left" w:pos="420"/>
        </w:tabs>
        <w:spacing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我方明白采购人不一定接纳最低投标报价的采购，也不需要采购人解释选择或否决任何供应商的原因和理由。</w:t>
      </w:r>
    </w:p>
    <w:p w14:paraId="1F245168">
      <w:pPr>
        <w:tabs>
          <w:tab w:val="left" w:pos="420"/>
        </w:tabs>
        <w:spacing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我方参与本项目投标的所有资料真实有效，未在投标文件中提供虚假材料，无陪标、串标等违法行为。若相关部门查实或被不见面开标系统提示为“投标文件制作机器码一致”的，同意被视为投标无效，接受报监管部门依法作出的处理。</w:t>
      </w:r>
    </w:p>
    <w:p w14:paraId="3B4DC5CB">
      <w:pPr>
        <w:tabs>
          <w:tab w:val="left" w:pos="420"/>
        </w:tabs>
        <w:spacing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一旦我方中标，我方在收到中标通知书后15日内，依据采购文件、投标文件与采购人签订合同。若由于我方原因在15日内因非不可抗力拒绝与采购人签订合同的，愿意接受相关部门依法作出的处罚。合同签订后严格按照合同履约，并配合采购人完成履约验收。</w:t>
      </w:r>
    </w:p>
    <w:p w14:paraId="2C4CE976">
      <w:pPr>
        <w:tabs>
          <w:tab w:val="left" w:pos="420"/>
        </w:tabs>
        <w:spacing w:line="360" w:lineRule="auto"/>
        <w:ind w:lef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我</w:t>
      </w:r>
      <w:r>
        <w:rPr>
          <w:rFonts w:hint="eastAsia" w:ascii="宋体" w:hAnsi="宋体" w:cs="宋体"/>
          <w:color w:val="auto"/>
          <w:sz w:val="24"/>
          <w:szCs w:val="24"/>
          <w:highlight w:val="none"/>
          <w:lang w:val="en-US" w:eastAsia="zh-CN"/>
        </w:rPr>
        <w:t>方</w:t>
      </w:r>
      <w:r>
        <w:rPr>
          <w:rFonts w:hint="eastAsia" w:ascii="宋体" w:hAnsi="宋体" w:eastAsia="宋体" w:cs="宋体"/>
          <w:color w:val="auto"/>
          <w:sz w:val="24"/>
          <w:szCs w:val="24"/>
          <w:highlight w:val="none"/>
        </w:rPr>
        <w:t>承诺，</w:t>
      </w:r>
      <w:r>
        <w:rPr>
          <w:rFonts w:hint="eastAsia" w:ascii="宋体" w:hAnsi="宋体" w:cs="宋体"/>
          <w:color w:val="auto"/>
          <w:sz w:val="24"/>
          <w:szCs w:val="24"/>
          <w:highlight w:val="none"/>
          <w:lang w:val="en-US" w:eastAsia="zh-CN"/>
        </w:rPr>
        <w:t>所投产品</w:t>
      </w:r>
      <w:r>
        <w:rPr>
          <w:rFonts w:hint="eastAsia" w:ascii="宋体" w:hAnsi="宋体" w:eastAsia="宋体" w:cs="宋体"/>
          <w:color w:val="auto"/>
          <w:sz w:val="24"/>
          <w:szCs w:val="24"/>
          <w:highlight w:val="none"/>
        </w:rPr>
        <w:t>系统软件的知识产权不存在任何争议，若存在问题，供应商承担一切责任，并赔偿采购人所有损失。。</w:t>
      </w:r>
    </w:p>
    <w:p w14:paraId="4A7A27E0">
      <w:pPr>
        <w:tabs>
          <w:tab w:val="left" w:pos="420"/>
        </w:tabs>
        <w:spacing w:line="360" w:lineRule="auto"/>
        <w:ind w:left="880" w:leftChars="419" w:firstLine="2584" w:firstLineChars="10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w:t>
      </w:r>
    </w:p>
    <w:p w14:paraId="6D260DDC">
      <w:pPr>
        <w:widowControl/>
        <w:tabs>
          <w:tab w:val="left" w:pos="420"/>
        </w:tabs>
        <w:spacing w:line="360" w:lineRule="auto"/>
        <w:ind w:left="880" w:leftChars="419" w:firstLine="2584" w:firstLineChars="10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签字或盖章</w:t>
      </w:r>
      <w:r>
        <w:rPr>
          <w:rFonts w:hint="eastAsia" w:ascii="宋体" w:hAnsi="宋体" w:eastAsia="宋体" w:cs="宋体"/>
          <w:color w:val="auto"/>
          <w:sz w:val="24"/>
          <w:szCs w:val="24"/>
          <w:highlight w:val="none"/>
        </w:rPr>
        <w:t>）</w:t>
      </w:r>
    </w:p>
    <w:p w14:paraId="177A779C">
      <w:pPr>
        <w:widowControl/>
        <w:tabs>
          <w:tab w:val="left" w:pos="420"/>
        </w:tabs>
        <w:spacing w:line="360" w:lineRule="auto"/>
        <w:ind w:left="880" w:leftChars="419" w:firstLine="4980" w:firstLineChars="2075"/>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bidi="ar"/>
        </w:rPr>
        <w:t>日   期：</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年</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月</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bidi="ar"/>
        </w:rPr>
        <w:t xml:space="preserve">日 </w:t>
      </w:r>
    </w:p>
    <w:p w14:paraId="27D9E260">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1"/>
          <w:szCs w:val="31"/>
          <w:highlight w:val="none"/>
          <w:lang w:bidi="ar"/>
        </w:rPr>
        <w:br w:type="page"/>
      </w:r>
      <w:bookmarkStart w:id="394" w:name="_Toc10798"/>
      <w:r>
        <w:rPr>
          <w:rFonts w:hint="eastAsia" w:ascii="宋体" w:hAnsi="宋体" w:cs="宋体"/>
          <w:b/>
          <w:color w:val="auto"/>
          <w:kern w:val="0"/>
          <w:sz w:val="30"/>
          <w:szCs w:val="30"/>
          <w:highlight w:val="none"/>
          <w:lang w:val="en-US" w:eastAsia="zh-CN"/>
        </w:rPr>
        <w:t>二</w:t>
      </w:r>
      <w:r>
        <w:rPr>
          <w:rFonts w:hint="eastAsia" w:ascii="宋体" w:hAnsi="宋体" w:eastAsia="宋体" w:cs="宋体"/>
          <w:b/>
          <w:color w:val="auto"/>
          <w:kern w:val="0"/>
          <w:sz w:val="30"/>
          <w:szCs w:val="30"/>
          <w:highlight w:val="none"/>
        </w:rPr>
        <w:t>、投标报价表格</w:t>
      </w:r>
      <w:bookmarkEnd w:id="394"/>
    </w:p>
    <w:p w14:paraId="08C55F58">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rPr>
      </w:pPr>
      <w:bookmarkStart w:id="395" w:name="_Toc7722"/>
      <w:r>
        <w:rPr>
          <w:rFonts w:hint="eastAsia" w:ascii="宋体" w:hAnsi="宋体" w:cs="宋体"/>
          <w:b/>
          <w:color w:val="auto"/>
          <w:kern w:val="0"/>
          <w:sz w:val="30"/>
          <w:szCs w:val="30"/>
          <w:highlight w:val="none"/>
          <w:lang w:val="en-US" w:eastAsia="zh-CN"/>
        </w:rPr>
        <w:t>2</w:t>
      </w:r>
      <w:r>
        <w:rPr>
          <w:rFonts w:hint="eastAsia" w:ascii="宋体" w:hAnsi="宋体" w:eastAsia="宋体" w:cs="宋体"/>
          <w:b/>
          <w:color w:val="auto"/>
          <w:kern w:val="0"/>
          <w:sz w:val="30"/>
          <w:szCs w:val="30"/>
          <w:highlight w:val="none"/>
        </w:rPr>
        <w:t>.1 开标一览表</w:t>
      </w:r>
      <w:bookmarkEnd w:id="395"/>
    </w:p>
    <w:p w14:paraId="5AA78C7D">
      <w:pPr>
        <w:keepNext w:val="0"/>
        <w:keepLines w:val="0"/>
        <w:pageBreakBefore w:val="0"/>
        <w:widowControl/>
        <w:tabs>
          <w:tab w:val="left" w:pos="420"/>
        </w:tabs>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bidi="ar"/>
        </w:rPr>
        <w:t>金额单位：元人民币</w:t>
      </w:r>
    </w:p>
    <w:tbl>
      <w:tblPr>
        <w:tblStyle w:val="33"/>
        <w:tblW w:w="89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82"/>
        <w:gridCol w:w="7097"/>
      </w:tblGrid>
      <w:tr w14:paraId="41765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26" w:hRule="atLeast"/>
          <w:jc w:val="center"/>
        </w:trPr>
        <w:tc>
          <w:tcPr>
            <w:tcW w:w="1882" w:type="dxa"/>
            <w:tcBorders>
              <w:tl2br w:val="nil"/>
              <w:tr2bl w:val="nil"/>
            </w:tcBorders>
            <w:noWrap w:val="0"/>
            <w:tcMar>
              <w:top w:w="15" w:type="dxa"/>
              <w:left w:w="15" w:type="dxa"/>
              <w:bottom w:w="0" w:type="dxa"/>
              <w:right w:w="15" w:type="dxa"/>
            </w:tcMar>
            <w:vAlign w:val="center"/>
          </w:tcPr>
          <w:p w14:paraId="51440C74">
            <w:pPr>
              <w:keepNext w:val="0"/>
              <w:keepLines w:val="0"/>
              <w:pageBreakBefore w:val="0"/>
              <w:tabs>
                <w:tab w:val="left" w:pos="42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7097" w:type="dxa"/>
            <w:tcBorders>
              <w:tl2br w:val="nil"/>
              <w:tr2bl w:val="nil"/>
            </w:tcBorders>
            <w:noWrap w:val="0"/>
            <w:tcMar>
              <w:top w:w="15" w:type="dxa"/>
              <w:left w:w="15" w:type="dxa"/>
              <w:bottom w:w="0" w:type="dxa"/>
              <w:right w:w="15" w:type="dxa"/>
            </w:tcMar>
            <w:vAlign w:val="center"/>
          </w:tcPr>
          <w:p w14:paraId="61B4898D">
            <w:pPr>
              <w:keepNext w:val="0"/>
              <w:keepLines w:val="0"/>
              <w:pageBreakBefore w:val="0"/>
              <w:tabs>
                <w:tab w:val="left" w:pos="42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博爱县城市生命线系统暨运行管理服务平台项目（一期）</w:t>
            </w:r>
          </w:p>
        </w:tc>
      </w:tr>
      <w:tr w14:paraId="2117A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2" w:hRule="atLeast"/>
          <w:jc w:val="center"/>
        </w:trPr>
        <w:tc>
          <w:tcPr>
            <w:tcW w:w="1882" w:type="dxa"/>
            <w:tcBorders>
              <w:tl2br w:val="nil"/>
              <w:tr2bl w:val="nil"/>
            </w:tcBorders>
            <w:noWrap w:val="0"/>
            <w:tcMar>
              <w:top w:w="15" w:type="dxa"/>
              <w:left w:w="15" w:type="dxa"/>
              <w:bottom w:w="0" w:type="dxa"/>
              <w:right w:w="15" w:type="dxa"/>
            </w:tcMar>
            <w:vAlign w:val="center"/>
          </w:tcPr>
          <w:p w14:paraId="4F112785">
            <w:pPr>
              <w:keepNext w:val="0"/>
              <w:keepLines w:val="0"/>
              <w:pageBreakBefore w:val="0"/>
              <w:tabs>
                <w:tab w:val="left" w:pos="42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名称</w:t>
            </w:r>
          </w:p>
        </w:tc>
        <w:tc>
          <w:tcPr>
            <w:tcW w:w="7097" w:type="dxa"/>
            <w:tcBorders>
              <w:tl2br w:val="nil"/>
              <w:tr2bl w:val="nil"/>
            </w:tcBorders>
            <w:noWrap w:val="0"/>
            <w:tcMar>
              <w:top w:w="15" w:type="dxa"/>
              <w:left w:w="15" w:type="dxa"/>
              <w:bottom w:w="0" w:type="dxa"/>
              <w:right w:w="15" w:type="dxa"/>
            </w:tcMar>
            <w:vAlign w:val="center"/>
          </w:tcPr>
          <w:p w14:paraId="6D62BA40">
            <w:pPr>
              <w:keepNext w:val="0"/>
              <w:keepLines w:val="0"/>
              <w:pageBreakBefore w:val="0"/>
              <w:tabs>
                <w:tab w:val="left" w:pos="4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p>
        </w:tc>
      </w:tr>
      <w:tr w14:paraId="2495C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2" w:hRule="atLeast"/>
          <w:jc w:val="center"/>
        </w:trPr>
        <w:tc>
          <w:tcPr>
            <w:tcW w:w="1882" w:type="dxa"/>
            <w:tcBorders>
              <w:tl2br w:val="nil"/>
              <w:tr2bl w:val="nil"/>
            </w:tcBorders>
            <w:noWrap w:val="0"/>
            <w:tcMar>
              <w:top w:w="15" w:type="dxa"/>
              <w:left w:w="15" w:type="dxa"/>
              <w:bottom w:w="0" w:type="dxa"/>
              <w:right w:w="15" w:type="dxa"/>
            </w:tcMar>
            <w:vAlign w:val="center"/>
          </w:tcPr>
          <w:p w14:paraId="3E3F1A1C">
            <w:pPr>
              <w:keepNext w:val="0"/>
              <w:keepLines w:val="0"/>
              <w:pageBreakBefore w:val="0"/>
              <w:tabs>
                <w:tab w:val="left" w:pos="42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投标总报价（大写）</w:t>
            </w:r>
          </w:p>
        </w:tc>
        <w:tc>
          <w:tcPr>
            <w:tcW w:w="7097" w:type="dxa"/>
            <w:tcBorders>
              <w:tl2br w:val="nil"/>
              <w:tr2bl w:val="nil"/>
            </w:tcBorders>
            <w:noWrap w:val="0"/>
            <w:tcMar>
              <w:top w:w="15" w:type="dxa"/>
              <w:left w:w="15" w:type="dxa"/>
              <w:bottom w:w="0" w:type="dxa"/>
              <w:right w:w="15" w:type="dxa"/>
            </w:tcMar>
            <w:vAlign w:val="center"/>
          </w:tcPr>
          <w:p w14:paraId="4F9790E9">
            <w:pPr>
              <w:tabs>
                <w:tab w:val="left" w:pos="420"/>
              </w:tabs>
              <w:spacing w:line="360" w:lineRule="auto"/>
              <w:rPr>
                <w:rFonts w:hint="default"/>
                <w:lang w:val="en-US" w:eastAsia="zh-CN"/>
              </w:rPr>
            </w:pPr>
          </w:p>
        </w:tc>
      </w:tr>
      <w:tr w14:paraId="314BF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2" w:hRule="atLeast"/>
          <w:jc w:val="center"/>
        </w:trPr>
        <w:tc>
          <w:tcPr>
            <w:tcW w:w="1882" w:type="dxa"/>
            <w:tcBorders>
              <w:tl2br w:val="nil"/>
              <w:tr2bl w:val="nil"/>
            </w:tcBorders>
            <w:noWrap w:val="0"/>
            <w:tcMar>
              <w:top w:w="15" w:type="dxa"/>
              <w:left w:w="15" w:type="dxa"/>
              <w:bottom w:w="0" w:type="dxa"/>
              <w:right w:w="15" w:type="dxa"/>
            </w:tcMar>
            <w:vAlign w:val="center"/>
          </w:tcPr>
          <w:p w14:paraId="7FF5F1C1">
            <w:pPr>
              <w:keepNext w:val="0"/>
              <w:keepLines w:val="0"/>
              <w:pageBreakBefore w:val="0"/>
              <w:tabs>
                <w:tab w:val="left" w:pos="42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投标总报价（小写）</w:t>
            </w:r>
          </w:p>
        </w:tc>
        <w:tc>
          <w:tcPr>
            <w:tcW w:w="7097" w:type="dxa"/>
            <w:tcBorders>
              <w:tl2br w:val="nil"/>
              <w:tr2bl w:val="nil"/>
            </w:tcBorders>
            <w:noWrap w:val="0"/>
            <w:tcMar>
              <w:top w:w="15" w:type="dxa"/>
              <w:left w:w="15" w:type="dxa"/>
              <w:bottom w:w="0" w:type="dxa"/>
              <w:right w:w="15" w:type="dxa"/>
            </w:tcMar>
            <w:vAlign w:val="center"/>
          </w:tcPr>
          <w:p w14:paraId="7349CF68">
            <w:pPr>
              <w:numPr>
                <w:ilvl w:val="0"/>
                <w:numId w:val="0"/>
              </w:numPr>
              <w:tabs>
                <w:tab w:val="left" w:pos="420"/>
              </w:tabs>
              <w:spacing w:line="360" w:lineRule="auto"/>
              <w:rPr>
                <w:rFonts w:hint="eastAsia"/>
                <w:lang w:val="en-US" w:eastAsia="zh-CN"/>
              </w:rPr>
            </w:pPr>
          </w:p>
        </w:tc>
      </w:tr>
      <w:tr w14:paraId="1E1E5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2" w:hRule="atLeast"/>
          <w:jc w:val="center"/>
        </w:trPr>
        <w:tc>
          <w:tcPr>
            <w:tcW w:w="1882" w:type="dxa"/>
            <w:tcBorders>
              <w:tl2br w:val="nil"/>
              <w:tr2bl w:val="nil"/>
            </w:tcBorders>
            <w:noWrap w:val="0"/>
            <w:tcMar>
              <w:top w:w="15" w:type="dxa"/>
              <w:left w:w="15" w:type="dxa"/>
              <w:bottom w:w="0" w:type="dxa"/>
              <w:right w:w="15" w:type="dxa"/>
            </w:tcMar>
            <w:vAlign w:val="center"/>
          </w:tcPr>
          <w:p w14:paraId="16192200">
            <w:pPr>
              <w:pStyle w:val="62"/>
              <w:keepNext w:val="0"/>
              <w:keepLines w:val="0"/>
              <w:pageBreakBefore w:val="0"/>
              <w:tabs>
                <w:tab w:val="left" w:pos="420"/>
              </w:tabs>
              <w:kinsoku/>
              <w:wordWrap/>
              <w:overflowPunct/>
              <w:topLinePunct w:val="0"/>
              <w:autoSpaceDE/>
              <w:autoSpaceDN/>
              <w:bidi w:val="0"/>
              <w:adjustRightInd/>
              <w:snapToGrid/>
              <w:spacing w:line="360" w:lineRule="auto"/>
              <w:ind w:left="-2" w:right="-38"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highlight w:val="none"/>
                <w:lang w:val="en-US" w:eastAsia="zh-CN"/>
              </w:rPr>
              <w:t>供货安装期</w:t>
            </w:r>
          </w:p>
        </w:tc>
        <w:tc>
          <w:tcPr>
            <w:tcW w:w="7097" w:type="dxa"/>
            <w:tcBorders>
              <w:tl2br w:val="nil"/>
              <w:tr2bl w:val="nil"/>
            </w:tcBorders>
            <w:noWrap w:val="0"/>
            <w:tcMar>
              <w:top w:w="15" w:type="dxa"/>
              <w:left w:w="15" w:type="dxa"/>
              <w:bottom w:w="0" w:type="dxa"/>
              <w:right w:w="15" w:type="dxa"/>
            </w:tcMar>
            <w:vAlign w:val="center"/>
          </w:tcPr>
          <w:p w14:paraId="5F9B3F24">
            <w:pPr>
              <w:keepNext w:val="0"/>
              <w:keepLines w:val="0"/>
              <w:pageBreakBefore w:val="0"/>
              <w:tabs>
                <w:tab w:val="left" w:pos="4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p>
        </w:tc>
      </w:tr>
      <w:tr w14:paraId="6DA40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2" w:hRule="atLeast"/>
          <w:jc w:val="center"/>
        </w:trPr>
        <w:tc>
          <w:tcPr>
            <w:tcW w:w="1882" w:type="dxa"/>
            <w:tcBorders>
              <w:tl2br w:val="nil"/>
              <w:tr2bl w:val="nil"/>
            </w:tcBorders>
            <w:noWrap w:val="0"/>
            <w:tcMar>
              <w:top w:w="15" w:type="dxa"/>
              <w:left w:w="15" w:type="dxa"/>
              <w:bottom w:w="0" w:type="dxa"/>
              <w:right w:w="15" w:type="dxa"/>
            </w:tcMar>
            <w:vAlign w:val="center"/>
          </w:tcPr>
          <w:p w14:paraId="0C1D48C9">
            <w:pPr>
              <w:pStyle w:val="62"/>
              <w:keepNext w:val="0"/>
              <w:keepLines w:val="0"/>
              <w:pageBreakBefore w:val="0"/>
              <w:tabs>
                <w:tab w:val="left" w:pos="420"/>
              </w:tabs>
              <w:kinsoku/>
              <w:wordWrap/>
              <w:overflowPunct/>
              <w:topLinePunct w:val="0"/>
              <w:autoSpaceDE/>
              <w:autoSpaceDN/>
              <w:bidi w:val="0"/>
              <w:adjustRightInd/>
              <w:snapToGrid/>
              <w:spacing w:line="360" w:lineRule="auto"/>
              <w:ind w:left="-2" w:right="-38" w:firstLine="0"/>
              <w:jc w:val="center"/>
              <w:textAlignment w:val="auto"/>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合同履行</w:t>
            </w:r>
            <w:bookmarkStart w:id="735" w:name="_GoBack"/>
            <w:bookmarkEnd w:id="735"/>
            <w:r>
              <w:rPr>
                <w:rFonts w:hint="eastAsia" w:ascii="宋体" w:hAnsi="宋体" w:eastAsia="宋体" w:cs="宋体"/>
                <w:color w:val="auto"/>
                <w:sz w:val="21"/>
                <w:highlight w:val="none"/>
                <w:lang w:val="en-US" w:eastAsia="zh-CN"/>
              </w:rPr>
              <w:t>期限</w:t>
            </w:r>
          </w:p>
        </w:tc>
        <w:tc>
          <w:tcPr>
            <w:tcW w:w="7097" w:type="dxa"/>
            <w:tcBorders>
              <w:tl2br w:val="nil"/>
              <w:tr2bl w:val="nil"/>
            </w:tcBorders>
            <w:noWrap w:val="0"/>
            <w:tcMar>
              <w:top w:w="15" w:type="dxa"/>
              <w:left w:w="15" w:type="dxa"/>
              <w:bottom w:w="0" w:type="dxa"/>
              <w:right w:w="15" w:type="dxa"/>
            </w:tcMar>
            <w:vAlign w:val="center"/>
          </w:tcPr>
          <w:p w14:paraId="0DA315D4">
            <w:pPr>
              <w:keepNext w:val="0"/>
              <w:keepLines w:val="0"/>
              <w:pageBreakBefore w:val="0"/>
              <w:tabs>
                <w:tab w:val="left" w:pos="4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p>
        </w:tc>
      </w:tr>
      <w:tr w14:paraId="5D0F3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2" w:hRule="atLeast"/>
          <w:jc w:val="center"/>
        </w:trPr>
        <w:tc>
          <w:tcPr>
            <w:tcW w:w="1882" w:type="dxa"/>
            <w:tcBorders>
              <w:tl2br w:val="nil"/>
              <w:tr2bl w:val="nil"/>
            </w:tcBorders>
            <w:noWrap w:val="0"/>
            <w:tcMar>
              <w:top w:w="15" w:type="dxa"/>
              <w:left w:w="15" w:type="dxa"/>
              <w:bottom w:w="0" w:type="dxa"/>
              <w:right w:w="15" w:type="dxa"/>
            </w:tcMar>
            <w:vAlign w:val="center"/>
          </w:tcPr>
          <w:p w14:paraId="1C2AD1E6">
            <w:pPr>
              <w:pStyle w:val="62"/>
              <w:keepNext w:val="0"/>
              <w:keepLines w:val="0"/>
              <w:pageBreakBefore w:val="0"/>
              <w:tabs>
                <w:tab w:val="left" w:pos="420"/>
              </w:tabs>
              <w:kinsoku/>
              <w:wordWrap/>
              <w:overflowPunct/>
              <w:topLinePunct w:val="0"/>
              <w:autoSpaceDE/>
              <w:autoSpaceDN/>
              <w:bidi w:val="0"/>
              <w:adjustRightInd/>
              <w:snapToGrid/>
              <w:spacing w:line="360" w:lineRule="auto"/>
              <w:ind w:left="-2" w:right="-38" w:firstLine="0"/>
              <w:jc w:val="center"/>
              <w:textAlignment w:val="auto"/>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质量标准</w:t>
            </w:r>
          </w:p>
        </w:tc>
        <w:tc>
          <w:tcPr>
            <w:tcW w:w="7097" w:type="dxa"/>
            <w:tcBorders>
              <w:tl2br w:val="nil"/>
              <w:tr2bl w:val="nil"/>
            </w:tcBorders>
            <w:noWrap w:val="0"/>
            <w:tcMar>
              <w:top w:w="15" w:type="dxa"/>
              <w:left w:w="15" w:type="dxa"/>
              <w:bottom w:w="0" w:type="dxa"/>
              <w:right w:w="15" w:type="dxa"/>
            </w:tcMar>
            <w:vAlign w:val="center"/>
          </w:tcPr>
          <w:p w14:paraId="2BB14681">
            <w:pPr>
              <w:keepNext w:val="0"/>
              <w:keepLines w:val="0"/>
              <w:pageBreakBefore w:val="0"/>
              <w:tabs>
                <w:tab w:val="left" w:pos="4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p>
        </w:tc>
      </w:tr>
      <w:tr w14:paraId="085B6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67" w:hRule="atLeast"/>
          <w:jc w:val="center"/>
        </w:trPr>
        <w:tc>
          <w:tcPr>
            <w:tcW w:w="1882" w:type="dxa"/>
            <w:tcBorders>
              <w:tl2br w:val="nil"/>
              <w:tr2bl w:val="nil"/>
            </w:tcBorders>
            <w:noWrap w:val="0"/>
            <w:tcMar>
              <w:top w:w="15" w:type="dxa"/>
              <w:left w:w="15" w:type="dxa"/>
              <w:bottom w:w="0" w:type="dxa"/>
              <w:right w:w="15" w:type="dxa"/>
            </w:tcMar>
            <w:vAlign w:val="center"/>
          </w:tcPr>
          <w:p w14:paraId="5DA0FE70">
            <w:pPr>
              <w:pStyle w:val="62"/>
              <w:keepNext w:val="0"/>
              <w:keepLines w:val="0"/>
              <w:pageBreakBefore w:val="0"/>
              <w:tabs>
                <w:tab w:val="left" w:pos="420"/>
              </w:tabs>
              <w:kinsoku/>
              <w:wordWrap/>
              <w:overflowPunct/>
              <w:topLinePunct w:val="0"/>
              <w:autoSpaceDE/>
              <w:autoSpaceDN/>
              <w:bidi w:val="0"/>
              <w:adjustRightInd/>
              <w:snapToGrid/>
              <w:spacing w:line="360" w:lineRule="auto"/>
              <w:ind w:left="-2" w:right="-38"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highlight w:val="none"/>
                <w:lang w:val="en-US" w:eastAsia="zh-CN"/>
              </w:rPr>
              <w:t>服务地点</w:t>
            </w:r>
          </w:p>
        </w:tc>
        <w:tc>
          <w:tcPr>
            <w:tcW w:w="7097" w:type="dxa"/>
            <w:tcBorders>
              <w:tl2br w:val="nil"/>
              <w:tr2bl w:val="nil"/>
            </w:tcBorders>
            <w:noWrap w:val="0"/>
            <w:tcMar>
              <w:top w:w="15" w:type="dxa"/>
              <w:left w:w="15" w:type="dxa"/>
              <w:bottom w:w="0" w:type="dxa"/>
              <w:right w:w="15" w:type="dxa"/>
            </w:tcMar>
            <w:vAlign w:val="center"/>
          </w:tcPr>
          <w:p w14:paraId="7E6838EB">
            <w:pPr>
              <w:keepNext w:val="0"/>
              <w:keepLines w:val="0"/>
              <w:pageBreakBefore w:val="0"/>
              <w:tabs>
                <w:tab w:val="left" w:pos="420"/>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Cs w:val="21"/>
                <w:highlight w:val="none"/>
              </w:rPr>
            </w:pPr>
          </w:p>
        </w:tc>
      </w:tr>
      <w:tr w14:paraId="68745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2" w:hRule="atLeast"/>
          <w:jc w:val="center"/>
        </w:trPr>
        <w:tc>
          <w:tcPr>
            <w:tcW w:w="1882" w:type="dxa"/>
            <w:tcBorders>
              <w:tl2br w:val="nil"/>
              <w:tr2bl w:val="nil"/>
            </w:tcBorders>
            <w:noWrap w:val="0"/>
            <w:tcMar>
              <w:top w:w="15" w:type="dxa"/>
              <w:left w:w="15" w:type="dxa"/>
              <w:bottom w:w="0" w:type="dxa"/>
              <w:right w:w="15" w:type="dxa"/>
            </w:tcMar>
            <w:vAlign w:val="center"/>
          </w:tcPr>
          <w:p w14:paraId="70F9A544">
            <w:pPr>
              <w:pStyle w:val="62"/>
              <w:keepNext w:val="0"/>
              <w:keepLines w:val="0"/>
              <w:pageBreakBefore w:val="0"/>
              <w:tabs>
                <w:tab w:val="left" w:pos="420"/>
              </w:tabs>
              <w:kinsoku/>
              <w:wordWrap/>
              <w:overflowPunct/>
              <w:topLinePunct w:val="0"/>
              <w:autoSpaceDE/>
              <w:autoSpaceDN/>
              <w:bidi w:val="0"/>
              <w:adjustRightInd/>
              <w:snapToGrid/>
              <w:spacing w:before="1" w:line="360" w:lineRule="auto"/>
              <w:ind w:left="-2" w:right="-38"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highlight w:val="none"/>
              </w:rPr>
              <w:t>投标有效期</w:t>
            </w:r>
          </w:p>
        </w:tc>
        <w:tc>
          <w:tcPr>
            <w:tcW w:w="7097" w:type="dxa"/>
            <w:tcBorders>
              <w:tl2br w:val="nil"/>
              <w:tr2bl w:val="nil"/>
            </w:tcBorders>
            <w:noWrap w:val="0"/>
            <w:tcMar>
              <w:top w:w="15" w:type="dxa"/>
              <w:left w:w="15" w:type="dxa"/>
              <w:bottom w:w="0" w:type="dxa"/>
              <w:right w:w="15" w:type="dxa"/>
            </w:tcMar>
            <w:vAlign w:val="center"/>
          </w:tcPr>
          <w:p w14:paraId="5ADDC577">
            <w:pPr>
              <w:keepNext w:val="0"/>
              <w:keepLines w:val="0"/>
              <w:pageBreakBefore w:val="0"/>
              <w:tabs>
                <w:tab w:val="left" w:pos="4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日历天（从提交投标文件的截止之日起算）</w:t>
            </w:r>
          </w:p>
        </w:tc>
      </w:tr>
      <w:tr w14:paraId="5AEAF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38" w:hRule="atLeast"/>
          <w:jc w:val="center"/>
        </w:trPr>
        <w:tc>
          <w:tcPr>
            <w:tcW w:w="1882" w:type="dxa"/>
            <w:tcBorders>
              <w:tl2br w:val="nil"/>
              <w:tr2bl w:val="nil"/>
            </w:tcBorders>
            <w:noWrap w:val="0"/>
            <w:tcMar>
              <w:top w:w="15" w:type="dxa"/>
              <w:left w:w="15" w:type="dxa"/>
              <w:bottom w:w="0" w:type="dxa"/>
              <w:right w:w="15" w:type="dxa"/>
            </w:tcMar>
            <w:vAlign w:val="center"/>
          </w:tcPr>
          <w:p w14:paraId="0C868DCB">
            <w:pPr>
              <w:pStyle w:val="62"/>
              <w:keepNext w:val="0"/>
              <w:keepLines w:val="0"/>
              <w:pageBreakBefore w:val="0"/>
              <w:tabs>
                <w:tab w:val="left" w:pos="420"/>
              </w:tabs>
              <w:kinsoku/>
              <w:wordWrap/>
              <w:overflowPunct/>
              <w:topLinePunct w:val="0"/>
              <w:autoSpaceDE/>
              <w:autoSpaceDN/>
              <w:bidi w:val="0"/>
              <w:adjustRightInd/>
              <w:snapToGrid/>
              <w:spacing w:line="360" w:lineRule="auto"/>
              <w:ind w:left="-2" w:right="-38"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rPr>
              <w:t>其他声明</w:t>
            </w:r>
          </w:p>
        </w:tc>
        <w:tc>
          <w:tcPr>
            <w:tcW w:w="7097" w:type="dxa"/>
            <w:tcBorders>
              <w:tl2br w:val="nil"/>
              <w:tr2bl w:val="nil"/>
            </w:tcBorders>
            <w:noWrap w:val="0"/>
            <w:tcMar>
              <w:top w:w="15" w:type="dxa"/>
              <w:left w:w="15" w:type="dxa"/>
              <w:bottom w:w="0" w:type="dxa"/>
              <w:right w:w="15" w:type="dxa"/>
            </w:tcMar>
            <w:vAlign w:val="center"/>
          </w:tcPr>
          <w:p w14:paraId="44F8ADE0">
            <w:pPr>
              <w:keepNext w:val="0"/>
              <w:keepLines w:val="0"/>
              <w:pageBreakBefore w:val="0"/>
              <w:tabs>
                <w:tab w:val="left" w:pos="4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Cs w:val="21"/>
                <w:highlight w:val="none"/>
              </w:rPr>
            </w:pPr>
          </w:p>
        </w:tc>
      </w:tr>
    </w:tbl>
    <w:p w14:paraId="12532A06">
      <w:pPr>
        <w:keepNext w:val="0"/>
        <w:keepLines w:val="0"/>
        <w:pageBreakBefore w:val="0"/>
        <w:widowControl/>
        <w:tabs>
          <w:tab w:val="left" w:pos="420"/>
        </w:tabs>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auto"/>
          <w:kern w:val="0"/>
          <w:szCs w:val="21"/>
          <w:highlight w:val="none"/>
          <w:lang w:bidi="ar"/>
        </w:rPr>
      </w:pPr>
    </w:p>
    <w:p w14:paraId="71C47DF3">
      <w:pPr>
        <w:keepNext w:val="0"/>
        <w:keepLines w:val="0"/>
        <w:pageBreakBefore w:val="0"/>
        <w:tabs>
          <w:tab w:val="left" w:pos="420"/>
        </w:tabs>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注：</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本表投标</w:t>
      </w:r>
      <w:r>
        <w:rPr>
          <w:rFonts w:hint="eastAsia" w:ascii="宋体" w:hAnsi="宋体" w:eastAsia="宋体" w:cs="宋体"/>
          <w:color w:val="auto"/>
          <w:sz w:val="24"/>
          <w:szCs w:val="24"/>
          <w:highlight w:val="none"/>
          <w:lang w:val="en-US" w:eastAsia="zh-CN"/>
        </w:rPr>
        <w:t>总报</w:t>
      </w:r>
      <w:r>
        <w:rPr>
          <w:rFonts w:hint="eastAsia" w:ascii="宋体" w:hAnsi="宋体" w:eastAsia="宋体" w:cs="宋体"/>
          <w:color w:val="auto"/>
          <w:sz w:val="24"/>
          <w:szCs w:val="24"/>
          <w:highlight w:val="none"/>
          <w:lang w:eastAsia="zh-CN"/>
        </w:rPr>
        <w:t>价应与“</w:t>
      </w:r>
      <w:r>
        <w:rPr>
          <w:rFonts w:hint="eastAsia" w:ascii="宋体" w:hAnsi="宋体" w:eastAsia="宋体" w:cs="宋体"/>
          <w:color w:val="auto"/>
          <w:sz w:val="24"/>
          <w:szCs w:val="24"/>
          <w:highlight w:val="none"/>
          <w:lang w:val="en-US" w:eastAsia="zh-CN"/>
        </w:rPr>
        <w:t>分项报价明细表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的报价合计金额</w:t>
      </w:r>
      <w:r>
        <w:rPr>
          <w:rFonts w:hint="eastAsia" w:ascii="宋体" w:hAnsi="宋体" w:eastAsia="宋体" w:cs="宋体"/>
          <w:color w:val="auto"/>
          <w:sz w:val="24"/>
          <w:szCs w:val="24"/>
          <w:highlight w:val="none"/>
          <w:lang w:eastAsia="zh-CN"/>
        </w:rPr>
        <w:t>一致。</w:t>
      </w:r>
    </w:p>
    <w:p w14:paraId="676AA224">
      <w:pPr>
        <w:keepNext w:val="0"/>
        <w:keepLines w:val="0"/>
        <w:pageBreakBefore w:val="0"/>
        <w:tabs>
          <w:tab w:val="left" w:pos="420"/>
        </w:tabs>
        <w:kinsoku/>
        <w:wordWrap/>
        <w:overflowPunct/>
        <w:topLinePunct w:val="0"/>
        <w:autoSpaceDE/>
        <w:autoSpaceDN/>
        <w:bidi w:val="0"/>
        <w:adjustRightInd/>
        <w:snapToGrid/>
        <w:spacing w:line="360" w:lineRule="auto"/>
        <w:ind w:left="0" w:firstLine="960" w:firstLineChars="4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val="en-US" w:eastAsia="zh-CN"/>
        </w:rPr>
        <w:t>.本表中</w:t>
      </w:r>
      <w:r>
        <w:rPr>
          <w:rFonts w:hint="eastAsia" w:ascii="宋体" w:hAnsi="宋体" w:eastAsia="宋体" w:cs="宋体"/>
          <w:color w:val="auto"/>
          <w:sz w:val="24"/>
          <w:szCs w:val="24"/>
          <w:highlight w:val="none"/>
          <w:lang w:eastAsia="zh-CN"/>
        </w:rPr>
        <w:t>只允许有一个投标报价，大小写不一致的以大写为准。</w:t>
      </w:r>
    </w:p>
    <w:p w14:paraId="2D82B92E">
      <w:pPr>
        <w:keepNext w:val="0"/>
        <w:keepLines w:val="0"/>
        <w:pageBreakBefore w:val="0"/>
        <w:tabs>
          <w:tab w:val="left" w:pos="420"/>
        </w:tabs>
        <w:kinsoku/>
        <w:wordWrap/>
        <w:overflowPunct/>
        <w:topLinePunct w:val="0"/>
        <w:autoSpaceDE/>
        <w:autoSpaceDN/>
        <w:bidi w:val="0"/>
        <w:adjustRightInd/>
        <w:snapToGrid/>
        <w:spacing w:line="360" w:lineRule="auto"/>
        <w:ind w:left="0" w:firstLine="4080" w:firstLineChars="1700"/>
        <w:textAlignment w:val="auto"/>
        <w:rPr>
          <w:rFonts w:hint="eastAsia" w:ascii="宋体" w:hAnsi="宋体" w:eastAsia="宋体" w:cs="宋体"/>
          <w:color w:val="auto"/>
          <w:sz w:val="24"/>
          <w:szCs w:val="24"/>
          <w:highlight w:val="none"/>
          <w:lang w:eastAsia="zh-CN"/>
        </w:rPr>
      </w:pPr>
    </w:p>
    <w:p w14:paraId="702FCA12">
      <w:pPr>
        <w:keepNext w:val="0"/>
        <w:keepLines w:val="0"/>
        <w:pageBreakBefore w:val="0"/>
        <w:tabs>
          <w:tab w:val="left" w:pos="420"/>
        </w:tabs>
        <w:kinsoku/>
        <w:wordWrap/>
        <w:overflowPunct/>
        <w:topLinePunct w:val="0"/>
        <w:autoSpaceDE/>
        <w:autoSpaceDN/>
        <w:bidi w:val="0"/>
        <w:adjustRightInd/>
        <w:snapToGrid/>
        <w:spacing w:line="360" w:lineRule="auto"/>
        <w:ind w:left="0" w:firstLine="4320" w:firstLine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w:t>
      </w:r>
    </w:p>
    <w:p w14:paraId="577C1762">
      <w:pPr>
        <w:keepNext w:val="0"/>
        <w:keepLines w:val="0"/>
        <w:pageBreakBefore w:val="0"/>
        <w:widowControl/>
        <w:tabs>
          <w:tab w:val="left" w:pos="420"/>
        </w:tabs>
        <w:kinsoku/>
        <w:wordWrap/>
        <w:overflowPunct/>
        <w:topLinePunct w:val="0"/>
        <w:autoSpaceDE/>
        <w:autoSpaceDN/>
        <w:bidi w:val="0"/>
        <w:adjustRightInd/>
        <w:snapToGrid/>
        <w:spacing w:line="360" w:lineRule="auto"/>
        <w:ind w:left="0" w:firstLine="4320" w:firstLine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签字或盖章</w:t>
      </w:r>
      <w:r>
        <w:rPr>
          <w:rFonts w:hint="eastAsia" w:ascii="宋体" w:hAnsi="宋体" w:eastAsia="宋体" w:cs="宋体"/>
          <w:color w:val="auto"/>
          <w:sz w:val="24"/>
          <w:szCs w:val="24"/>
          <w:highlight w:val="none"/>
        </w:rPr>
        <w:t>）</w:t>
      </w:r>
    </w:p>
    <w:p w14:paraId="27C15AC7">
      <w:pPr>
        <w:keepNext w:val="0"/>
        <w:keepLines w:val="0"/>
        <w:pageBreakBefore w:val="0"/>
        <w:widowControl/>
        <w:tabs>
          <w:tab w:val="left" w:pos="420"/>
        </w:tabs>
        <w:kinsoku/>
        <w:wordWrap/>
        <w:overflowPunct/>
        <w:topLinePunct w:val="0"/>
        <w:autoSpaceDE/>
        <w:autoSpaceDN/>
        <w:bidi w:val="0"/>
        <w:adjustRightInd/>
        <w:snapToGrid/>
        <w:spacing w:line="360" w:lineRule="auto"/>
        <w:ind w:left="0" w:firstLine="4320" w:firstLineChars="1800"/>
        <w:jc w:val="both"/>
        <w:textAlignment w:val="auto"/>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日   期：</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年</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月</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 xml:space="preserve">日 </w:t>
      </w:r>
    </w:p>
    <w:p w14:paraId="70B8D493">
      <w:pPr>
        <w:keepNext w:val="0"/>
        <w:keepLines w:val="0"/>
        <w:pageBreakBefore w:val="0"/>
        <w:widowControl/>
        <w:kinsoku/>
        <w:wordWrap/>
        <w:overflowPunct/>
        <w:topLinePunct w:val="0"/>
        <w:autoSpaceDE/>
        <w:autoSpaceDN/>
        <w:bidi w:val="0"/>
        <w:adjustRightInd/>
        <w:snapToGrid/>
        <w:spacing w:line="240" w:lineRule="auto"/>
        <w:ind w:left="0" w:firstLine="0" w:firstLineChars="0"/>
        <w:jc w:val="left"/>
        <w:textAlignment w:val="auto"/>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br w:type="page"/>
      </w:r>
    </w:p>
    <w:p w14:paraId="788F7EDF">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outlineLvl w:val="9"/>
        <w:rPr>
          <w:rFonts w:hint="eastAsia" w:ascii="宋体" w:hAnsi="宋体" w:eastAsia="宋体" w:cs="宋体"/>
          <w:color w:val="auto"/>
          <w:kern w:val="0"/>
          <w:sz w:val="24"/>
          <w:szCs w:val="24"/>
          <w:highlight w:val="none"/>
          <w:lang w:bidi="ar"/>
        </w:rPr>
      </w:pPr>
      <w:r>
        <w:rPr>
          <w:rFonts w:hint="eastAsia" w:ascii="宋体" w:hAnsi="宋体" w:cs="宋体"/>
          <w:b/>
          <w:color w:val="auto"/>
          <w:kern w:val="0"/>
          <w:sz w:val="30"/>
          <w:szCs w:val="30"/>
          <w:highlight w:val="none"/>
          <w:lang w:val="en-US" w:eastAsia="zh-CN"/>
        </w:rPr>
        <w:t>2</w:t>
      </w:r>
      <w:r>
        <w:rPr>
          <w:rFonts w:hint="eastAsia" w:ascii="宋体" w:hAnsi="宋体" w:eastAsia="宋体" w:cs="宋体"/>
          <w:b/>
          <w:color w:val="auto"/>
          <w:kern w:val="0"/>
          <w:sz w:val="30"/>
          <w:szCs w:val="30"/>
          <w:highlight w:val="none"/>
        </w:rPr>
        <w:t>.2 分项报价明细表</w:t>
      </w:r>
    </w:p>
    <w:tbl>
      <w:tblPr>
        <w:tblStyle w:val="33"/>
        <w:tblW w:w="95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851"/>
        <w:gridCol w:w="849"/>
        <w:gridCol w:w="2518"/>
        <w:gridCol w:w="772"/>
        <w:gridCol w:w="723"/>
        <w:gridCol w:w="818"/>
        <w:gridCol w:w="937"/>
        <w:gridCol w:w="819"/>
      </w:tblGrid>
      <w:tr w14:paraId="4CD33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22" w:hRule="atLeast"/>
          <w:jc w:val="center"/>
        </w:trPr>
        <w:tc>
          <w:tcPr>
            <w:tcW w:w="1307" w:type="dxa"/>
            <w:vMerge w:val="restart"/>
            <w:tcBorders>
              <w:tl2br w:val="nil"/>
              <w:tr2bl w:val="nil"/>
            </w:tcBorders>
            <w:noWrap/>
            <w:vAlign w:val="center"/>
          </w:tcPr>
          <w:p w14:paraId="2C73CE25">
            <w:pPr>
              <w:pStyle w:val="62"/>
              <w:tabs>
                <w:tab w:val="left" w:pos="420"/>
              </w:tabs>
              <w:spacing w:line="360" w:lineRule="auto"/>
              <w:ind w:left="-2" w:right="-38"/>
              <w:jc w:val="center"/>
              <w:rPr>
                <w:rFonts w:hint="eastAsia"/>
                <w:bCs w:val="0"/>
                <w:color w:val="auto"/>
                <w:highlight w:val="none"/>
                <w:lang w:val="en-US"/>
              </w:rPr>
            </w:pPr>
            <w:r>
              <w:rPr>
                <w:rFonts w:hint="eastAsia"/>
                <w:bCs w:val="0"/>
                <w:color w:val="auto"/>
                <w:highlight w:val="none"/>
                <w:lang w:val="en-US"/>
              </w:rPr>
              <w:t>名称</w:t>
            </w:r>
          </w:p>
        </w:tc>
        <w:tc>
          <w:tcPr>
            <w:tcW w:w="4218" w:type="dxa"/>
            <w:gridSpan w:val="3"/>
            <w:tcBorders>
              <w:tl2br w:val="nil"/>
              <w:tr2bl w:val="nil"/>
            </w:tcBorders>
            <w:noWrap/>
            <w:vAlign w:val="center"/>
          </w:tcPr>
          <w:p w14:paraId="71B82F97">
            <w:pPr>
              <w:pStyle w:val="62"/>
              <w:tabs>
                <w:tab w:val="left" w:pos="420"/>
              </w:tabs>
              <w:spacing w:line="360" w:lineRule="auto"/>
              <w:ind w:left="-2" w:right="-38" w:firstLine="1680" w:firstLineChars="800"/>
              <w:rPr>
                <w:rFonts w:hint="eastAsia"/>
                <w:bCs w:val="0"/>
                <w:color w:val="auto"/>
                <w:highlight w:val="none"/>
                <w:lang w:val="en-US"/>
              </w:rPr>
            </w:pPr>
            <w:r>
              <w:rPr>
                <w:rFonts w:hint="eastAsia"/>
                <w:bCs w:val="0"/>
                <w:color w:val="auto"/>
                <w:highlight w:val="none"/>
                <w:lang w:val="en-US"/>
              </w:rPr>
              <w:t>所投设备</w:t>
            </w:r>
          </w:p>
        </w:tc>
        <w:tc>
          <w:tcPr>
            <w:tcW w:w="772" w:type="dxa"/>
            <w:vMerge w:val="restart"/>
            <w:tcBorders>
              <w:tl2br w:val="nil"/>
              <w:tr2bl w:val="nil"/>
            </w:tcBorders>
            <w:noWrap/>
            <w:vAlign w:val="center"/>
          </w:tcPr>
          <w:p w14:paraId="42069F01">
            <w:pPr>
              <w:pStyle w:val="62"/>
              <w:tabs>
                <w:tab w:val="left" w:pos="420"/>
              </w:tabs>
              <w:spacing w:line="360" w:lineRule="auto"/>
              <w:ind w:left="-2" w:right="-38"/>
              <w:jc w:val="center"/>
              <w:rPr>
                <w:rFonts w:hint="eastAsia"/>
                <w:bCs w:val="0"/>
                <w:color w:val="auto"/>
                <w:highlight w:val="none"/>
                <w:lang w:val="en-US"/>
              </w:rPr>
            </w:pPr>
            <w:r>
              <w:rPr>
                <w:rFonts w:hint="eastAsia"/>
                <w:bCs w:val="0"/>
                <w:color w:val="auto"/>
                <w:highlight w:val="none"/>
                <w:lang w:val="en-US"/>
              </w:rPr>
              <w:t>数量</w:t>
            </w:r>
          </w:p>
        </w:tc>
        <w:tc>
          <w:tcPr>
            <w:tcW w:w="723" w:type="dxa"/>
            <w:vMerge w:val="restart"/>
            <w:tcBorders>
              <w:tl2br w:val="nil"/>
              <w:tr2bl w:val="nil"/>
            </w:tcBorders>
            <w:noWrap/>
            <w:vAlign w:val="center"/>
          </w:tcPr>
          <w:p w14:paraId="130EB99D">
            <w:pPr>
              <w:pStyle w:val="62"/>
              <w:tabs>
                <w:tab w:val="left" w:pos="420"/>
              </w:tabs>
              <w:spacing w:line="360" w:lineRule="auto"/>
              <w:ind w:left="-2" w:right="-38"/>
              <w:jc w:val="center"/>
              <w:rPr>
                <w:rFonts w:hint="eastAsia"/>
                <w:bCs w:val="0"/>
                <w:color w:val="auto"/>
                <w:highlight w:val="none"/>
                <w:lang w:val="en-US"/>
              </w:rPr>
            </w:pPr>
            <w:r>
              <w:rPr>
                <w:rFonts w:hint="eastAsia"/>
                <w:bCs w:val="0"/>
                <w:color w:val="auto"/>
                <w:highlight w:val="none"/>
                <w:lang w:val="en-US"/>
              </w:rPr>
              <w:t>单位</w:t>
            </w:r>
          </w:p>
        </w:tc>
        <w:tc>
          <w:tcPr>
            <w:tcW w:w="818" w:type="dxa"/>
            <w:vMerge w:val="restart"/>
            <w:tcBorders>
              <w:tl2br w:val="nil"/>
              <w:tr2bl w:val="nil"/>
            </w:tcBorders>
            <w:noWrap/>
            <w:vAlign w:val="center"/>
          </w:tcPr>
          <w:p w14:paraId="36F3841E">
            <w:pPr>
              <w:pStyle w:val="62"/>
              <w:tabs>
                <w:tab w:val="left" w:pos="420"/>
              </w:tabs>
              <w:spacing w:line="360" w:lineRule="auto"/>
              <w:ind w:left="-2" w:right="-38" w:firstLine="0"/>
              <w:rPr>
                <w:rFonts w:hint="eastAsia"/>
                <w:bCs w:val="0"/>
                <w:color w:val="auto"/>
                <w:highlight w:val="none"/>
                <w:lang w:val="en-US"/>
              </w:rPr>
            </w:pPr>
          </w:p>
          <w:p w14:paraId="372042B3">
            <w:pPr>
              <w:pStyle w:val="62"/>
              <w:tabs>
                <w:tab w:val="left" w:pos="420"/>
              </w:tabs>
              <w:spacing w:line="360" w:lineRule="auto"/>
              <w:ind w:left="-2" w:right="-38"/>
              <w:jc w:val="center"/>
              <w:rPr>
                <w:rFonts w:hint="eastAsia"/>
                <w:bCs w:val="0"/>
                <w:color w:val="auto"/>
                <w:highlight w:val="none"/>
                <w:lang w:val="en-US"/>
              </w:rPr>
            </w:pPr>
            <w:r>
              <w:rPr>
                <w:rFonts w:hint="eastAsia"/>
                <w:bCs w:val="0"/>
                <w:color w:val="auto"/>
                <w:highlight w:val="none"/>
                <w:lang w:val="en-US"/>
              </w:rPr>
              <w:t>单价（元）</w:t>
            </w:r>
          </w:p>
          <w:p w14:paraId="6BAB91A9">
            <w:pPr>
              <w:pStyle w:val="62"/>
              <w:tabs>
                <w:tab w:val="left" w:pos="420"/>
              </w:tabs>
              <w:spacing w:line="360" w:lineRule="auto"/>
              <w:ind w:left="-2" w:right="-38" w:firstLine="0"/>
              <w:rPr>
                <w:rFonts w:hint="eastAsia"/>
                <w:bCs w:val="0"/>
                <w:color w:val="auto"/>
                <w:highlight w:val="none"/>
                <w:lang w:val="en-US"/>
              </w:rPr>
            </w:pPr>
          </w:p>
        </w:tc>
        <w:tc>
          <w:tcPr>
            <w:tcW w:w="937" w:type="dxa"/>
            <w:vMerge w:val="restart"/>
            <w:tcBorders>
              <w:tl2br w:val="nil"/>
              <w:tr2bl w:val="nil"/>
            </w:tcBorders>
            <w:noWrap/>
            <w:vAlign w:val="center"/>
          </w:tcPr>
          <w:p w14:paraId="2FFFE8EC">
            <w:pPr>
              <w:pStyle w:val="62"/>
              <w:tabs>
                <w:tab w:val="left" w:pos="420"/>
              </w:tabs>
              <w:spacing w:line="360" w:lineRule="auto"/>
              <w:ind w:left="-2" w:right="-38"/>
              <w:jc w:val="center"/>
              <w:rPr>
                <w:rFonts w:hint="eastAsia"/>
                <w:bCs w:val="0"/>
                <w:color w:val="auto"/>
                <w:highlight w:val="none"/>
                <w:lang w:val="en-US"/>
              </w:rPr>
            </w:pPr>
            <w:r>
              <w:rPr>
                <w:rFonts w:hint="eastAsia"/>
                <w:bCs w:val="0"/>
                <w:color w:val="auto"/>
                <w:highlight w:val="none"/>
                <w:lang w:val="en-US"/>
              </w:rPr>
              <w:t>合价（元）</w:t>
            </w:r>
          </w:p>
        </w:tc>
        <w:tc>
          <w:tcPr>
            <w:tcW w:w="819" w:type="dxa"/>
            <w:vMerge w:val="restart"/>
            <w:tcBorders>
              <w:tl2br w:val="nil"/>
              <w:tr2bl w:val="nil"/>
            </w:tcBorders>
            <w:noWrap/>
            <w:vAlign w:val="center"/>
          </w:tcPr>
          <w:p w14:paraId="537883C5">
            <w:pPr>
              <w:pStyle w:val="62"/>
              <w:tabs>
                <w:tab w:val="left" w:pos="420"/>
              </w:tabs>
              <w:spacing w:line="360" w:lineRule="auto"/>
              <w:ind w:left="-2" w:right="-38" w:firstLine="0"/>
              <w:jc w:val="center"/>
              <w:rPr>
                <w:rFonts w:hint="eastAsia"/>
                <w:bCs w:val="0"/>
                <w:color w:val="auto"/>
                <w:highlight w:val="none"/>
                <w:lang w:val="en-US"/>
              </w:rPr>
            </w:pPr>
          </w:p>
          <w:p w14:paraId="5685246C">
            <w:pPr>
              <w:pStyle w:val="62"/>
              <w:tabs>
                <w:tab w:val="left" w:pos="420"/>
              </w:tabs>
              <w:spacing w:line="360" w:lineRule="auto"/>
              <w:ind w:left="-2" w:right="-38"/>
              <w:jc w:val="center"/>
              <w:rPr>
                <w:rFonts w:hint="eastAsia"/>
                <w:bCs w:val="0"/>
                <w:color w:val="auto"/>
                <w:highlight w:val="none"/>
                <w:lang w:val="en-US"/>
              </w:rPr>
            </w:pPr>
            <w:r>
              <w:rPr>
                <w:rFonts w:hint="eastAsia"/>
                <w:bCs w:val="0"/>
                <w:color w:val="auto"/>
                <w:highlight w:val="none"/>
                <w:lang w:val="en-US"/>
              </w:rPr>
              <w:t>执行标准</w:t>
            </w:r>
          </w:p>
        </w:tc>
      </w:tr>
      <w:tr w14:paraId="6CE4E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1307" w:type="dxa"/>
            <w:vMerge w:val="continue"/>
            <w:tcBorders>
              <w:tl2br w:val="nil"/>
              <w:tr2bl w:val="nil"/>
            </w:tcBorders>
            <w:noWrap/>
            <w:vAlign w:val="center"/>
          </w:tcPr>
          <w:p w14:paraId="5CF4D235">
            <w:pPr>
              <w:pStyle w:val="62"/>
              <w:tabs>
                <w:tab w:val="left" w:pos="420"/>
              </w:tabs>
              <w:spacing w:line="360" w:lineRule="auto"/>
              <w:ind w:left="-2" w:right="-38" w:firstLine="0"/>
              <w:rPr>
                <w:rFonts w:hint="eastAsia"/>
                <w:bCs w:val="0"/>
                <w:color w:val="auto"/>
                <w:highlight w:val="none"/>
                <w:lang w:val="en-US"/>
              </w:rPr>
            </w:pPr>
          </w:p>
        </w:tc>
        <w:tc>
          <w:tcPr>
            <w:tcW w:w="851" w:type="dxa"/>
            <w:tcBorders>
              <w:tl2br w:val="nil"/>
              <w:tr2bl w:val="nil"/>
            </w:tcBorders>
            <w:noWrap/>
            <w:vAlign w:val="center"/>
          </w:tcPr>
          <w:p w14:paraId="37311F95">
            <w:pPr>
              <w:pStyle w:val="62"/>
              <w:tabs>
                <w:tab w:val="left" w:pos="420"/>
              </w:tabs>
              <w:spacing w:line="360" w:lineRule="auto"/>
              <w:ind w:left="-2" w:right="-38"/>
              <w:jc w:val="center"/>
              <w:rPr>
                <w:rFonts w:hint="eastAsia"/>
                <w:bCs w:val="0"/>
                <w:color w:val="auto"/>
                <w:highlight w:val="none"/>
                <w:lang w:val="en-US"/>
              </w:rPr>
            </w:pPr>
            <w:r>
              <w:rPr>
                <w:rFonts w:hint="eastAsia"/>
                <w:bCs w:val="0"/>
                <w:color w:val="auto"/>
                <w:highlight w:val="none"/>
                <w:lang w:val="en-US"/>
              </w:rPr>
              <w:t>品牌</w:t>
            </w:r>
          </w:p>
        </w:tc>
        <w:tc>
          <w:tcPr>
            <w:tcW w:w="849" w:type="dxa"/>
            <w:tcBorders>
              <w:tl2br w:val="nil"/>
              <w:tr2bl w:val="nil"/>
            </w:tcBorders>
            <w:noWrap/>
            <w:vAlign w:val="center"/>
          </w:tcPr>
          <w:p w14:paraId="72957948">
            <w:pPr>
              <w:pStyle w:val="62"/>
              <w:tabs>
                <w:tab w:val="left" w:pos="420"/>
              </w:tabs>
              <w:spacing w:line="360" w:lineRule="auto"/>
              <w:ind w:left="-2" w:right="-38"/>
              <w:jc w:val="center"/>
              <w:rPr>
                <w:rFonts w:hint="eastAsia"/>
                <w:bCs w:val="0"/>
                <w:color w:val="auto"/>
                <w:highlight w:val="none"/>
                <w:lang w:val="en-US"/>
              </w:rPr>
            </w:pPr>
            <w:r>
              <w:rPr>
                <w:rFonts w:hint="eastAsia"/>
                <w:bCs w:val="0"/>
                <w:color w:val="auto"/>
                <w:highlight w:val="none"/>
                <w:lang w:val="en-US"/>
              </w:rPr>
              <w:t>型号</w:t>
            </w:r>
          </w:p>
        </w:tc>
        <w:tc>
          <w:tcPr>
            <w:tcW w:w="2518" w:type="dxa"/>
            <w:tcBorders>
              <w:tl2br w:val="nil"/>
              <w:tr2bl w:val="nil"/>
            </w:tcBorders>
            <w:noWrap/>
            <w:vAlign w:val="center"/>
          </w:tcPr>
          <w:p w14:paraId="6B5ABD68">
            <w:pPr>
              <w:pStyle w:val="62"/>
              <w:tabs>
                <w:tab w:val="left" w:pos="420"/>
              </w:tabs>
              <w:spacing w:line="360" w:lineRule="auto"/>
              <w:ind w:left="-2" w:right="-38" w:firstLine="0"/>
              <w:jc w:val="center"/>
              <w:rPr>
                <w:rFonts w:hint="eastAsia"/>
                <w:bCs w:val="0"/>
                <w:color w:val="auto"/>
                <w:highlight w:val="none"/>
                <w:lang w:val="en-US"/>
              </w:rPr>
            </w:pPr>
            <w:r>
              <w:rPr>
                <w:rFonts w:hint="eastAsia"/>
                <w:bCs w:val="0"/>
                <w:color w:val="auto"/>
                <w:highlight w:val="none"/>
                <w:lang w:val="en-US"/>
              </w:rPr>
              <w:t>技术参数</w:t>
            </w:r>
          </w:p>
        </w:tc>
        <w:tc>
          <w:tcPr>
            <w:tcW w:w="772" w:type="dxa"/>
            <w:vMerge w:val="continue"/>
            <w:tcBorders>
              <w:tl2br w:val="nil"/>
              <w:tr2bl w:val="nil"/>
            </w:tcBorders>
            <w:noWrap/>
            <w:vAlign w:val="center"/>
          </w:tcPr>
          <w:p w14:paraId="13214189">
            <w:pPr>
              <w:pStyle w:val="62"/>
              <w:tabs>
                <w:tab w:val="left" w:pos="420"/>
              </w:tabs>
              <w:spacing w:line="360" w:lineRule="auto"/>
              <w:ind w:left="-2" w:right="-38" w:firstLine="0"/>
              <w:rPr>
                <w:rFonts w:hint="eastAsia"/>
                <w:bCs w:val="0"/>
                <w:color w:val="auto"/>
                <w:highlight w:val="none"/>
                <w:lang w:val="en-US"/>
              </w:rPr>
            </w:pPr>
          </w:p>
        </w:tc>
        <w:tc>
          <w:tcPr>
            <w:tcW w:w="723" w:type="dxa"/>
            <w:vMerge w:val="continue"/>
            <w:tcBorders>
              <w:tl2br w:val="nil"/>
              <w:tr2bl w:val="nil"/>
            </w:tcBorders>
            <w:noWrap/>
            <w:vAlign w:val="center"/>
          </w:tcPr>
          <w:p w14:paraId="7DDBD6E5">
            <w:pPr>
              <w:pStyle w:val="62"/>
              <w:tabs>
                <w:tab w:val="left" w:pos="420"/>
              </w:tabs>
              <w:spacing w:line="360" w:lineRule="auto"/>
              <w:ind w:left="-2" w:right="-38" w:firstLine="0"/>
              <w:rPr>
                <w:rFonts w:hint="eastAsia"/>
                <w:bCs w:val="0"/>
                <w:color w:val="auto"/>
                <w:highlight w:val="none"/>
                <w:lang w:val="en-US"/>
              </w:rPr>
            </w:pPr>
          </w:p>
        </w:tc>
        <w:tc>
          <w:tcPr>
            <w:tcW w:w="818" w:type="dxa"/>
            <w:vMerge w:val="continue"/>
            <w:tcBorders>
              <w:tl2br w:val="nil"/>
              <w:tr2bl w:val="nil"/>
            </w:tcBorders>
            <w:noWrap/>
            <w:vAlign w:val="center"/>
          </w:tcPr>
          <w:p w14:paraId="75CFFCE2">
            <w:pPr>
              <w:pStyle w:val="62"/>
              <w:tabs>
                <w:tab w:val="left" w:pos="420"/>
              </w:tabs>
              <w:spacing w:line="360" w:lineRule="auto"/>
              <w:ind w:left="-2" w:right="-38" w:firstLine="0"/>
              <w:rPr>
                <w:rFonts w:hint="eastAsia"/>
                <w:bCs w:val="0"/>
                <w:color w:val="auto"/>
                <w:highlight w:val="none"/>
                <w:lang w:val="en-US"/>
              </w:rPr>
            </w:pPr>
          </w:p>
        </w:tc>
        <w:tc>
          <w:tcPr>
            <w:tcW w:w="937" w:type="dxa"/>
            <w:vMerge w:val="continue"/>
            <w:tcBorders>
              <w:tl2br w:val="nil"/>
              <w:tr2bl w:val="nil"/>
            </w:tcBorders>
            <w:noWrap/>
            <w:vAlign w:val="center"/>
          </w:tcPr>
          <w:p w14:paraId="4725674E">
            <w:pPr>
              <w:pStyle w:val="62"/>
              <w:tabs>
                <w:tab w:val="left" w:pos="420"/>
              </w:tabs>
              <w:spacing w:line="360" w:lineRule="auto"/>
              <w:ind w:left="-2" w:right="-38" w:firstLine="0"/>
              <w:rPr>
                <w:rFonts w:hint="eastAsia"/>
                <w:bCs w:val="0"/>
                <w:color w:val="auto"/>
                <w:highlight w:val="none"/>
                <w:lang w:val="en-US"/>
              </w:rPr>
            </w:pPr>
          </w:p>
        </w:tc>
        <w:tc>
          <w:tcPr>
            <w:tcW w:w="819" w:type="dxa"/>
            <w:vMerge w:val="continue"/>
            <w:tcBorders>
              <w:tl2br w:val="nil"/>
              <w:tr2bl w:val="nil"/>
            </w:tcBorders>
            <w:noWrap/>
            <w:vAlign w:val="center"/>
          </w:tcPr>
          <w:p w14:paraId="00F90943">
            <w:pPr>
              <w:pStyle w:val="62"/>
              <w:tabs>
                <w:tab w:val="left" w:pos="420"/>
              </w:tabs>
              <w:spacing w:line="360" w:lineRule="auto"/>
              <w:ind w:left="-2" w:right="-38" w:firstLine="0"/>
              <w:rPr>
                <w:rFonts w:hint="eastAsia"/>
                <w:bCs w:val="0"/>
                <w:color w:val="auto"/>
                <w:highlight w:val="none"/>
                <w:lang w:val="en-US"/>
              </w:rPr>
            </w:pPr>
          </w:p>
        </w:tc>
      </w:tr>
      <w:tr w14:paraId="2FD54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84" w:hRule="atLeast"/>
          <w:jc w:val="center"/>
        </w:trPr>
        <w:tc>
          <w:tcPr>
            <w:tcW w:w="1307" w:type="dxa"/>
            <w:tcBorders>
              <w:tl2br w:val="nil"/>
              <w:tr2bl w:val="nil"/>
            </w:tcBorders>
            <w:noWrap/>
            <w:vAlign w:val="center"/>
          </w:tcPr>
          <w:p w14:paraId="259920E8">
            <w:pPr>
              <w:pStyle w:val="62"/>
              <w:tabs>
                <w:tab w:val="left" w:pos="420"/>
              </w:tabs>
              <w:spacing w:line="360" w:lineRule="auto"/>
              <w:ind w:left="-2" w:right="-38"/>
              <w:rPr>
                <w:rFonts w:hint="eastAsia" w:ascii="宋体" w:hAnsi="宋体" w:cs="宋体"/>
                <w:bCs w:val="0"/>
                <w:color w:val="auto"/>
                <w:sz w:val="21"/>
                <w:highlight w:val="none"/>
                <w:lang w:val="en-US"/>
              </w:rPr>
            </w:pPr>
          </w:p>
        </w:tc>
        <w:tc>
          <w:tcPr>
            <w:tcW w:w="851" w:type="dxa"/>
            <w:tcBorders>
              <w:tl2br w:val="nil"/>
              <w:tr2bl w:val="nil"/>
            </w:tcBorders>
            <w:noWrap/>
            <w:vAlign w:val="center"/>
          </w:tcPr>
          <w:p w14:paraId="7E902F6E">
            <w:pPr>
              <w:pStyle w:val="62"/>
              <w:tabs>
                <w:tab w:val="left" w:pos="420"/>
              </w:tabs>
              <w:spacing w:line="360" w:lineRule="auto"/>
              <w:ind w:left="-2" w:right="-38"/>
              <w:rPr>
                <w:rFonts w:hint="eastAsia" w:ascii="宋体" w:hAnsi="宋体" w:cs="宋体"/>
                <w:bCs w:val="0"/>
                <w:color w:val="auto"/>
                <w:sz w:val="21"/>
                <w:highlight w:val="none"/>
                <w:lang w:val="en-US"/>
              </w:rPr>
            </w:pPr>
          </w:p>
        </w:tc>
        <w:tc>
          <w:tcPr>
            <w:tcW w:w="849" w:type="dxa"/>
            <w:tcBorders>
              <w:tl2br w:val="nil"/>
              <w:tr2bl w:val="nil"/>
            </w:tcBorders>
            <w:noWrap/>
            <w:vAlign w:val="center"/>
          </w:tcPr>
          <w:p w14:paraId="7C789647">
            <w:pPr>
              <w:pStyle w:val="62"/>
              <w:tabs>
                <w:tab w:val="left" w:pos="420"/>
              </w:tabs>
              <w:spacing w:line="360" w:lineRule="auto"/>
              <w:ind w:left="-2" w:right="-38"/>
              <w:rPr>
                <w:rFonts w:hint="eastAsia" w:ascii="宋体" w:hAnsi="宋体" w:cs="宋体"/>
                <w:bCs w:val="0"/>
                <w:color w:val="auto"/>
                <w:sz w:val="21"/>
                <w:highlight w:val="none"/>
                <w:lang w:val="en-US"/>
              </w:rPr>
            </w:pPr>
          </w:p>
        </w:tc>
        <w:tc>
          <w:tcPr>
            <w:tcW w:w="2518" w:type="dxa"/>
            <w:tcBorders>
              <w:tl2br w:val="nil"/>
              <w:tr2bl w:val="nil"/>
            </w:tcBorders>
            <w:noWrap/>
            <w:vAlign w:val="center"/>
          </w:tcPr>
          <w:p w14:paraId="392A23CB">
            <w:pPr>
              <w:pStyle w:val="62"/>
              <w:tabs>
                <w:tab w:val="left" w:pos="420"/>
              </w:tabs>
              <w:spacing w:line="360" w:lineRule="auto"/>
              <w:ind w:left="-2" w:right="-38"/>
              <w:rPr>
                <w:rFonts w:hint="eastAsia" w:ascii="宋体" w:hAnsi="宋体" w:cs="宋体"/>
                <w:bCs w:val="0"/>
                <w:color w:val="auto"/>
                <w:sz w:val="21"/>
                <w:highlight w:val="none"/>
                <w:lang w:val="en-US"/>
              </w:rPr>
            </w:pPr>
          </w:p>
        </w:tc>
        <w:tc>
          <w:tcPr>
            <w:tcW w:w="772" w:type="dxa"/>
            <w:tcBorders>
              <w:tl2br w:val="nil"/>
              <w:tr2bl w:val="nil"/>
            </w:tcBorders>
            <w:noWrap/>
            <w:vAlign w:val="center"/>
          </w:tcPr>
          <w:p w14:paraId="20AC0248">
            <w:pPr>
              <w:pStyle w:val="62"/>
              <w:tabs>
                <w:tab w:val="left" w:pos="420"/>
              </w:tabs>
              <w:spacing w:line="360" w:lineRule="auto"/>
              <w:ind w:left="-2" w:right="-38"/>
              <w:rPr>
                <w:rFonts w:hint="eastAsia" w:ascii="宋体" w:hAnsi="宋体" w:cs="宋体"/>
                <w:bCs w:val="0"/>
                <w:color w:val="auto"/>
                <w:sz w:val="21"/>
                <w:highlight w:val="none"/>
                <w:lang w:val="en-US"/>
              </w:rPr>
            </w:pPr>
          </w:p>
        </w:tc>
        <w:tc>
          <w:tcPr>
            <w:tcW w:w="723" w:type="dxa"/>
            <w:tcBorders>
              <w:tl2br w:val="nil"/>
              <w:tr2bl w:val="nil"/>
            </w:tcBorders>
            <w:noWrap/>
            <w:vAlign w:val="center"/>
          </w:tcPr>
          <w:p w14:paraId="01E04E57">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8" w:type="dxa"/>
            <w:tcBorders>
              <w:tl2br w:val="nil"/>
              <w:tr2bl w:val="nil"/>
            </w:tcBorders>
            <w:noWrap/>
            <w:vAlign w:val="center"/>
          </w:tcPr>
          <w:p w14:paraId="152A0C57">
            <w:pPr>
              <w:pStyle w:val="62"/>
              <w:tabs>
                <w:tab w:val="left" w:pos="420"/>
              </w:tabs>
              <w:spacing w:line="360" w:lineRule="auto"/>
              <w:ind w:left="-2" w:right="-38"/>
              <w:rPr>
                <w:rFonts w:hint="eastAsia" w:ascii="宋体" w:hAnsi="宋体" w:cs="宋体"/>
                <w:bCs w:val="0"/>
                <w:color w:val="auto"/>
                <w:sz w:val="21"/>
                <w:highlight w:val="none"/>
                <w:lang w:val="en-US"/>
              </w:rPr>
            </w:pPr>
          </w:p>
        </w:tc>
        <w:tc>
          <w:tcPr>
            <w:tcW w:w="937" w:type="dxa"/>
            <w:tcBorders>
              <w:tl2br w:val="nil"/>
              <w:tr2bl w:val="nil"/>
            </w:tcBorders>
            <w:noWrap/>
            <w:vAlign w:val="center"/>
          </w:tcPr>
          <w:p w14:paraId="092829F2">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9" w:type="dxa"/>
            <w:tcBorders>
              <w:tl2br w:val="nil"/>
              <w:tr2bl w:val="nil"/>
            </w:tcBorders>
            <w:noWrap/>
            <w:vAlign w:val="center"/>
          </w:tcPr>
          <w:p w14:paraId="64DDE634">
            <w:pPr>
              <w:pStyle w:val="62"/>
              <w:tabs>
                <w:tab w:val="left" w:pos="420"/>
              </w:tabs>
              <w:spacing w:line="360" w:lineRule="auto"/>
              <w:ind w:left="-2" w:right="-38"/>
              <w:rPr>
                <w:rFonts w:hint="eastAsia" w:ascii="宋体" w:hAnsi="宋体" w:cs="宋体"/>
                <w:bCs w:val="0"/>
                <w:color w:val="auto"/>
                <w:sz w:val="21"/>
                <w:highlight w:val="none"/>
                <w:lang w:val="en-US"/>
              </w:rPr>
            </w:pPr>
            <w:r>
              <w:rPr>
                <w:rFonts w:hint="eastAsia" w:ascii="宋体" w:hAnsi="宋体" w:cs="宋体"/>
                <w:bCs w:val="0"/>
                <w:color w:val="auto"/>
                <w:sz w:val="21"/>
                <w:highlight w:val="none"/>
                <w:lang w:val="en-US"/>
              </w:rPr>
              <w:t>如：国家/行业标准...</w:t>
            </w:r>
          </w:p>
        </w:tc>
      </w:tr>
      <w:tr w14:paraId="4B568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307" w:type="dxa"/>
            <w:tcBorders>
              <w:tl2br w:val="nil"/>
              <w:tr2bl w:val="nil"/>
            </w:tcBorders>
            <w:noWrap/>
          </w:tcPr>
          <w:p w14:paraId="24609B11">
            <w:pPr>
              <w:pStyle w:val="62"/>
              <w:tabs>
                <w:tab w:val="left" w:pos="420"/>
              </w:tabs>
              <w:spacing w:line="360" w:lineRule="auto"/>
              <w:ind w:left="-2" w:right="-38"/>
              <w:rPr>
                <w:rFonts w:hint="eastAsia" w:ascii="宋体" w:hAnsi="宋体" w:cs="宋体"/>
                <w:bCs w:val="0"/>
                <w:color w:val="auto"/>
                <w:sz w:val="21"/>
                <w:highlight w:val="none"/>
                <w:lang w:val="en-US"/>
              </w:rPr>
            </w:pPr>
          </w:p>
        </w:tc>
        <w:tc>
          <w:tcPr>
            <w:tcW w:w="851" w:type="dxa"/>
            <w:tcBorders>
              <w:tl2br w:val="nil"/>
              <w:tr2bl w:val="nil"/>
            </w:tcBorders>
            <w:noWrap/>
          </w:tcPr>
          <w:p w14:paraId="2929B41E">
            <w:pPr>
              <w:pStyle w:val="62"/>
              <w:tabs>
                <w:tab w:val="left" w:pos="420"/>
              </w:tabs>
              <w:spacing w:line="360" w:lineRule="auto"/>
              <w:ind w:left="-2" w:right="-38"/>
              <w:rPr>
                <w:rFonts w:hint="eastAsia" w:ascii="宋体" w:hAnsi="宋体" w:cs="宋体"/>
                <w:bCs w:val="0"/>
                <w:color w:val="auto"/>
                <w:sz w:val="21"/>
                <w:highlight w:val="none"/>
                <w:lang w:val="en-US"/>
              </w:rPr>
            </w:pPr>
          </w:p>
        </w:tc>
        <w:tc>
          <w:tcPr>
            <w:tcW w:w="849" w:type="dxa"/>
            <w:tcBorders>
              <w:tl2br w:val="nil"/>
              <w:tr2bl w:val="nil"/>
            </w:tcBorders>
            <w:noWrap/>
          </w:tcPr>
          <w:p w14:paraId="3FEFADAD">
            <w:pPr>
              <w:pStyle w:val="62"/>
              <w:tabs>
                <w:tab w:val="left" w:pos="420"/>
              </w:tabs>
              <w:spacing w:line="360" w:lineRule="auto"/>
              <w:ind w:left="-2" w:right="-38"/>
              <w:rPr>
                <w:rFonts w:hint="eastAsia" w:ascii="宋体" w:hAnsi="宋体" w:cs="宋体"/>
                <w:bCs w:val="0"/>
                <w:color w:val="auto"/>
                <w:sz w:val="21"/>
                <w:highlight w:val="none"/>
                <w:lang w:val="en-US"/>
              </w:rPr>
            </w:pPr>
          </w:p>
        </w:tc>
        <w:tc>
          <w:tcPr>
            <w:tcW w:w="2518" w:type="dxa"/>
            <w:tcBorders>
              <w:tl2br w:val="nil"/>
              <w:tr2bl w:val="nil"/>
            </w:tcBorders>
            <w:noWrap/>
          </w:tcPr>
          <w:p w14:paraId="68E6AA53">
            <w:pPr>
              <w:pStyle w:val="62"/>
              <w:tabs>
                <w:tab w:val="left" w:pos="420"/>
              </w:tabs>
              <w:spacing w:line="360" w:lineRule="auto"/>
              <w:ind w:left="-2" w:right="-38"/>
              <w:rPr>
                <w:rFonts w:hint="eastAsia" w:ascii="宋体" w:hAnsi="宋体" w:cs="宋体"/>
                <w:bCs w:val="0"/>
                <w:color w:val="auto"/>
                <w:sz w:val="21"/>
                <w:highlight w:val="none"/>
                <w:lang w:val="en-US"/>
              </w:rPr>
            </w:pPr>
          </w:p>
        </w:tc>
        <w:tc>
          <w:tcPr>
            <w:tcW w:w="772" w:type="dxa"/>
            <w:tcBorders>
              <w:tl2br w:val="nil"/>
              <w:tr2bl w:val="nil"/>
            </w:tcBorders>
            <w:noWrap/>
          </w:tcPr>
          <w:p w14:paraId="7421223E">
            <w:pPr>
              <w:pStyle w:val="62"/>
              <w:tabs>
                <w:tab w:val="left" w:pos="420"/>
              </w:tabs>
              <w:spacing w:line="360" w:lineRule="auto"/>
              <w:ind w:left="-2" w:right="-38"/>
              <w:rPr>
                <w:rFonts w:hint="eastAsia" w:ascii="宋体" w:hAnsi="宋体" w:cs="宋体"/>
                <w:bCs w:val="0"/>
                <w:color w:val="auto"/>
                <w:sz w:val="21"/>
                <w:highlight w:val="none"/>
                <w:lang w:val="en-US"/>
              </w:rPr>
            </w:pPr>
          </w:p>
        </w:tc>
        <w:tc>
          <w:tcPr>
            <w:tcW w:w="723" w:type="dxa"/>
            <w:tcBorders>
              <w:tl2br w:val="nil"/>
              <w:tr2bl w:val="nil"/>
            </w:tcBorders>
            <w:noWrap/>
          </w:tcPr>
          <w:p w14:paraId="362B9A89">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8" w:type="dxa"/>
            <w:tcBorders>
              <w:tl2br w:val="nil"/>
              <w:tr2bl w:val="nil"/>
            </w:tcBorders>
            <w:noWrap/>
          </w:tcPr>
          <w:p w14:paraId="41D456E8">
            <w:pPr>
              <w:pStyle w:val="62"/>
              <w:tabs>
                <w:tab w:val="left" w:pos="420"/>
              </w:tabs>
              <w:spacing w:line="360" w:lineRule="auto"/>
              <w:ind w:left="-2" w:right="-38"/>
              <w:rPr>
                <w:rFonts w:hint="eastAsia" w:ascii="宋体" w:hAnsi="宋体" w:cs="宋体"/>
                <w:bCs w:val="0"/>
                <w:color w:val="auto"/>
                <w:sz w:val="21"/>
                <w:highlight w:val="none"/>
                <w:lang w:val="en-US"/>
              </w:rPr>
            </w:pPr>
          </w:p>
        </w:tc>
        <w:tc>
          <w:tcPr>
            <w:tcW w:w="937" w:type="dxa"/>
            <w:tcBorders>
              <w:tl2br w:val="nil"/>
              <w:tr2bl w:val="nil"/>
            </w:tcBorders>
            <w:noWrap/>
          </w:tcPr>
          <w:p w14:paraId="0A16D3A8">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9" w:type="dxa"/>
            <w:tcBorders>
              <w:tl2br w:val="nil"/>
              <w:tr2bl w:val="nil"/>
            </w:tcBorders>
            <w:noWrap/>
          </w:tcPr>
          <w:p w14:paraId="28C2918D">
            <w:pPr>
              <w:pStyle w:val="62"/>
              <w:tabs>
                <w:tab w:val="left" w:pos="420"/>
              </w:tabs>
              <w:spacing w:line="360" w:lineRule="auto"/>
              <w:ind w:left="-2" w:right="-38"/>
              <w:rPr>
                <w:rFonts w:hint="eastAsia" w:ascii="宋体" w:hAnsi="宋体" w:cs="宋体"/>
                <w:bCs w:val="0"/>
                <w:color w:val="auto"/>
                <w:sz w:val="21"/>
                <w:highlight w:val="none"/>
                <w:lang w:val="en-US"/>
              </w:rPr>
            </w:pPr>
          </w:p>
        </w:tc>
      </w:tr>
      <w:tr w14:paraId="522DD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307" w:type="dxa"/>
            <w:tcBorders>
              <w:tl2br w:val="nil"/>
              <w:tr2bl w:val="nil"/>
            </w:tcBorders>
            <w:noWrap/>
          </w:tcPr>
          <w:p w14:paraId="5175594B">
            <w:pPr>
              <w:pStyle w:val="62"/>
              <w:tabs>
                <w:tab w:val="left" w:pos="420"/>
              </w:tabs>
              <w:spacing w:line="360" w:lineRule="auto"/>
              <w:ind w:left="-2" w:right="-38"/>
              <w:rPr>
                <w:rFonts w:hint="eastAsia" w:ascii="宋体" w:hAnsi="宋体" w:cs="宋体"/>
                <w:bCs w:val="0"/>
                <w:color w:val="auto"/>
                <w:sz w:val="21"/>
                <w:highlight w:val="none"/>
                <w:lang w:val="en-US"/>
              </w:rPr>
            </w:pPr>
          </w:p>
        </w:tc>
        <w:tc>
          <w:tcPr>
            <w:tcW w:w="851" w:type="dxa"/>
            <w:tcBorders>
              <w:tl2br w:val="nil"/>
              <w:tr2bl w:val="nil"/>
            </w:tcBorders>
            <w:noWrap/>
          </w:tcPr>
          <w:p w14:paraId="1DEF6C50">
            <w:pPr>
              <w:pStyle w:val="62"/>
              <w:tabs>
                <w:tab w:val="left" w:pos="420"/>
              </w:tabs>
              <w:spacing w:line="360" w:lineRule="auto"/>
              <w:ind w:left="-2" w:right="-38"/>
              <w:rPr>
                <w:rFonts w:hint="eastAsia" w:ascii="宋体" w:hAnsi="宋体" w:cs="宋体"/>
                <w:bCs w:val="0"/>
                <w:color w:val="auto"/>
                <w:sz w:val="21"/>
                <w:highlight w:val="none"/>
                <w:lang w:val="en-US"/>
              </w:rPr>
            </w:pPr>
          </w:p>
        </w:tc>
        <w:tc>
          <w:tcPr>
            <w:tcW w:w="849" w:type="dxa"/>
            <w:tcBorders>
              <w:tl2br w:val="nil"/>
              <w:tr2bl w:val="nil"/>
            </w:tcBorders>
            <w:noWrap/>
          </w:tcPr>
          <w:p w14:paraId="051AF948">
            <w:pPr>
              <w:pStyle w:val="62"/>
              <w:tabs>
                <w:tab w:val="left" w:pos="420"/>
              </w:tabs>
              <w:spacing w:line="360" w:lineRule="auto"/>
              <w:ind w:left="-2" w:right="-38"/>
              <w:rPr>
                <w:rFonts w:hint="eastAsia" w:ascii="宋体" w:hAnsi="宋体" w:cs="宋体"/>
                <w:bCs w:val="0"/>
                <w:color w:val="auto"/>
                <w:sz w:val="21"/>
                <w:highlight w:val="none"/>
                <w:lang w:val="en-US"/>
              </w:rPr>
            </w:pPr>
          </w:p>
        </w:tc>
        <w:tc>
          <w:tcPr>
            <w:tcW w:w="2518" w:type="dxa"/>
            <w:tcBorders>
              <w:tl2br w:val="nil"/>
              <w:tr2bl w:val="nil"/>
            </w:tcBorders>
            <w:noWrap/>
          </w:tcPr>
          <w:p w14:paraId="76D9E5D1">
            <w:pPr>
              <w:pStyle w:val="62"/>
              <w:tabs>
                <w:tab w:val="left" w:pos="420"/>
              </w:tabs>
              <w:spacing w:line="360" w:lineRule="auto"/>
              <w:ind w:left="-2" w:right="-38"/>
              <w:rPr>
                <w:rFonts w:hint="eastAsia" w:ascii="宋体" w:hAnsi="宋体" w:cs="宋体"/>
                <w:bCs w:val="0"/>
                <w:color w:val="auto"/>
                <w:sz w:val="21"/>
                <w:highlight w:val="none"/>
                <w:lang w:val="en-US"/>
              </w:rPr>
            </w:pPr>
          </w:p>
        </w:tc>
        <w:tc>
          <w:tcPr>
            <w:tcW w:w="772" w:type="dxa"/>
            <w:tcBorders>
              <w:tl2br w:val="nil"/>
              <w:tr2bl w:val="nil"/>
            </w:tcBorders>
            <w:noWrap/>
          </w:tcPr>
          <w:p w14:paraId="205278A4">
            <w:pPr>
              <w:pStyle w:val="62"/>
              <w:tabs>
                <w:tab w:val="left" w:pos="420"/>
              </w:tabs>
              <w:spacing w:line="360" w:lineRule="auto"/>
              <w:ind w:left="-2" w:right="-38"/>
              <w:rPr>
                <w:rFonts w:hint="eastAsia" w:ascii="宋体" w:hAnsi="宋体" w:cs="宋体"/>
                <w:bCs w:val="0"/>
                <w:color w:val="auto"/>
                <w:sz w:val="21"/>
                <w:highlight w:val="none"/>
                <w:lang w:val="en-US"/>
              </w:rPr>
            </w:pPr>
          </w:p>
        </w:tc>
        <w:tc>
          <w:tcPr>
            <w:tcW w:w="723" w:type="dxa"/>
            <w:tcBorders>
              <w:tl2br w:val="nil"/>
              <w:tr2bl w:val="nil"/>
            </w:tcBorders>
            <w:noWrap/>
          </w:tcPr>
          <w:p w14:paraId="16EAECD8">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8" w:type="dxa"/>
            <w:tcBorders>
              <w:tl2br w:val="nil"/>
              <w:tr2bl w:val="nil"/>
            </w:tcBorders>
            <w:noWrap/>
          </w:tcPr>
          <w:p w14:paraId="4D8CD5F6">
            <w:pPr>
              <w:pStyle w:val="62"/>
              <w:tabs>
                <w:tab w:val="left" w:pos="420"/>
              </w:tabs>
              <w:spacing w:line="360" w:lineRule="auto"/>
              <w:ind w:left="-2" w:right="-38"/>
              <w:rPr>
                <w:rFonts w:hint="eastAsia" w:ascii="宋体" w:hAnsi="宋体" w:cs="宋体"/>
                <w:bCs w:val="0"/>
                <w:color w:val="auto"/>
                <w:sz w:val="21"/>
                <w:highlight w:val="none"/>
                <w:lang w:val="en-US"/>
              </w:rPr>
            </w:pPr>
          </w:p>
        </w:tc>
        <w:tc>
          <w:tcPr>
            <w:tcW w:w="937" w:type="dxa"/>
            <w:tcBorders>
              <w:tl2br w:val="nil"/>
              <w:tr2bl w:val="nil"/>
            </w:tcBorders>
            <w:noWrap/>
          </w:tcPr>
          <w:p w14:paraId="2EF920C0">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9" w:type="dxa"/>
            <w:tcBorders>
              <w:tl2br w:val="nil"/>
              <w:tr2bl w:val="nil"/>
            </w:tcBorders>
            <w:noWrap/>
          </w:tcPr>
          <w:p w14:paraId="266A2C2F">
            <w:pPr>
              <w:pStyle w:val="62"/>
              <w:tabs>
                <w:tab w:val="left" w:pos="420"/>
              </w:tabs>
              <w:spacing w:line="360" w:lineRule="auto"/>
              <w:ind w:left="-2" w:right="-38"/>
              <w:rPr>
                <w:rFonts w:hint="eastAsia" w:ascii="宋体" w:hAnsi="宋体" w:cs="宋体"/>
                <w:bCs w:val="0"/>
                <w:color w:val="auto"/>
                <w:sz w:val="21"/>
                <w:highlight w:val="none"/>
                <w:lang w:val="en-US"/>
              </w:rPr>
            </w:pPr>
          </w:p>
        </w:tc>
      </w:tr>
      <w:tr w14:paraId="00CF0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307" w:type="dxa"/>
            <w:tcBorders>
              <w:tl2br w:val="nil"/>
              <w:tr2bl w:val="nil"/>
            </w:tcBorders>
            <w:noWrap/>
          </w:tcPr>
          <w:p w14:paraId="439ED3C0">
            <w:pPr>
              <w:pStyle w:val="62"/>
              <w:tabs>
                <w:tab w:val="left" w:pos="420"/>
              </w:tabs>
              <w:spacing w:line="360" w:lineRule="auto"/>
              <w:ind w:left="-2" w:right="-38"/>
              <w:rPr>
                <w:rFonts w:hint="eastAsia" w:ascii="宋体" w:hAnsi="宋体" w:cs="宋体"/>
                <w:bCs w:val="0"/>
                <w:color w:val="auto"/>
                <w:sz w:val="21"/>
                <w:highlight w:val="none"/>
                <w:lang w:val="en-US"/>
              </w:rPr>
            </w:pPr>
          </w:p>
        </w:tc>
        <w:tc>
          <w:tcPr>
            <w:tcW w:w="851" w:type="dxa"/>
            <w:tcBorders>
              <w:tl2br w:val="nil"/>
              <w:tr2bl w:val="nil"/>
            </w:tcBorders>
            <w:noWrap/>
          </w:tcPr>
          <w:p w14:paraId="3F2E4D09">
            <w:pPr>
              <w:pStyle w:val="62"/>
              <w:tabs>
                <w:tab w:val="left" w:pos="420"/>
              </w:tabs>
              <w:spacing w:line="360" w:lineRule="auto"/>
              <w:ind w:left="-2" w:right="-38"/>
              <w:rPr>
                <w:rFonts w:hint="eastAsia" w:ascii="宋体" w:hAnsi="宋体" w:cs="宋体"/>
                <w:bCs w:val="0"/>
                <w:color w:val="auto"/>
                <w:sz w:val="21"/>
                <w:highlight w:val="none"/>
                <w:lang w:val="en-US"/>
              </w:rPr>
            </w:pPr>
          </w:p>
        </w:tc>
        <w:tc>
          <w:tcPr>
            <w:tcW w:w="849" w:type="dxa"/>
            <w:tcBorders>
              <w:tl2br w:val="nil"/>
              <w:tr2bl w:val="nil"/>
            </w:tcBorders>
            <w:noWrap/>
          </w:tcPr>
          <w:p w14:paraId="6E4E1567">
            <w:pPr>
              <w:pStyle w:val="62"/>
              <w:tabs>
                <w:tab w:val="left" w:pos="420"/>
              </w:tabs>
              <w:spacing w:line="360" w:lineRule="auto"/>
              <w:ind w:left="-2" w:right="-38"/>
              <w:rPr>
                <w:rFonts w:hint="eastAsia" w:ascii="宋体" w:hAnsi="宋体" w:cs="宋体"/>
                <w:bCs w:val="0"/>
                <w:color w:val="auto"/>
                <w:sz w:val="21"/>
                <w:highlight w:val="none"/>
                <w:lang w:val="en-US"/>
              </w:rPr>
            </w:pPr>
          </w:p>
        </w:tc>
        <w:tc>
          <w:tcPr>
            <w:tcW w:w="2518" w:type="dxa"/>
            <w:tcBorders>
              <w:tl2br w:val="nil"/>
              <w:tr2bl w:val="nil"/>
            </w:tcBorders>
            <w:noWrap/>
          </w:tcPr>
          <w:p w14:paraId="44980708">
            <w:pPr>
              <w:pStyle w:val="62"/>
              <w:tabs>
                <w:tab w:val="left" w:pos="420"/>
              </w:tabs>
              <w:spacing w:line="360" w:lineRule="auto"/>
              <w:ind w:left="-2" w:right="-38"/>
              <w:rPr>
                <w:rFonts w:hint="eastAsia" w:ascii="宋体" w:hAnsi="宋体" w:cs="宋体"/>
                <w:bCs w:val="0"/>
                <w:color w:val="auto"/>
                <w:sz w:val="21"/>
                <w:highlight w:val="none"/>
                <w:lang w:val="en-US"/>
              </w:rPr>
            </w:pPr>
          </w:p>
        </w:tc>
        <w:tc>
          <w:tcPr>
            <w:tcW w:w="772" w:type="dxa"/>
            <w:tcBorders>
              <w:tl2br w:val="nil"/>
              <w:tr2bl w:val="nil"/>
            </w:tcBorders>
            <w:noWrap/>
          </w:tcPr>
          <w:p w14:paraId="17528611">
            <w:pPr>
              <w:pStyle w:val="62"/>
              <w:tabs>
                <w:tab w:val="left" w:pos="420"/>
              </w:tabs>
              <w:spacing w:line="360" w:lineRule="auto"/>
              <w:ind w:left="-2" w:right="-38"/>
              <w:rPr>
                <w:rFonts w:hint="eastAsia" w:ascii="宋体" w:hAnsi="宋体" w:cs="宋体"/>
                <w:bCs w:val="0"/>
                <w:color w:val="auto"/>
                <w:sz w:val="21"/>
                <w:highlight w:val="none"/>
                <w:lang w:val="en-US"/>
              </w:rPr>
            </w:pPr>
          </w:p>
        </w:tc>
        <w:tc>
          <w:tcPr>
            <w:tcW w:w="723" w:type="dxa"/>
            <w:tcBorders>
              <w:tl2br w:val="nil"/>
              <w:tr2bl w:val="nil"/>
            </w:tcBorders>
            <w:noWrap/>
          </w:tcPr>
          <w:p w14:paraId="53EDEA94">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8" w:type="dxa"/>
            <w:tcBorders>
              <w:tl2br w:val="nil"/>
              <w:tr2bl w:val="nil"/>
            </w:tcBorders>
            <w:noWrap/>
          </w:tcPr>
          <w:p w14:paraId="694D16A4">
            <w:pPr>
              <w:pStyle w:val="62"/>
              <w:tabs>
                <w:tab w:val="left" w:pos="420"/>
              </w:tabs>
              <w:spacing w:line="360" w:lineRule="auto"/>
              <w:ind w:left="-2" w:right="-38"/>
              <w:rPr>
                <w:rFonts w:hint="eastAsia" w:ascii="宋体" w:hAnsi="宋体" w:cs="宋体"/>
                <w:bCs w:val="0"/>
                <w:color w:val="auto"/>
                <w:sz w:val="21"/>
                <w:highlight w:val="none"/>
                <w:lang w:val="en-US"/>
              </w:rPr>
            </w:pPr>
          </w:p>
        </w:tc>
        <w:tc>
          <w:tcPr>
            <w:tcW w:w="937" w:type="dxa"/>
            <w:tcBorders>
              <w:tl2br w:val="nil"/>
              <w:tr2bl w:val="nil"/>
            </w:tcBorders>
            <w:noWrap/>
          </w:tcPr>
          <w:p w14:paraId="4D6A7A7A">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9" w:type="dxa"/>
            <w:tcBorders>
              <w:tl2br w:val="nil"/>
              <w:tr2bl w:val="nil"/>
            </w:tcBorders>
            <w:noWrap/>
          </w:tcPr>
          <w:p w14:paraId="08E97F8D">
            <w:pPr>
              <w:pStyle w:val="62"/>
              <w:tabs>
                <w:tab w:val="left" w:pos="420"/>
              </w:tabs>
              <w:spacing w:line="360" w:lineRule="auto"/>
              <w:ind w:left="-2" w:right="-38"/>
              <w:rPr>
                <w:rFonts w:hint="eastAsia" w:ascii="宋体" w:hAnsi="宋体" w:cs="宋体"/>
                <w:bCs w:val="0"/>
                <w:color w:val="auto"/>
                <w:sz w:val="21"/>
                <w:highlight w:val="none"/>
                <w:lang w:val="en-US"/>
              </w:rPr>
            </w:pPr>
          </w:p>
        </w:tc>
      </w:tr>
      <w:tr w14:paraId="64A4B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1307" w:type="dxa"/>
            <w:tcBorders>
              <w:tl2br w:val="nil"/>
              <w:tr2bl w:val="nil"/>
            </w:tcBorders>
            <w:noWrap/>
          </w:tcPr>
          <w:p w14:paraId="2148E573">
            <w:pPr>
              <w:pStyle w:val="62"/>
              <w:tabs>
                <w:tab w:val="left" w:pos="420"/>
              </w:tabs>
              <w:spacing w:line="360" w:lineRule="auto"/>
              <w:ind w:left="-2" w:right="-38"/>
              <w:rPr>
                <w:rFonts w:hint="eastAsia" w:ascii="宋体" w:hAnsi="宋体" w:cs="宋体"/>
                <w:bCs w:val="0"/>
                <w:color w:val="auto"/>
                <w:sz w:val="21"/>
                <w:highlight w:val="none"/>
                <w:lang w:val="en-US"/>
              </w:rPr>
            </w:pPr>
          </w:p>
        </w:tc>
        <w:tc>
          <w:tcPr>
            <w:tcW w:w="851" w:type="dxa"/>
            <w:tcBorders>
              <w:tl2br w:val="nil"/>
              <w:tr2bl w:val="nil"/>
            </w:tcBorders>
            <w:noWrap/>
          </w:tcPr>
          <w:p w14:paraId="0497273A">
            <w:pPr>
              <w:pStyle w:val="62"/>
              <w:tabs>
                <w:tab w:val="left" w:pos="420"/>
              </w:tabs>
              <w:spacing w:line="360" w:lineRule="auto"/>
              <w:ind w:left="-2" w:right="-38"/>
              <w:rPr>
                <w:rFonts w:hint="eastAsia" w:ascii="宋体" w:hAnsi="宋体" w:cs="宋体"/>
                <w:bCs w:val="0"/>
                <w:color w:val="auto"/>
                <w:sz w:val="21"/>
                <w:highlight w:val="none"/>
                <w:lang w:val="en-US"/>
              </w:rPr>
            </w:pPr>
          </w:p>
        </w:tc>
        <w:tc>
          <w:tcPr>
            <w:tcW w:w="849" w:type="dxa"/>
            <w:tcBorders>
              <w:tl2br w:val="nil"/>
              <w:tr2bl w:val="nil"/>
            </w:tcBorders>
            <w:noWrap/>
          </w:tcPr>
          <w:p w14:paraId="35C88EC3">
            <w:pPr>
              <w:pStyle w:val="62"/>
              <w:tabs>
                <w:tab w:val="left" w:pos="420"/>
              </w:tabs>
              <w:spacing w:line="360" w:lineRule="auto"/>
              <w:ind w:left="-2" w:right="-38"/>
              <w:rPr>
                <w:rFonts w:hint="eastAsia" w:ascii="宋体" w:hAnsi="宋体" w:cs="宋体"/>
                <w:bCs w:val="0"/>
                <w:color w:val="auto"/>
                <w:sz w:val="21"/>
                <w:highlight w:val="none"/>
                <w:lang w:val="en-US"/>
              </w:rPr>
            </w:pPr>
          </w:p>
        </w:tc>
        <w:tc>
          <w:tcPr>
            <w:tcW w:w="2518" w:type="dxa"/>
            <w:tcBorders>
              <w:tl2br w:val="nil"/>
              <w:tr2bl w:val="nil"/>
            </w:tcBorders>
            <w:noWrap/>
          </w:tcPr>
          <w:p w14:paraId="6A1990E3">
            <w:pPr>
              <w:pStyle w:val="62"/>
              <w:tabs>
                <w:tab w:val="left" w:pos="420"/>
              </w:tabs>
              <w:spacing w:line="360" w:lineRule="auto"/>
              <w:ind w:left="-2" w:right="-38"/>
              <w:rPr>
                <w:rFonts w:hint="eastAsia" w:ascii="宋体" w:hAnsi="宋体" w:cs="宋体"/>
                <w:bCs w:val="0"/>
                <w:color w:val="auto"/>
                <w:sz w:val="21"/>
                <w:highlight w:val="none"/>
                <w:lang w:val="en-US"/>
              </w:rPr>
            </w:pPr>
          </w:p>
        </w:tc>
        <w:tc>
          <w:tcPr>
            <w:tcW w:w="772" w:type="dxa"/>
            <w:tcBorders>
              <w:tl2br w:val="nil"/>
              <w:tr2bl w:val="nil"/>
            </w:tcBorders>
            <w:noWrap/>
          </w:tcPr>
          <w:p w14:paraId="71D845E7">
            <w:pPr>
              <w:pStyle w:val="62"/>
              <w:tabs>
                <w:tab w:val="left" w:pos="420"/>
              </w:tabs>
              <w:spacing w:line="360" w:lineRule="auto"/>
              <w:ind w:left="-2" w:right="-38"/>
              <w:rPr>
                <w:rFonts w:hint="eastAsia" w:ascii="宋体" w:hAnsi="宋体" w:cs="宋体"/>
                <w:bCs w:val="0"/>
                <w:color w:val="auto"/>
                <w:sz w:val="21"/>
                <w:highlight w:val="none"/>
                <w:lang w:val="en-US"/>
              </w:rPr>
            </w:pPr>
          </w:p>
        </w:tc>
        <w:tc>
          <w:tcPr>
            <w:tcW w:w="723" w:type="dxa"/>
            <w:tcBorders>
              <w:tl2br w:val="nil"/>
              <w:tr2bl w:val="nil"/>
            </w:tcBorders>
            <w:noWrap/>
          </w:tcPr>
          <w:p w14:paraId="10FEAF46">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8" w:type="dxa"/>
            <w:tcBorders>
              <w:tl2br w:val="nil"/>
              <w:tr2bl w:val="nil"/>
            </w:tcBorders>
            <w:noWrap/>
          </w:tcPr>
          <w:p w14:paraId="1596C9C1">
            <w:pPr>
              <w:pStyle w:val="62"/>
              <w:tabs>
                <w:tab w:val="left" w:pos="420"/>
              </w:tabs>
              <w:spacing w:line="360" w:lineRule="auto"/>
              <w:ind w:left="-2" w:right="-38"/>
              <w:rPr>
                <w:rFonts w:hint="eastAsia" w:ascii="宋体" w:hAnsi="宋体" w:cs="宋体"/>
                <w:bCs w:val="0"/>
                <w:color w:val="auto"/>
                <w:sz w:val="21"/>
                <w:highlight w:val="none"/>
                <w:lang w:val="en-US"/>
              </w:rPr>
            </w:pPr>
          </w:p>
        </w:tc>
        <w:tc>
          <w:tcPr>
            <w:tcW w:w="937" w:type="dxa"/>
            <w:tcBorders>
              <w:tl2br w:val="nil"/>
              <w:tr2bl w:val="nil"/>
            </w:tcBorders>
            <w:noWrap/>
          </w:tcPr>
          <w:p w14:paraId="54C6A2DD">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9" w:type="dxa"/>
            <w:tcBorders>
              <w:tl2br w:val="nil"/>
              <w:tr2bl w:val="nil"/>
            </w:tcBorders>
            <w:noWrap/>
          </w:tcPr>
          <w:p w14:paraId="6362E980">
            <w:pPr>
              <w:pStyle w:val="62"/>
              <w:tabs>
                <w:tab w:val="left" w:pos="420"/>
              </w:tabs>
              <w:spacing w:line="360" w:lineRule="auto"/>
              <w:ind w:left="-2" w:right="-38"/>
              <w:rPr>
                <w:rFonts w:hint="eastAsia" w:ascii="宋体" w:hAnsi="宋体" w:cs="宋体"/>
                <w:bCs w:val="0"/>
                <w:color w:val="auto"/>
                <w:sz w:val="21"/>
                <w:highlight w:val="none"/>
                <w:lang w:val="en-US"/>
              </w:rPr>
            </w:pPr>
          </w:p>
        </w:tc>
      </w:tr>
      <w:tr w14:paraId="1E4F3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1307" w:type="dxa"/>
            <w:tcBorders>
              <w:tl2br w:val="nil"/>
              <w:tr2bl w:val="nil"/>
            </w:tcBorders>
            <w:noWrap/>
          </w:tcPr>
          <w:p w14:paraId="1F3E35E3">
            <w:pPr>
              <w:pStyle w:val="62"/>
              <w:tabs>
                <w:tab w:val="left" w:pos="420"/>
              </w:tabs>
              <w:spacing w:line="360" w:lineRule="auto"/>
              <w:ind w:left="-2" w:right="-38"/>
              <w:rPr>
                <w:rFonts w:hint="eastAsia" w:ascii="宋体" w:hAnsi="宋体" w:cs="宋体"/>
                <w:bCs w:val="0"/>
                <w:color w:val="auto"/>
                <w:sz w:val="21"/>
                <w:highlight w:val="none"/>
                <w:lang w:val="en-US"/>
              </w:rPr>
            </w:pPr>
          </w:p>
        </w:tc>
        <w:tc>
          <w:tcPr>
            <w:tcW w:w="851" w:type="dxa"/>
            <w:tcBorders>
              <w:tl2br w:val="nil"/>
              <w:tr2bl w:val="nil"/>
            </w:tcBorders>
            <w:noWrap/>
          </w:tcPr>
          <w:p w14:paraId="30A6157D">
            <w:pPr>
              <w:pStyle w:val="62"/>
              <w:tabs>
                <w:tab w:val="left" w:pos="420"/>
              </w:tabs>
              <w:spacing w:line="360" w:lineRule="auto"/>
              <w:ind w:left="-2" w:right="-38"/>
              <w:rPr>
                <w:rFonts w:hint="eastAsia" w:ascii="宋体" w:hAnsi="宋体" w:cs="宋体"/>
                <w:bCs w:val="0"/>
                <w:color w:val="auto"/>
                <w:sz w:val="21"/>
                <w:highlight w:val="none"/>
                <w:lang w:val="en-US"/>
              </w:rPr>
            </w:pPr>
          </w:p>
        </w:tc>
        <w:tc>
          <w:tcPr>
            <w:tcW w:w="849" w:type="dxa"/>
            <w:tcBorders>
              <w:tl2br w:val="nil"/>
              <w:tr2bl w:val="nil"/>
            </w:tcBorders>
            <w:noWrap/>
          </w:tcPr>
          <w:p w14:paraId="6E9335F2">
            <w:pPr>
              <w:pStyle w:val="62"/>
              <w:tabs>
                <w:tab w:val="left" w:pos="420"/>
              </w:tabs>
              <w:spacing w:line="360" w:lineRule="auto"/>
              <w:ind w:left="-2" w:right="-38"/>
              <w:rPr>
                <w:rFonts w:hint="eastAsia" w:ascii="宋体" w:hAnsi="宋体" w:cs="宋体"/>
                <w:bCs w:val="0"/>
                <w:color w:val="auto"/>
                <w:sz w:val="21"/>
                <w:highlight w:val="none"/>
                <w:lang w:val="en-US"/>
              </w:rPr>
            </w:pPr>
          </w:p>
        </w:tc>
        <w:tc>
          <w:tcPr>
            <w:tcW w:w="2518" w:type="dxa"/>
            <w:tcBorders>
              <w:tl2br w:val="nil"/>
              <w:tr2bl w:val="nil"/>
            </w:tcBorders>
            <w:noWrap/>
          </w:tcPr>
          <w:p w14:paraId="20898771">
            <w:pPr>
              <w:pStyle w:val="62"/>
              <w:tabs>
                <w:tab w:val="left" w:pos="420"/>
              </w:tabs>
              <w:spacing w:line="360" w:lineRule="auto"/>
              <w:ind w:left="-2" w:right="-38"/>
              <w:rPr>
                <w:rFonts w:hint="eastAsia" w:ascii="宋体" w:hAnsi="宋体" w:cs="宋体"/>
                <w:bCs w:val="0"/>
                <w:color w:val="auto"/>
                <w:sz w:val="21"/>
                <w:highlight w:val="none"/>
                <w:lang w:val="en-US"/>
              </w:rPr>
            </w:pPr>
          </w:p>
        </w:tc>
        <w:tc>
          <w:tcPr>
            <w:tcW w:w="772" w:type="dxa"/>
            <w:tcBorders>
              <w:tl2br w:val="nil"/>
              <w:tr2bl w:val="nil"/>
            </w:tcBorders>
            <w:noWrap/>
          </w:tcPr>
          <w:p w14:paraId="571DBDB6">
            <w:pPr>
              <w:pStyle w:val="62"/>
              <w:tabs>
                <w:tab w:val="left" w:pos="420"/>
              </w:tabs>
              <w:spacing w:line="360" w:lineRule="auto"/>
              <w:ind w:left="-2" w:right="-38"/>
              <w:rPr>
                <w:rFonts w:hint="eastAsia" w:ascii="宋体" w:hAnsi="宋体" w:cs="宋体"/>
                <w:bCs w:val="0"/>
                <w:color w:val="auto"/>
                <w:sz w:val="21"/>
                <w:highlight w:val="none"/>
                <w:lang w:val="en-US"/>
              </w:rPr>
            </w:pPr>
          </w:p>
        </w:tc>
        <w:tc>
          <w:tcPr>
            <w:tcW w:w="723" w:type="dxa"/>
            <w:tcBorders>
              <w:tl2br w:val="nil"/>
              <w:tr2bl w:val="nil"/>
            </w:tcBorders>
            <w:noWrap/>
          </w:tcPr>
          <w:p w14:paraId="2B03C9C8">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8" w:type="dxa"/>
            <w:tcBorders>
              <w:tl2br w:val="nil"/>
              <w:tr2bl w:val="nil"/>
            </w:tcBorders>
            <w:noWrap/>
          </w:tcPr>
          <w:p w14:paraId="4B60CF41">
            <w:pPr>
              <w:pStyle w:val="62"/>
              <w:tabs>
                <w:tab w:val="left" w:pos="420"/>
              </w:tabs>
              <w:spacing w:line="360" w:lineRule="auto"/>
              <w:ind w:left="-2" w:right="-38"/>
              <w:rPr>
                <w:rFonts w:hint="eastAsia" w:ascii="宋体" w:hAnsi="宋体" w:cs="宋体"/>
                <w:bCs w:val="0"/>
                <w:color w:val="auto"/>
                <w:sz w:val="21"/>
                <w:highlight w:val="none"/>
                <w:lang w:val="en-US"/>
              </w:rPr>
            </w:pPr>
          </w:p>
        </w:tc>
        <w:tc>
          <w:tcPr>
            <w:tcW w:w="937" w:type="dxa"/>
            <w:tcBorders>
              <w:tl2br w:val="nil"/>
              <w:tr2bl w:val="nil"/>
            </w:tcBorders>
            <w:noWrap/>
          </w:tcPr>
          <w:p w14:paraId="5BFBC308">
            <w:pPr>
              <w:pStyle w:val="62"/>
              <w:tabs>
                <w:tab w:val="left" w:pos="420"/>
              </w:tabs>
              <w:spacing w:line="360" w:lineRule="auto"/>
              <w:ind w:left="-2" w:right="-38"/>
              <w:rPr>
                <w:rFonts w:hint="eastAsia" w:ascii="宋体" w:hAnsi="宋体" w:cs="宋体"/>
                <w:bCs w:val="0"/>
                <w:color w:val="auto"/>
                <w:sz w:val="21"/>
                <w:highlight w:val="none"/>
                <w:lang w:val="en-US"/>
              </w:rPr>
            </w:pPr>
          </w:p>
        </w:tc>
        <w:tc>
          <w:tcPr>
            <w:tcW w:w="819" w:type="dxa"/>
            <w:tcBorders>
              <w:tl2br w:val="nil"/>
              <w:tr2bl w:val="nil"/>
            </w:tcBorders>
            <w:noWrap/>
          </w:tcPr>
          <w:p w14:paraId="6476029D">
            <w:pPr>
              <w:pStyle w:val="62"/>
              <w:tabs>
                <w:tab w:val="left" w:pos="420"/>
              </w:tabs>
              <w:spacing w:line="360" w:lineRule="auto"/>
              <w:ind w:left="-2" w:right="-38"/>
              <w:rPr>
                <w:rFonts w:hint="eastAsia" w:ascii="宋体" w:hAnsi="宋体" w:cs="宋体"/>
                <w:bCs w:val="0"/>
                <w:color w:val="auto"/>
                <w:sz w:val="21"/>
                <w:highlight w:val="none"/>
                <w:lang w:val="en-US"/>
              </w:rPr>
            </w:pPr>
          </w:p>
        </w:tc>
      </w:tr>
      <w:tr w14:paraId="7D6FB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1307" w:type="dxa"/>
            <w:tcBorders>
              <w:tl2br w:val="nil"/>
              <w:tr2bl w:val="nil"/>
            </w:tcBorders>
            <w:noWrap/>
          </w:tcPr>
          <w:p w14:paraId="5F5BCBCA">
            <w:pPr>
              <w:pStyle w:val="62"/>
              <w:tabs>
                <w:tab w:val="left" w:pos="420"/>
              </w:tabs>
              <w:spacing w:line="360" w:lineRule="auto"/>
              <w:ind w:left="-2" w:right="-38"/>
              <w:jc w:val="center"/>
              <w:rPr>
                <w:rFonts w:hint="eastAsia" w:ascii="宋体" w:hAnsi="宋体" w:cs="宋体"/>
                <w:bCs w:val="0"/>
                <w:color w:val="auto"/>
                <w:sz w:val="21"/>
                <w:highlight w:val="none"/>
                <w:lang w:val="en-US"/>
              </w:rPr>
            </w:pPr>
            <w:r>
              <w:rPr>
                <w:rFonts w:hint="eastAsia" w:ascii="宋体" w:hAnsi="宋体" w:cs="宋体"/>
                <w:bCs w:val="0"/>
                <w:color w:val="auto"/>
                <w:sz w:val="21"/>
                <w:highlight w:val="none"/>
                <w:lang w:val="en-US"/>
              </w:rPr>
              <w:t>合计（元）</w:t>
            </w:r>
          </w:p>
        </w:tc>
        <w:tc>
          <w:tcPr>
            <w:tcW w:w="8287" w:type="dxa"/>
            <w:gridSpan w:val="8"/>
            <w:tcBorders>
              <w:tl2br w:val="nil"/>
              <w:tr2bl w:val="nil"/>
            </w:tcBorders>
            <w:noWrap/>
          </w:tcPr>
          <w:p w14:paraId="5FA5F9DE">
            <w:pPr>
              <w:pStyle w:val="62"/>
              <w:tabs>
                <w:tab w:val="left" w:pos="420"/>
              </w:tabs>
              <w:spacing w:line="360" w:lineRule="auto"/>
              <w:ind w:left="-2" w:right="-38"/>
              <w:jc w:val="both"/>
              <w:rPr>
                <w:rFonts w:hint="eastAsia" w:ascii="宋体" w:hAnsi="宋体" w:cs="宋体"/>
                <w:bCs w:val="0"/>
                <w:color w:val="auto"/>
                <w:sz w:val="21"/>
                <w:highlight w:val="none"/>
                <w:lang w:val="en-US"/>
              </w:rPr>
            </w:pPr>
            <w:r>
              <w:rPr>
                <w:rFonts w:hint="eastAsia" w:ascii="宋体" w:hAnsi="宋体" w:cs="宋体"/>
                <w:bCs w:val="0"/>
                <w:color w:val="auto"/>
                <w:sz w:val="21"/>
                <w:highlight w:val="none"/>
                <w:lang w:val="en-US"/>
              </w:rPr>
              <w:t>大写：                                 小写：</w:t>
            </w:r>
          </w:p>
        </w:tc>
      </w:tr>
      <w:tr w14:paraId="3CA3D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66" w:hRule="atLeast"/>
          <w:jc w:val="center"/>
        </w:trPr>
        <w:tc>
          <w:tcPr>
            <w:tcW w:w="9594" w:type="dxa"/>
            <w:gridSpan w:val="9"/>
            <w:tcBorders>
              <w:tl2br w:val="nil"/>
              <w:tr2bl w:val="nil"/>
            </w:tcBorders>
            <w:noWrap/>
            <w:vAlign w:val="center"/>
          </w:tcPr>
          <w:p w14:paraId="4125BE48">
            <w:pPr>
              <w:pStyle w:val="62"/>
              <w:tabs>
                <w:tab w:val="left" w:pos="420"/>
              </w:tabs>
              <w:spacing w:line="360" w:lineRule="auto"/>
              <w:ind w:left="-2" w:right="-38"/>
              <w:jc w:val="both"/>
              <w:rPr>
                <w:rFonts w:hint="eastAsia" w:ascii="宋体" w:hAnsi="宋体" w:cs="宋体"/>
                <w:b w:val="0"/>
                <w:color w:val="auto"/>
                <w:sz w:val="21"/>
                <w:highlight w:val="none"/>
                <w:lang w:val="en-US"/>
              </w:rPr>
            </w:pPr>
            <w:r>
              <w:rPr>
                <w:rFonts w:hint="eastAsia" w:ascii="宋体" w:hAnsi="宋体" w:cs="宋体"/>
                <w:b w:val="0"/>
                <w:color w:val="auto"/>
                <w:sz w:val="21"/>
                <w:highlight w:val="none"/>
                <w:lang w:val="en-US"/>
              </w:rPr>
              <w:t>重要提示：1.本表的每一页须加盖企业印章；</w:t>
            </w:r>
          </w:p>
          <w:p w14:paraId="54C6414E">
            <w:pPr>
              <w:pStyle w:val="62"/>
              <w:tabs>
                <w:tab w:val="left" w:pos="420"/>
              </w:tabs>
              <w:spacing w:line="360" w:lineRule="auto"/>
              <w:ind w:left="-2" w:right="-38"/>
              <w:jc w:val="both"/>
              <w:rPr>
                <w:rFonts w:hint="eastAsia" w:ascii="宋体" w:hAnsi="宋体" w:cs="宋体"/>
                <w:b w:val="0"/>
                <w:color w:val="auto"/>
                <w:sz w:val="21"/>
                <w:highlight w:val="none"/>
                <w:lang w:val="en-US"/>
              </w:rPr>
            </w:pPr>
            <w:r>
              <w:rPr>
                <w:rFonts w:hint="eastAsia" w:ascii="宋体" w:hAnsi="宋体" w:cs="宋体"/>
                <w:b w:val="0"/>
                <w:color w:val="auto"/>
                <w:sz w:val="21"/>
                <w:highlight w:val="none"/>
                <w:lang w:val="en-US"/>
              </w:rPr>
              <w:t>2.涉及有国家标准的产品，须填写名称、品牌、型号及技术参数、报价等本表内容（若品牌、型号等填写的与实际不符，按照无效标处理）。</w:t>
            </w:r>
          </w:p>
          <w:p w14:paraId="6001B5AF">
            <w:pPr>
              <w:pStyle w:val="62"/>
              <w:tabs>
                <w:tab w:val="left" w:pos="420"/>
              </w:tabs>
              <w:spacing w:line="360" w:lineRule="auto"/>
              <w:ind w:left="-2" w:right="-38"/>
              <w:jc w:val="both"/>
              <w:rPr>
                <w:rFonts w:hint="eastAsia"/>
                <w:color w:val="auto"/>
                <w:highlight w:val="none"/>
                <w:lang w:val="en-US"/>
              </w:rPr>
            </w:pPr>
            <w:r>
              <w:rPr>
                <w:rFonts w:hint="eastAsia" w:ascii="宋体" w:hAnsi="宋体" w:cs="宋体"/>
                <w:b w:val="0"/>
                <w:color w:val="auto"/>
                <w:sz w:val="21"/>
                <w:highlight w:val="none"/>
                <w:lang w:val="en-US"/>
              </w:rPr>
              <w:t>3. 供应商可根据需要自行增减表格行数。</w:t>
            </w:r>
          </w:p>
        </w:tc>
      </w:tr>
    </w:tbl>
    <w:p w14:paraId="34138F6C">
      <w:pPr>
        <w:keepNext w:val="0"/>
        <w:keepLines w:val="0"/>
        <w:pageBreakBefore w:val="0"/>
        <w:widowControl/>
        <w:kinsoku/>
        <w:wordWrap/>
        <w:overflowPunct/>
        <w:topLinePunct w:val="0"/>
        <w:autoSpaceDE/>
        <w:autoSpaceDN/>
        <w:bidi w:val="0"/>
        <w:adjustRightInd/>
        <w:snapToGrid/>
        <w:spacing w:line="240" w:lineRule="auto"/>
        <w:ind w:left="0" w:firstLine="0" w:firstLineChars="0"/>
        <w:jc w:val="left"/>
        <w:textAlignment w:val="auto"/>
        <w:outlineLvl w:val="9"/>
        <w:rPr>
          <w:rFonts w:hint="eastAsia" w:ascii="宋体" w:hAnsi="宋体" w:eastAsia="宋体" w:cs="宋体"/>
          <w:color w:val="auto"/>
          <w:kern w:val="0"/>
          <w:sz w:val="24"/>
          <w:szCs w:val="24"/>
          <w:highlight w:val="none"/>
          <w:lang w:bidi="ar"/>
        </w:rPr>
      </w:pPr>
    </w:p>
    <w:p w14:paraId="39CB9A5F">
      <w:pPr>
        <w:keepNext w:val="0"/>
        <w:keepLines w:val="0"/>
        <w:pageBreakBefore w:val="0"/>
        <w:tabs>
          <w:tab w:val="left" w:pos="420"/>
        </w:tabs>
        <w:kinsoku/>
        <w:overflowPunct/>
        <w:topLinePunct w:val="0"/>
        <w:autoSpaceDE/>
        <w:autoSpaceDN/>
        <w:bidi w:val="0"/>
        <w:adjustRightInd/>
        <w:snapToGrid/>
        <w:spacing w:line="360" w:lineRule="auto"/>
        <w:ind w:left="0" w:firstLine="2520" w:firstLineChars="1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盖章</w:t>
      </w:r>
      <w:r>
        <w:rPr>
          <w:rFonts w:hint="eastAsia" w:ascii="宋体" w:hAnsi="宋体" w:eastAsia="宋体" w:cs="宋体"/>
          <w:color w:val="auto"/>
          <w:szCs w:val="21"/>
          <w:highlight w:val="none"/>
        </w:rPr>
        <w:t>）</w:t>
      </w:r>
    </w:p>
    <w:p w14:paraId="513F8BF0">
      <w:pPr>
        <w:keepNext w:val="0"/>
        <w:keepLines w:val="0"/>
        <w:pageBreakBefore w:val="0"/>
        <w:widowControl/>
        <w:tabs>
          <w:tab w:val="left" w:pos="420"/>
        </w:tabs>
        <w:kinsoku/>
        <w:overflowPunct/>
        <w:topLinePunct w:val="0"/>
        <w:autoSpaceDE/>
        <w:autoSpaceDN/>
        <w:bidi w:val="0"/>
        <w:adjustRightInd/>
        <w:snapToGrid/>
        <w:spacing w:line="360" w:lineRule="auto"/>
        <w:ind w:left="0" w:firstLine="2520" w:firstLineChars="1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法定代表人或委托代理人：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签字或盖章</w:t>
      </w:r>
      <w:r>
        <w:rPr>
          <w:rFonts w:hint="eastAsia" w:ascii="宋体" w:hAnsi="宋体" w:eastAsia="宋体" w:cs="宋体"/>
          <w:color w:val="auto"/>
          <w:szCs w:val="21"/>
          <w:highlight w:val="none"/>
        </w:rPr>
        <w:t>）</w:t>
      </w:r>
    </w:p>
    <w:p w14:paraId="658CF78D">
      <w:pPr>
        <w:keepNext w:val="0"/>
        <w:keepLines w:val="0"/>
        <w:pageBreakBefore w:val="0"/>
        <w:widowControl/>
        <w:kinsoku/>
        <w:wordWrap/>
        <w:overflowPunct/>
        <w:topLinePunct w:val="0"/>
        <w:autoSpaceDE/>
        <w:autoSpaceDN/>
        <w:bidi w:val="0"/>
        <w:adjustRightInd/>
        <w:snapToGrid/>
        <w:spacing w:line="240" w:lineRule="auto"/>
        <w:ind w:left="0" w:firstLine="2520" w:firstLineChars="1200"/>
        <w:jc w:val="left"/>
        <w:textAlignment w:val="auto"/>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Cs w:val="21"/>
          <w:highlight w:val="none"/>
          <w:lang w:bidi="ar"/>
        </w:rPr>
        <w:t>日   期：</w:t>
      </w:r>
      <w:r>
        <w:rPr>
          <w:rFonts w:hint="eastAsia" w:ascii="宋体" w:hAnsi="宋体" w:eastAsia="宋体" w:cs="宋体"/>
          <w:color w:val="auto"/>
          <w:spacing w:val="6"/>
          <w:szCs w:val="21"/>
          <w:highlight w:val="none"/>
          <w:u w:val="single"/>
        </w:rPr>
        <w:t xml:space="preserve">     </w:t>
      </w:r>
      <w:r>
        <w:rPr>
          <w:rFonts w:hint="eastAsia" w:ascii="宋体" w:hAnsi="宋体" w:eastAsia="宋体" w:cs="宋体"/>
          <w:color w:val="auto"/>
          <w:kern w:val="0"/>
          <w:szCs w:val="21"/>
          <w:highlight w:val="none"/>
          <w:lang w:bidi="ar"/>
        </w:rPr>
        <w:t>年</w:t>
      </w:r>
      <w:r>
        <w:rPr>
          <w:rFonts w:hint="eastAsia" w:ascii="宋体" w:hAnsi="宋体" w:eastAsia="宋体" w:cs="宋体"/>
          <w:color w:val="auto"/>
          <w:spacing w:val="6"/>
          <w:szCs w:val="21"/>
          <w:highlight w:val="none"/>
          <w:u w:val="single"/>
        </w:rPr>
        <w:t xml:space="preserve">     </w:t>
      </w:r>
      <w:r>
        <w:rPr>
          <w:rFonts w:hint="eastAsia" w:ascii="宋体" w:hAnsi="宋体" w:eastAsia="宋体" w:cs="宋体"/>
          <w:color w:val="auto"/>
          <w:kern w:val="0"/>
          <w:szCs w:val="21"/>
          <w:highlight w:val="none"/>
          <w:lang w:bidi="ar"/>
        </w:rPr>
        <w:t>月</w:t>
      </w:r>
      <w:r>
        <w:rPr>
          <w:rFonts w:hint="eastAsia" w:ascii="宋体" w:hAnsi="宋体" w:eastAsia="宋体" w:cs="宋体"/>
          <w:color w:val="auto"/>
          <w:spacing w:val="6"/>
          <w:szCs w:val="21"/>
          <w:highlight w:val="none"/>
          <w:u w:val="single"/>
        </w:rPr>
        <w:t xml:space="preserve">     </w:t>
      </w:r>
      <w:r>
        <w:rPr>
          <w:rFonts w:hint="eastAsia" w:ascii="宋体" w:hAnsi="宋体" w:eastAsia="宋体" w:cs="宋体"/>
          <w:color w:val="auto"/>
          <w:kern w:val="0"/>
          <w:szCs w:val="21"/>
          <w:highlight w:val="none"/>
          <w:lang w:bidi="ar"/>
        </w:rPr>
        <w:t xml:space="preserve">日 </w:t>
      </w:r>
    </w:p>
    <w:p w14:paraId="1705A753">
      <w:pPr>
        <w:keepNext w:val="0"/>
        <w:keepLines w:val="0"/>
        <w:pageBreakBefore w:val="0"/>
        <w:widowControl/>
        <w:kinsoku/>
        <w:wordWrap/>
        <w:overflowPunct/>
        <w:topLinePunct w:val="0"/>
        <w:autoSpaceDE/>
        <w:autoSpaceDN/>
        <w:bidi w:val="0"/>
        <w:adjustRightInd/>
        <w:snapToGrid/>
        <w:spacing w:line="240" w:lineRule="auto"/>
        <w:ind w:left="0" w:firstLine="0" w:firstLineChars="0"/>
        <w:jc w:val="left"/>
        <w:textAlignment w:val="auto"/>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br w:type="page"/>
      </w:r>
    </w:p>
    <w:p w14:paraId="4C6B9AD0">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rPr>
      </w:pPr>
      <w:bookmarkStart w:id="396" w:name="_Toc20546"/>
      <w:r>
        <w:rPr>
          <w:rFonts w:hint="eastAsia" w:ascii="宋体" w:hAnsi="宋体" w:cs="宋体"/>
          <w:b/>
          <w:color w:val="auto"/>
          <w:kern w:val="0"/>
          <w:sz w:val="30"/>
          <w:szCs w:val="30"/>
          <w:highlight w:val="none"/>
          <w:lang w:val="en-US" w:eastAsia="zh-CN"/>
        </w:rPr>
        <w:t>2</w:t>
      </w:r>
      <w:r>
        <w:rPr>
          <w:rFonts w:hint="eastAsia" w:ascii="宋体" w:hAnsi="宋体" w:eastAsia="宋体" w:cs="宋体"/>
          <w:b/>
          <w:color w:val="auto"/>
          <w:kern w:val="0"/>
          <w:sz w:val="30"/>
          <w:szCs w:val="30"/>
          <w:highlight w:val="none"/>
        </w:rPr>
        <w:t>.3 随机备件、专用工具和消耗品价格表</w:t>
      </w:r>
      <w:bookmarkEnd w:id="396"/>
    </w:p>
    <w:p w14:paraId="622DE1B8">
      <w:pPr>
        <w:keepNext w:val="0"/>
        <w:keepLines w:val="0"/>
        <w:pageBreakBefore w:val="0"/>
        <w:numPr>
          <w:ilvl w:val="0"/>
          <w:numId w:val="0"/>
        </w:numPr>
        <w:tabs>
          <w:tab w:val="left" w:pos="420"/>
        </w:tabs>
        <w:kinsoku/>
        <w:wordWrap/>
        <w:overflowPunct/>
        <w:topLinePunct w:val="0"/>
        <w:bidi w:val="0"/>
        <w:spacing w:line="360" w:lineRule="auto"/>
        <w:ind w:left="720" w:hanging="6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金额单位：元人民币</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45"/>
        <w:gridCol w:w="1741"/>
        <w:gridCol w:w="1574"/>
        <w:gridCol w:w="1192"/>
        <w:gridCol w:w="814"/>
        <w:gridCol w:w="813"/>
        <w:gridCol w:w="813"/>
        <w:gridCol w:w="813"/>
        <w:gridCol w:w="815"/>
      </w:tblGrid>
      <w:tr w14:paraId="5D504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645" w:type="dxa"/>
            <w:tcBorders>
              <w:tl2br w:val="nil"/>
              <w:tr2bl w:val="nil"/>
            </w:tcBorders>
            <w:noWrap w:val="0"/>
            <w:tcMar>
              <w:top w:w="15" w:type="dxa"/>
              <w:left w:w="15" w:type="dxa"/>
              <w:bottom w:w="0" w:type="dxa"/>
              <w:right w:w="15" w:type="dxa"/>
            </w:tcMar>
            <w:vAlign w:val="center"/>
          </w:tcPr>
          <w:p w14:paraId="4BAD965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741" w:type="dxa"/>
            <w:tcBorders>
              <w:tl2br w:val="nil"/>
              <w:tr2bl w:val="nil"/>
            </w:tcBorders>
            <w:noWrap w:val="0"/>
            <w:tcMar>
              <w:top w:w="15" w:type="dxa"/>
              <w:left w:w="15" w:type="dxa"/>
              <w:bottom w:w="0" w:type="dxa"/>
              <w:right w:w="15" w:type="dxa"/>
            </w:tcMar>
            <w:vAlign w:val="center"/>
          </w:tcPr>
          <w:p w14:paraId="488357D4">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p>
        </w:tc>
        <w:tc>
          <w:tcPr>
            <w:tcW w:w="1574" w:type="dxa"/>
            <w:tcBorders>
              <w:tl2br w:val="nil"/>
              <w:tr2bl w:val="nil"/>
            </w:tcBorders>
            <w:noWrap w:val="0"/>
            <w:tcMar>
              <w:top w:w="15" w:type="dxa"/>
              <w:left w:w="15" w:type="dxa"/>
              <w:bottom w:w="0" w:type="dxa"/>
              <w:right w:w="15" w:type="dxa"/>
            </w:tcMar>
            <w:vAlign w:val="center"/>
          </w:tcPr>
          <w:p w14:paraId="759C908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规格型号</w:t>
            </w:r>
          </w:p>
        </w:tc>
        <w:tc>
          <w:tcPr>
            <w:tcW w:w="1192" w:type="dxa"/>
            <w:tcBorders>
              <w:tl2br w:val="nil"/>
              <w:tr2bl w:val="nil"/>
            </w:tcBorders>
            <w:noWrap w:val="0"/>
            <w:tcMar>
              <w:top w:w="15" w:type="dxa"/>
              <w:left w:w="15" w:type="dxa"/>
              <w:bottom w:w="0" w:type="dxa"/>
              <w:right w:w="15" w:type="dxa"/>
            </w:tcMar>
            <w:vAlign w:val="center"/>
          </w:tcPr>
          <w:p w14:paraId="6DE2B918">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制造商</w:t>
            </w:r>
          </w:p>
        </w:tc>
        <w:tc>
          <w:tcPr>
            <w:tcW w:w="814" w:type="dxa"/>
            <w:tcBorders>
              <w:tl2br w:val="nil"/>
              <w:tr2bl w:val="nil"/>
            </w:tcBorders>
            <w:noWrap w:val="0"/>
            <w:tcMar>
              <w:top w:w="15" w:type="dxa"/>
              <w:left w:w="15" w:type="dxa"/>
              <w:bottom w:w="0" w:type="dxa"/>
              <w:right w:w="15" w:type="dxa"/>
            </w:tcMar>
            <w:vAlign w:val="center"/>
          </w:tcPr>
          <w:p w14:paraId="799EE0D9">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813" w:type="dxa"/>
            <w:tcBorders>
              <w:tl2br w:val="nil"/>
              <w:tr2bl w:val="nil"/>
            </w:tcBorders>
            <w:noWrap w:val="0"/>
            <w:tcMar>
              <w:top w:w="15" w:type="dxa"/>
              <w:left w:w="15" w:type="dxa"/>
              <w:bottom w:w="0" w:type="dxa"/>
              <w:right w:w="15" w:type="dxa"/>
            </w:tcMar>
            <w:vAlign w:val="center"/>
          </w:tcPr>
          <w:p w14:paraId="30289685">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813" w:type="dxa"/>
            <w:tcBorders>
              <w:tl2br w:val="nil"/>
              <w:tr2bl w:val="nil"/>
            </w:tcBorders>
            <w:noWrap w:val="0"/>
            <w:tcMar>
              <w:top w:w="15" w:type="dxa"/>
              <w:left w:w="15" w:type="dxa"/>
              <w:bottom w:w="0" w:type="dxa"/>
              <w:right w:w="15" w:type="dxa"/>
            </w:tcMar>
            <w:vAlign w:val="center"/>
          </w:tcPr>
          <w:p w14:paraId="5A6FC8E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单价</w:t>
            </w:r>
          </w:p>
        </w:tc>
        <w:tc>
          <w:tcPr>
            <w:tcW w:w="813" w:type="dxa"/>
            <w:tcBorders>
              <w:tl2br w:val="nil"/>
              <w:tr2bl w:val="nil"/>
            </w:tcBorders>
            <w:noWrap w:val="0"/>
            <w:tcMar>
              <w:top w:w="15" w:type="dxa"/>
              <w:left w:w="15" w:type="dxa"/>
              <w:bottom w:w="0" w:type="dxa"/>
              <w:right w:w="15" w:type="dxa"/>
            </w:tcMar>
            <w:vAlign w:val="center"/>
          </w:tcPr>
          <w:p w14:paraId="6B2EEBA1">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815" w:type="dxa"/>
            <w:tcBorders>
              <w:tl2br w:val="nil"/>
              <w:tr2bl w:val="nil"/>
            </w:tcBorders>
            <w:noWrap w:val="0"/>
            <w:tcMar>
              <w:top w:w="15" w:type="dxa"/>
              <w:left w:w="15" w:type="dxa"/>
              <w:bottom w:w="0" w:type="dxa"/>
              <w:right w:w="15" w:type="dxa"/>
            </w:tcMar>
            <w:vAlign w:val="center"/>
          </w:tcPr>
          <w:p w14:paraId="19728C3B">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53CC1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029595E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3999704F">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01AB30D4">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3554899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1655B8AD">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222A448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73D1FD72">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7400AF8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6AB1562D">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41585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2360D35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1B0EDF1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549CC780">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2E0DBF7F">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21798EAF">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5D9ACE6F">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3CEE4EEB">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6F5F114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6490C8F9">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635DD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0B9602E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401E664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66EEF6B0">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05527AA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0FDB1D94">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0707BE31">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655E564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114D799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3BF8ECF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61892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2356338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7AA40DA1">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1D7AE00C">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14FD95C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132E9A9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02E83AC4">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26F6F905">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46A1C96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6E2CD1F4">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593DA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5CEEE3E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7C62DC0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2467E41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06DE0E20">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221A0B61">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1282AF4D">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2765761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438BEECD">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68ABFD0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0DE95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2F24B25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168B4E9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4A24BFE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7C83172C">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5ACB163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68E3592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56D6E468">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50CF5552">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54F44CC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38454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4745FE62">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54067689">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45CB50F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426DF445">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67DA33CA">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18EA4FCF">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450F1DB1">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2CBFF315">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4F81830C">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3F09E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5BD70BDC">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6B87272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5217FE3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0C0F5A85">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01682FAC">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63652E39">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75478DF0">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3F068D4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3C4C2EBB">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78A88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08EB3C4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7C476794">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24C1E641">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17D1B0F0">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34A569A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04707B0B">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07539484">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0278E108">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587238E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315EF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39CA8FD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4ED25AFC">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0625B5FD">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23211D5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5E92BB1D">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33DF1AFD">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462BC721">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7DB69CCC">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2C2E5090">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49005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6DCD3F5A">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0D895FF0">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350699FB">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68B3ADD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03A91F98">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5B6F1D3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1B1E0708">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66F8492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692DB36F">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71DDA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151FC92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68C0D6A6">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5320A8A0">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115AE0A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4BA5AA01">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10EB2865">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13EE2129">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21B542E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06E7164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2E84E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645" w:type="dxa"/>
            <w:tcBorders>
              <w:tl2br w:val="nil"/>
              <w:tr2bl w:val="nil"/>
            </w:tcBorders>
            <w:noWrap w:val="0"/>
            <w:tcMar>
              <w:top w:w="15" w:type="dxa"/>
              <w:left w:w="15" w:type="dxa"/>
              <w:bottom w:w="0" w:type="dxa"/>
              <w:right w:w="15" w:type="dxa"/>
            </w:tcMar>
            <w:vAlign w:val="center"/>
          </w:tcPr>
          <w:p w14:paraId="7325CC2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0FB203CB">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16CD251F">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7D5914E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359A6271">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72ACC912">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16891C54">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3F8DD40B">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405B80D5">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r w14:paraId="7F768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645" w:type="dxa"/>
            <w:tcBorders>
              <w:tl2br w:val="nil"/>
              <w:tr2bl w:val="nil"/>
            </w:tcBorders>
            <w:noWrap w:val="0"/>
            <w:tcMar>
              <w:top w:w="15" w:type="dxa"/>
              <w:left w:w="15" w:type="dxa"/>
              <w:bottom w:w="0" w:type="dxa"/>
              <w:right w:w="15" w:type="dxa"/>
            </w:tcMar>
            <w:vAlign w:val="center"/>
          </w:tcPr>
          <w:p w14:paraId="74B6543E">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741" w:type="dxa"/>
            <w:tcBorders>
              <w:tl2br w:val="nil"/>
              <w:tr2bl w:val="nil"/>
            </w:tcBorders>
            <w:noWrap w:val="0"/>
            <w:tcMar>
              <w:top w:w="15" w:type="dxa"/>
              <w:left w:w="15" w:type="dxa"/>
              <w:bottom w:w="0" w:type="dxa"/>
              <w:right w:w="15" w:type="dxa"/>
            </w:tcMar>
            <w:vAlign w:val="center"/>
          </w:tcPr>
          <w:p w14:paraId="4EC4546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574" w:type="dxa"/>
            <w:tcBorders>
              <w:tl2br w:val="nil"/>
              <w:tr2bl w:val="nil"/>
            </w:tcBorders>
            <w:noWrap w:val="0"/>
            <w:tcMar>
              <w:top w:w="15" w:type="dxa"/>
              <w:left w:w="15" w:type="dxa"/>
              <w:bottom w:w="0" w:type="dxa"/>
              <w:right w:w="15" w:type="dxa"/>
            </w:tcMar>
            <w:vAlign w:val="center"/>
          </w:tcPr>
          <w:p w14:paraId="3887914F">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1192" w:type="dxa"/>
            <w:tcBorders>
              <w:tl2br w:val="nil"/>
              <w:tr2bl w:val="nil"/>
            </w:tcBorders>
            <w:noWrap w:val="0"/>
            <w:tcMar>
              <w:top w:w="15" w:type="dxa"/>
              <w:left w:w="15" w:type="dxa"/>
              <w:bottom w:w="0" w:type="dxa"/>
              <w:right w:w="15" w:type="dxa"/>
            </w:tcMar>
            <w:vAlign w:val="center"/>
          </w:tcPr>
          <w:p w14:paraId="6EB7888B">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4" w:type="dxa"/>
            <w:tcBorders>
              <w:tl2br w:val="nil"/>
              <w:tr2bl w:val="nil"/>
            </w:tcBorders>
            <w:noWrap w:val="0"/>
            <w:tcMar>
              <w:top w:w="15" w:type="dxa"/>
              <w:left w:w="15" w:type="dxa"/>
              <w:bottom w:w="0" w:type="dxa"/>
              <w:right w:w="15" w:type="dxa"/>
            </w:tcMar>
            <w:vAlign w:val="center"/>
          </w:tcPr>
          <w:p w14:paraId="11795687">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1BEA4369">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3785410C">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3" w:type="dxa"/>
            <w:tcBorders>
              <w:tl2br w:val="nil"/>
              <w:tr2bl w:val="nil"/>
            </w:tcBorders>
            <w:noWrap w:val="0"/>
            <w:tcMar>
              <w:top w:w="15" w:type="dxa"/>
              <w:left w:w="15" w:type="dxa"/>
              <w:bottom w:w="0" w:type="dxa"/>
              <w:right w:w="15" w:type="dxa"/>
            </w:tcMar>
            <w:vAlign w:val="center"/>
          </w:tcPr>
          <w:p w14:paraId="3E110DEF">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c>
          <w:tcPr>
            <w:tcW w:w="815" w:type="dxa"/>
            <w:tcBorders>
              <w:tl2br w:val="nil"/>
              <w:tr2bl w:val="nil"/>
            </w:tcBorders>
            <w:noWrap w:val="0"/>
            <w:tcMar>
              <w:top w:w="15" w:type="dxa"/>
              <w:left w:w="15" w:type="dxa"/>
              <w:bottom w:w="0" w:type="dxa"/>
              <w:right w:w="15" w:type="dxa"/>
            </w:tcMar>
            <w:vAlign w:val="center"/>
          </w:tcPr>
          <w:p w14:paraId="109D5343">
            <w:pPr>
              <w:keepNext w:val="0"/>
              <w:keepLines w:val="0"/>
              <w:pageBreakBefore w:val="0"/>
              <w:numPr>
                <w:ilvl w:val="0"/>
                <w:numId w:val="0"/>
              </w:numPr>
              <w:tabs>
                <w:tab w:val="left" w:pos="420"/>
              </w:tabs>
              <w:kinsoku/>
              <w:wordWrap/>
              <w:overflowPunct/>
              <w:topLinePunct w:val="0"/>
              <w:bidi w:val="0"/>
              <w:spacing w:line="360" w:lineRule="auto"/>
              <w:jc w:val="center"/>
              <w:textAlignment w:val="auto"/>
              <w:rPr>
                <w:rFonts w:hint="eastAsia" w:ascii="宋体" w:hAnsi="宋体" w:eastAsia="宋体" w:cs="宋体"/>
                <w:color w:val="auto"/>
                <w:szCs w:val="21"/>
                <w:highlight w:val="none"/>
              </w:rPr>
            </w:pPr>
          </w:p>
        </w:tc>
      </w:tr>
    </w:tbl>
    <w:p w14:paraId="68DDD0CF">
      <w:pPr>
        <w:keepNext w:val="0"/>
        <w:keepLines w:val="0"/>
        <w:pageBreakBefore w:val="0"/>
        <w:tabs>
          <w:tab w:val="left" w:pos="420"/>
        </w:tabs>
        <w:kinsoku/>
        <w:wordWrap/>
        <w:overflowPunct/>
        <w:topLinePunct w:val="0"/>
        <w:bidi w:val="0"/>
        <w:spacing w:line="360" w:lineRule="auto"/>
        <w:ind w:left="0" w:firstLine="3158" w:firstLineChars="131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w:t>
      </w:r>
    </w:p>
    <w:p w14:paraId="69E91B28">
      <w:pPr>
        <w:keepNext w:val="0"/>
        <w:keepLines w:val="0"/>
        <w:pageBreakBefore w:val="0"/>
        <w:widowControl/>
        <w:tabs>
          <w:tab w:val="left" w:pos="420"/>
        </w:tabs>
        <w:kinsoku/>
        <w:wordWrap/>
        <w:overflowPunct/>
        <w:topLinePunct w:val="0"/>
        <w:bidi w:val="0"/>
        <w:spacing w:line="360" w:lineRule="auto"/>
        <w:ind w:left="0" w:firstLine="3158" w:firstLineChars="131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签字或盖章</w:t>
      </w:r>
      <w:r>
        <w:rPr>
          <w:rFonts w:hint="eastAsia" w:ascii="宋体" w:hAnsi="宋体" w:eastAsia="宋体" w:cs="宋体"/>
          <w:color w:val="auto"/>
          <w:sz w:val="24"/>
          <w:szCs w:val="24"/>
          <w:highlight w:val="none"/>
        </w:rPr>
        <w:t>）</w:t>
      </w:r>
    </w:p>
    <w:p w14:paraId="301B50F7">
      <w:pPr>
        <w:keepNext w:val="0"/>
        <w:keepLines w:val="0"/>
        <w:pageBreakBefore w:val="0"/>
        <w:widowControl/>
        <w:tabs>
          <w:tab w:val="left" w:pos="420"/>
        </w:tabs>
        <w:kinsoku/>
        <w:wordWrap/>
        <w:overflowPunct/>
        <w:topLinePunct w:val="0"/>
        <w:bidi w:val="0"/>
        <w:spacing w:line="360" w:lineRule="auto"/>
        <w:ind w:left="0" w:firstLine="3158" w:firstLineChars="1316"/>
        <w:textAlignment w:val="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日期：</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年</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月</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 xml:space="preserve">日 </w:t>
      </w:r>
    </w:p>
    <w:p w14:paraId="3638312A">
      <w:pPr>
        <w:keepNext w:val="0"/>
        <w:keepLines w:val="0"/>
        <w:pageBreakBefore w:val="0"/>
        <w:numPr>
          <w:ilvl w:val="0"/>
          <w:numId w:val="0"/>
        </w:numPr>
        <w:tabs>
          <w:tab w:val="left" w:pos="420"/>
        </w:tabs>
        <w:kinsoku/>
        <w:wordWrap/>
        <w:overflowPunct/>
        <w:topLinePunct w:val="0"/>
        <w:autoSpaceDE w:val="0"/>
        <w:autoSpaceDN w:val="0"/>
        <w:bidi w:val="0"/>
        <w:adjustRightInd w:val="0"/>
        <w:snapToGrid w:val="0"/>
        <w:spacing w:line="360" w:lineRule="auto"/>
        <w:ind w:left="678" w:hanging="775" w:hangingChars="323"/>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注：1、此表名称栏填写备件、专用工具和消耗品名称；</w:t>
      </w:r>
    </w:p>
    <w:p w14:paraId="2132145A">
      <w:pPr>
        <w:keepNext w:val="0"/>
        <w:keepLines w:val="0"/>
        <w:pageBreakBefore w:val="0"/>
        <w:numPr>
          <w:ilvl w:val="0"/>
          <w:numId w:val="0"/>
        </w:numPr>
        <w:tabs>
          <w:tab w:val="left" w:pos="420"/>
        </w:tabs>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2、备件、专用工具和消耗品须分类、分项填写；</w:t>
      </w:r>
    </w:p>
    <w:p w14:paraId="6A89ED02">
      <w:pPr>
        <w:keepNext w:val="0"/>
        <w:keepLines w:val="0"/>
        <w:pageBreakBefore w:val="0"/>
        <w:numPr>
          <w:ilvl w:val="0"/>
          <w:numId w:val="0"/>
        </w:numPr>
        <w:tabs>
          <w:tab w:val="left" w:pos="420"/>
        </w:tabs>
        <w:kinsoku/>
        <w:wordWrap/>
        <w:overflowPunct/>
        <w:topLinePunct w:val="0"/>
        <w:bidi w:val="0"/>
        <w:adjustRightInd w:val="0"/>
        <w:snapToGrid w:val="0"/>
        <w:spacing w:line="360" w:lineRule="auto"/>
        <w:ind w:left="708" w:leftChars="200" w:hanging="288" w:hangingChars="1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3、本表所列价格是含税价，作为所列项目的价格依据；</w:t>
      </w:r>
    </w:p>
    <w:p w14:paraId="3494FC76">
      <w:pPr>
        <w:keepNext w:val="0"/>
        <w:keepLines w:val="0"/>
        <w:pageBreakBefore w:val="0"/>
        <w:numPr>
          <w:ilvl w:val="0"/>
          <w:numId w:val="0"/>
        </w:numPr>
        <w:tabs>
          <w:tab w:val="left" w:pos="420"/>
        </w:tabs>
        <w:kinsoku/>
        <w:wordWrap/>
        <w:overflowPunct/>
        <w:topLinePunct w:val="0"/>
        <w:autoSpaceDE w:val="0"/>
        <w:autoSpaceDN w:val="0"/>
        <w:bidi w:val="0"/>
        <w:adjustRightInd w:val="0"/>
        <w:snapToGrid w:val="0"/>
        <w:spacing w:line="360" w:lineRule="auto"/>
        <w:ind w:left="708" w:leftChars="200" w:hanging="288" w:hangingChars="1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4、若无备件、专用工具和消耗品，此表可不做。</w:t>
      </w:r>
    </w:p>
    <w:p w14:paraId="6BF58DD8">
      <w:pPr>
        <w:keepNext w:val="0"/>
        <w:keepLines w:val="0"/>
        <w:pageBreakBefore w:val="0"/>
        <w:numPr>
          <w:ilvl w:val="-1"/>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2E83125">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rPr>
      </w:pPr>
      <w:bookmarkStart w:id="397" w:name="_Toc30731"/>
      <w:r>
        <w:rPr>
          <w:rFonts w:hint="eastAsia" w:ascii="宋体" w:hAnsi="宋体" w:cs="宋体"/>
          <w:b/>
          <w:color w:val="auto"/>
          <w:kern w:val="0"/>
          <w:sz w:val="30"/>
          <w:szCs w:val="30"/>
          <w:highlight w:val="none"/>
          <w:lang w:val="en-US" w:eastAsia="zh-CN"/>
        </w:rPr>
        <w:t>三</w:t>
      </w:r>
      <w:r>
        <w:rPr>
          <w:rFonts w:hint="eastAsia" w:ascii="宋体" w:hAnsi="宋体" w:eastAsia="宋体" w:cs="宋体"/>
          <w:b/>
          <w:color w:val="auto"/>
          <w:kern w:val="0"/>
          <w:sz w:val="30"/>
          <w:szCs w:val="30"/>
          <w:highlight w:val="none"/>
        </w:rPr>
        <w:t>、技术要求偏离表</w:t>
      </w:r>
      <w:bookmarkEnd w:id="397"/>
    </w:p>
    <w:p w14:paraId="2B14F25B">
      <w:pPr>
        <w:tabs>
          <w:tab w:val="left" w:pos="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tbl>
      <w:tblPr>
        <w:tblStyle w:val="33"/>
        <w:tblW w:w="913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732"/>
        <w:gridCol w:w="1394"/>
        <w:gridCol w:w="2017"/>
        <w:gridCol w:w="1906"/>
        <w:gridCol w:w="1794"/>
        <w:gridCol w:w="1296"/>
      </w:tblGrid>
      <w:tr w14:paraId="3D6271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83" w:hRule="atLeast"/>
        </w:trPr>
        <w:tc>
          <w:tcPr>
            <w:tcW w:w="732" w:type="dxa"/>
            <w:tcBorders>
              <w:tl2br w:val="nil"/>
              <w:tr2bl w:val="nil"/>
            </w:tcBorders>
            <w:noWrap w:val="0"/>
            <w:vAlign w:val="center"/>
          </w:tcPr>
          <w:p w14:paraId="5845BE8C">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394" w:type="dxa"/>
            <w:tcBorders>
              <w:tl2br w:val="nil"/>
              <w:tr2bl w:val="nil"/>
            </w:tcBorders>
            <w:noWrap w:val="0"/>
            <w:vAlign w:val="center"/>
          </w:tcPr>
          <w:p w14:paraId="7151BD98">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设备名称</w:t>
            </w:r>
          </w:p>
        </w:tc>
        <w:tc>
          <w:tcPr>
            <w:tcW w:w="2017" w:type="dxa"/>
            <w:tcBorders>
              <w:tl2br w:val="nil"/>
              <w:tr2bl w:val="nil"/>
            </w:tcBorders>
            <w:noWrap w:val="0"/>
            <w:vAlign w:val="center"/>
          </w:tcPr>
          <w:p w14:paraId="0EBF9A6C">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r>
              <w:rPr>
                <w:rFonts w:hint="eastAsia" w:ascii="宋体" w:hAnsi="宋体" w:cs="宋体"/>
                <w:b w:val="0"/>
                <w:color w:val="auto"/>
                <w:sz w:val="21"/>
                <w:szCs w:val="21"/>
                <w:highlight w:val="none"/>
              </w:rPr>
              <w:t>招标技术要求</w:t>
            </w:r>
          </w:p>
        </w:tc>
        <w:tc>
          <w:tcPr>
            <w:tcW w:w="1906" w:type="dxa"/>
            <w:tcBorders>
              <w:tl2br w:val="nil"/>
              <w:tr2bl w:val="nil"/>
            </w:tcBorders>
            <w:noWrap w:val="0"/>
            <w:vAlign w:val="center"/>
          </w:tcPr>
          <w:p w14:paraId="3937F204">
            <w:pPr>
              <w:widowControl/>
              <w:numPr>
                <w:ilvl w:val="0"/>
                <w:numId w:val="0"/>
              </w:numPr>
              <w:tabs>
                <w:tab w:val="left" w:pos="420"/>
              </w:tabs>
              <w:snapToGrid w:val="0"/>
              <w:spacing w:line="360" w:lineRule="auto"/>
              <w:jc w:val="center"/>
              <w:rPr>
                <w:rFonts w:hint="eastAsia" w:ascii="宋体" w:hAnsi="宋体" w:eastAsia="宋体" w:cs="宋体"/>
                <w:color w:val="auto"/>
                <w:szCs w:val="21"/>
                <w:highlight w:val="none"/>
              </w:rPr>
            </w:pPr>
            <w:r>
              <w:rPr>
                <w:rFonts w:hint="eastAsia" w:ascii="宋体" w:hAnsi="宋体" w:cs="宋体"/>
                <w:b w:val="0"/>
                <w:color w:val="auto"/>
                <w:sz w:val="21"/>
                <w:szCs w:val="21"/>
                <w:highlight w:val="none"/>
              </w:rPr>
              <w:t>投标标的实际技术规格</w:t>
            </w:r>
          </w:p>
        </w:tc>
        <w:tc>
          <w:tcPr>
            <w:tcW w:w="1794" w:type="dxa"/>
            <w:tcBorders>
              <w:tl2br w:val="nil"/>
              <w:tr2bl w:val="nil"/>
            </w:tcBorders>
            <w:noWrap w:val="0"/>
            <w:vAlign w:val="center"/>
          </w:tcPr>
          <w:p w14:paraId="54B7EADC">
            <w:pPr>
              <w:numPr>
                <w:ilvl w:val="0"/>
                <w:numId w:val="0"/>
              </w:numPr>
              <w:tabs>
                <w:tab w:val="left" w:pos="4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偏离情况</w:t>
            </w:r>
          </w:p>
        </w:tc>
        <w:tc>
          <w:tcPr>
            <w:tcW w:w="1296" w:type="dxa"/>
            <w:tcBorders>
              <w:tl2br w:val="nil"/>
              <w:tr2bl w:val="nil"/>
            </w:tcBorders>
            <w:noWrap w:val="0"/>
            <w:vAlign w:val="center"/>
          </w:tcPr>
          <w:p w14:paraId="2BDF5042">
            <w:pPr>
              <w:numPr>
                <w:ilvl w:val="0"/>
                <w:numId w:val="0"/>
              </w:numPr>
              <w:tabs>
                <w:tab w:val="left" w:pos="4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tc>
      </w:tr>
      <w:tr w14:paraId="4E4F97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62" w:hRule="atLeast"/>
        </w:trPr>
        <w:tc>
          <w:tcPr>
            <w:tcW w:w="732" w:type="dxa"/>
            <w:tcBorders>
              <w:tl2br w:val="nil"/>
              <w:tr2bl w:val="nil"/>
            </w:tcBorders>
            <w:noWrap w:val="0"/>
            <w:vAlign w:val="center"/>
          </w:tcPr>
          <w:p w14:paraId="50C035F7">
            <w:pPr>
              <w:numPr>
                <w:ilvl w:val="0"/>
                <w:numId w:val="0"/>
              </w:numPr>
              <w:tabs>
                <w:tab w:val="left" w:pos="420"/>
              </w:tabs>
              <w:autoSpaceDE w:val="0"/>
              <w:autoSpaceDN w:val="0"/>
              <w:adjustRightInd w:val="0"/>
              <w:spacing w:line="360" w:lineRule="auto"/>
              <w:jc w:val="center"/>
              <w:textAlignment w:val="baseline"/>
              <w:rPr>
                <w:rFonts w:hint="eastAsia" w:ascii="宋体" w:hAnsi="宋体" w:eastAsia="宋体" w:cs="宋体"/>
                <w:b/>
                <w:color w:val="auto"/>
                <w:szCs w:val="21"/>
                <w:highlight w:val="none"/>
              </w:rPr>
            </w:pPr>
          </w:p>
        </w:tc>
        <w:tc>
          <w:tcPr>
            <w:tcW w:w="1394" w:type="dxa"/>
            <w:tcBorders>
              <w:tl2br w:val="nil"/>
              <w:tr2bl w:val="nil"/>
            </w:tcBorders>
            <w:noWrap w:val="0"/>
            <w:vAlign w:val="center"/>
          </w:tcPr>
          <w:p w14:paraId="6B3B7008">
            <w:pPr>
              <w:numPr>
                <w:ilvl w:val="0"/>
                <w:numId w:val="0"/>
              </w:numPr>
              <w:tabs>
                <w:tab w:val="left" w:pos="420"/>
              </w:tabs>
              <w:autoSpaceDE w:val="0"/>
              <w:autoSpaceDN w:val="0"/>
              <w:adjustRightInd w:val="0"/>
              <w:spacing w:line="360" w:lineRule="auto"/>
              <w:jc w:val="center"/>
              <w:textAlignment w:val="baseline"/>
              <w:rPr>
                <w:rFonts w:hint="eastAsia" w:ascii="宋体" w:hAnsi="宋体" w:eastAsia="宋体" w:cs="宋体"/>
                <w:b/>
                <w:color w:val="auto"/>
                <w:szCs w:val="21"/>
                <w:highlight w:val="none"/>
              </w:rPr>
            </w:pPr>
          </w:p>
        </w:tc>
        <w:tc>
          <w:tcPr>
            <w:tcW w:w="2017" w:type="dxa"/>
            <w:tcBorders>
              <w:tl2br w:val="nil"/>
              <w:tr2bl w:val="nil"/>
            </w:tcBorders>
            <w:noWrap w:val="0"/>
            <w:vAlign w:val="center"/>
          </w:tcPr>
          <w:p w14:paraId="049708AA">
            <w:pPr>
              <w:numPr>
                <w:ilvl w:val="0"/>
                <w:numId w:val="0"/>
              </w:numPr>
              <w:tabs>
                <w:tab w:val="left" w:pos="420"/>
              </w:tabs>
              <w:autoSpaceDE w:val="0"/>
              <w:autoSpaceDN w:val="0"/>
              <w:adjustRightInd w:val="0"/>
              <w:spacing w:line="360" w:lineRule="auto"/>
              <w:jc w:val="center"/>
              <w:textAlignment w:val="baseline"/>
              <w:rPr>
                <w:rFonts w:hint="eastAsia" w:ascii="宋体" w:hAnsi="宋体" w:eastAsia="宋体" w:cs="宋体"/>
                <w:b/>
                <w:color w:val="auto"/>
                <w:szCs w:val="21"/>
                <w:highlight w:val="none"/>
              </w:rPr>
            </w:pPr>
          </w:p>
        </w:tc>
        <w:tc>
          <w:tcPr>
            <w:tcW w:w="1906" w:type="dxa"/>
            <w:tcBorders>
              <w:tl2br w:val="nil"/>
              <w:tr2bl w:val="nil"/>
            </w:tcBorders>
            <w:noWrap w:val="0"/>
            <w:vAlign w:val="center"/>
          </w:tcPr>
          <w:p w14:paraId="7DEB7C6E">
            <w:pPr>
              <w:numPr>
                <w:ilvl w:val="0"/>
                <w:numId w:val="0"/>
              </w:numPr>
              <w:tabs>
                <w:tab w:val="left" w:pos="420"/>
              </w:tabs>
              <w:autoSpaceDE w:val="0"/>
              <w:autoSpaceDN w:val="0"/>
              <w:adjustRightInd w:val="0"/>
              <w:spacing w:line="360" w:lineRule="auto"/>
              <w:jc w:val="center"/>
              <w:textAlignment w:val="baseline"/>
              <w:rPr>
                <w:rFonts w:hint="eastAsia" w:ascii="宋体" w:hAnsi="宋体" w:eastAsia="宋体" w:cs="宋体"/>
                <w:b/>
                <w:color w:val="auto"/>
                <w:szCs w:val="21"/>
                <w:highlight w:val="none"/>
              </w:rPr>
            </w:pPr>
          </w:p>
        </w:tc>
        <w:tc>
          <w:tcPr>
            <w:tcW w:w="1794" w:type="dxa"/>
            <w:tcBorders>
              <w:tl2br w:val="nil"/>
              <w:tr2bl w:val="nil"/>
            </w:tcBorders>
            <w:noWrap w:val="0"/>
            <w:vAlign w:val="center"/>
          </w:tcPr>
          <w:p w14:paraId="1FDC0D8C">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296" w:type="dxa"/>
            <w:tcBorders>
              <w:tl2br w:val="nil"/>
              <w:tr2bl w:val="nil"/>
            </w:tcBorders>
            <w:noWrap w:val="0"/>
            <w:vAlign w:val="center"/>
          </w:tcPr>
          <w:p w14:paraId="45AE231C">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r>
      <w:tr w14:paraId="751B71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62" w:hRule="atLeast"/>
        </w:trPr>
        <w:tc>
          <w:tcPr>
            <w:tcW w:w="732" w:type="dxa"/>
            <w:tcBorders>
              <w:tl2br w:val="nil"/>
              <w:tr2bl w:val="nil"/>
            </w:tcBorders>
            <w:noWrap w:val="0"/>
            <w:vAlign w:val="center"/>
          </w:tcPr>
          <w:p w14:paraId="14265118">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394" w:type="dxa"/>
            <w:tcBorders>
              <w:tl2br w:val="nil"/>
              <w:tr2bl w:val="nil"/>
            </w:tcBorders>
            <w:noWrap w:val="0"/>
            <w:vAlign w:val="center"/>
          </w:tcPr>
          <w:p w14:paraId="2708EB95">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2017" w:type="dxa"/>
            <w:tcBorders>
              <w:tl2br w:val="nil"/>
              <w:tr2bl w:val="nil"/>
            </w:tcBorders>
            <w:noWrap w:val="0"/>
            <w:vAlign w:val="center"/>
          </w:tcPr>
          <w:p w14:paraId="36F188A1">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906" w:type="dxa"/>
            <w:tcBorders>
              <w:tl2br w:val="nil"/>
              <w:tr2bl w:val="nil"/>
            </w:tcBorders>
            <w:noWrap w:val="0"/>
            <w:vAlign w:val="center"/>
          </w:tcPr>
          <w:p w14:paraId="7747A4A9">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794" w:type="dxa"/>
            <w:tcBorders>
              <w:tl2br w:val="nil"/>
              <w:tr2bl w:val="nil"/>
            </w:tcBorders>
            <w:noWrap w:val="0"/>
            <w:vAlign w:val="center"/>
          </w:tcPr>
          <w:p w14:paraId="1F4A5822">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296" w:type="dxa"/>
            <w:tcBorders>
              <w:tl2br w:val="nil"/>
              <w:tr2bl w:val="nil"/>
            </w:tcBorders>
            <w:noWrap w:val="0"/>
            <w:vAlign w:val="center"/>
          </w:tcPr>
          <w:p w14:paraId="48FCC2A2">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r>
      <w:tr w14:paraId="6E8E48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677" w:hRule="atLeast"/>
        </w:trPr>
        <w:tc>
          <w:tcPr>
            <w:tcW w:w="732" w:type="dxa"/>
            <w:tcBorders>
              <w:tl2br w:val="nil"/>
              <w:tr2bl w:val="nil"/>
            </w:tcBorders>
            <w:noWrap w:val="0"/>
            <w:vAlign w:val="center"/>
          </w:tcPr>
          <w:p w14:paraId="5511F1A7">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394" w:type="dxa"/>
            <w:tcBorders>
              <w:tl2br w:val="nil"/>
              <w:tr2bl w:val="nil"/>
            </w:tcBorders>
            <w:noWrap w:val="0"/>
            <w:vAlign w:val="center"/>
          </w:tcPr>
          <w:p w14:paraId="73C65F82">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2017" w:type="dxa"/>
            <w:tcBorders>
              <w:tl2br w:val="nil"/>
              <w:tr2bl w:val="nil"/>
            </w:tcBorders>
            <w:noWrap w:val="0"/>
            <w:vAlign w:val="center"/>
          </w:tcPr>
          <w:p w14:paraId="41AD7EC3">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906" w:type="dxa"/>
            <w:tcBorders>
              <w:tl2br w:val="nil"/>
              <w:tr2bl w:val="nil"/>
            </w:tcBorders>
            <w:noWrap w:val="0"/>
            <w:vAlign w:val="center"/>
          </w:tcPr>
          <w:p w14:paraId="4D8E9B6A">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794" w:type="dxa"/>
            <w:tcBorders>
              <w:tl2br w:val="nil"/>
              <w:tr2bl w:val="nil"/>
            </w:tcBorders>
            <w:noWrap w:val="0"/>
            <w:vAlign w:val="center"/>
          </w:tcPr>
          <w:p w14:paraId="624C98F3">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296" w:type="dxa"/>
            <w:tcBorders>
              <w:tl2br w:val="nil"/>
              <w:tr2bl w:val="nil"/>
            </w:tcBorders>
            <w:noWrap w:val="0"/>
            <w:vAlign w:val="center"/>
          </w:tcPr>
          <w:p w14:paraId="5424BE84">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r>
      <w:tr w14:paraId="0E9D9B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720" w:hRule="atLeast"/>
        </w:trPr>
        <w:tc>
          <w:tcPr>
            <w:tcW w:w="732" w:type="dxa"/>
            <w:tcBorders>
              <w:tl2br w:val="nil"/>
              <w:tr2bl w:val="nil"/>
            </w:tcBorders>
            <w:noWrap w:val="0"/>
            <w:vAlign w:val="center"/>
          </w:tcPr>
          <w:p w14:paraId="1D706515">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394" w:type="dxa"/>
            <w:tcBorders>
              <w:tl2br w:val="nil"/>
              <w:tr2bl w:val="nil"/>
            </w:tcBorders>
            <w:noWrap w:val="0"/>
            <w:vAlign w:val="center"/>
          </w:tcPr>
          <w:p w14:paraId="30B37974">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2017" w:type="dxa"/>
            <w:tcBorders>
              <w:tl2br w:val="nil"/>
              <w:tr2bl w:val="nil"/>
            </w:tcBorders>
            <w:noWrap w:val="0"/>
            <w:vAlign w:val="center"/>
          </w:tcPr>
          <w:p w14:paraId="1E396E0D">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906" w:type="dxa"/>
            <w:tcBorders>
              <w:tl2br w:val="nil"/>
              <w:tr2bl w:val="nil"/>
            </w:tcBorders>
            <w:noWrap w:val="0"/>
            <w:vAlign w:val="center"/>
          </w:tcPr>
          <w:p w14:paraId="71288EDF">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794" w:type="dxa"/>
            <w:tcBorders>
              <w:tl2br w:val="nil"/>
              <w:tr2bl w:val="nil"/>
            </w:tcBorders>
            <w:noWrap w:val="0"/>
            <w:vAlign w:val="center"/>
          </w:tcPr>
          <w:p w14:paraId="2BB6DA92">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c>
          <w:tcPr>
            <w:tcW w:w="1296" w:type="dxa"/>
            <w:tcBorders>
              <w:tl2br w:val="nil"/>
              <w:tr2bl w:val="nil"/>
            </w:tcBorders>
            <w:noWrap w:val="0"/>
            <w:vAlign w:val="center"/>
          </w:tcPr>
          <w:p w14:paraId="5348FD32">
            <w:pPr>
              <w:numPr>
                <w:ilvl w:val="0"/>
                <w:numId w:val="0"/>
              </w:numPr>
              <w:tabs>
                <w:tab w:val="left" w:pos="420"/>
              </w:tabs>
              <w:snapToGrid w:val="0"/>
              <w:spacing w:line="360" w:lineRule="auto"/>
              <w:jc w:val="center"/>
              <w:rPr>
                <w:rFonts w:hint="eastAsia" w:ascii="宋体" w:hAnsi="宋体" w:eastAsia="宋体" w:cs="宋体"/>
                <w:color w:val="auto"/>
                <w:szCs w:val="21"/>
                <w:highlight w:val="none"/>
              </w:rPr>
            </w:pPr>
          </w:p>
        </w:tc>
      </w:tr>
    </w:tbl>
    <w:p w14:paraId="096A89AF">
      <w:pPr>
        <w:numPr>
          <w:ilvl w:val="0"/>
          <w:numId w:val="0"/>
        </w:numPr>
        <w:tabs>
          <w:tab w:val="left" w:pos="420"/>
        </w:tabs>
        <w:topLinePunct/>
        <w:ind w:firstLine="480" w:firstLineChars="200"/>
        <w:rPr>
          <w:rFonts w:hint="eastAsia" w:ascii="宋体" w:hAnsi="宋体" w:eastAsia="宋体" w:cs="宋体"/>
          <w:b w:val="0"/>
          <w:bCs w:val="0"/>
          <w:color w:val="auto"/>
          <w:sz w:val="24"/>
          <w:szCs w:val="24"/>
          <w:highlight w:val="none"/>
        </w:rPr>
      </w:pPr>
    </w:p>
    <w:p w14:paraId="7C16F47D">
      <w:pPr>
        <w:numPr>
          <w:ilvl w:val="0"/>
          <w:numId w:val="0"/>
        </w:numPr>
        <w:tabs>
          <w:tab w:val="left" w:pos="420"/>
        </w:tabs>
        <w:topLinePunct/>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注：供应商须对照招标文件技术规格，将自己所投的所有货物的功能、技术性能、配置等内容按照上表格式与招标文件要求逐条填写，</w:t>
      </w:r>
      <w:r>
        <w:rPr>
          <w:rFonts w:hint="eastAsia" w:ascii="宋体" w:hAnsi="宋体" w:cs="宋体"/>
          <w:b w:val="0"/>
          <w:bCs w:val="0"/>
          <w:color w:val="auto"/>
          <w:sz w:val="24"/>
          <w:highlight w:val="none"/>
        </w:rPr>
        <w:t>供应商必须提供所投设备的具体参数值，并在偏离说</w:t>
      </w:r>
      <w:r>
        <w:rPr>
          <w:rFonts w:hint="eastAsia" w:ascii="宋体" w:hAnsi="宋体" w:cs="宋体"/>
          <w:color w:val="auto"/>
          <w:sz w:val="24"/>
          <w:highlight w:val="none"/>
        </w:rPr>
        <w:t>注：供应商须对照招标文件技术规格，将自己所投的所有货物的功能、技术性能、配置等内容按照上表格式与招标文件要求逐条填写，</w:t>
      </w:r>
      <w:r>
        <w:rPr>
          <w:rFonts w:hint="eastAsia" w:ascii="宋体" w:hAnsi="宋体" w:cs="宋体"/>
          <w:b w:val="0"/>
          <w:bCs w:val="0"/>
          <w:color w:val="auto"/>
          <w:sz w:val="24"/>
          <w:highlight w:val="none"/>
        </w:rPr>
        <w:t>供应商必须提供所投设备的具体参数值，并在偏离说明栏中标明技术及配置的实际响应情况</w:t>
      </w:r>
      <w:r>
        <w:rPr>
          <w:rFonts w:hint="eastAsia" w:ascii="宋体" w:hAnsi="宋体" w:cs="宋体"/>
          <w:color w:val="auto"/>
          <w:sz w:val="24"/>
          <w:highlight w:val="none"/>
        </w:rPr>
        <w:t>：</w:t>
      </w:r>
    </w:p>
    <w:p w14:paraId="071A0723">
      <w:pPr>
        <w:numPr>
          <w:ilvl w:val="0"/>
          <w:numId w:val="0"/>
        </w:numPr>
        <w:tabs>
          <w:tab w:val="left" w:pos="420"/>
        </w:tabs>
        <w:topLinePunct/>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1、偏离说明栏中必须标明技术及配置的响应情况，整项货物及该项货物各部分相应情况须按下列要求填写，任何不真实响应都将按无效投标处理：</w:t>
      </w:r>
    </w:p>
    <w:p w14:paraId="1511ED9F">
      <w:pPr>
        <w:numPr>
          <w:ilvl w:val="0"/>
          <w:numId w:val="0"/>
        </w:numPr>
        <w:tabs>
          <w:tab w:val="left" w:pos="420"/>
        </w:tabs>
        <w:topLinePunct/>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（1）对应项中的所有技术参数、性能和配置全部符合招标文件要求的才能填写“符合”；</w:t>
      </w:r>
    </w:p>
    <w:p w14:paraId="6068C6E5">
      <w:pPr>
        <w:numPr>
          <w:ilvl w:val="0"/>
          <w:numId w:val="0"/>
        </w:numPr>
        <w:tabs>
          <w:tab w:val="left" w:pos="420"/>
        </w:tabs>
        <w:topLinePunct/>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（2）对应项中的所有技术参数、性能和配置全部符合招标文件要求并且其中有一个或以上指标优于招标文件要求的，可填写“正偏离”；</w:t>
      </w:r>
    </w:p>
    <w:p w14:paraId="22C139DD">
      <w:pPr>
        <w:numPr>
          <w:ilvl w:val="0"/>
          <w:numId w:val="0"/>
        </w:numPr>
        <w:tabs>
          <w:tab w:val="left" w:pos="420"/>
        </w:tabs>
        <w:topLinePunct/>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（3）供应商可根据需要自行增减表格行数。</w:t>
      </w:r>
    </w:p>
    <w:p w14:paraId="742B01D3">
      <w:pPr>
        <w:keepNext w:val="0"/>
        <w:keepLines w:val="0"/>
        <w:pageBreakBefore w:val="0"/>
        <w:tabs>
          <w:tab w:val="left" w:pos="420"/>
        </w:tabs>
        <w:kinsoku/>
        <w:wordWrap/>
        <w:overflowPunct/>
        <w:topLinePunct w:val="0"/>
        <w:bidi w:val="0"/>
        <w:spacing w:line="360" w:lineRule="auto"/>
        <w:ind w:left="0" w:firstLine="3158" w:firstLineChars="131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w:t>
      </w:r>
    </w:p>
    <w:p w14:paraId="444BD013">
      <w:pPr>
        <w:keepNext w:val="0"/>
        <w:keepLines w:val="0"/>
        <w:pageBreakBefore w:val="0"/>
        <w:widowControl/>
        <w:tabs>
          <w:tab w:val="left" w:pos="420"/>
        </w:tabs>
        <w:kinsoku/>
        <w:wordWrap/>
        <w:overflowPunct/>
        <w:topLinePunct w:val="0"/>
        <w:bidi w:val="0"/>
        <w:spacing w:line="360" w:lineRule="auto"/>
        <w:ind w:left="0" w:firstLine="3158" w:firstLineChars="131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签字或盖章</w:t>
      </w:r>
      <w:r>
        <w:rPr>
          <w:rFonts w:hint="eastAsia" w:ascii="宋体" w:hAnsi="宋体" w:eastAsia="宋体" w:cs="宋体"/>
          <w:color w:val="auto"/>
          <w:sz w:val="24"/>
          <w:szCs w:val="24"/>
          <w:highlight w:val="none"/>
        </w:rPr>
        <w:t>）</w:t>
      </w:r>
    </w:p>
    <w:p w14:paraId="6409A402">
      <w:pPr>
        <w:numPr>
          <w:ilvl w:val="0"/>
          <w:numId w:val="0"/>
        </w:numPr>
        <w:tabs>
          <w:tab w:val="left" w:pos="420"/>
        </w:tabs>
        <w:autoSpaceDE w:val="0"/>
        <w:autoSpaceDN w:val="0"/>
        <w:adjustRightInd w:val="0"/>
        <w:snapToGrid w:val="0"/>
        <w:spacing w:line="360" w:lineRule="auto"/>
        <w:ind w:left="829" w:leftChars="395" w:firstLine="2822" w:firstLineChars="1176"/>
        <w:jc w:val="left"/>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lang w:bidi="ar"/>
        </w:rPr>
        <w:t>日期：</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年</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月</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日</w:t>
      </w:r>
    </w:p>
    <w:p w14:paraId="70AADDF1">
      <w:pPr>
        <w:keepNext w:val="0"/>
        <w:keepLines w:val="0"/>
        <w:pageBreakBefore w:val="0"/>
        <w:widowControl/>
        <w:kinsoku/>
        <w:wordWrap/>
        <w:overflowPunct/>
        <w:topLinePunct w:val="0"/>
        <w:autoSpaceDE/>
        <w:autoSpaceDN/>
        <w:bidi w:val="0"/>
        <w:adjustRightInd/>
        <w:snapToGrid/>
        <w:spacing w:line="240" w:lineRule="auto"/>
        <w:ind w:left="0" w:firstLine="0" w:firstLineChars="0"/>
        <w:jc w:val="left"/>
        <w:textAlignment w:val="auto"/>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highlight w:val="none"/>
        </w:rPr>
        <w:br w:type="page"/>
      </w:r>
    </w:p>
    <w:p w14:paraId="3DE54367">
      <w:pPr>
        <w:keepNext w:val="0"/>
        <w:keepLines w:val="0"/>
        <w:pageBreakBefore w:val="0"/>
        <w:widowControl w:val="0"/>
        <w:numPr>
          <w:ilvl w:val="0"/>
          <w:numId w:val="0"/>
        </w:numPr>
        <w:tabs>
          <w:tab w:val="left" w:pos="420"/>
        </w:tabs>
        <w:kinsoku/>
        <w:wordWrap/>
        <w:overflowPunct/>
        <w:bidi w:val="0"/>
        <w:spacing w:line="360" w:lineRule="auto"/>
        <w:jc w:val="center"/>
        <w:textAlignment w:val="auto"/>
        <w:outlineLvl w:val="1"/>
        <w:rPr>
          <w:rFonts w:hint="eastAsia" w:ascii="宋体" w:hAnsi="宋体" w:eastAsia="宋体" w:cs="宋体"/>
          <w:b/>
          <w:color w:val="auto"/>
          <w:kern w:val="0"/>
          <w:sz w:val="30"/>
          <w:szCs w:val="30"/>
          <w:highlight w:val="none"/>
        </w:rPr>
      </w:pPr>
      <w:bookmarkStart w:id="398" w:name="_Toc7235"/>
      <w:r>
        <w:rPr>
          <w:rFonts w:hint="eastAsia" w:ascii="宋体" w:hAnsi="宋体" w:cs="宋体"/>
          <w:b/>
          <w:color w:val="auto"/>
          <w:kern w:val="0"/>
          <w:sz w:val="30"/>
          <w:szCs w:val="30"/>
          <w:highlight w:val="none"/>
          <w:lang w:val="en-US" w:eastAsia="zh-CN"/>
        </w:rPr>
        <w:t>四</w:t>
      </w:r>
      <w:r>
        <w:rPr>
          <w:rFonts w:hint="eastAsia" w:ascii="宋体" w:hAnsi="宋体" w:eastAsia="宋体" w:cs="宋体"/>
          <w:b/>
          <w:color w:val="auto"/>
          <w:kern w:val="0"/>
          <w:sz w:val="30"/>
          <w:szCs w:val="30"/>
          <w:highlight w:val="none"/>
        </w:rPr>
        <w:t>、法定代表人（负责人）身份证明及授权委托书</w:t>
      </w:r>
      <w:bookmarkEnd w:id="368"/>
      <w:bookmarkEnd w:id="369"/>
      <w:bookmarkEnd w:id="370"/>
      <w:bookmarkEnd w:id="371"/>
      <w:bookmarkEnd w:id="372"/>
      <w:bookmarkEnd w:id="373"/>
      <w:bookmarkEnd w:id="374"/>
      <w:bookmarkEnd w:id="375"/>
      <w:bookmarkEnd w:id="376"/>
      <w:bookmarkEnd w:id="377"/>
      <w:bookmarkEnd w:id="378"/>
      <w:bookmarkEnd w:id="380"/>
      <w:bookmarkEnd w:id="381"/>
      <w:bookmarkEnd w:id="382"/>
      <w:bookmarkEnd w:id="384"/>
      <w:bookmarkEnd w:id="385"/>
      <w:bookmarkEnd w:id="386"/>
      <w:bookmarkEnd w:id="387"/>
      <w:bookmarkEnd w:id="388"/>
      <w:bookmarkEnd w:id="389"/>
      <w:bookmarkEnd w:id="390"/>
      <w:bookmarkEnd w:id="391"/>
      <w:bookmarkEnd w:id="392"/>
      <w:bookmarkEnd w:id="393"/>
      <w:bookmarkEnd w:id="398"/>
    </w:p>
    <w:p w14:paraId="1E7E8B05">
      <w:pPr>
        <w:keepNext w:val="0"/>
        <w:keepLines w:val="0"/>
        <w:pageBreakBefore w:val="0"/>
        <w:widowControl w:val="0"/>
        <w:numPr>
          <w:ilvl w:val="0"/>
          <w:numId w:val="0"/>
        </w:numPr>
        <w:tabs>
          <w:tab w:val="left" w:pos="420"/>
        </w:tabs>
        <w:kinsoku/>
        <w:wordWrap/>
        <w:overflowPunct/>
        <w:bidi w:val="0"/>
        <w:spacing w:line="360" w:lineRule="auto"/>
        <w:jc w:val="center"/>
        <w:textAlignment w:val="auto"/>
        <w:outlineLvl w:val="1"/>
        <w:rPr>
          <w:rFonts w:hint="eastAsia" w:ascii="宋体" w:hAnsi="宋体" w:eastAsia="宋体" w:cs="宋体"/>
          <w:b/>
          <w:color w:val="auto"/>
          <w:kern w:val="0"/>
          <w:sz w:val="30"/>
          <w:szCs w:val="30"/>
          <w:highlight w:val="none"/>
        </w:rPr>
      </w:pPr>
      <w:bookmarkStart w:id="399" w:name="_Toc32641"/>
      <w:bookmarkStart w:id="400" w:name="_Toc1367"/>
      <w:bookmarkStart w:id="401" w:name="_Toc5414"/>
      <w:bookmarkStart w:id="402" w:name="_Toc1076"/>
      <w:bookmarkStart w:id="403" w:name="_Toc10803"/>
      <w:bookmarkStart w:id="404" w:name="_Toc25638"/>
      <w:bookmarkStart w:id="405" w:name="_Toc11258"/>
      <w:bookmarkStart w:id="406" w:name="_Toc21977"/>
      <w:bookmarkStart w:id="407" w:name="_Toc1472"/>
      <w:bookmarkStart w:id="408" w:name="_Toc14445"/>
      <w:bookmarkStart w:id="409" w:name="_Toc10060"/>
      <w:bookmarkStart w:id="410" w:name="_Toc9497"/>
      <w:bookmarkStart w:id="411" w:name="_Toc31765"/>
      <w:bookmarkStart w:id="412" w:name="_Toc27874"/>
      <w:bookmarkStart w:id="413" w:name="_Toc10557"/>
      <w:bookmarkStart w:id="414" w:name="_Toc1164"/>
      <w:bookmarkStart w:id="415" w:name="_Toc12784"/>
      <w:bookmarkStart w:id="416" w:name="_Toc26482"/>
      <w:bookmarkStart w:id="417" w:name="_Toc22574"/>
      <w:bookmarkStart w:id="418" w:name="_Toc15297"/>
      <w:bookmarkStart w:id="419" w:name="_Toc1245"/>
      <w:bookmarkStart w:id="420" w:name="_Toc30940"/>
      <w:bookmarkStart w:id="421" w:name="_Toc22131"/>
      <w:bookmarkStart w:id="422" w:name="_Toc5516"/>
      <w:bookmarkStart w:id="423" w:name="_Toc18944"/>
      <w:bookmarkStart w:id="424" w:name="_Toc26140"/>
      <w:bookmarkStart w:id="425" w:name="_Toc29443"/>
      <w:bookmarkStart w:id="426" w:name="_Toc21962"/>
      <w:bookmarkStart w:id="427" w:name="_Toc22865"/>
      <w:bookmarkStart w:id="428" w:name="_Toc25082"/>
      <w:r>
        <w:rPr>
          <w:rFonts w:hint="eastAsia" w:ascii="宋体" w:hAnsi="宋体" w:cs="宋体"/>
          <w:b/>
          <w:color w:val="auto"/>
          <w:kern w:val="0"/>
          <w:sz w:val="30"/>
          <w:szCs w:val="30"/>
          <w:highlight w:val="none"/>
          <w:lang w:eastAsia="zh-CN"/>
        </w:rPr>
        <w:t>4</w:t>
      </w:r>
      <w:r>
        <w:rPr>
          <w:rFonts w:hint="eastAsia" w:ascii="宋体" w:hAnsi="宋体" w:eastAsia="宋体" w:cs="宋体"/>
          <w:b/>
          <w:color w:val="auto"/>
          <w:kern w:val="0"/>
          <w:sz w:val="30"/>
          <w:szCs w:val="30"/>
          <w:highlight w:val="none"/>
        </w:rPr>
        <w:t>.1法定代表人（负责人）身份证明</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622B1690">
      <w:pPr>
        <w:keepNext w:val="0"/>
        <w:keepLines w:val="0"/>
        <w:pageBreakBefore w:val="0"/>
        <w:widowControl w:val="0"/>
        <w:numPr>
          <w:ilvl w:val="0"/>
          <w:numId w:val="0"/>
        </w:numPr>
        <w:tabs>
          <w:tab w:val="left" w:pos="420"/>
        </w:tabs>
        <w:kinsoku/>
        <w:wordWrap/>
        <w:overflowPunct/>
        <w:topLinePunct/>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p>
    <w:p w14:paraId="2BF970C1">
      <w:pPr>
        <w:keepNext w:val="0"/>
        <w:keepLines w:val="0"/>
        <w:pageBreakBefore w:val="0"/>
        <w:widowControl w:val="0"/>
        <w:numPr>
          <w:ilvl w:val="0"/>
          <w:numId w:val="0"/>
        </w:numPr>
        <w:tabs>
          <w:tab w:val="left" w:pos="420"/>
        </w:tabs>
        <w:kinsoku/>
        <w:wordWrap/>
        <w:overflowPunct/>
        <w:topLinePunct/>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4C9EB15E">
      <w:pPr>
        <w:keepNext w:val="0"/>
        <w:keepLines w:val="0"/>
        <w:pageBreakBefore w:val="0"/>
        <w:widowControl w:val="0"/>
        <w:numPr>
          <w:ilvl w:val="0"/>
          <w:numId w:val="0"/>
        </w:numPr>
        <w:tabs>
          <w:tab w:val="left" w:pos="420"/>
        </w:tabs>
        <w:kinsoku/>
        <w:wordWrap/>
        <w:overflowPunct/>
        <w:topLinePunct/>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系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xml:space="preserve">名称）的法定代表人（负责人）。 </w:t>
      </w:r>
    </w:p>
    <w:p w14:paraId="0D956AF9">
      <w:pPr>
        <w:keepNext w:val="0"/>
        <w:keepLines w:val="0"/>
        <w:pageBreakBefore w:val="0"/>
        <w:widowControl w:val="0"/>
        <w:numPr>
          <w:ilvl w:val="0"/>
          <w:numId w:val="0"/>
        </w:numPr>
        <w:tabs>
          <w:tab w:val="left" w:pos="420"/>
        </w:tabs>
        <w:kinsoku/>
        <w:wordWrap/>
        <w:overflowPunct/>
        <w:topLinePunct/>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特此证明。 </w:t>
      </w:r>
    </w:p>
    <w:p w14:paraId="3BCA5FBA">
      <w:pPr>
        <w:keepNext w:val="0"/>
        <w:keepLines w:val="0"/>
        <w:pageBreakBefore w:val="0"/>
        <w:widowControl w:val="0"/>
        <w:numPr>
          <w:ilvl w:val="0"/>
          <w:numId w:val="0"/>
        </w:numPr>
        <w:tabs>
          <w:tab w:val="left" w:pos="420"/>
        </w:tabs>
        <w:kinsoku/>
        <w:wordWrap/>
        <w:overflowPunct/>
        <w:topLinePunct/>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附：法定代表人（负责人）身份证复印件</w:t>
      </w:r>
      <w:r>
        <w:rPr>
          <w:rFonts w:hint="eastAsia" w:ascii="宋体" w:hAnsi="宋体" w:eastAsia="宋体" w:cs="宋体"/>
          <w:color w:val="auto"/>
          <w:kern w:val="0"/>
          <w:sz w:val="24"/>
          <w:szCs w:val="24"/>
          <w:highlight w:val="none"/>
        </w:rPr>
        <w:t>（正反面）</w:t>
      </w:r>
      <w:r>
        <w:rPr>
          <w:rFonts w:hint="eastAsia" w:ascii="宋体" w:hAnsi="宋体" w:eastAsia="宋体" w:cs="宋体"/>
          <w:color w:val="auto"/>
          <w:sz w:val="24"/>
          <w:szCs w:val="24"/>
          <w:highlight w:val="none"/>
        </w:rPr>
        <w:t xml:space="preserve">。 </w:t>
      </w:r>
    </w:p>
    <w:p w14:paraId="2E7C05B6">
      <w:pPr>
        <w:keepNext w:val="0"/>
        <w:keepLines w:val="0"/>
        <w:pageBreakBefore w:val="0"/>
        <w:widowControl w:val="0"/>
        <w:tabs>
          <w:tab w:val="left" w:pos="420"/>
        </w:tabs>
        <w:kinsoku/>
        <w:wordWrap/>
        <w:overflowPunct/>
        <w:autoSpaceDE w:val="0"/>
        <w:autoSpaceDN w:val="0"/>
        <w:bidi w:val="0"/>
        <w:adjustRightInd w:val="0"/>
        <w:spacing w:line="360" w:lineRule="auto"/>
        <w:textAlignment w:val="auto"/>
        <w:rPr>
          <w:rFonts w:hint="eastAsia" w:ascii="宋体" w:hAnsi="宋体" w:eastAsia="宋体" w:cs="宋体"/>
          <w:color w:val="auto"/>
          <w:sz w:val="24"/>
          <w:szCs w:val="24"/>
          <w:highlight w:val="none"/>
        </w:rPr>
      </w:pPr>
    </w:p>
    <w:p w14:paraId="03E1E07B">
      <w:pPr>
        <w:keepNext w:val="0"/>
        <w:keepLines w:val="0"/>
        <w:pageBreakBefore w:val="0"/>
        <w:widowControl w:val="0"/>
        <w:numPr>
          <w:ilvl w:val="0"/>
          <w:numId w:val="0"/>
        </w:numPr>
        <w:tabs>
          <w:tab w:val="left" w:pos="420"/>
        </w:tabs>
        <w:kinsoku/>
        <w:wordWrap/>
        <w:overflowPunct/>
        <w:topLinePunct/>
        <w:bidi w:val="0"/>
        <w:spacing w:line="360" w:lineRule="auto"/>
        <w:ind w:firstLine="480" w:firstLineChars="200"/>
        <w:textAlignment w:val="auto"/>
        <w:rPr>
          <w:rFonts w:hint="eastAsia" w:ascii="宋体" w:hAnsi="宋体" w:eastAsia="宋体" w:cs="宋体"/>
          <w:color w:val="auto"/>
          <w:sz w:val="24"/>
          <w:szCs w:val="24"/>
          <w:highlight w:val="none"/>
        </w:rPr>
      </w:pPr>
    </w:p>
    <w:p w14:paraId="03147D2E">
      <w:pPr>
        <w:pStyle w:val="31"/>
        <w:keepNext w:val="0"/>
        <w:keepLines w:val="0"/>
        <w:pageBreakBefore w:val="0"/>
        <w:widowControl w:val="0"/>
        <w:tabs>
          <w:tab w:val="left" w:pos="420"/>
        </w:tabs>
        <w:kinsoku/>
        <w:wordWrap/>
        <w:overflowPunct/>
        <w:bidi w:val="0"/>
        <w:spacing w:line="360" w:lineRule="auto"/>
        <w:textAlignment w:val="auto"/>
        <w:rPr>
          <w:rFonts w:hint="eastAsia" w:ascii="宋体" w:hAnsi="宋体" w:eastAsia="宋体" w:cs="宋体"/>
          <w:color w:val="auto"/>
          <w:sz w:val="24"/>
          <w:szCs w:val="24"/>
          <w:highlight w:val="none"/>
        </w:rPr>
      </w:pPr>
    </w:p>
    <w:p w14:paraId="777841A8">
      <w:pPr>
        <w:keepNext w:val="0"/>
        <w:keepLines w:val="0"/>
        <w:pageBreakBefore w:val="0"/>
        <w:widowControl w:val="0"/>
        <w:tabs>
          <w:tab w:val="left" w:pos="420"/>
        </w:tabs>
        <w:kinsoku/>
        <w:wordWrap/>
        <w:overflowPunct/>
        <w:autoSpaceDE w:val="0"/>
        <w:autoSpaceDN w:val="0"/>
        <w:bidi w:val="0"/>
        <w:adjustRightInd w:val="0"/>
        <w:spacing w:line="360" w:lineRule="auto"/>
        <w:textAlignment w:val="auto"/>
        <w:rPr>
          <w:rFonts w:hint="eastAsia" w:ascii="宋体" w:hAnsi="宋体" w:eastAsia="宋体" w:cs="宋体"/>
          <w:color w:val="auto"/>
          <w:sz w:val="24"/>
          <w:szCs w:val="24"/>
          <w:highlight w:val="none"/>
        </w:rPr>
      </w:pPr>
    </w:p>
    <w:p w14:paraId="10BA02AC">
      <w:pPr>
        <w:keepNext w:val="0"/>
        <w:keepLines w:val="0"/>
        <w:pageBreakBefore w:val="0"/>
        <w:widowControl w:val="0"/>
        <w:numPr>
          <w:ilvl w:val="0"/>
          <w:numId w:val="0"/>
        </w:numPr>
        <w:tabs>
          <w:tab w:val="left" w:pos="420"/>
        </w:tabs>
        <w:kinsoku/>
        <w:wordWrap/>
        <w:overflowPunct/>
        <w:bidi w:val="0"/>
        <w:spacing w:line="360" w:lineRule="auto"/>
        <w:ind w:firstLine="3360" w:firstLineChars="14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w:t>
      </w:r>
    </w:p>
    <w:p w14:paraId="62CE8420">
      <w:pPr>
        <w:keepNext w:val="0"/>
        <w:keepLines w:val="0"/>
        <w:pageBreakBefore w:val="0"/>
        <w:widowControl w:val="0"/>
        <w:tabs>
          <w:tab w:val="left" w:pos="420"/>
        </w:tabs>
        <w:kinsoku/>
        <w:wordWrap/>
        <w:overflowPunct/>
        <w:autoSpaceDE w:val="0"/>
        <w:autoSpaceDN w:val="0"/>
        <w:bidi w:val="0"/>
        <w:adjustRightInd w:val="0"/>
        <w:spacing w:line="360" w:lineRule="auto"/>
        <w:textAlignment w:val="auto"/>
        <w:rPr>
          <w:rFonts w:hint="eastAsia" w:ascii="宋体" w:hAnsi="宋体" w:eastAsia="宋体" w:cs="宋体"/>
          <w:color w:val="auto"/>
          <w:sz w:val="24"/>
          <w:szCs w:val="24"/>
          <w:highlight w:val="none"/>
        </w:rPr>
      </w:pPr>
    </w:p>
    <w:p w14:paraId="32B27493">
      <w:pPr>
        <w:keepNext w:val="0"/>
        <w:keepLines w:val="0"/>
        <w:pageBreakBefore w:val="0"/>
        <w:widowControl w:val="0"/>
        <w:numPr>
          <w:ilvl w:val="0"/>
          <w:numId w:val="0"/>
        </w:numPr>
        <w:tabs>
          <w:tab w:val="left" w:pos="420"/>
        </w:tabs>
        <w:kinsoku/>
        <w:wordWrap/>
        <w:overflowPunct/>
        <w:bidi w:val="0"/>
        <w:spacing w:line="360" w:lineRule="auto"/>
        <w:ind w:firstLine="4320" w:firstLineChars="1800"/>
        <w:textAlignment w:val="auto"/>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u w:val="none"/>
          <w:lang w:val="en-US" w:eastAsia="zh-CN"/>
        </w:rPr>
        <w:t>日  期：</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EABA470">
      <w:pPr>
        <w:keepNext w:val="0"/>
        <w:keepLines w:val="0"/>
        <w:pageBreakBefore w:val="0"/>
        <w:widowControl w:val="0"/>
        <w:numPr>
          <w:ilvl w:val="0"/>
          <w:numId w:val="0"/>
        </w:numPr>
        <w:tabs>
          <w:tab w:val="left" w:pos="420"/>
        </w:tabs>
        <w:kinsoku/>
        <w:wordWrap/>
        <w:overflowPunct/>
        <w:bidi w:val="0"/>
        <w:spacing w:line="360" w:lineRule="auto"/>
        <w:jc w:val="center"/>
        <w:textAlignment w:val="auto"/>
        <w:outlineLvl w:val="1"/>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br w:type="page"/>
      </w:r>
      <w:bookmarkStart w:id="429" w:name="_Toc13226"/>
      <w:bookmarkStart w:id="430" w:name="_Toc2449"/>
      <w:bookmarkStart w:id="431" w:name="_Toc22650"/>
      <w:bookmarkStart w:id="432" w:name="_Toc2506"/>
      <w:bookmarkStart w:id="433" w:name="_Toc3833"/>
      <w:bookmarkStart w:id="434" w:name="_Toc28550"/>
      <w:bookmarkStart w:id="435" w:name="_Toc4450"/>
      <w:bookmarkStart w:id="436" w:name="_Toc31948"/>
      <w:bookmarkStart w:id="437" w:name="_Toc563"/>
      <w:bookmarkStart w:id="438" w:name="_Toc22314"/>
      <w:bookmarkStart w:id="439" w:name="_Toc3580"/>
      <w:bookmarkStart w:id="440" w:name="_Toc19938"/>
      <w:bookmarkStart w:id="441" w:name="_Toc9681"/>
      <w:bookmarkStart w:id="442" w:name="_Toc23810"/>
      <w:bookmarkStart w:id="443" w:name="_Toc24107"/>
      <w:bookmarkStart w:id="444" w:name="_Toc9188"/>
      <w:bookmarkStart w:id="445" w:name="_Toc12740"/>
      <w:bookmarkStart w:id="446" w:name="_Toc2451"/>
      <w:bookmarkStart w:id="447" w:name="_Toc12352"/>
      <w:bookmarkStart w:id="448" w:name="_Toc12872"/>
      <w:bookmarkStart w:id="449" w:name="_Toc17147"/>
      <w:bookmarkStart w:id="450" w:name="_Toc13907"/>
      <w:bookmarkStart w:id="451" w:name="_Toc29292"/>
      <w:bookmarkStart w:id="452" w:name="_Toc28744"/>
      <w:bookmarkStart w:id="453" w:name="_Toc25991"/>
      <w:bookmarkStart w:id="454" w:name="_Toc26138"/>
      <w:bookmarkStart w:id="455" w:name="_Toc26324"/>
      <w:bookmarkStart w:id="456" w:name="_Toc28577"/>
      <w:bookmarkStart w:id="457" w:name="_Toc22814"/>
      <w:bookmarkStart w:id="458" w:name="_Toc30647"/>
      <w:r>
        <w:rPr>
          <w:rFonts w:hint="eastAsia" w:ascii="宋体" w:hAnsi="宋体" w:cs="宋体"/>
          <w:b/>
          <w:color w:val="auto"/>
          <w:kern w:val="0"/>
          <w:sz w:val="30"/>
          <w:szCs w:val="30"/>
          <w:highlight w:val="none"/>
          <w:lang w:eastAsia="zh-CN"/>
        </w:rPr>
        <w:t>4</w:t>
      </w:r>
      <w:r>
        <w:rPr>
          <w:rFonts w:hint="eastAsia" w:ascii="宋体" w:hAnsi="宋体" w:eastAsia="宋体" w:cs="宋体"/>
          <w:b/>
          <w:color w:val="auto"/>
          <w:kern w:val="0"/>
          <w:sz w:val="30"/>
          <w:szCs w:val="30"/>
          <w:highlight w:val="none"/>
        </w:rPr>
        <w:t>.2 授权委托书</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37F3CF5E">
      <w:pPr>
        <w:keepNext w:val="0"/>
        <w:keepLines w:val="0"/>
        <w:pageBreakBefore w:val="0"/>
        <w:widowControl w:val="0"/>
        <w:numPr>
          <w:ilvl w:val="0"/>
          <w:numId w:val="0"/>
        </w:numPr>
        <w:tabs>
          <w:tab w:val="left" w:pos="420"/>
        </w:tabs>
        <w:kinsoku/>
        <w:wordWrap/>
        <w:overflowPunct/>
        <w:topLinePunct/>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名称）的法定代表人（负责人），现委托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（姓名）为我方代理人。代理人根据授权，以我方名义签署、澄清、说明、补正、递交、撤回、修改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（项目名称）投标文件、签订合同和处理有关事宜，其法律后果由我方承担。</w:t>
      </w:r>
    </w:p>
    <w:p w14:paraId="2FEE36CB">
      <w:pPr>
        <w:keepNext w:val="0"/>
        <w:keepLines w:val="0"/>
        <w:pageBreakBefore w:val="0"/>
        <w:widowControl w:val="0"/>
        <w:numPr>
          <w:ilvl w:val="0"/>
          <w:numId w:val="0"/>
        </w:numPr>
        <w:tabs>
          <w:tab w:val="left" w:pos="420"/>
        </w:tabs>
        <w:kinsoku/>
        <w:wordWrap/>
        <w:overflowPunct/>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委托期限：</w:t>
      </w:r>
      <w:r>
        <w:rPr>
          <w:rFonts w:hint="eastAsia" w:ascii="宋体" w:hAnsi="宋体" w:eastAsia="宋体" w:cs="宋体"/>
          <w:color w:val="auto"/>
          <w:sz w:val="24"/>
          <w:szCs w:val="24"/>
          <w:highlight w:val="none"/>
          <w:u w:val="single"/>
        </w:rPr>
        <w:t xml:space="preserve"> 自本授权委托书签署之日起至投标有效期结束 </w:t>
      </w:r>
      <w:r>
        <w:rPr>
          <w:rFonts w:hint="eastAsia" w:ascii="宋体" w:hAnsi="宋体" w:eastAsia="宋体" w:cs="宋体"/>
          <w:color w:val="auto"/>
          <w:sz w:val="24"/>
          <w:szCs w:val="24"/>
          <w:highlight w:val="none"/>
        </w:rPr>
        <w:t>。</w:t>
      </w:r>
    </w:p>
    <w:p w14:paraId="30C33EFE">
      <w:pPr>
        <w:keepNext w:val="0"/>
        <w:keepLines w:val="0"/>
        <w:pageBreakBefore w:val="0"/>
        <w:widowControl w:val="0"/>
        <w:numPr>
          <w:ilvl w:val="0"/>
          <w:numId w:val="0"/>
        </w:numPr>
        <w:tabs>
          <w:tab w:val="left" w:pos="420"/>
        </w:tabs>
        <w:kinsoku/>
        <w:wordWrap/>
        <w:overflowPunct/>
        <w:bidi w:val="0"/>
        <w:spacing w:line="360" w:lineRule="auto"/>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委托代理人姓名：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身份证号：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32E951F4">
      <w:pPr>
        <w:keepNext w:val="0"/>
        <w:keepLines w:val="0"/>
        <w:pageBreakBefore w:val="0"/>
        <w:widowControl w:val="0"/>
        <w:numPr>
          <w:ilvl w:val="0"/>
          <w:numId w:val="0"/>
        </w:numPr>
        <w:tabs>
          <w:tab w:val="left" w:pos="420"/>
        </w:tabs>
        <w:kinsoku/>
        <w:wordWrap/>
        <w:overflowPunct/>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代理人无转委托权。</w:t>
      </w:r>
    </w:p>
    <w:p w14:paraId="1FF7AC64">
      <w:pPr>
        <w:keepNext w:val="0"/>
        <w:keepLines w:val="0"/>
        <w:pageBreakBefore w:val="0"/>
        <w:widowControl w:val="0"/>
        <w:numPr>
          <w:ilvl w:val="0"/>
          <w:numId w:val="0"/>
        </w:numPr>
        <w:tabs>
          <w:tab w:val="left" w:pos="420"/>
        </w:tabs>
        <w:kinsoku/>
        <w:wordWrap/>
        <w:overflowPunct/>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w:t>
      </w:r>
      <w:r>
        <w:rPr>
          <w:rFonts w:hint="eastAsia" w:ascii="宋体" w:hAnsi="宋体" w:eastAsia="宋体" w:cs="宋体"/>
          <w:color w:val="auto"/>
          <w:kern w:val="0"/>
          <w:sz w:val="24"/>
          <w:szCs w:val="24"/>
          <w:highlight w:val="none"/>
        </w:rPr>
        <w:t>委托代理人身份证复印件（正反面）</w:t>
      </w:r>
    </w:p>
    <w:p w14:paraId="32A52CDB">
      <w:pPr>
        <w:keepNext w:val="0"/>
        <w:keepLines w:val="0"/>
        <w:pageBreakBefore w:val="0"/>
        <w:widowControl w:val="0"/>
        <w:numPr>
          <w:ilvl w:val="0"/>
          <w:numId w:val="0"/>
        </w:numPr>
        <w:tabs>
          <w:tab w:val="left" w:pos="420"/>
        </w:tabs>
        <w:kinsoku/>
        <w:wordWrap/>
        <w:overflowPunct/>
        <w:bidi w:val="0"/>
        <w:spacing w:line="360" w:lineRule="auto"/>
        <w:textAlignment w:val="auto"/>
        <w:rPr>
          <w:rFonts w:hint="eastAsia" w:ascii="宋体" w:hAnsi="宋体" w:eastAsia="宋体" w:cs="宋体"/>
          <w:color w:val="auto"/>
          <w:sz w:val="24"/>
          <w:szCs w:val="24"/>
          <w:highlight w:val="none"/>
        </w:rPr>
      </w:pPr>
    </w:p>
    <w:p w14:paraId="3AE01947">
      <w:pPr>
        <w:keepNext w:val="0"/>
        <w:keepLines w:val="0"/>
        <w:pageBreakBefore w:val="0"/>
        <w:widowControl w:val="0"/>
        <w:numPr>
          <w:ilvl w:val="0"/>
          <w:numId w:val="0"/>
        </w:numPr>
        <w:tabs>
          <w:tab w:val="left" w:pos="420"/>
        </w:tabs>
        <w:kinsoku/>
        <w:wordWrap/>
        <w:overflowPunct/>
        <w:bidi w:val="0"/>
        <w:spacing w:line="360" w:lineRule="auto"/>
        <w:textAlignment w:val="auto"/>
        <w:rPr>
          <w:rFonts w:hint="eastAsia" w:ascii="宋体" w:hAnsi="宋体" w:eastAsia="宋体" w:cs="宋体"/>
          <w:color w:val="auto"/>
          <w:sz w:val="24"/>
          <w:szCs w:val="24"/>
          <w:highlight w:val="none"/>
        </w:rPr>
      </w:pPr>
    </w:p>
    <w:p w14:paraId="758E0197">
      <w:pPr>
        <w:pStyle w:val="31"/>
        <w:keepNext w:val="0"/>
        <w:keepLines w:val="0"/>
        <w:pageBreakBefore w:val="0"/>
        <w:widowControl w:val="0"/>
        <w:tabs>
          <w:tab w:val="left" w:pos="420"/>
        </w:tabs>
        <w:kinsoku/>
        <w:wordWrap/>
        <w:overflowPunct/>
        <w:bidi w:val="0"/>
        <w:spacing w:line="360" w:lineRule="auto"/>
        <w:textAlignment w:val="auto"/>
        <w:rPr>
          <w:rFonts w:hint="eastAsia" w:ascii="宋体" w:hAnsi="宋体" w:eastAsia="宋体" w:cs="宋体"/>
          <w:color w:val="auto"/>
          <w:sz w:val="24"/>
          <w:szCs w:val="24"/>
          <w:highlight w:val="none"/>
        </w:rPr>
      </w:pPr>
    </w:p>
    <w:p w14:paraId="1F61DFB4">
      <w:pPr>
        <w:keepNext w:val="0"/>
        <w:keepLines w:val="0"/>
        <w:pageBreakBefore w:val="0"/>
        <w:widowControl w:val="0"/>
        <w:numPr>
          <w:ilvl w:val="0"/>
          <w:numId w:val="0"/>
        </w:numPr>
        <w:tabs>
          <w:tab w:val="left" w:pos="420"/>
        </w:tabs>
        <w:kinsoku/>
        <w:wordWrap/>
        <w:overflowPunct/>
        <w:bidi w:val="0"/>
        <w:snapToGrid w:val="0"/>
        <w:spacing w:line="360" w:lineRule="auto"/>
        <w:ind w:firstLine="2880" w:firstLineChars="1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w:t>
      </w:r>
    </w:p>
    <w:p w14:paraId="474715D8">
      <w:pPr>
        <w:keepNext w:val="0"/>
        <w:keepLines w:val="0"/>
        <w:pageBreakBefore w:val="0"/>
        <w:widowControl w:val="0"/>
        <w:numPr>
          <w:ilvl w:val="0"/>
          <w:numId w:val="0"/>
        </w:numPr>
        <w:tabs>
          <w:tab w:val="left" w:pos="420"/>
        </w:tabs>
        <w:kinsoku/>
        <w:wordWrap/>
        <w:overflowPunct/>
        <w:bidi w:val="0"/>
        <w:snapToGrid w:val="0"/>
        <w:spacing w:line="360" w:lineRule="auto"/>
        <w:ind w:firstLine="2880" w:firstLineChars="1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签字或盖章</w:t>
      </w:r>
      <w:r>
        <w:rPr>
          <w:rFonts w:hint="eastAsia" w:ascii="宋体" w:hAnsi="宋体" w:eastAsia="宋体" w:cs="宋体"/>
          <w:color w:val="auto"/>
          <w:sz w:val="24"/>
          <w:szCs w:val="24"/>
          <w:highlight w:val="none"/>
        </w:rPr>
        <w:t>）</w:t>
      </w:r>
    </w:p>
    <w:p w14:paraId="0EB7F517">
      <w:pPr>
        <w:keepNext w:val="0"/>
        <w:keepLines w:val="0"/>
        <w:pageBreakBefore w:val="0"/>
        <w:widowControl w:val="0"/>
        <w:numPr>
          <w:ilvl w:val="0"/>
          <w:numId w:val="0"/>
        </w:numPr>
        <w:tabs>
          <w:tab w:val="left" w:pos="420"/>
        </w:tabs>
        <w:kinsoku/>
        <w:wordWrap/>
        <w:overflowPunct/>
        <w:bidi w:val="0"/>
        <w:snapToGrid w:val="0"/>
        <w:spacing w:line="360" w:lineRule="auto"/>
        <w:ind w:firstLine="2880" w:firstLineChars="1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授权委托人：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签字或盖章</w:t>
      </w:r>
      <w:r>
        <w:rPr>
          <w:rFonts w:hint="eastAsia" w:ascii="宋体" w:hAnsi="宋体" w:eastAsia="宋体" w:cs="宋体"/>
          <w:color w:val="auto"/>
          <w:sz w:val="24"/>
          <w:szCs w:val="24"/>
          <w:highlight w:val="none"/>
        </w:rPr>
        <w:t>）</w:t>
      </w:r>
    </w:p>
    <w:p w14:paraId="44A190AB">
      <w:pPr>
        <w:keepNext w:val="0"/>
        <w:keepLines w:val="0"/>
        <w:pageBreakBefore w:val="0"/>
        <w:widowControl w:val="0"/>
        <w:numPr>
          <w:ilvl w:val="0"/>
          <w:numId w:val="0"/>
        </w:numPr>
        <w:tabs>
          <w:tab w:val="left" w:pos="420"/>
        </w:tabs>
        <w:kinsoku/>
        <w:wordWrap/>
        <w:overflowPunct/>
        <w:bidi w:val="0"/>
        <w:snapToGrid w:val="0"/>
        <w:spacing w:line="360" w:lineRule="auto"/>
        <w:ind w:firstLine="2880" w:firstLineChars="1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联系电话： </w:t>
      </w:r>
      <w:r>
        <w:rPr>
          <w:rFonts w:hint="eastAsia" w:ascii="宋体" w:hAnsi="宋体" w:eastAsia="宋体" w:cs="宋体"/>
          <w:color w:val="auto"/>
          <w:sz w:val="24"/>
          <w:szCs w:val="24"/>
          <w:highlight w:val="none"/>
          <w:u w:val="single"/>
        </w:rPr>
        <w:t xml:space="preserve">                           </w:t>
      </w:r>
    </w:p>
    <w:p w14:paraId="402DD4FA">
      <w:pPr>
        <w:keepNext w:val="0"/>
        <w:keepLines w:val="0"/>
        <w:pageBreakBefore w:val="0"/>
        <w:widowControl w:val="0"/>
        <w:numPr>
          <w:ilvl w:val="0"/>
          <w:numId w:val="0"/>
        </w:numPr>
        <w:tabs>
          <w:tab w:val="left" w:pos="420"/>
        </w:tabs>
        <w:kinsoku/>
        <w:wordWrap/>
        <w:overflowPunct/>
        <w:bidi w:val="0"/>
        <w:snapToGrid w:val="0"/>
        <w:spacing w:line="360" w:lineRule="auto"/>
        <w:ind w:left="0" w:firstLine="2880" w:firstLineChars="1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eastAsia="zh-CN"/>
        </w:rPr>
        <w:t>日</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lang w:eastAsia="zh-CN"/>
        </w:rPr>
        <w:t>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FEEE6FC">
      <w:pPr>
        <w:keepNext w:val="0"/>
        <w:keepLines w:val="0"/>
        <w:pageBreakBefore w:val="0"/>
        <w:widowControl w:val="0"/>
        <w:numPr>
          <w:ilvl w:val="0"/>
          <w:numId w:val="0"/>
        </w:numPr>
        <w:tabs>
          <w:tab w:val="left" w:pos="420"/>
        </w:tabs>
        <w:kinsoku/>
        <w:wordWrap/>
        <w:overflowPunct/>
        <w:bidi w:val="0"/>
        <w:spacing w:line="360" w:lineRule="auto"/>
        <w:ind w:firstLine="482" w:firstLineChars="200"/>
        <w:textAlignment w:val="auto"/>
        <w:rPr>
          <w:rFonts w:hint="eastAsia" w:ascii="宋体" w:hAnsi="宋体" w:eastAsia="宋体" w:cs="宋体"/>
          <w:b/>
          <w:color w:val="auto"/>
          <w:kern w:val="0"/>
          <w:szCs w:val="21"/>
          <w:highlight w:val="none"/>
        </w:rPr>
      </w:pPr>
      <w:r>
        <w:rPr>
          <w:rFonts w:hint="eastAsia" w:ascii="宋体" w:hAnsi="宋体" w:eastAsia="宋体" w:cs="宋体"/>
          <w:b/>
          <w:color w:val="auto"/>
          <w:kern w:val="0"/>
          <w:sz w:val="24"/>
          <w:szCs w:val="24"/>
          <w:highlight w:val="none"/>
        </w:rPr>
        <w:t>注：如果由</w:t>
      </w:r>
      <w:r>
        <w:rPr>
          <w:rFonts w:hint="eastAsia" w:ascii="宋体" w:hAnsi="宋体" w:eastAsia="宋体" w:cs="宋体"/>
          <w:b/>
          <w:color w:val="auto"/>
          <w:kern w:val="0"/>
          <w:sz w:val="24"/>
          <w:szCs w:val="24"/>
          <w:highlight w:val="none"/>
          <w:lang w:eastAsia="zh-CN"/>
        </w:rPr>
        <w:t>供应商</w:t>
      </w:r>
      <w:r>
        <w:rPr>
          <w:rFonts w:hint="eastAsia" w:ascii="宋体" w:hAnsi="宋体" w:eastAsia="宋体" w:cs="宋体"/>
          <w:b/>
          <w:color w:val="auto"/>
          <w:kern w:val="0"/>
          <w:sz w:val="24"/>
          <w:szCs w:val="24"/>
          <w:highlight w:val="none"/>
        </w:rPr>
        <w:t>的法定代表人（负责人）签署投标文件，无须提交本授权委托书。</w:t>
      </w:r>
    </w:p>
    <w:bookmarkEnd w:id="379"/>
    <w:p w14:paraId="26AAAACA">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lang w:eastAsia="zh-CN"/>
        </w:rPr>
      </w:pPr>
      <w:r>
        <w:rPr>
          <w:rFonts w:hint="eastAsia" w:ascii="宋体" w:hAnsi="宋体" w:eastAsia="宋体" w:cs="宋体"/>
          <w:color w:val="auto"/>
          <w:highlight w:val="none"/>
        </w:rPr>
        <w:br w:type="page"/>
      </w:r>
      <w:bookmarkStart w:id="459" w:name="_Toc30747"/>
      <w:bookmarkStart w:id="460" w:name="_Toc6385"/>
      <w:bookmarkStart w:id="461" w:name="_Toc9800"/>
      <w:bookmarkStart w:id="462" w:name="_Toc27912"/>
      <w:bookmarkStart w:id="463" w:name="_Toc25133"/>
      <w:bookmarkStart w:id="464" w:name="_Toc29657"/>
      <w:bookmarkStart w:id="465" w:name="_Toc30085"/>
      <w:bookmarkStart w:id="466" w:name="_Toc21146"/>
      <w:bookmarkStart w:id="467" w:name="_Toc22483"/>
      <w:bookmarkStart w:id="468" w:name="_Toc2312"/>
      <w:bookmarkStart w:id="469" w:name="_Toc24752"/>
      <w:bookmarkStart w:id="470" w:name="_Toc28682"/>
      <w:bookmarkStart w:id="471" w:name="_Toc11563"/>
      <w:bookmarkStart w:id="472" w:name="_Toc5818"/>
      <w:bookmarkStart w:id="473" w:name="_Toc4143"/>
      <w:r>
        <w:rPr>
          <w:rFonts w:hint="eastAsia" w:ascii="宋体" w:hAnsi="宋体" w:cs="宋体"/>
          <w:b/>
          <w:color w:val="auto"/>
          <w:kern w:val="0"/>
          <w:sz w:val="30"/>
          <w:szCs w:val="30"/>
          <w:highlight w:val="none"/>
          <w:u w:val="none"/>
          <w:lang w:val="en-US" w:eastAsia="zh-CN"/>
        </w:rPr>
        <w:t>五</w:t>
      </w:r>
      <w:bookmarkEnd w:id="459"/>
      <w:bookmarkStart w:id="474" w:name="_Toc9789"/>
      <w:bookmarkStart w:id="475" w:name="_Toc27839"/>
      <w:bookmarkStart w:id="476" w:name="_Toc4722"/>
      <w:bookmarkStart w:id="477" w:name="_Toc6120"/>
      <w:bookmarkStart w:id="478" w:name="_Toc13413"/>
      <w:bookmarkStart w:id="479" w:name="_Toc19596"/>
      <w:bookmarkStart w:id="480" w:name="_Toc7998"/>
      <w:bookmarkStart w:id="481" w:name="_Toc2839"/>
      <w:bookmarkStart w:id="482" w:name="_Toc13275"/>
      <w:bookmarkStart w:id="483" w:name="_Toc15940"/>
      <w:bookmarkStart w:id="484" w:name="_Toc10324"/>
      <w:r>
        <w:rPr>
          <w:rFonts w:hint="eastAsia" w:ascii="宋体" w:hAnsi="宋体" w:cs="宋体"/>
          <w:b/>
          <w:bCs w:val="0"/>
          <w:color w:val="auto"/>
          <w:kern w:val="0"/>
          <w:sz w:val="30"/>
          <w:szCs w:val="30"/>
          <w:highlight w:val="none"/>
          <w:lang w:val="en-US" w:eastAsia="zh-CN"/>
        </w:rPr>
        <w:t xml:space="preserve"> </w:t>
      </w:r>
      <w:r>
        <w:rPr>
          <w:rFonts w:hint="eastAsia" w:ascii="宋体" w:hAnsi="宋体" w:eastAsia="宋体" w:cs="宋体"/>
          <w:b/>
          <w:color w:val="auto"/>
          <w:kern w:val="0"/>
          <w:sz w:val="30"/>
          <w:szCs w:val="30"/>
          <w:highlight w:val="none"/>
        </w:rPr>
        <w:t>、</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Pr>
          <w:rFonts w:hint="eastAsia" w:ascii="宋体" w:hAnsi="宋体" w:cs="宋体"/>
          <w:b/>
          <w:color w:val="auto"/>
          <w:kern w:val="0"/>
          <w:sz w:val="30"/>
          <w:szCs w:val="30"/>
          <w:highlight w:val="none"/>
        </w:rPr>
        <w:t>供应商的资格证明承诺函</w:t>
      </w:r>
      <w:bookmarkEnd w:id="482"/>
      <w:bookmarkEnd w:id="483"/>
      <w:bookmarkEnd w:id="484"/>
    </w:p>
    <w:p w14:paraId="7F142E9C">
      <w:pPr>
        <w:widowControl/>
        <w:tabs>
          <w:tab w:val="left" w:pos="420"/>
        </w:tabs>
        <w:spacing w:line="360" w:lineRule="auto"/>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致(采购人)：_________________________________ </w:t>
      </w:r>
    </w:p>
    <w:p w14:paraId="58BBA08A">
      <w:pPr>
        <w:widowControl/>
        <w:tabs>
          <w:tab w:val="left" w:pos="420"/>
        </w:tabs>
        <w:spacing w:line="360" w:lineRule="auto"/>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供应商名称： ________________________________</w:t>
      </w:r>
    </w:p>
    <w:p w14:paraId="51A49504">
      <w:pPr>
        <w:widowControl/>
        <w:tabs>
          <w:tab w:val="left" w:pos="420"/>
        </w:tabs>
        <w:spacing w:line="360" w:lineRule="auto"/>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统一社会信用代码：___________________________</w:t>
      </w:r>
    </w:p>
    <w:p w14:paraId="754D2367">
      <w:pPr>
        <w:widowControl/>
        <w:tabs>
          <w:tab w:val="left" w:pos="420"/>
        </w:tabs>
        <w:spacing w:line="360" w:lineRule="auto"/>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供应商地址：_________________________________</w:t>
      </w:r>
    </w:p>
    <w:p w14:paraId="34FB6938">
      <w:pPr>
        <w:widowControl/>
        <w:tabs>
          <w:tab w:val="left" w:pos="420"/>
        </w:tabs>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我单位自愿参加本次政府采购活动，严格遵守《中华人民共和国政府采购法》及相关法律法规，依法诚信经营，无条件遵守本次政府采购活动的各项规定。我单位郑重承诺：</w:t>
      </w:r>
    </w:p>
    <w:p w14:paraId="28FD15AA">
      <w:pPr>
        <w:widowControl/>
        <w:tabs>
          <w:tab w:val="left" w:pos="420"/>
        </w:tabs>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一、我单位具有有效的营业执照（三证合一）；</w:t>
      </w:r>
    </w:p>
    <w:p w14:paraId="5962760A">
      <w:pPr>
        <w:widowControl/>
        <w:tabs>
          <w:tab w:val="left" w:pos="420"/>
        </w:tabs>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二、我单位符合《中华人民共和国政府采购法》第二十二条规定的条件： </w:t>
      </w:r>
    </w:p>
    <w:p w14:paraId="571F3AFB">
      <w:pPr>
        <w:widowControl/>
        <w:tabs>
          <w:tab w:val="left" w:pos="420"/>
        </w:tabs>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1.我单位具有符合采购文件资格要求的独立承担民事责任的能力； </w:t>
      </w:r>
    </w:p>
    <w:p w14:paraId="4A1398F2">
      <w:pPr>
        <w:widowControl/>
        <w:tabs>
          <w:tab w:val="left" w:pos="420"/>
        </w:tabs>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2.我单位具有符合采购文件资格要求的财务状况报告； </w:t>
      </w:r>
    </w:p>
    <w:p w14:paraId="58D85B73">
      <w:pPr>
        <w:widowControl/>
        <w:tabs>
          <w:tab w:val="left" w:pos="420"/>
        </w:tabs>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3.我单位具有符合采购文件资格要求的依法缴纳税收和社会保障记录的良好记录。 </w:t>
      </w:r>
    </w:p>
    <w:p w14:paraId="2C21B25E">
      <w:pPr>
        <w:widowControl/>
        <w:tabs>
          <w:tab w:val="left" w:pos="420"/>
        </w:tabs>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4.我单位具有符合采购文件资格要求的履行合同所必需的设备和专业技术能力； </w:t>
      </w:r>
    </w:p>
    <w:p w14:paraId="1351A603">
      <w:pPr>
        <w:widowControl/>
        <w:tabs>
          <w:tab w:val="left" w:pos="420"/>
        </w:tabs>
        <w:spacing w:line="360" w:lineRule="auto"/>
        <w:ind w:firstLine="480" w:firstLineChars="200"/>
        <w:jc w:val="left"/>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5.我单位参加政府采购活动前三年内，在经营活动中没有重大违法记录。 </w:t>
      </w:r>
    </w:p>
    <w:p w14:paraId="7ED66435">
      <w:pPr>
        <w:keepNext w:val="0"/>
        <w:keepLines w:val="0"/>
        <w:tabs>
          <w:tab w:val="left" w:pos="420"/>
        </w:tabs>
        <w:spacing w:before="0"/>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若我单位承诺不实，自愿承担提供虚假材料谋取中标、成交的法律责任。 </w:t>
      </w:r>
    </w:p>
    <w:p w14:paraId="7ADDF2B8">
      <w:pPr>
        <w:keepNext w:val="0"/>
        <w:keepLines w:val="0"/>
        <w:tabs>
          <w:tab w:val="left" w:pos="420"/>
        </w:tabs>
        <w:spacing w:before="0"/>
        <w:ind w:firstLine="480" w:firstLineChars="200"/>
        <w:rPr>
          <w:rFonts w:hint="eastAsia" w:asciiTheme="minorEastAsia" w:hAnsiTheme="minorEastAsia" w:eastAsiaTheme="minorEastAsia" w:cstheme="minorEastAsia"/>
          <w:bCs/>
          <w:color w:val="auto"/>
          <w:sz w:val="24"/>
          <w:szCs w:val="24"/>
          <w:highlight w:val="none"/>
        </w:rPr>
      </w:pPr>
    </w:p>
    <w:p w14:paraId="5A183128">
      <w:pPr>
        <w:keepNext w:val="0"/>
        <w:keepLines w:val="0"/>
        <w:pageBreakBefore w:val="0"/>
        <w:tabs>
          <w:tab w:val="left" w:pos="420"/>
        </w:tabs>
        <w:kinsoku/>
        <w:wordWrap/>
        <w:overflowPunct/>
        <w:topLinePunct w:val="0"/>
        <w:autoSpaceDE/>
        <w:autoSpaceDN/>
        <w:bidi w:val="0"/>
        <w:adjustRightInd/>
        <w:snapToGrid/>
        <w:spacing w:line="360" w:lineRule="auto"/>
        <w:ind w:left="0" w:firstLine="3158" w:firstLineChars="1316"/>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lang w:eastAsia="zh-CN"/>
        </w:rPr>
        <w:t>名称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盖章</w:t>
      </w:r>
      <w:r>
        <w:rPr>
          <w:rFonts w:hint="eastAsia" w:asciiTheme="minorEastAsia" w:hAnsiTheme="minorEastAsia" w:eastAsiaTheme="minorEastAsia" w:cstheme="minorEastAsia"/>
          <w:color w:val="auto"/>
          <w:sz w:val="24"/>
          <w:szCs w:val="24"/>
          <w:highlight w:val="none"/>
        </w:rPr>
        <w:t>）</w:t>
      </w:r>
    </w:p>
    <w:p w14:paraId="75690A7B">
      <w:pPr>
        <w:keepNext w:val="0"/>
        <w:keepLines w:val="0"/>
        <w:pageBreakBefore w:val="0"/>
        <w:widowControl/>
        <w:tabs>
          <w:tab w:val="left" w:pos="420"/>
        </w:tabs>
        <w:kinsoku/>
        <w:wordWrap/>
        <w:overflowPunct/>
        <w:topLinePunct w:val="0"/>
        <w:autoSpaceDE/>
        <w:autoSpaceDN/>
        <w:bidi w:val="0"/>
        <w:adjustRightInd/>
        <w:snapToGrid/>
        <w:spacing w:line="360" w:lineRule="auto"/>
        <w:ind w:left="0" w:firstLine="3158" w:firstLineChars="1316"/>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法定代表人或委托代理人：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签字或盖章</w:t>
      </w:r>
      <w:r>
        <w:rPr>
          <w:rFonts w:hint="eastAsia" w:asciiTheme="minorEastAsia" w:hAnsiTheme="minorEastAsia" w:eastAsiaTheme="minorEastAsia" w:cstheme="minorEastAsia"/>
          <w:color w:val="auto"/>
          <w:sz w:val="24"/>
          <w:szCs w:val="24"/>
          <w:highlight w:val="none"/>
        </w:rPr>
        <w:t>）</w:t>
      </w:r>
    </w:p>
    <w:p w14:paraId="55DDE910">
      <w:pPr>
        <w:spacing w:line="360" w:lineRule="auto"/>
        <w:ind w:firstLine="3840" w:firstLineChars="1600"/>
        <w:rPr>
          <w:rFonts w:hint="eastAsia" w:asciiTheme="minorEastAsia" w:hAnsiTheme="minorEastAsia" w:eastAsiaTheme="minorEastAsia" w:cstheme="minorEastAsia"/>
          <w:b/>
          <w:bCs/>
          <w:spacing w:val="8"/>
          <w:sz w:val="24"/>
          <w:szCs w:val="24"/>
          <w:shd w:val="clear" w:color="auto" w:fill="FFFFFF"/>
        </w:rPr>
      </w:pPr>
      <w:r>
        <w:rPr>
          <w:rFonts w:hint="eastAsia" w:asciiTheme="minorEastAsia" w:hAnsiTheme="minorEastAsia" w:eastAsiaTheme="minorEastAsia" w:cstheme="minorEastAsia"/>
          <w:color w:val="auto"/>
          <w:kern w:val="0"/>
          <w:sz w:val="24"/>
          <w:szCs w:val="24"/>
          <w:highlight w:val="none"/>
          <w:lang w:bidi="ar"/>
        </w:rPr>
        <w:t>日期：</w:t>
      </w:r>
      <w:r>
        <w:rPr>
          <w:rFonts w:hint="eastAsia" w:asciiTheme="minorEastAsia" w:hAnsiTheme="minorEastAsia" w:eastAsiaTheme="minorEastAsia" w:cstheme="minorEastAsia"/>
          <w:color w:val="auto"/>
          <w:spacing w:val="6"/>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lang w:bidi="ar"/>
        </w:rPr>
        <w:t>年</w:t>
      </w:r>
      <w:r>
        <w:rPr>
          <w:rFonts w:hint="eastAsia" w:asciiTheme="minorEastAsia" w:hAnsiTheme="minorEastAsia" w:eastAsiaTheme="minorEastAsia" w:cstheme="minorEastAsia"/>
          <w:color w:val="auto"/>
          <w:spacing w:val="6"/>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lang w:bidi="ar"/>
        </w:rPr>
        <w:t>月</w:t>
      </w:r>
      <w:r>
        <w:rPr>
          <w:rFonts w:hint="eastAsia" w:asciiTheme="minorEastAsia" w:hAnsiTheme="minorEastAsia" w:eastAsiaTheme="minorEastAsia" w:cstheme="minorEastAsia"/>
          <w:color w:val="auto"/>
          <w:spacing w:val="6"/>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lang w:bidi="ar"/>
        </w:rPr>
        <w:t xml:space="preserve">日 </w:t>
      </w:r>
      <w:r>
        <w:rPr>
          <w:rFonts w:hint="eastAsia" w:asciiTheme="minorEastAsia" w:hAnsiTheme="minorEastAsia" w:eastAsiaTheme="minorEastAsia" w:cstheme="minorEastAsia"/>
          <w:b/>
          <w:bCs/>
          <w:spacing w:val="8"/>
          <w:sz w:val="24"/>
          <w:szCs w:val="24"/>
          <w:shd w:val="clear" w:color="auto" w:fill="FFFFFF"/>
        </w:rPr>
        <w:t xml:space="preserve">   </w:t>
      </w:r>
    </w:p>
    <w:p w14:paraId="64F81B56">
      <w:pPr>
        <w:pStyle w:val="81"/>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spacing w:val="8"/>
          <w:sz w:val="24"/>
          <w:szCs w:val="24"/>
          <w:shd w:val="clear" w:color="auto" w:fill="FFFFFF"/>
        </w:rPr>
        <w:t>注：供应商须在投标文件中按此模板提供承诺函，未提供视为未实质性响应招标文件要求，按无效投标处理。</w:t>
      </w:r>
    </w:p>
    <w:p w14:paraId="78E0605B">
      <w:pPr>
        <w:tabs>
          <w:tab w:val="left" w:pos="420"/>
        </w:tabs>
        <w:spacing w:line="360" w:lineRule="auto"/>
        <w:jc w:val="center"/>
        <w:rPr>
          <w:rFonts w:hint="eastAsia" w:asciiTheme="minorEastAsia" w:hAnsiTheme="minorEastAsia" w:eastAsiaTheme="minorEastAsia" w:cstheme="minorEastAsia"/>
          <w:b/>
          <w:bCs/>
          <w:color w:val="auto"/>
          <w:sz w:val="24"/>
          <w:szCs w:val="24"/>
          <w:highlight w:val="none"/>
          <w:lang w:val="en-US" w:eastAsia="zh-CN"/>
        </w:rPr>
      </w:pPr>
    </w:p>
    <w:p w14:paraId="4E21B15C">
      <w:pPr>
        <w:tabs>
          <w:tab w:val="left" w:pos="420"/>
        </w:tabs>
        <w:spacing w:line="360" w:lineRule="auto"/>
        <w:rPr>
          <w:rFonts w:hint="eastAsia" w:asciiTheme="minorEastAsia" w:hAnsiTheme="minorEastAsia" w:eastAsiaTheme="minorEastAsia" w:cstheme="minorEastAsia"/>
          <w:color w:val="auto"/>
          <w:sz w:val="24"/>
          <w:szCs w:val="24"/>
          <w:highlight w:val="none"/>
        </w:rPr>
      </w:pPr>
    </w:p>
    <w:p w14:paraId="71AE374A">
      <w:pPr>
        <w:adjustRightInd/>
        <w:snapToGrid/>
        <w:spacing w:line="240" w:lineRule="auto"/>
        <w:ind w:left="0" w:firstLine="480" w:firstLineChars="0"/>
        <w:rPr>
          <w:rFonts w:hint="eastAsia" w:ascii="宋体" w:hAnsi="宋体" w:eastAsia="宋体" w:cs="宋体"/>
          <w:color w:val="auto"/>
          <w:sz w:val="24"/>
          <w:szCs w:val="24"/>
          <w:highlight w:val="none"/>
        </w:rPr>
      </w:pPr>
      <w:bookmarkStart w:id="485" w:name="_Toc66287237"/>
      <w:r>
        <w:rPr>
          <w:rFonts w:hint="eastAsia" w:ascii="宋体" w:hAnsi="宋体" w:eastAsia="宋体" w:cs="宋体"/>
          <w:b/>
          <w:bCs/>
          <w:color w:val="auto"/>
          <w:highlight w:val="none"/>
        </w:rPr>
        <w:br w:type="page"/>
      </w:r>
      <w:bookmarkEnd w:id="485"/>
    </w:p>
    <w:p w14:paraId="66839A0A">
      <w:pPr>
        <w:tabs>
          <w:tab w:val="left" w:pos="420"/>
        </w:tabs>
        <w:adjustRightInd w:val="0"/>
        <w:snapToGrid w:val="0"/>
        <w:spacing w:line="360" w:lineRule="auto"/>
        <w:ind w:left="0" w:firstLine="420" w:firstLineChars="200"/>
        <w:rPr>
          <w:rFonts w:hint="eastAsia" w:ascii="宋体" w:hAnsi="宋体" w:eastAsia="宋体" w:cs="宋体"/>
          <w:color w:val="auto"/>
          <w:highlight w:val="none"/>
        </w:rPr>
      </w:pPr>
    </w:p>
    <w:p w14:paraId="78887609">
      <w:pPr>
        <w:pStyle w:val="31"/>
        <w:tabs>
          <w:tab w:val="left" w:pos="420"/>
        </w:tabs>
        <w:spacing w:line="360" w:lineRule="auto"/>
        <w:rPr>
          <w:rFonts w:hint="eastAsia" w:ascii="宋体" w:hAnsi="宋体" w:eastAsia="宋体" w:cs="宋体"/>
          <w:color w:val="auto"/>
          <w:highlight w:val="none"/>
        </w:rPr>
      </w:pPr>
    </w:p>
    <w:p w14:paraId="41F25273">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rPr>
      </w:pPr>
      <w:bookmarkStart w:id="486" w:name="_Toc7959"/>
      <w:bookmarkStart w:id="487" w:name="_Toc16192"/>
      <w:bookmarkStart w:id="488" w:name="_Toc17057"/>
      <w:bookmarkStart w:id="489" w:name="_Toc13449"/>
      <w:bookmarkStart w:id="490" w:name="_Toc22072"/>
      <w:bookmarkStart w:id="491" w:name="_Toc25779"/>
      <w:bookmarkStart w:id="492" w:name="_Toc12401"/>
      <w:bookmarkStart w:id="493" w:name="_Toc8799"/>
      <w:bookmarkStart w:id="494" w:name="_Toc15753"/>
      <w:bookmarkStart w:id="495" w:name="_Toc20729"/>
      <w:bookmarkStart w:id="496" w:name="_Toc17652"/>
      <w:bookmarkStart w:id="497" w:name="_Toc19669"/>
      <w:bookmarkStart w:id="498" w:name="_Toc32504"/>
      <w:bookmarkStart w:id="499" w:name="_Toc31209"/>
      <w:bookmarkStart w:id="500" w:name="_Toc10090"/>
      <w:bookmarkStart w:id="501" w:name="_Toc16377"/>
      <w:bookmarkStart w:id="502" w:name="_Toc10668"/>
      <w:bookmarkStart w:id="503" w:name="_Toc27825"/>
      <w:bookmarkStart w:id="504" w:name="_Toc5673"/>
      <w:bookmarkStart w:id="505" w:name="_Toc5863"/>
      <w:bookmarkStart w:id="506" w:name="_Toc7049"/>
      <w:bookmarkStart w:id="507" w:name="_Toc3735"/>
      <w:bookmarkStart w:id="508" w:name="_Toc32208"/>
      <w:bookmarkStart w:id="509" w:name="_Toc1312"/>
      <w:bookmarkStart w:id="510" w:name="_Toc3279"/>
      <w:bookmarkStart w:id="511" w:name="_Toc30606"/>
      <w:bookmarkStart w:id="512" w:name="_Toc12633"/>
      <w:bookmarkStart w:id="513" w:name="_Toc17549"/>
      <w:bookmarkStart w:id="514" w:name="_Toc18872"/>
      <w:bookmarkStart w:id="515" w:name="_Toc12782"/>
      <w:bookmarkStart w:id="516" w:name="_Toc26247"/>
      <w:bookmarkStart w:id="517" w:name="_Toc10381"/>
      <w:bookmarkStart w:id="518" w:name="_Toc25745"/>
      <w:bookmarkStart w:id="519" w:name="_Toc31208"/>
      <w:bookmarkStart w:id="520" w:name="_Toc3901"/>
      <w:bookmarkStart w:id="521" w:name="_Toc26680"/>
      <w:bookmarkStart w:id="522" w:name="_Toc14684"/>
      <w:bookmarkStart w:id="523" w:name="_Toc13913"/>
      <w:bookmarkStart w:id="524" w:name="_Toc395181599"/>
      <w:bookmarkStart w:id="525" w:name="_Toc451931391"/>
      <w:bookmarkStart w:id="526" w:name="_Toc99423354"/>
      <w:bookmarkStart w:id="527" w:name="_Toc1180"/>
      <w:bookmarkStart w:id="528" w:name="_Toc13244"/>
      <w:bookmarkStart w:id="529" w:name="_Toc369430184"/>
      <w:bookmarkStart w:id="530" w:name="_Toc29917"/>
      <w:bookmarkStart w:id="531" w:name="_Toc16570"/>
      <w:bookmarkStart w:id="532" w:name="_Toc22186"/>
      <w:bookmarkStart w:id="533" w:name="_Toc13552"/>
      <w:bookmarkStart w:id="534" w:name="_Toc14011"/>
      <w:bookmarkStart w:id="535" w:name="_Toc29444"/>
      <w:bookmarkStart w:id="536" w:name="_Toc25427"/>
      <w:bookmarkStart w:id="537" w:name="_Toc25765"/>
      <w:bookmarkStart w:id="538" w:name="_Toc10191"/>
      <w:bookmarkStart w:id="539" w:name="_Toc11607"/>
      <w:bookmarkStart w:id="540" w:name="_Toc15546"/>
      <w:r>
        <w:rPr>
          <w:rFonts w:hint="eastAsia" w:ascii="宋体" w:hAnsi="宋体" w:eastAsia="宋体" w:cs="宋体"/>
          <w:b/>
          <w:color w:val="auto"/>
          <w:kern w:val="0"/>
          <w:sz w:val="30"/>
          <w:szCs w:val="30"/>
          <w:highlight w:val="none"/>
          <w:lang w:val="en-US" w:eastAsia="zh-CN"/>
        </w:rPr>
        <w:t>六</w:t>
      </w:r>
      <w:r>
        <w:rPr>
          <w:rFonts w:hint="eastAsia" w:ascii="宋体" w:hAnsi="宋体" w:eastAsia="宋体" w:cs="宋体"/>
          <w:b/>
          <w:color w:val="auto"/>
          <w:kern w:val="0"/>
          <w:sz w:val="30"/>
          <w:szCs w:val="30"/>
          <w:highlight w:val="none"/>
        </w:rPr>
        <w:t>、近年完成的类似项目情况表</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575"/>
        <w:gridCol w:w="1635"/>
        <w:gridCol w:w="1395"/>
        <w:gridCol w:w="1635"/>
        <w:gridCol w:w="1665"/>
      </w:tblGrid>
      <w:tr w14:paraId="4A101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82" w:hRule="atLeast"/>
          <w:jc w:val="center"/>
        </w:trPr>
        <w:tc>
          <w:tcPr>
            <w:tcW w:w="866" w:type="dxa"/>
            <w:tcBorders>
              <w:tl2br w:val="nil"/>
              <w:tr2bl w:val="nil"/>
            </w:tcBorders>
            <w:noWrap w:val="0"/>
            <w:vAlign w:val="center"/>
          </w:tcPr>
          <w:p w14:paraId="18C060CF">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575" w:type="dxa"/>
            <w:tcBorders>
              <w:tl2br w:val="nil"/>
              <w:tr2bl w:val="nil"/>
            </w:tcBorders>
            <w:noWrap w:val="0"/>
            <w:vAlign w:val="center"/>
          </w:tcPr>
          <w:p w14:paraId="0C5A4C60">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1635" w:type="dxa"/>
            <w:tcBorders>
              <w:tl2br w:val="nil"/>
              <w:tr2bl w:val="nil"/>
            </w:tcBorders>
            <w:noWrap w:val="0"/>
            <w:vAlign w:val="center"/>
          </w:tcPr>
          <w:p w14:paraId="05D7A79F">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采购单位名称</w:t>
            </w:r>
          </w:p>
        </w:tc>
        <w:tc>
          <w:tcPr>
            <w:tcW w:w="1395" w:type="dxa"/>
            <w:tcBorders>
              <w:tl2br w:val="nil"/>
              <w:tr2bl w:val="nil"/>
            </w:tcBorders>
            <w:noWrap w:val="0"/>
            <w:vAlign w:val="center"/>
          </w:tcPr>
          <w:p w14:paraId="12209EC3">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合同金额</w:t>
            </w:r>
          </w:p>
          <w:p w14:paraId="7CCC3618">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（万元）</w:t>
            </w:r>
          </w:p>
        </w:tc>
        <w:tc>
          <w:tcPr>
            <w:tcW w:w="1635" w:type="dxa"/>
            <w:tcBorders>
              <w:tl2br w:val="nil"/>
              <w:tr2bl w:val="nil"/>
            </w:tcBorders>
            <w:noWrap w:val="0"/>
            <w:vAlign w:val="center"/>
          </w:tcPr>
          <w:p w14:paraId="433F0492">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采购单位联系电话</w:t>
            </w:r>
          </w:p>
        </w:tc>
        <w:tc>
          <w:tcPr>
            <w:tcW w:w="1665" w:type="dxa"/>
            <w:tcBorders>
              <w:tl2br w:val="nil"/>
              <w:tr2bl w:val="nil"/>
            </w:tcBorders>
            <w:noWrap w:val="0"/>
            <w:vAlign w:val="center"/>
          </w:tcPr>
          <w:p w14:paraId="7D045D42">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合同签订时间</w:t>
            </w:r>
          </w:p>
        </w:tc>
      </w:tr>
      <w:tr w14:paraId="632E1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866" w:type="dxa"/>
            <w:tcBorders>
              <w:tl2br w:val="nil"/>
              <w:tr2bl w:val="nil"/>
            </w:tcBorders>
            <w:noWrap w:val="0"/>
            <w:vAlign w:val="center"/>
          </w:tcPr>
          <w:p w14:paraId="13EA50AE">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575" w:type="dxa"/>
            <w:tcBorders>
              <w:tl2br w:val="nil"/>
              <w:tr2bl w:val="nil"/>
            </w:tcBorders>
            <w:noWrap w:val="0"/>
            <w:vAlign w:val="center"/>
          </w:tcPr>
          <w:p w14:paraId="0E51D896">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79780565">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395" w:type="dxa"/>
            <w:tcBorders>
              <w:tl2br w:val="nil"/>
              <w:tr2bl w:val="nil"/>
            </w:tcBorders>
            <w:noWrap w:val="0"/>
            <w:vAlign w:val="center"/>
          </w:tcPr>
          <w:p w14:paraId="4978DFA9">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3092507E">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65" w:type="dxa"/>
            <w:tcBorders>
              <w:tl2br w:val="nil"/>
              <w:tr2bl w:val="nil"/>
            </w:tcBorders>
            <w:noWrap w:val="0"/>
            <w:vAlign w:val="center"/>
          </w:tcPr>
          <w:p w14:paraId="358BBB41">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r>
      <w:tr w14:paraId="61A36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866" w:type="dxa"/>
            <w:tcBorders>
              <w:tl2br w:val="nil"/>
              <w:tr2bl w:val="nil"/>
            </w:tcBorders>
            <w:noWrap w:val="0"/>
            <w:vAlign w:val="center"/>
          </w:tcPr>
          <w:p w14:paraId="7A009CD3">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575" w:type="dxa"/>
            <w:tcBorders>
              <w:tl2br w:val="nil"/>
              <w:tr2bl w:val="nil"/>
            </w:tcBorders>
            <w:noWrap w:val="0"/>
            <w:vAlign w:val="center"/>
          </w:tcPr>
          <w:p w14:paraId="13F4DFA1">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68F51DB6">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395" w:type="dxa"/>
            <w:tcBorders>
              <w:tl2br w:val="nil"/>
              <w:tr2bl w:val="nil"/>
            </w:tcBorders>
            <w:noWrap w:val="0"/>
            <w:vAlign w:val="center"/>
          </w:tcPr>
          <w:p w14:paraId="1DB51E4B">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50094C39">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65" w:type="dxa"/>
            <w:tcBorders>
              <w:tl2br w:val="nil"/>
              <w:tr2bl w:val="nil"/>
            </w:tcBorders>
            <w:noWrap w:val="0"/>
            <w:vAlign w:val="center"/>
          </w:tcPr>
          <w:p w14:paraId="72962070">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r>
      <w:tr w14:paraId="0205E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66" w:type="dxa"/>
            <w:tcBorders>
              <w:tl2br w:val="nil"/>
              <w:tr2bl w:val="nil"/>
            </w:tcBorders>
            <w:noWrap w:val="0"/>
            <w:vAlign w:val="center"/>
          </w:tcPr>
          <w:p w14:paraId="1EF0EE72">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575" w:type="dxa"/>
            <w:tcBorders>
              <w:tl2br w:val="nil"/>
              <w:tr2bl w:val="nil"/>
            </w:tcBorders>
            <w:noWrap w:val="0"/>
            <w:vAlign w:val="center"/>
          </w:tcPr>
          <w:p w14:paraId="77BC05AB">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1FE46FE8">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395" w:type="dxa"/>
            <w:tcBorders>
              <w:tl2br w:val="nil"/>
              <w:tr2bl w:val="nil"/>
            </w:tcBorders>
            <w:noWrap w:val="0"/>
            <w:vAlign w:val="center"/>
          </w:tcPr>
          <w:p w14:paraId="43DCE9A8">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4D4786C4">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65" w:type="dxa"/>
            <w:tcBorders>
              <w:tl2br w:val="nil"/>
              <w:tr2bl w:val="nil"/>
            </w:tcBorders>
            <w:noWrap w:val="0"/>
            <w:vAlign w:val="center"/>
          </w:tcPr>
          <w:p w14:paraId="00420BC8">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r>
      <w:tr w14:paraId="46161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66" w:type="dxa"/>
            <w:tcBorders>
              <w:tl2br w:val="nil"/>
              <w:tr2bl w:val="nil"/>
            </w:tcBorders>
            <w:noWrap w:val="0"/>
            <w:vAlign w:val="center"/>
          </w:tcPr>
          <w:p w14:paraId="2AAFD1C9">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575" w:type="dxa"/>
            <w:tcBorders>
              <w:tl2br w:val="nil"/>
              <w:tr2bl w:val="nil"/>
            </w:tcBorders>
            <w:noWrap w:val="0"/>
            <w:vAlign w:val="center"/>
          </w:tcPr>
          <w:p w14:paraId="2DA8C02F">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3F80616C">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395" w:type="dxa"/>
            <w:tcBorders>
              <w:tl2br w:val="nil"/>
              <w:tr2bl w:val="nil"/>
            </w:tcBorders>
            <w:noWrap w:val="0"/>
            <w:vAlign w:val="center"/>
          </w:tcPr>
          <w:p w14:paraId="58B9D921">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0521D14A">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65" w:type="dxa"/>
            <w:tcBorders>
              <w:tl2br w:val="nil"/>
              <w:tr2bl w:val="nil"/>
            </w:tcBorders>
            <w:noWrap w:val="0"/>
            <w:vAlign w:val="center"/>
          </w:tcPr>
          <w:p w14:paraId="169FDDBA">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r>
      <w:tr w14:paraId="57425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866" w:type="dxa"/>
            <w:tcBorders>
              <w:tl2br w:val="nil"/>
              <w:tr2bl w:val="nil"/>
            </w:tcBorders>
            <w:noWrap w:val="0"/>
            <w:vAlign w:val="center"/>
          </w:tcPr>
          <w:p w14:paraId="6BE9CA70">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575" w:type="dxa"/>
            <w:tcBorders>
              <w:tl2br w:val="nil"/>
              <w:tr2bl w:val="nil"/>
            </w:tcBorders>
            <w:noWrap w:val="0"/>
            <w:vAlign w:val="center"/>
          </w:tcPr>
          <w:p w14:paraId="12B63C8F">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5F40BB46">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395" w:type="dxa"/>
            <w:tcBorders>
              <w:tl2br w:val="nil"/>
              <w:tr2bl w:val="nil"/>
            </w:tcBorders>
            <w:noWrap w:val="0"/>
            <w:vAlign w:val="center"/>
          </w:tcPr>
          <w:p w14:paraId="153E1B2C">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353EFF88">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65" w:type="dxa"/>
            <w:tcBorders>
              <w:tl2br w:val="nil"/>
              <w:tr2bl w:val="nil"/>
            </w:tcBorders>
            <w:noWrap w:val="0"/>
            <w:vAlign w:val="center"/>
          </w:tcPr>
          <w:p w14:paraId="0B7DE597">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r>
      <w:tr w14:paraId="45A79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866" w:type="dxa"/>
            <w:tcBorders>
              <w:tl2br w:val="nil"/>
              <w:tr2bl w:val="nil"/>
            </w:tcBorders>
            <w:noWrap w:val="0"/>
            <w:vAlign w:val="center"/>
          </w:tcPr>
          <w:p w14:paraId="571E8D7A">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575" w:type="dxa"/>
            <w:tcBorders>
              <w:tl2br w:val="nil"/>
              <w:tr2bl w:val="nil"/>
            </w:tcBorders>
            <w:noWrap w:val="0"/>
            <w:vAlign w:val="center"/>
          </w:tcPr>
          <w:p w14:paraId="396B3806">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6F165459">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395" w:type="dxa"/>
            <w:tcBorders>
              <w:tl2br w:val="nil"/>
              <w:tr2bl w:val="nil"/>
            </w:tcBorders>
            <w:noWrap w:val="0"/>
            <w:vAlign w:val="center"/>
          </w:tcPr>
          <w:p w14:paraId="4B42366C">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35" w:type="dxa"/>
            <w:tcBorders>
              <w:tl2br w:val="nil"/>
              <w:tr2bl w:val="nil"/>
            </w:tcBorders>
            <w:noWrap w:val="0"/>
            <w:vAlign w:val="center"/>
          </w:tcPr>
          <w:p w14:paraId="623F6044">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c>
          <w:tcPr>
            <w:tcW w:w="1665" w:type="dxa"/>
            <w:tcBorders>
              <w:tl2br w:val="nil"/>
              <w:tr2bl w:val="nil"/>
            </w:tcBorders>
            <w:noWrap w:val="0"/>
            <w:vAlign w:val="center"/>
          </w:tcPr>
          <w:p w14:paraId="14FBC487">
            <w:pPr>
              <w:tabs>
                <w:tab w:val="left" w:pos="420"/>
              </w:tabs>
              <w:adjustRightInd w:val="0"/>
              <w:snapToGrid w:val="0"/>
              <w:spacing w:line="360" w:lineRule="auto"/>
              <w:ind w:left="0" w:firstLine="0"/>
              <w:jc w:val="center"/>
              <w:rPr>
                <w:rFonts w:hint="eastAsia" w:ascii="宋体" w:hAnsi="宋体" w:eastAsia="宋体" w:cs="宋体"/>
                <w:color w:val="auto"/>
                <w:szCs w:val="21"/>
                <w:highlight w:val="none"/>
              </w:rPr>
            </w:pPr>
          </w:p>
        </w:tc>
      </w:tr>
    </w:tbl>
    <w:p w14:paraId="3044AEA0">
      <w:pPr>
        <w:keepNext w:val="0"/>
        <w:keepLines w:val="0"/>
        <w:pageBreakBefore w:val="0"/>
        <w:widowControl w:val="0"/>
        <w:tabs>
          <w:tab w:val="left" w:pos="420"/>
        </w:tabs>
        <w:kinsoku/>
        <w:wordWrap/>
        <w:overflowPunct/>
        <w:topLinePunct w:val="0"/>
        <w:autoSpaceDE/>
        <w:autoSpaceDN/>
        <w:bidi w:val="0"/>
        <w:adjustRightInd/>
        <w:snapToGrid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注：业绩的认定标准及证明材料详见招标文件评标标准，此表不够可以续表。</w:t>
      </w:r>
    </w:p>
    <w:p w14:paraId="3B243A37">
      <w:pPr>
        <w:keepNext w:val="0"/>
        <w:keepLines w:val="0"/>
        <w:pageBreakBefore w:val="0"/>
        <w:widowControl w:val="0"/>
        <w:tabs>
          <w:tab w:val="left" w:pos="420"/>
        </w:tabs>
        <w:kinsoku/>
        <w:wordWrap/>
        <w:overflowPunct/>
        <w:topLinePunct w:val="0"/>
        <w:autoSpaceDE/>
        <w:autoSpaceDN/>
        <w:bidi w:val="0"/>
        <w:adjustRightInd/>
        <w:snapToGrid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须随本表附有效证明材料，业绩证明材料附扫描件并加盖单位公章，内容须清晰。</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须将提供的有效证明材料按本表形式编号顺序进行编排。未提供有效证明材料的业绩在评标时不予认可。</w:t>
      </w:r>
    </w:p>
    <w:p w14:paraId="66089DA2">
      <w:pPr>
        <w:keepNext w:val="0"/>
        <w:keepLines w:val="0"/>
        <w:pageBreakBefore w:val="0"/>
        <w:widowControl w:val="0"/>
        <w:tabs>
          <w:tab w:val="left" w:pos="420"/>
        </w:tabs>
        <w:kinsoku/>
        <w:wordWrap/>
        <w:overflowPunct/>
        <w:topLinePunct w:val="0"/>
        <w:autoSpaceDE/>
        <w:autoSpaceDN/>
        <w:bidi w:val="0"/>
        <w:adjustRightInd/>
        <w:snapToGrid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本表中信息如有虚假，一经查实，其投标无效。</w:t>
      </w:r>
    </w:p>
    <w:p w14:paraId="48E1DDBD">
      <w:pPr>
        <w:keepNext w:val="0"/>
        <w:keepLines w:val="0"/>
        <w:pageBreakBefore w:val="0"/>
        <w:widowControl w:val="0"/>
        <w:tabs>
          <w:tab w:val="left" w:pos="420"/>
        </w:tabs>
        <w:kinsoku/>
        <w:wordWrap/>
        <w:overflowPunct/>
        <w:topLinePunct w:val="0"/>
        <w:autoSpaceDE/>
        <w:autoSpaceDN/>
        <w:bidi w:val="0"/>
        <w:adjustRightInd/>
        <w:spacing w:line="360" w:lineRule="auto"/>
        <w:ind w:firstLine="4089" w:firstLineChars="1704"/>
        <w:textAlignment w:val="auto"/>
        <w:rPr>
          <w:rFonts w:hint="eastAsia" w:ascii="宋体" w:hAnsi="宋体" w:eastAsia="宋体" w:cs="宋体"/>
          <w:color w:val="auto"/>
          <w:sz w:val="24"/>
          <w:szCs w:val="24"/>
          <w:highlight w:val="none"/>
        </w:rPr>
      </w:pPr>
    </w:p>
    <w:p w14:paraId="3489E6EF">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lang w:val="zh-CN"/>
        </w:rPr>
      </w:pPr>
      <w:r>
        <w:rPr>
          <w:rFonts w:hint="eastAsia" w:ascii="宋体" w:hAnsi="宋体" w:eastAsia="宋体" w:cs="宋体"/>
          <w:b/>
          <w:color w:val="auto"/>
          <w:kern w:val="0"/>
          <w:sz w:val="24"/>
          <w:szCs w:val="24"/>
          <w:highlight w:val="none"/>
        </w:rPr>
        <w:br w:type="page"/>
      </w:r>
      <w:bookmarkStart w:id="541" w:name="_Toc20097"/>
      <w:bookmarkStart w:id="542" w:name="_Toc18960"/>
      <w:bookmarkStart w:id="543" w:name="_Toc3307"/>
      <w:bookmarkStart w:id="544" w:name="_Toc2939"/>
      <w:bookmarkStart w:id="545" w:name="_Toc20197"/>
      <w:bookmarkStart w:id="546" w:name="_Toc23017"/>
      <w:bookmarkStart w:id="547" w:name="_Toc20146"/>
      <w:bookmarkStart w:id="548" w:name="_Toc19199"/>
      <w:bookmarkStart w:id="549" w:name="_Toc29205"/>
      <w:bookmarkStart w:id="550" w:name="_Toc6457"/>
      <w:bookmarkStart w:id="551" w:name="_Toc12581"/>
      <w:bookmarkStart w:id="552" w:name="_Toc7211"/>
      <w:bookmarkStart w:id="553" w:name="_Toc31296"/>
      <w:bookmarkStart w:id="554" w:name="_Toc19499"/>
      <w:r>
        <w:rPr>
          <w:rFonts w:hint="eastAsia" w:ascii="宋体" w:hAnsi="宋体" w:eastAsia="宋体" w:cs="宋体"/>
          <w:b/>
          <w:color w:val="auto"/>
          <w:kern w:val="0"/>
          <w:sz w:val="30"/>
          <w:szCs w:val="30"/>
          <w:highlight w:val="none"/>
          <w:lang w:val="en-US" w:eastAsia="zh-CN"/>
        </w:rPr>
        <w:t>七</w:t>
      </w:r>
      <w:r>
        <w:rPr>
          <w:rFonts w:hint="eastAsia" w:ascii="宋体" w:hAnsi="宋体" w:eastAsia="宋体" w:cs="宋体"/>
          <w:b/>
          <w:color w:val="auto"/>
          <w:kern w:val="0"/>
          <w:sz w:val="30"/>
          <w:szCs w:val="30"/>
          <w:highlight w:val="none"/>
          <w:lang w:eastAsia="zh-CN"/>
        </w:rPr>
        <w:t>、</w:t>
      </w:r>
      <w:r>
        <w:rPr>
          <w:rFonts w:hint="eastAsia" w:ascii="宋体" w:hAnsi="宋体" w:eastAsia="宋体" w:cs="宋体"/>
          <w:b/>
          <w:color w:val="auto"/>
          <w:kern w:val="0"/>
          <w:sz w:val="30"/>
          <w:szCs w:val="30"/>
          <w:highlight w:val="none"/>
        </w:rPr>
        <w:t>技术部分</w:t>
      </w:r>
      <w:bookmarkEnd w:id="541"/>
      <w:bookmarkEnd w:id="542"/>
      <w:bookmarkEnd w:id="543"/>
      <w:bookmarkEnd w:id="544"/>
      <w:bookmarkEnd w:id="545"/>
      <w:bookmarkEnd w:id="546"/>
      <w:bookmarkEnd w:id="547"/>
    </w:p>
    <w:p w14:paraId="71F01778">
      <w:pPr>
        <w:numPr>
          <w:ilvl w:val="0"/>
          <w:numId w:val="0"/>
        </w:numPr>
        <w:tabs>
          <w:tab w:val="left" w:pos="420"/>
          <w:tab w:val="left" w:pos="840"/>
        </w:tabs>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应按以下要点编制技术</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可以是文字资料、图纸、彩页、数据或检测报告</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文字宜精炼、内容具有针对性</w:t>
      </w:r>
      <w:r>
        <w:rPr>
          <w:rFonts w:hint="eastAsia" w:ascii="宋体" w:hAnsi="宋体" w:eastAsia="宋体" w:cs="宋体"/>
          <w:color w:val="auto"/>
          <w:sz w:val="24"/>
          <w:szCs w:val="24"/>
          <w:highlight w:val="none"/>
          <w:lang w:eastAsia="zh-CN"/>
        </w:rPr>
        <w:t>。</w:t>
      </w:r>
    </w:p>
    <w:p w14:paraId="0E50D5B4">
      <w:pPr>
        <w:numPr>
          <w:ilvl w:val="0"/>
          <w:numId w:val="0"/>
        </w:numPr>
        <w:tabs>
          <w:tab w:val="left" w:pos="420"/>
          <w:tab w:val="left" w:pos="840"/>
        </w:tabs>
        <w:autoSpaceDE w:val="0"/>
        <w:autoSpaceDN w:val="0"/>
        <w:adjustRightIn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highlight w:val="none"/>
        </w:rPr>
        <w:t>技术参数</w:t>
      </w:r>
    </w:p>
    <w:p w14:paraId="4394891F">
      <w:pPr>
        <w:numPr>
          <w:ilvl w:val="0"/>
          <w:numId w:val="0"/>
        </w:numPr>
        <w:tabs>
          <w:tab w:val="left" w:pos="420"/>
          <w:tab w:val="left" w:pos="840"/>
        </w:tabs>
        <w:autoSpaceDE w:val="0"/>
        <w:autoSpaceDN w:val="0"/>
        <w:adjustRightIn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highlight w:val="none"/>
        </w:rPr>
        <w:t>技术</w:t>
      </w:r>
      <w:r>
        <w:rPr>
          <w:rFonts w:hint="eastAsia" w:ascii="宋体" w:hAnsi="宋体" w:cs="宋体"/>
          <w:color w:val="auto"/>
          <w:sz w:val="24"/>
          <w:highlight w:val="none"/>
          <w:lang w:val="en-US" w:eastAsia="zh-CN"/>
        </w:rPr>
        <w:t>方案</w:t>
      </w:r>
    </w:p>
    <w:p w14:paraId="64CC85BB">
      <w:pPr>
        <w:numPr>
          <w:ilvl w:val="0"/>
          <w:numId w:val="0"/>
        </w:numPr>
        <w:tabs>
          <w:tab w:val="left" w:pos="420"/>
          <w:tab w:val="left" w:pos="840"/>
        </w:tabs>
        <w:autoSpaceDE w:val="0"/>
        <w:autoSpaceDN w:val="0"/>
        <w:adjustRightIn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highlight w:val="none"/>
        </w:rPr>
        <w:t>实施方案</w:t>
      </w:r>
    </w:p>
    <w:p w14:paraId="3136D0A4">
      <w:pPr>
        <w:numPr>
          <w:ilvl w:val="0"/>
          <w:numId w:val="0"/>
        </w:numPr>
        <w:tabs>
          <w:tab w:val="left" w:pos="420"/>
          <w:tab w:val="left" w:pos="840"/>
        </w:tabs>
        <w:autoSpaceDE w:val="0"/>
        <w:autoSpaceDN w:val="0"/>
        <w:adjustRightInd w:val="0"/>
        <w:spacing w:line="360" w:lineRule="auto"/>
        <w:ind w:left="0" w:firstLine="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cs="宋体"/>
          <w:color w:val="auto"/>
          <w:sz w:val="24"/>
          <w:highlight w:val="none"/>
        </w:rPr>
        <w:t>售后方案</w:t>
      </w:r>
    </w:p>
    <w:bookmarkEnd w:id="548"/>
    <w:p w14:paraId="426EC506">
      <w:pPr>
        <w:numPr>
          <w:ilvl w:val="0"/>
          <w:numId w:val="0"/>
        </w:numPr>
        <w:tabs>
          <w:tab w:val="left" w:pos="420"/>
        </w:tabs>
        <w:spacing w:line="360" w:lineRule="auto"/>
        <w:ind w:left="40" w:firstLine="0"/>
        <w:jc w:val="center"/>
        <w:outlineLvl w:val="1"/>
        <w:rPr>
          <w:rFonts w:hint="eastAsia" w:ascii="宋体" w:hAnsi="宋体" w:eastAsia="宋体" w:cs="宋体"/>
          <w:b/>
          <w:color w:val="auto"/>
          <w:kern w:val="0"/>
          <w:sz w:val="32"/>
          <w:szCs w:val="32"/>
          <w:highlight w:val="none"/>
          <w:lang w:eastAsia="zh-CN"/>
        </w:rPr>
      </w:pPr>
    </w:p>
    <w:p w14:paraId="3BDE1AE1">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2"/>
          <w:szCs w:val="32"/>
          <w:highlight w:val="none"/>
          <w:lang w:eastAsia="zh-CN"/>
        </w:rPr>
        <w:br w:type="page"/>
      </w:r>
      <w:bookmarkEnd w:id="501"/>
      <w:bookmarkEnd w:id="502"/>
      <w:bookmarkEnd w:id="503"/>
      <w:bookmarkEnd w:id="504"/>
      <w:bookmarkEnd w:id="505"/>
      <w:bookmarkEnd w:id="506"/>
      <w:bookmarkEnd w:id="507"/>
      <w:bookmarkEnd w:id="508"/>
      <w:bookmarkEnd w:id="509"/>
      <w:bookmarkEnd w:id="510"/>
      <w:bookmarkEnd w:id="549"/>
      <w:bookmarkEnd w:id="550"/>
      <w:bookmarkEnd w:id="551"/>
      <w:bookmarkEnd w:id="552"/>
      <w:bookmarkEnd w:id="553"/>
      <w:bookmarkEnd w:id="554"/>
      <w:bookmarkStart w:id="555" w:name="_Toc5178"/>
      <w:bookmarkStart w:id="556" w:name="_Toc27988"/>
      <w:bookmarkStart w:id="557" w:name="_Toc9182"/>
      <w:bookmarkStart w:id="558" w:name="_Toc12298"/>
      <w:bookmarkStart w:id="559" w:name="_Toc9321"/>
      <w:bookmarkStart w:id="560" w:name="_Toc11321"/>
      <w:bookmarkStart w:id="561" w:name="_Toc6116"/>
      <w:bookmarkStart w:id="562" w:name="_Toc7915"/>
      <w:bookmarkStart w:id="563" w:name="_Toc17016"/>
      <w:bookmarkStart w:id="564" w:name="_Toc28957"/>
      <w:bookmarkStart w:id="565" w:name="_Toc13794"/>
      <w:bookmarkStart w:id="566" w:name="_Toc16532"/>
      <w:bookmarkStart w:id="567" w:name="_Toc19933"/>
      <w:bookmarkStart w:id="568" w:name="_Toc10194"/>
      <w:bookmarkStart w:id="569" w:name="_Toc23899"/>
      <w:bookmarkStart w:id="570" w:name="_Toc15430"/>
      <w:bookmarkStart w:id="571" w:name="_Toc23934"/>
      <w:bookmarkStart w:id="572" w:name="_Toc28554"/>
      <w:bookmarkStart w:id="573" w:name="_Toc30262"/>
      <w:bookmarkStart w:id="574" w:name="_Toc6798"/>
      <w:bookmarkStart w:id="575" w:name="_Toc26127"/>
      <w:bookmarkStart w:id="576" w:name="_Toc14590"/>
      <w:bookmarkStart w:id="577" w:name="_Toc11993"/>
      <w:bookmarkStart w:id="578" w:name="_Toc24765"/>
      <w:bookmarkStart w:id="579" w:name="_Toc9037"/>
      <w:r>
        <w:rPr>
          <w:rFonts w:hint="eastAsia" w:ascii="宋体" w:hAnsi="宋体" w:eastAsia="宋体" w:cs="宋体"/>
          <w:b/>
          <w:color w:val="auto"/>
          <w:kern w:val="0"/>
          <w:sz w:val="30"/>
          <w:szCs w:val="30"/>
          <w:highlight w:val="none"/>
          <w:lang w:val="en-US" w:eastAsia="zh-CN"/>
        </w:rPr>
        <w:t>八</w:t>
      </w:r>
      <w:r>
        <w:rPr>
          <w:rFonts w:hint="eastAsia" w:ascii="宋体" w:hAnsi="宋体" w:eastAsia="宋体" w:cs="宋体"/>
          <w:b/>
          <w:color w:val="auto"/>
          <w:kern w:val="0"/>
          <w:sz w:val="30"/>
          <w:szCs w:val="30"/>
          <w:highlight w:val="none"/>
          <w:lang w:eastAsia="zh-CN"/>
        </w:rPr>
        <w:t>、</w:t>
      </w:r>
      <w:r>
        <w:rPr>
          <w:rFonts w:hint="eastAsia" w:ascii="宋体" w:hAnsi="宋体" w:eastAsia="宋体" w:cs="宋体"/>
          <w:b/>
          <w:color w:val="auto"/>
          <w:kern w:val="0"/>
          <w:sz w:val="30"/>
          <w:szCs w:val="30"/>
          <w:highlight w:val="none"/>
          <w:lang w:val="zh-CN"/>
        </w:rPr>
        <w:t>反商业贿赂承诺书</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185C4E7">
      <w:pPr>
        <w:numPr>
          <w:ilvl w:val="0"/>
          <w:numId w:val="0"/>
        </w:numPr>
        <w:tabs>
          <w:tab w:val="left" w:pos="42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w:t>
      </w:r>
    </w:p>
    <w:p w14:paraId="428A63FE">
      <w:pPr>
        <w:numPr>
          <w:ilvl w:val="0"/>
          <w:numId w:val="0"/>
        </w:numPr>
        <w:tabs>
          <w:tab w:val="left" w:pos="42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在</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采购活动中，我单位保证做到：</w:t>
      </w:r>
    </w:p>
    <w:p w14:paraId="2C09CF5A">
      <w:pPr>
        <w:numPr>
          <w:ilvl w:val="0"/>
          <w:numId w:val="0"/>
        </w:numPr>
        <w:tabs>
          <w:tab w:val="left" w:pos="42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一、公平参加本次采购活动。</w:t>
      </w:r>
    </w:p>
    <w:p w14:paraId="6E2FA244">
      <w:pPr>
        <w:numPr>
          <w:ilvl w:val="0"/>
          <w:numId w:val="0"/>
        </w:numPr>
        <w:tabs>
          <w:tab w:val="left" w:pos="42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二、杜绝任何形式的商业贿赂行为。不向国家工作人员、采购代理机构工作人员、评审专家及其亲属提供礼品礼金、回扣、佣金等费用。</w:t>
      </w:r>
    </w:p>
    <w:p w14:paraId="21C15FE3">
      <w:pPr>
        <w:numPr>
          <w:ilvl w:val="0"/>
          <w:numId w:val="0"/>
        </w:numPr>
        <w:tabs>
          <w:tab w:val="left" w:pos="42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三、若出现上述行为，我单位及参与投标的工作人员愿意接受按照国家法律法规等有关规定的处罚。</w:t>
      </w:r>
    </w:p>
    <w:p w14:paraId="6E417CD8">
      <w:pPr>
        <w:tabs>
          <w:tab w:val="left" w:pos="420"/>
        </w:tabs>
        <w:spacing w:line="360" w:lineRule="auto"/>
        <w:ind w:left="0" w:firstLine="0"/>
        <w:rPr>
          <w:rFonts w:hint="eastAsia" w:ascii="宋体" w:hAnsi="宋体" w:eastAsia="宋体" w:cs="宋体"/>
          <w:b/>
          <w:color w:val="auto"/>
          <w:sz w:val="24"/>
          <w:szCs w:val="24"/>
          <w:highlight w:val="none"/>
        </w:rPr>
      </w:pPr>
    </w:p>
    <w:p w14:paraId="0828DB84">
      <w:pPr>
        <w:tabs>
          <w:tab w:val="left" w:pos="420"/>
        </w:tabs>
        <w:spacing w:line="360" w:lineRule="auto"/>
        <w:ind w:left="0" w:firstLine="0"/>
        <w:rPr>
          <w:rFonts w:hint="eastAsia" w:ascii="宋体" w:hAnsi="宋体" w:eastAsia="宋体" w:cs="宋体"/>
          <w:b/>
          <w:color w:val="auto"/>
          <w:sz w:val="24"/>
          <w:szCs w:val="24"/>
          <w:highlight w:val="none"/>
        </w:rPr>
      </w:pPr>
    </w:p>
    <w:p w14:paraId="58327A3B">
      <w:pPr>
        <w:tabs>
          <w:tab w:val="left" w:pos="420"/>
        </w:tabs>
        <w:spacing w:line="360" w:lineRule="auto"/>
        <w:ind w:left="0" w:firstLine="0"/>
        <w:rPr>
          <w:rFonts w:hint="eastAsia" w:ascii="宋体" w:hAnsi="宋体" w:eastAsia="宋体" w:cs="宋体"/>
          <w:b/>
          <w:color w:val="auto"/>
          <w:sz w:val="24"/>
          <w:szCs w:val="24"/>
          <w:highlight w:val="none"/>
        </w:rPr>
      </w:pPr>
    </w:p>
    <w:p w14:paraId="2A5E5263">
      <w:pPr>
        <w:numPr>
          <w:ilvl w:val="0"/>
          <w:numId w:val="0"/>
        </w:numPr>
        <w:tabs>
          <w:tab w:val="left" w:pos="420"/>
        </w:tabs>
        <w:autoSpaceDE w:val="0"/>
        <w:autoSpaceDN w:val="0"/>
        <w:adjustRightInd w:val="0"/>
        <w:spacing w:line="360" w:lineRule="auto"/>
        <w:ind w:firstLine="480" w:firstLineChars="200"/>
        <w:jc w:val="right"/>
        <w:rPr>
          <w:rFonts w:hint="eastAsia" w:ascii="宋体" w:hAnsi="宋体" w:eastAsia="宋体" w:cs="宋体"/>
          <w:bCs/>
          <w:color w:val="auto"/>
          <w:kern w:val="0"/>
          <w:sz w:val="24"/>
          <w:szCs w:val="24"/>
          <w:highlight w:val="none"/>
        </w:rPr>
      </w:pPr>
    </w:p>
    <w:p w14:paraId="7518DCF2">
      <w:pPr>
        <w:tabs>
          <w:tab w:val="left" w:pos="420"/>
        </w:tabs>
        <w:spacing w:line="360" w:lineRule="auto"/>
        <w:ind w:left="0" w:firstLine="2880" w:firstLineChars="1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w:t>
      </w:r>
    </w:p>
    <w:p w14:paraId="74F24692">
      <w:pPr>
        <w:widowControl/>
        <w:tabs>
          <w:tab w:val="left" w:pos="420"/>
        </w:tabs>
        <w:spacing w:line="360" w:lineRule="auto"/>
        <w:ind w:left="0" w:firstLine="2880" w:firstLineChars="1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签字或盖章</w:t>
      </w:r>
      <w:r>
        <w:rPr>
          <w:rFonts w:hint="eastAsia" w:ascii="宋体" w:hAnsi="宋体" w:eastAsia="宋体" w:cs="宋体"/>
          <w:color w:val="auto"/>
          <w:sz w:val="24"/>
          <w:szCs w:val="24"/>
          <w:highlight w:val="none"/>
        </w:rPr>
        <w:t>）</w:t>
      </w:r>
    </w:p>
    <w:p w14:paraId="0A65D6BC">
      <w:pPr>
        <w:widowControl/>
        <w:tabs>
          <w:tab w:val="left" w:pos="420"/>
        </w:tabs>
        <w:spacing w:line="360" w:lineRule="auto"/>
        <w:ind w:left="880" w:leftChars="419" w:firstLine="1860" w:firstLineChars="775"/>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bidi="ar"/>
        </w:rPr>
        <w:t>日   期：</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年</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月</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 xml:space="preserve">日 </w:t>
      </w:r>
    </w:p>
    <w:p w14:paraId="30BE7B81">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lang w:val="zh-CN"/>
        </w:rPr>
      </w:pPr>
      <w:r>
        <w:rPr>
          <w:rFonts w:hint="eastAsia" w:ascii="宋体" w:hAnsi="宋体" w:eastAsia="宋体" w:cs="宋体"/>
          <w:color w:val="auto"/>
          <w:kern w:val="0"/>
          <w:sz w:val="24"/>
          <w:szCs w:val="24"/>
          <w:highlight w:val="none"/>
          <w:lang w:bidi="ar"/>
        </w:rPr>
        <w:br w:type="page"/>
      </w:r>
      <w:bookmarkStart w:id="580" w:name="_Toc32294"/>
      <w:bookmarkStart w:id="581" w:name="_Toc29165"/>
      <w:bookmarkStart w:id="582" w:name="_Toc13898"/>
      <w:bookmarkStart w:id="583" w:name="_Toc2358"/>
      <w:bookmarkStart w:id="584" w:name="_Toc27758"/>
      <w:bookmarkStart w:id="585" w:name="_Toc15972"/>
      <w:bookmarkStart w:id="586" w:name="_Toc10969"/>
      <w:bookmarkStart w:id="587" w:name="_Toc26829"/>
      <w:bookmarkStart w:id="588" w:name="_Toc27433"/>
      <w:bookmarkStart w:id="589" w:name="_Toc2061"/>
      <w:bookmarkStart w:id="590" w:name="_Toc32145"/>
      <w:bookmarkStart w:id="591" w:name="_Toc15200"/>
      <w:bookmarkStart w:id="592" w:name="_Toc13583"/>
      <w:bookmarkStart w:id="593" w:name="_Toc12233"/>
      <w:bookmarkStart w:id="594" w:name="_Toc8711"/>
      <w:bookmarkStart w:id="595" w:name="_Toc19795"/>
      <w:bookmarkStart w:id="596" w:name="_Toc7969"/>
      <w:bookmarkStart w:id="597" w:name="_Toc971"/>
      <w:bookmarkStart w:id="598" w:name="_Toc148"/>
      <w:bookmarkStart w:id="599" w:name="_Toc26619"/>
      <w:bookmarkStart w:id="600" w:name="_Toc17512"/>
      <w:bookmarkStart w:id="601" w:name="_Toc20148"/>
      <w:bookmarkStart w:id="602" w:name="_Toc24844"/>
      <w:bookmarkStart w:id="603" w:name="_Toc9298"/>
      <w:r>
        <w:rPr>
          <w:rFonts w:hint="eastAsia" w:ascii="宋体" w:hAnsi="宋体" w:eastAsia="宋体" w:cs="宋体"/>
          <w:b/>
          <w:color w:val="auto"/>
          <w:kern w:val="0"/>
          <w:sz w:val="30"/>
          <w:szCs w:val="30"/>
          <w:highlight w:val="none"/>
          <w:lang w:val="en-US" w:eastAsia="zh-CN"/>
        </w:rPr>
        <w:t>九</w:t>
      </w:r>
      <w:r>
        <w:rPr>
          <w:rFonts w:hint="eastAsia" w:ascii="宋体" w:hAnsi="宋体" w:eastAsia="宋体" w:cs="宋体"/>
          <w:b/>
          <w:color w:val="auto"/>
          <w:kern w:val="0"/>
          <w:sz w:val="30"/>
          <w:szCs w:val="30"/>
          <w:highlight w:val="none"/>
          <w:lang w:val="zh-CN"/>
        </w:rPr>
        <w:t>、投标承诺函</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25B58F6B">
      <w:pPr>
        <w:widowControl/>
        <w:tabs>
          <w:tab w:val="left" w:pos="735"/>
        </w:tabs>
        <w:spacing w:line="600" w:lineRule="atLeast"/>
        <w:jc w:val="center"/>
        <w:rPr>
          <w:rFonts w:ascii="宋体" w:hAnsi="宋体"/>
          <w:b/>
          <w:color w:val="auto"/>
          <w:kern w:val="0"/>
          <w:sz w:val="44"/>
          <w:szCs w:val="44"/>
          <w:highlight w:val="none"/>
        </w:rPr>
      </w:pPr>
      <w:r>
        <w:rPr>
          <w:rFonts w:hint="eastAsia" w:ascii="宋体" w:hAnsi="宋体" w:cs="宋体"/>
          <w:b/>
          <w:color w:val="auto"/>
          <w:kern w:val="0"/>
          <w:sz w:val="36"/>
          <w:szCs w:val="36"/>
          <w:highlight w:val="none"/>
        </w:rPr>
        <w:t>投标承诺函</w:t>
      </w:r>
    </w:p>
    <w:p w14:paraId="2EDF787D">
      <w:pPr>
        <w:widowControl/>
        <w:tabs>
          <w:tab w:val="left" w:pos="735"/>
        </w:tabs>
        <w:spacing w:line="600" w:lineRule="atLeast"/>
        <w:rPr>
          <w:rFonts w:ascii="宋体" w:hAnsi="宋体"/>
          <w:b/>
          <w:color w:val="auto"/>
          <w:sz w:val="28"/>
          <w:szCs w:val="28"/>
          <w:highlight w:val="none"/>
        </w:rPr>
      </w:pPr>
    </w:p>
    <w:p w14:paraId="29A5617F">
      <w:pPr>
        <w:spacing w:line="520" w:lineRule="exact"/>
        <w:ind w:firstLine="480" w:firstLineChars="200"/>
        <w:rPr>
          <w:rFonts w:ascii="宋体" w:hAnsi="宋体"/>
          <w:color w:val="auto"/>
          <w:sz w:val="24"/>
          <w:highlight w:val="none"/>
        </w:rPr>
      </w:pPr>
      <w:r>
        <w:rPr>
          <w:rFonts w:hint="eastAsia" w:ascii="宋体" w:hAnsi="宋体"/>
          <w:color w:val="auto"/>
          <w:sz w:val="24"/>
          <w:highlight w:val="none"/>
        </w:rPr>
        <w:t>我单位对</w:t>
      </w:r>
      <w:r>
        <w:rPr>
          <w:rFonts w:hint="eastAsia" w:ascii="宋体" w:hAnsi="宋体"/>
          <w:color w:val="auto"/>
          <w:sz w:val="24"/>
          <w:highlight w:val="none"/>
          <w:u w:val="single"/>
        </w:rPr>
        <w:t xml:space="preserve">                                   </w:t>
      </w:r>
      <w:r>
        <w:rPr>
          <w:rFonts w:hint="eastAsia" w:ascii="宋体" w:hAnsi="宋体"/>
          <w:color w:val="auto"/>
          <w:sz w:val="24"/>
          <w:highlight w:val="none"/>
        </w:rPr>
        <w:t>项目投标行为做出承诺，保证所提交材料的真实性。</w:t>
      </w:r>
    </w:p>
    <w:p w14:paraId="4C9B98B4">
      <w:pPr>
        <w:spacing w:line="520" w:lineRule="exact"/>
        <w:ind w:firstLine="480" w:firstLineChars="200"/>
        <w:rPr>
          <w:rFonts w:ascii="宋体" w:hAnsi="宋体"/>
          <w:color w:val="auto"/>
          <w:sz w:val="24"/>
          <w:highlight w:val="none"/>
        </w:rPr>
      </w:pPr>
      <w:r>
        <w:rPr>
          <w:rFonts w:hint="eastAsia" w:ascii="宋体" w:hAnsi="宋体"/>
          <w:color w:val="auto"/>
          <w:sz w:val="24"/>
          <w:highlight w:val="none"/>
        </w:rPr>
        <w:t>我单位承诺：</w:t>
      </w:r>
    </w:p>
    <w:p w14:paraId="6A070B65">
      <w:pPr>
        <w:spacing w:line="520" w:lineRule="exact"/>
        <w:ind w:firstLine="480" w:firstLineChars="200"/>
        <w:rPr>
          <w:rFonts w:ascii="宋体" w:hAnsi="宋体"/>
          <w:color w:val="auto"/>
          <w:sz w:val="24"/>
          <w:highlight w:val="none"/>
        </w:rPr>
      </w:pPr>
      <w:r>
        <w:rPr>
          <w:rFonts w:hint="eastAsia" w:ascii="宋体" w:hAnsi="宋体"/>
          <w:color w:val="auto"/>
          <w:sz w:val="24"/>
          <w:highlight w:val="none"/>
        </w:rPr>
        <w:t>1、在响应性文件递交截止时间后至确定成交人的</w:t>
      </w:r>
      <w:r>
        <w:rPr>
          <w:color w:val="auto"/>
          <w:highlight w:val="none"/>
        </w:rPr>
        <w:fldChar w:fldCharType="begin"/>
      </w:r>
      <w:r>
        <w:rPr>
          <w:color w:val="auto"/>
          <w:highlight w:val="none"/>
        </w:rPr>
        <w:instrText xml:space="preserve"> HYPERLINK "https://baike.so.com/doc/5394983-5632135.html" \t "https://baike.so.com/doc/_blank" </w:instrText>
      </w:r>
      <w:r>
        <w:rPr>
          <w:color w:val="auto"/>
          <w:highlight w:val="none"/>
        </w:rPr>
        <w:fldChar w:fldCharType="separate"/>
      </w:r>
      <w:r>
        <w:rPr>
          <w:rFonts w:ascii="宋体" w:hAnsi="宋体"/>
          <w:color w:val="auto"/>
          <w:sz w:val="24"/>
          <w:highlight w:val="none"/>
        </w:rPr>
        <w:t>投标有效期</w:t>
      </w:r>
      <w:r>
        <w:rPr>
          <w:rFonts w:ascii="宋体" w:hAnsi="宋体"/>
          <w:color w:val="auto"/>
          <w:sz w:val="24"/>
          <w:highlight w:val="none"/>
        </w:rPr>
        <w:fldChar w:fldCharType="end"/>
      </w:r>
      <w:r>
        <w:rPr>
          <w:rFonts w:ascii="宋体" w:hAnsi="宋体"/>
          <w:color w:val="auto"/>
          <w:sz w:val="24"/>
          <w:highlight w:val="none"/>
        </w:rPr>
        <w:t>内</w:t>
      </w:r>
      <w:r>
        <w:rPr>
          <w:rFonts w:hint="eastAsia" w:ascii="宋体" w:hAnsi="宋体"/>
          <w:color w:val="auto"/>
          <w:sz w:val="24"/>
          <w:highlight w:val="none"/>
        </w:rPr>
        <w:t>，我单位不得要求退出竞标或者修改响应性文件且</w:t>
      </w:r>
      <w:r>
        <w:rPr>
          <w:rFonts w:ascii="宋体" w:hAnsi="宋体"/>
          <w:color w:val="auto"/>
          <w:sz w:val="24"/>
          <w:highlight w:val="none"/>
        </w:rPr>
        <w:t>对递交的</w:t>
      </w:r>
      <w:r>
        <w:rPr>
          <w:rFonts w:hint="eastAsia" w:ascii="宋体" w:hAnsi="宋体"/>
          <w:color w:val="auto"/>
          <w:sz w:val="24"/>
          <w:highlight w:val="none"/>
        </w:rPr>
        <w:t>响应性</w:t>
      </w:r>
      <w:r>
        <w:rPr>
          <w:rFonts w:ascii="宋体" w:hAnsi="宋体"/>
          <w:color w:val="auto"/>
          <w:sz w:val="24"/>
          <w:highlight w:val="none"/>
        </w:rPr>
        <w:t>文件负责，受其约束。</w:t>
      </w:r>
    </w:p>
    <w:p w14:paraId="08FEE665">
      <w:pPr>
        <w:spacing w:line="520" w:lineRule="exact"/>
        <w:ind w:firstLine="480" w:firstLineChars="200"/>
        <w:rPr>
          <w:rFonts w:ascii="宋体" w:hAnsi="宋体"/>
          <w:color w:val="auto"/>
          <w:sz w:val="24"/>
          <w:highlight w:val="none"/>
        </w:rPr>
      </w:pPr>
      <w:r>
        <w:rPr>
          <w:rFonts w:hint="eastAsia" w:ascii="宋体" w:hAnsi="宋体"/>
          <w:color w:val="auto"/>
          <w:sz w:val="24"/>
          <w:highlight w:val="none"/>
        </w:rPr>
        <w:t>2、若我单位成交，在接到成交通知书后，除不可抗力因素外，及时按</w:t>
      </w:r>
      <w:r>
        <w:rPr>
          <w:rFonts w:ascii="宋体" w:hAnsi="宋体"/>
          <w:color w:val="auto"/>
          <w:sz w:val="24"/>
          <w:highlight w:val="none"/>
        </w:rPr>
        <w:t>规定</w:t>
      </w:r>
      <w:r>
        <w:rPr>
          <w:rFonts w:hint="eastAsia" w:ascii="宋体" w:hAnsi="宋体"/>
          <w:color w:val="auto"/>
          <w:sz w:val="24"/>
          <w:highlight w:val="none"/>
        </w:rPr>
        <w:t>与采购人</w:t>
      </w:r>
      <w:r>
        <w:rPr>
          <w:rFonts w:ascii="宋体" w:hAnsi="宋体"/>
          <w:color w:val="auto"/>
          <w:sz w:val="24"/>
          <w:highlight w:val="none"/>
        </w:rPr>
        <w:t>签订合同</w:t>
      </w:r>
      <w:r>
        <w:rPr>
          <w:rFonts w:hint="eastAsia" w:ascii="宋体" w:hAnsi="宋体"/>
          <w:color w:val="auto"/>
          <w:sz w:val="24"/>
          <w:highlight w:val="none"/>
        </w:rPr>
        <w:t>并认真履约。</w:t>
      </w:r>
    </w:p>
    <w:p w14:paraId="76815A37">
      <w:pPr>
        <w:spacing w:line="520" w:lineRule="exact"/>
        <w:ind w:firstLine="480" w:firstLineChars="200"/>
        <w:rPr>
          <w:rFonts w:ascii="宋体" w:hAnsi="宋体"/>
          <w:color w:val="auto"/>
          <w:sz w:val="24"/>
          <w:highlight w:val="none"/>
        </w:rPr>
      </w:pPr>
      <w:r>
        <w:rPr>
          <w:rFonts w:hint="eastAsia" w:ascii="宋体" w:hAnsi="宋体"/>
          <w:color w:val="auto"/>
          <w:sz w:val="24"/>
          <w:highlight w:val="none"/>
        </w:rPr>
        <w:t>3、非因不可抗力因素放弃成交或未按规定期限与采购人签订合同，愿赔偿采购人由此造成的损失（损失费由采购人按相关规定计算），并愿接受采购金额千分之五以上千分之十以下罚款、列入不良行为记录名单、在1至3年内禁止参加政府采购活动、给予通报的处罚。</w:t>
      </w:r>
    </w:p>
    <w:p w14:paraId="0B94FDAD">
      <w:pPr>
        <w:spacing w:line="360" w:lineRule="auto"/>
        <w:ind w:firstLine="480" w:firstLineChars="200"/>
        <w:jc w:val="left"/>
        <w:rPr>
          <w:color w:val="auto"/>
          <w:highlight w:val="none"/>
        </w:rPr>
      </w:pPr>
      <w:r>
        <w:rPr>
          <w:rFonts w:hint="eastAsia" w:ascii="宋体" w:hAnsi="宋体"/>
          <w:color w:val="auto"/>
          <w:sz w:val="24"/>
          <w:highlight w:val="none"/>
        </w:rPr>
        <w:t>4、</w:t>
      </w:r>
      <w:r>
        <w:rPr>
          <w:rFonts w:hint="eastAsia" w:ascii="宋体" w:hAnsi="宋体" w:eastAsia="宋体" w:cs="宋体"/>
          <w:color w:val="auto"/>
          <w:sz w:val="24"/>
          <w:highlight w:val="none"/>
        </w:rPr>
        <w:t>一旦我方中标，我方在收到成交通知书后15日内，依据竞争性谈判文件、响应文件与采购人签订合同。若由于我方原因在15日内因非不可抗力拒绝与采购人签订合同的，愿意接受相关部门依法作出的处罚。合同签订后严格按照合同履约，并配合采购人完成履约验收。</w:t>
      </w:r>
    </w:p>
    <w:p w14:paraId="60258829">
      <w:pPr>
        <w:widowControl/>
        <w:spacing w:line="360" w:lineRule="auto"/>
        <w:ind w:firstLine="480" w:firstLineChars="200"/>
        <w:rPr>
          <w:rFonts w:ascii="宋体" w:hAnsi="宋体" w:eastAsia="宋体" w:cs="宋体"/>
          <w:color w:val="auto"/>
          <w:sz w:val="24"/>
          <w:highlight w:val="none"/>
        </w:rPr>
      </w:pPr>
      <w:r>
        <w:rPr>
          <w:rFonts w:hint="eastAsia" w:ascii="宋体" w:hAnsi="宋体"/>
          <w:color w:val="auto"/>
          <w:sz w:val="24"/>
          <w:highlight w:val="none"/>
        </w:rPr>
        <w:t>5、</w:t>
      </w:r>
      <w:r>
        <w:rPr>
          <w:rFonts w:hint="eastAsia" w:ascii="宋体" w:hAnsi="宋体" w:eastAsia="宋体" w:cs="宋体"/>
          <w:color w:val="auto"/>
          <w:sz w:val="24"/>
          <w:highlight w:val="none"/>
        </w:rPr>
        <w:t>我方参与本项目投标的所有资料真实有效，未在响应文件中提供虚假材料，无陪标、串标等违法行为。若相关部门查实或被不见面开标系统提示为“响应文件制作机器码一致”的，同意被视为投标无效，接受报监管部门依法作出的处理。</w:t>
      </w:r>
    </w:p>
    <w:p w14:paraId="39F8D452">
      <w:pPr>
        <w:spacing w:line="520" w:lineRule="exact"/>
        <w:ind w:firstLine="480" w:firstLineChars="200"/>
        <w:jc w:val="left"/>
        <w:rPr>
          <w:rFonts w:ascii="宋体" w:hAnsi="宋体" w:eastAsia="宋体"/>
          <w:color w:val="auto"/>
          <w:sz w:val="24"/>
          <w:highlight w:val="none"/>
        </w:rPr>
      </w:pPr>
      <w:r>
        <w:rPr>
          <w:rFonts w:hint="eastAsia" w:ascii="宋体" w:hAnsi="宋体"/>
          <w:color w:val="auto"/>
          <w:sz w:val="24"/>
          <w:highlight w:val="none"/>
        </w:rPr>
        <w:t>6、不存在法律法规规定的其他违法违规行为。</w:t>
      </w:r>
    </w:p>
    <w:p w14:paraId="5C0B984A">
      <w:pPr>
        <w:pStyle w:val="19"/>
        <w:adjustRightInd w:val="0"/>
        <w:snapToGrid w:val="0"/>
        <w:spacing w:line="360" w:lineRule="auto"/>
        <w:ind w:firstLine="480" w:firstLineChars="200"/>
        <w:jc w:val="right"/>
        <w:rPr>
          <w:rFonts w:hAnsi="宋体"/>
          <w:color w:val="auto"/>
          <w:sz w:val="24"/>
          <w:highlight w:val="none"/>
        </w:rPr>
      </w:pPr>
      <w:r>
        <w:rPr>
          <w:rFonts w:hint="eastAsia" w:hAnsi="宋体"/>
          <w:color w:val="auto"/>
          <w:sz w:val="24"/>
          <w:highlight w:val="none"/>
        </w:rPr>
        <w:t xml:space="preserve">                  供应商（盖章）： </w:t>
      </w:r>
    </w:p>
    <w:p w14:paraId="45C9954C">
      <w:pPr>
        <w:pStyle w:val="19"/>
        <w:adjustRightInd w:val="0"/>
        <w:snapToGrid w:val="0"/>
        <w:spacing w:line="360" w:lineRule="auto"/>
        <w:ind w:firstLine="480" w:firstLineChars="200"/>
        <w:jc w:val="right"/>
        <w:rPr>
          <w:rFonts w:hAnsi="Calibri" w:eastAsia="宋体"/>
          <w:color w:val="auto"/>
          <w:sz w:val="24"/>
          <w:szCs w:val="24"/>
          <w:highlight w:val="none"/>
        </w:rPr>
      </w:pPr>
      <w:r>
        <w:rPr>
          <w:rFonts w:hint="eastAsia" w:hAnsi="宋体"/>
          <w:color w:val="auto"/>
          <w:sz w:val="24"/>
          <w:highlight w:val="none"/>
        </w:rPr>
        <w:t xml:space="preserve"> </w:t>
      </w:r>
      <w:r>
        <w:rPr>
          <w:rFonts w:hint="eastAsia" w:hAnsi="Calibri" w:eastAsia="宋体"/>
          <w:color w:val="auto"/>
          <w:sz w:val="24"/>
          <w:szCs w:val="24"/>
          <w:highlight w:val="none"/>
        </w:rPr>
        <w:t>年    月     日</w:t>
      </w:r>
    </w:p>
    <w:p w14:paraId="088B9255">
      <w:pPr>
        <w:tabs>
          <w:tab w:val="left" w:pos="420"/>
        </w:tabs>
        <w:spacing w:line="360" w:lineRule="auto"/>
        <w:rPr>
          <w:rFonts w:hint="eastAsia" w:ascii="宋体" w:hAnsi="宋体" w:eastAsia="宋体" w:cs="宋体"/>
          <w:color w:val="auto"/>
          <w:highlight w:val="none"/>
        </w:rPr>
      </w:pPr>
    </w:p>
    <w:p w14:paraId="35A8E07B">
      <w:pPr>
        <w:widowControl/>
        <w:tabs>
          <w:tab w:val="left" w:pos="420"/>
        </w:tabs>
        <w:spacing w:line="360" w:lineRule="auto"/>
        <w:ind w:left="0" w:firstLine="2774" w:firstLineChars="1316"/>
        <w:rPr>
          <w:rFonts w:hint="eastAsia" w:ascii="宋体" w:hAnsi="宋体" w:eastAsia="宋体" w:cs="宋体"/>
          <w:b/>
          <w:color w:val="auto"/>
          <w:szCs w:val="21"/>
          <w:highlight w:val="none"/>
        </w:rPr>
        <w:sectPr>
          <w:pgSz w:w="11905" w:h="16838"/>
          <w:pgMar w:top="1417" w:right="1417" w:bottom="1417" w:left="1417" w:header="850" w:footer="992" w:gutter="0"/>
          <w:pgBorders>
            <w:top w:val="none" w:sz="0" w:space="0"/>
            <w:left w:val="none" w:sz="0" w:space="0"/>
            <w:bottom w:val="none" w:sz="0" w:space="0"/>
            <w:right w:val="none" w:sz="0" w:space="0"/>
          </w:pgBorders>
          <w:pgNumType w:fmt="decimal"/>
          <w:cols w:space="720" w:num="1"/>
          <w:docGrid w:type="lines" w:linePitch="318" w:charSpace="0"/>
        </w:sectPr>
      </w:pPr>
    </w:p>
    <w:p w14:paraId="146AB86D">
      <w:pPr>
        <w:numPr>
          <w:ilvl w:val="0"/>
          <w:numId w:val="0"/>
        </w:numPr>
        <w:tabs>
          <w:tab w:val="left" w:pos="420"/>
        </w:tabs>
        <w:spacing w:line="360" w:lineRule="auto"/>
        <w:jc w:val="center"/>
        <w:rPr>
          <w:rFonts w:hint="eastAsia" w:ascii="宋体" w:hAnsi="宋体" w:cs="宋体"/>
          <w:b/>
          <w:color w:val="auto"/>
          <w:kern w:val="0"/>
          <w:sz w:val="30"/>
          <w:szCs w:val="30"/>
          <w:highlight w:val="none"/>
          <w:lang w:val="zh-CN"/>
        </w:rPr>
      </w:pPr>
      <w:bookmarkStart w:id="604" w:name="_Toc25498"/>
      <w:bookmarkStart w:id="605" w:name="_Toc30352"/>
      <w:bookmarkStart w:id="606" w:name="_Toc4489"/>
      <w:bookmarkStart w:id="607" w:name="_Toc30320"/>
      <w:bookmarkStart w:id="608" w:name="_Toc22821"/>
      <w:bookmarkStart w:id="609" w:name="_Toc11858"/>
      <w:bookmarkStart w:id="610" w:name="_Toc25404"/>
      <w:bookmarkStart w:id="611" w:name="_Toc11179"/>
      <w:bookmarkStart w:id="612" w:name="_Toc15055"/>
      <w:bookmarkStart w:id="613" w:name="_Toc20365"/>
      <w:bookmarkStart w:id="614" w:name="_Toc29263"/>
      <w:bookmarkStart w:id="615" w:name="_Toc32033"/>
      <w:r>
        <w:rPr>
          <w:rFonts w:hint="eastAsia" w:ascii="宋体" w:hAnsi="宋体" w:cs="宋体"/>
          <w:b/>
          <w:color w:val="auto"/>
          <w:kern w:val="0"/>
          <w:sz w:val="30"/>
          <w:szCs w:val="30"/>
          <w:highlight w:val="none"/>
          <w:lang w:val="zh-CN" w:eastAsia="zh-CN"/>
        </w:rPr>
        <w:t>十</w:t>
      </w:r>
      <w:r>
        <w:rPr>
          <w:rFonts w:hint="eastAsia" w:ascii="宋体" w:hAnsi="宋体" w:cs="宋体"/>
          <w:b/>
          <w:color w:val="auto"/>
          <w:kern w:val="0"/>
          <w:sz w:val="30"/>
          <w:szCs w:val="30"/>
          <w:highlight w:val="none"/>
          <w:lang w:val="zh-CN"/>
        </w:rPr>
        <w:t>、关于符合本国产品标准的声明函</w:t>
      </w:r>
    </w:p>
    <w:p w14:paraId="42D685EF">
      <w:pPr>
        <w:widowControl/>
        <w:numPr>
          <w:ilvl w:val="0"/>
          <w:numId w:val="0"/>
        </w:numPr>
        <w:tabs>
          <w:tab w:val="left" w:pos="420"/>
        </w:tabs>
        <w:spacing w:line="360" w:lineRule="auto"/>
        <w:ind w:firstLine="508"/>
        <w:jc w:val="left"/>
        <w:rPr>
          <w:rFonts w:hint="eastAsia" w:ascii="宋体" w:hAnsi="宋体" w:cs="宋体"/>
          <w:b w:val="0"/>
          <w:color w:val="auto"/>
          <w:spacing w:val="7"/>
          <w:kern w:val="0"/>
          <w:sz w:val="24"/>
          <w:szCs w:val="24"/>
          <w:highlight w:val="none"/>
        </w:rPr>
      </w:pPr>
    </w:p>
    <w:p w14:paraId="314ACB9F">
      <w:pPr>
        <w:numPr>
          <w:ilvl w:val="0"/>
          <w:numId w:val="0"/>
        </w:numPr>
        <w:tabs>
          <w:tab w:val="left" w:pos="420"/>
        </w:tabs>
        <w:spacing w:line="360" w:lineRule="auto"/>
        <w:ind w:firstLine="508" w:firstLineChars="200"/>
        <w:rPr>
          <w:rFonts w:hint="eastAsia" w:ascii="宋体" w:hAnsi="宋体" w:cs="宋体"/>
          <w:color w:val="auto"/>
          <w:spacing w:val="7"/>
          <w:kern w:val="0"/>
          <w:sz w:val="24"/>
          <w:highlight w:val="none"/>
        </w:rPr>
      </w:pPr>
      <w:r>
        <w:rPr>
          <w:rFonts w:hint="eastAsia" w:ascii="宋体" w:hAnsi="宋体" w:cs="宋体"/>
          <w:color w:val="auto"/>
          <w:spacing w:val="7"/>
          <w:kern w:val="0"/>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26394044">
      <w:pPr>
        <w:pStyle w:val="28"/>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textAlignment w:val="baseline"/>
        <w:rPr>
          <w:rFonts w:hint="eastAsia" w:ascii="宋体" w:hAnsi="宋体" w:eastAsia="宋体" w:cs="宋体"/>
          <w:sz w:val="24"/>
          <w:szCs w:val="24"/>
        </w:rPr>
      </w:pPr>
      <w:r>
        <w:rPr>
          <w:rFonts w:hint="eastAsia" w:ascii="宋体" w:hAnsi="宋体" w:eastAsia="宋体" w:cs="宋体"/>
          <w:sz w:val="24"/>
          <w:szCs w:val="24"/>
        </w:rPr>
        <w:t>1.</w:t>
      </w:r>
      <w:r>
        <w:rPr>
          <w:rStyle w:val="39"/>
          <w:rFonts w:hint="eastAsia" w:ascii="宋体" w:hAnsi="宋体" w:eastAsia="宋体" w:cs="宋体"/>
          <w:i w:val="0"/>
          <w:sz w:val="24"/>
          <w:szCs w:val="24"/>
          <w:u w:val="single"/>
        </w:rPr>
        <w:t>（产品名称1）</w:t>
      </w:r>
      <w:r>
        <w:rPr>
          <w:rStyle w:val="39"/>
          <w:rFonts w:hint="eastAsia" w:ascii="宋体" w:hAnsi="宋体" w:eastAsia="宋体" w:cs="宋体"/>
          <w:i w:val="0"/>
          <w:sz w:val="24"/>
          <w:szCs w:val="24"/>
          <w:vertAlign w:val="superscript"/>
        </w:rPr>
        <w:t>1</w:t>
      </w:r>
      <w:r>
        <w:rPr>
          <w:rFonts w:hint="eastAsia" w:ascii="宋体" w:hAnsi="宋体" w:eastAsia="宋体" w:cs="宋体"/>
          <w:sz w:val="24"/>
          <w:szCs w:val="24"/>
        </w:rPr>
        <w:t>，生产厂为</w:t>
      </w:r>
      <w:r>
        <w:rPr>
          <w:rStyle w:val="39"/>
          <w:rFonts w:hint="eastAsia" w:ascii="宋体" w:hAnsi="宋体" w:eastAsia="宋体" w:cs="宋体"/>
          <w:i w:val="0"/>
          <w:sz w:val="24"/>
          <w:szCs w:val="24"/>
          <w:u w:val="single"/>
        </w:rPr>
        <w:t>（厂名）</w:t>
      </w:r>
      <w:r>
        <w:rPr>
          <w:rStyle w:val="39"/>
          <w:rFonts w:hint="eastAsia" w:ascii="宋体" w:hAnsi="宋体" w:eastAsia="宋体" w:cs="宋体"/>
          <w:sz w:val="24"/>
          <w:szCs w:val="24"/>
          <w:vertAlign w:val="superscript"/>
        </w:rPr>
        <w:t>2</w:t>
      </w:r>
      <w:r>
        <w:rPr>
          <w:rFonts w:hint="eastAsia" w:ascii="宋体" w:hAnsi="宋体" w:eastAsia="宋体" w:cs="宋体"/>
          <w:sz w:val="24"/>
          <w:szCs w:val="24"/>
        </w:rPr>
        <w:t>，厂址为</w:t>
      </w:r>
      <w:r>
        <w:rPr>
          <w:rStyle w:val="39"/>
          <w:rFonts w:hint="eastAsia" w:ascii="宋体" w:hAnsi="宋体" w:eastAsia="宋体" w:cs="宋体"/>
          <w:i w:val="0"/>
          <w:sz w:val="24"/>
          <w:szCs w:val="24"/>
          <w:u w:val="single"/>
        </w:rPr>
        <w:t>（生产厂址）</w:t>
      </w:r>
      <w:r>
        <w:rPr>
          <w:rFonts w:hint="eastAsia" w:ascii="宋体" w:hAnsi="宋体" w:eastAsia="宋体" w:cs="宋体"/>
          <w:sz w:val="24"/>
          <w:szCs w:val="24"/>
        </w:rPr>
        <w:t>。</w:t>
      </w:r>
      <w:r>
        <w:rPr>
          <w:rStyle w:val="39"/>
          <w:rFonts w:hint="eastAsia" w:ascii="宋体" w:hAnsi="宋体" w:eastAsia="宋体" w:cs="宋体"/>
          <w:i w:val="0"/>
          <w:sz w:val="24"/>
          <w:szCs w:val="24"/>
          <w:u w:val="single"/>
        </w:rPr>
        <w:t>（产品名称1）</w:t>
      </w:r>
      <w:r>
        <w:rPr>
          <w:rFonts w:hint="eastAsia" w:ascii="宋体" w:hAnsi="宋体" w:eastAsia="宋体" w:cs="宋体"/>
          <w:sz w:val="24"/>
          <w:szCs w:val="24"/>
        </w:rPr>
        <w:t>的中国境内生产的组件成本占比≥</w:t>
      </w:r>
      <w:r>
        <w:rPr>
          <w:rStyle w:val="39"/>
          <w:rFonts w:hint="eastAsia" w:ascii="宋体" w:hAnsi="宋体" w:eastAsia="宋体" w:cs="宋体"/>
          <w:i w:val="0"/>
          <w:sz w:val="24"/>
          <w:szCs w:val="24"/>
          <w:u w:val="single"/>
        </w:rPr>
        <w:t>（规定比例）</w:t>
      </w:r>
      <w:r>
        <w:rPr>
          <w:rStyle w:val="39"/>
          <w:rFonts w:hint="eastAsia" w:ascii="宋体" w:hAnsi="宋体" w:eastAsia="宋体" w:cs="宋体"/>
          <w:sz w:val="24"/>
          <w:szCs w:val="24"/>
          <w:vertAlign w:val="superscript"/>
        </w:rPr>
        <w:t>3</w:t>
      </w:r>
      <w:r>
        <w:rPr>
          <w:rFonts w:hint="eastAsia" w:ascii="宋体" w:hAnsi="宋体" w:eastAsia="宋体" w:cs="宋体"/>
          <w:sz w:val="24"/>
          <w:szCs w:val="24"/>
        </w:rPr>
        <w:t>。</w:t>
      </w:r>
      <w:r>
        <w:rPr>
          <w:rStyle w:val="39"/>
          <w:rFonts w:hint="eastAsia" w:ascii="宋体" w:hAnsi="宋体" w:eastAsia="宋体" w:cs="宋体"/>
          <w:i w:val="0"/>
          <w:sz w:val="24"/>
          <w:szCs w:val="24"/>
          <w:u w:val="single"/>
        </w:rPr>
        <w:t>（产品名称1）</w:t>
      </w:r>
      <w:r>
        <w:rPr>
          <w:rFonts w:hint="eastAsia" w:ascii="宋体" w:hAnsi="宋体" w:eastAsia="宋体" w:cs="宋体"/>
          <w:sz w:val="24"/>
          <w:szCs w:val="24"/>
        </w:rPr>
        <w:t>的</w:t>
      </w:r>
      <w:r>
        <w:rPr>
          <w:rStyle w:val="39"/>
          <w:rFonts w:hint="eastAsia" w:ascii="宋体" w:hAnsi="宋体" w:eastAsia="宋体" w:cs="宋体"/>
          <w:i w:val="0"/>
          <w:sz w:val="24"/>
          <w:szCs w:val="24"/>
          <w:u w:val="single"/>
        </w:rPr>
        <w:t>（关键组件）</w:t>
      </w:r>
      <w:r>
        <w:rPr>
          <w:rStyle w:val="39"/>
          <w:rFonts w:hint="eastAsia" w:ascii="宋体" w:hAnsi="宋体" w:eastAsia="宋体" w:cs="宋体"/>
          <w:sz w:val="24"/>
          <w:szCs w:val="24"/>
          <w:vertAlign w:val="superscript"/>
        </w:rPr>
        <w:t>4</w:t>
      </w:r>
      <w:r>
        <w:rPr>
          <w:rFonts w:hint="eastAsia" w:ascii="宋体" w:hAnsi="宋体" w:eastAsia="宋体" w:cs="宋体"/>
          <w:sz w:val="24"/>
          <w:szCs w:val="24"/>
        </w:rPr>
        <w:t>在中国境内生产。</w:t>
      </w:r>
      <w:r>
        <w:rPr>
          <w:rStyle w:val="39"/>
          <w:rFonts w:hint="eastAsia" w:ascii="宋体" w:hAnsi="宋体" w:eastAsia="宋体" w:cs="宋体"/>
          <w:i w:val="0"/>
          <w:sz w:val="24"/>
          <w:szCs w:val="24"/>
          <w:u w:val="single"/>
        </w:rPr>
        <w:t>（产品名称1）</w:t>
      </w:r>
      <w:r>
        <w:rPr>
          <w:rFonts w:hint="eastAsia" w:ascii="宋体" w:hAnsi="宋体" w:eastAsia="宋体" w:cs="宋体"/>
          <w:sz w:val="24"/>
          <w:szCs w:val="24"/>
        </w:rPr>
        <w:t>的</w:t>
      </w:r>
      <w:r>
        <w:rPr>
          <w:rStyle w:val="39"/>
          <w:rFonts w:hint="eastAsia" w:ascii="宋体" w:hAnsi="宋体" w:eastAsia="宋体" w:cs="宋体"/>
          <w:i w:val="0"/>
          <w:sz w:val="24"/>
          <w:szCs w:val="24"/>
          <w:u w:val="single"/>
        </w:rPr>
        <w:t>（关键工序）</w:t>
      </w:r>
      <w:r>
        <w:rPr>
          <w:rStyle w:val="39"/>
          <w:rFonts w:hint="eastAsia" w:ascii="宋体" w:hAnsi="宋体" w:eastAsia="宋体" w:cs="宋体"/>
          <w:sz w:val="24"/>
          <w:szCs w:val="24"/>
          <w:vertAlign w:val="superscript"/>
        </w:rPr>
        <w:t>5</w:t>
      </w:r>
      <w:r>
        <w:rPr>
          <w:rFonts w:hint="eastAsia" w:ascii="宋体" w:hAnsi="宋体" w:eastAsia="宋体" w:cs="宋体"/>
          <w:sz w:val="24"/>
          <w:szCs w:val="24"/>
        </w:rPr>
        <w:t>在中国境内完成。</w:t>
      </w:r>
    </w:p>
    <w:p w14:paraId="2B49C0CC">
      <w:pPr>
        <w:keepNext w:val="0"/>
        <w:keepLines w:val="0"/>
        <w:pageBreakBefore w:val="0"/>
        <w:numPr>
          <w:ilvl w:val="0"/>
          <w:numId w:val="0"/>
        </w:numPr>
        <w:tabs>
          <w:tab w:val="left" w:pos="420"/>
        </w:tabs>
        <w:kinsoku/>
        <w:wordWrap/>
        <w:overflowPunct/>
        <w:topLinePunct w:val="0"/>
        <w:autoSpaceDE/>
        <w:autoSpaceDN/>
        <w:bidi w:val="0"/>
        <w:adjustRightInd/>
        <w:snapToGrid/>
        <w:spacing w:line="360" w:lineRule="auto"/>
        <w:ind w:firstLine="480" w:firstLineChars="200"/>
        <w:rPr>
          <w:rFonts w:hint="eastAsia" w:ascii="宋体" w:hAnsi="宋体" w:eastAsia="宋体" w:cs="宋体"/>
          <w:color w:val="auto"/>
          <w:spacing w:val="7"/>
          <w:kern w:val="0"/>
          <w:sz w:val="24"/>
          <w:szCs w:val="24"/>
          <w:highlight w:val="none"/>
        </w:rPr>
      </w:pPr>
      <w:r>
        <w:rPr>
          <w:rFonts w:hint="eastAsia" w:ascii="宋体" w:hAnsi="宋体" w:eastAsia="宋体" w:cs="宋体"/>
          <w:sz w:val="24"/>
          <w:szCs w:val="24"/>
        </w:rPr>
        <w:t>2.</w:t>
      </w:r>
      <w:r>
        <w:rPr>
          <w:rStyle w:val="39"/>
          <w:rFonts w:hint="eastAsia" w:ascii="宋体" w:hAnsi="宋体" w:eastAsia="宋体" w:cs="宋体"/>
          <w:i w:val="0"/>
          <w:sz w:val="24"/>
          <w:szCs w:val="24"/>
          <w:u w:val="single"/>
        </w:rPr>
        <w:t>（产品名称2）</w:t>
      </w:r>
      <w:r>
        <w:rPr>
          <w:rFonts w:hint="eastAsia" w:ascii="宋体" w:hAnsi="宋体" w:eastAsia="宋体" w:cs="宋体"/>
          <w:sz w:val="24"/>
          <w:szCs w:val="24"/>
        </w:rPr>
        <w:t>，生产厂为</w:t>
      </w:r>
      <w:r>
        <w:rPr>
          <w:rStyle w:val="39"/>
          <w:rFonts w:hint="eastAsia" w:ascii="宋体" w:hAnsi="宋体" w:eastAsia="宋体" w:cs="宋体"/>
          <w:i w:val="0"/>
          <w:sz w:val="24"/>
          <w:szCs w:val="24"/>
          <w:u w:val="single"/>
        </w:rPr>
        <w:t>（厂名）</w:t>
      </w:r>
      <w:r>
        <w:rPr>
          <w:rFonts w:hint="eastAsia" w:ascii="宋体" w:hAnsi="宋体" w:eastAsia="宋体" w:cs="宋体"/>
          <w:sz w:val="24"/>
          <w:szCs w:val="24"/>
        </w:rPr>
        <w:t>，厂址为</w:t>
      </w:r>
      <w:r>
        <w:rPr>
          <w:rStyle w:val="39"/>
          <w:rFonts w:hint="eastAsia" w:ascii="宋体" w:hAnsi="宋体" w:eastAsia="宋体" w:cs="宋体"/>
          <w:i w:val="0"/>
          <w:sz w:val="24"/>
          <w:szCs w:val="24"/>
          <w:u w:val="single"/>
        </w:rPr>
        <w:t>（生产厂址）</w:t>
      </w:r>
      <w:r>
        <w:rPr>
          <w:rFonts w:hint="eastAsia" w:ascii="宋体" w:hAnsi="宋体" w:eastAsia="宋体" w:cs="宋体"/>
          <w:sz w:val="24"/>
          <w:szCs w:val="24"/>
        </w:rPr>
        <w:t>。</w:t>
      </w:r>
      <w:r>
        <w:rPr>
          <w:rStyle w:val="39"/>
          <w:rFonts w:hint="eastAsia" w:ascii="宋体" w:hAnsi="宋体" w:eastAsia="宋体" w:cs="宋体"/>
          <w:i w:val="0"/>
          <w:sz w:val="24"/>
          <w:szCs w:val="24"/>
          <w:u w:val="single"/>
        </w:rPr>
        <w:t>（产品名称2）</w:t>
      </w:r>
      <w:r>
        <w:rPr>
          <w:rFonts w:hint="eastAsia" w:ascii="宋体" w:hAnsi="宋体" w:eastAsia="宋体" w:cs="宋体"/>
          <w:sz w:val="24"/>
          <w:szCs w:val="24"/>
        </w:rPr>
        <w:t>的中国境内生产的组件成本占比≥</w:t>
      </w:r>
      <w:r>
        <w:rPr>
          <w:rStyle w:val="39"/>
          <w:rFonts w:hint="eastAsia" w:ascii="宋体" w:hAnsi="宋体" w:eastAsia="宋体" w:cs="宋体"/>
          <w:i w:val="0"/>
          <w:sz w:val="24"/>
          <w:szCs w:val="24"/>
          <w:u w:val="single"/>
        </w:rPr>
        <w:t>（规定比例）</w:t>
      </w:r>
      <w:r>
        <w:rPr>
          <w:rFonts w:hint="eastAsia" w:ascii="宋体" w:hAnsi="宋体" w:eastAsia="宋体" w:cs="宋体"/>
          <w:sz w:val="24"/>
          <w:szCs w:val="24"/>
        </w:rPr>
        <w:t>。</w:t>
      </w:r>
      <w:r>
        <w:rPr>
          <w:rStyle w:val="39"/>
          <w:rFonts w:hint="eastAsia" w:ascii="宋体" w:hAnsi="宋体" w:eastAsia="宋体" w:cs="宋体"/>
          <w:i w:val="0"/>
          <w:sz w:val="24"/>
          <w:szCs w:val="24"/>
          <w:u w:val="single"/>
        </w:rPr>
        <w:t>（产品名称2）</w:t>
      </w:r>
      <w:r>
        <w:rPr>
          <w:rFonts w:hint="eastAsia" w:ascii="宋体" w:hAnsi="宋体" w:eastAsia="宋体" w:cs="宋体"/>
          <w:sz w:val="24"/>
          <w:szCs w:val="24"/>
        </w:rPr>
        <w:t>的</w:t>
      </w:r>
      <w:r>
        <w:rPr>
          <w:rStyle w:val="39"/>
          <w:rFonts w:hint="eastAsia" w:ascii="宋体" w:hAnsi="宋体" w:eastAsia="宋体" w:cs="宋体"/>
          <w:i w:val="0"/>
          <w:sz w:val="24"/>
          <w:szCs w:val="24"/>
          <w:u w:val="single"/>
        </w:rPr>
        <w:t>（关键组件）</w:t>
      </w:r>
      <w:r>
        <w:rPr>
          <w:rFonts w:hint="eastAsia" w:ascii="宋体" w:hAnsi="宋体" w:eastAsia="宋体" w:cs="宋体"/>
          <w:sz w:val="24"/>
          <w:szCs w:val="24"/>
        </w:rPr>
        <w:t>在中国境内生产。</w:t>
      </w:r>
      <w:r>
        <w:rPr>
          <w:rStyle w:val="39"/>
          <w:rFonts w:hint="eastAsia" w:ascii="宋体" w:hAnsi="宋体" w:eastAsia="宋体" w:cs="宋体"/>
          <w:i w:val="0"/>
          <w:sz w:val="24"/>
          <w:szCs w:val="24"/>
          <w:u w:val="single"/>
        </w:rPr>
        <w:t>（产品名称2）</w:t>
      </w:r>
      <w:r>
        <w:rPr>
          <w:rFonts w:hint="eastAsia" w:ascii="宋体" w:hAnsi="宋体" w:eastAsia="宋体" w:cs="宋体"/>
          <w:sz w:val="24"/>
          <w:szCs w:val="24"/>
        </w:rPr>
        <w:t>的</w:t>
      </w:r>
      <w:r>
        <w:rPr>
          <w:rStyle w:val="39"/>
          <w:rFonts w:hint="eastAsia" w:ascii="宋体" w:hAnsi="宋体" w:eastAsia="宋体" w:cs="宋体"/>
          <w:i w:val="0"/>
          <w:sz w:val="24"/>
          <w:szCs w:val="24"/>
          <w:u w:val="single"/>
        </w:rPr>
        <w:t>（关键工序）</w:t>
      </w:r>
      <w:r>
        <w:rPr>
          <w:rFonts w:hint="eastAsia" w:ascii="宋体" w:hAnsi="宋体" w:eastAsia="宋体" w:cs="宋体"/>
          <w:sz w:val="24"/>
          <w:szCs w:val="24"/>
        </w:rPr>
        <w:t>在中国境内完成。</w:t>
      </w:r>
    </w:p>
    <w:p w14:paraId="5EBD5CBF">
      <w:pPr>
        <w:keepNext w:val="0"/>
        <w:keepLines w:val="0"/>
        <w:pageBreakBefore w:val="0"/>
        <w:numPr>
          <w:ilvl w:val="0"/>
          <w:numId w:val="0"/>
        </w:numPr>
        <w:tabs>
          <w:tab w:val="left" w:pos="420"/>
        </w:tabs>
        <w:kinsoku/>
        <w:wordWrap/>
        <w:overflowPunct/>
        <w:topLinePunct w:val="0"/>
        <w:autoSpaceDE/>
        <w:autoSpaceDN/>
        <w:bidi w:val="0"/>
        <w:adjustRightInd/>
        <w:snapToGrid/>
        <w:spacing w:line="360" w:lineRule="auto"/>
        <w:ind w:firstLine="508" w:firstLineChars="200"/>
        <w:rPr>
          <w:rFonts w:hint="eastAsia" w:ascii="宋体" w:hAnsi="宋体" w:eastAsia="宋体" w:cs="宋体"/>
          <w:color w:val="auto"/>
          <w:spacing w:val="7"/>
          <w:kern w:val="0"/>
          <w:sz w:val="24"/>
          <w:szCs w:val="24"/>
          <w:highlight w:val="none"/>
        </w:rPr>
      </w:pPr>
      <w:r>
        <w:rPr>
          <w:rFonts w:hint="eastAsia" w:ascii="宋体" w:hAnsi="宋体" w:eastAsia="宋体" w:cs="宋体"/>
          <w:color w:val="auto"/>
          <w:spacing w:val="7"/>
          <w:kern w:val="0"/>
          <w:sz w:val="24"/>
          <w:szCs w:val="24"/>
          <w:highlight w:val="none"/>
        </w:rPr>
        <w:t>……</w:t>
      </w:r>
    </w:p>
    <w:p w14:paraId="219BEA53">
      <w:pPr>
        <w:numPr>
          <w:ilvl w:val="0"/>
          <w:numId w:val="0"/>
        </w:numPr>
        <w:tabs>
          <w:tab w:val="left" w:pos="420"/>
        </w:tabs>
        <w:spacing w:line="360" w:lineRule="auto"/>
        <w:ind w:firstLine="508" w:firstLineChars="200"/>
        <w:rPr>
          <w:rFonts w:hint="eastAsia" w:ascii="宋体" w:hAnsi="宋体" w:cs="宋体"/>
          <w:color w:val="auto"/>
          <w:spacing w:val="7"/>
          <w:kern w:val="0"/>
          <w:sz w:val="24"/>
          <w:highlight w:val="none"/>
        </w:rPr>
      </w:pPr>
      <w:r>
        <w:rPr>
          <w:rFonts w:hint="eastAsia" w:ascii="宋体" w:hAnsi="宋体" w:cs="宋体"/>
          <w:color w:val="auto"/>
          <w:spacing w:val="7"/>
          <w:kern w:val="0"/>
          <w:sz w:val="24"/>
          <w:highlight w:val="none"/>
        </w:rPr>
        <w:t>本公司（单位）对上述声明内容的真实性负责。如有虚假，愿承担相应法律责任。</w:t>
      </w:r>
    </w:p>
    <w:p w14:paraId="75792AF2">
      <w:pPr>
        <w:numPr>
          <w:ilvl w:val="0"/>
          <w:numId w:val="0"/>
        </w:numPr>
        <w:tabs>
          <w:tab w:val="left" w:pos="420"/>
        </w:tabs>
        <w:spacing w:line="360" w:lineRule="auto"/>
        <w:ind w:firstLine="508" w:firstLineChars="200"/>
        <w:jc w:val="right"/>
        <w:rPr>
          <w:rFonts w:hint="eastAsia" w:ascii="宋体" w:hAnsi="宋体" w:cs="宋体"/>
          <w:color w:val="auto"/>
          <w:spacing w:val="7"/>
          <w:kern w:val="0"/>
          <w:sz w:val="24"/>
          <w:highlight w:val="none"/>
        </w:rPr>
      </w:pPr>
      <w:r>
        <w:rPr>
          <w:rFonts w:hint="eastAsia" w:ascii="宋体" w:hAnsi="宋体" w:cs="宋体"/>
          <w:color w:val="auto"/>
          <w:spacing w:val="7"/>
          <w:kern w:val="0"/>
          <w:sz w:val="24"/>
          <w:highlight w:val="none"/>
        </w:rPr>
        <w:br w:type="textWrapping"/>
      </w:r>
      <w:r>
        <w:rPr>
          <w:rFonts w:hint="eastAsia" w:ascii="宋体" w:hAnsi="宋体" w:cs="宋体"/>
          <w:color w:val="auto"/>
          <w:spacing w:val="7"/>
          <w:kern w:val="0"/>
          <w:sz w:val="24"/>
          <w:highlight w:val="none"/>
        </w:rPr>
        <w:t>公司（单位）名称（盖章）：　        </w:t>
      </w:r>
    </w:p>
    <w:p w14:paraId="50615398">
      <w:pPr>
        <w:numPr>
          <w:ilvl w:val="0"/>
          <w:numId w:val="0"/>
        </w:numPr>
        <w:tabs>
          <w:tab w:val="left" w:pos="420"/>
        </w:tabs>
        <w:spacing w:line="360" w:lineRule="auto"/>
        <w:ind w:firstLine="508" w:firstLineChars="200"/>
        <w:jc w:val="right"/>
        <w:rPr>
          <w:rFonts w:hint="eastAsia" w:ascii="宋体" w:hAnsi="宋体" w:cs="宋体"/>
          <w:color w:val="auto"/>
          <w:spacing w:val="7"/>
          <w:kern w:val="0"/>
          <w:sz w:val="24"/>
          <w:highlight w:val="none"/>
        </w:rPr>
      </w:pPr>
      <w:r>
        <w:rPr>
          <w:rFonts w:hint="eastAsia" w:ascii="宋体" w:hAnsi="宋体" w:cs="宋体"/>
          <w:color w:val="auto"/>
          <w:spacing w:val="7"/>
          <w:kern w:val="0"/>
          <w:sz w:val="24"/>
          <w:highlight w:val="none"/>
        </w:rPr>
        <w:t>日期：　     年　  月　  日     </w:t>
      </w:r>
    </w:p>
    <w:p w14:paraId="61791877">
      <w:pPr>
        <w:numPr>
          <w:ilvl w:val="0"/>
          <w:numId w:val="0"/>
        </w:numPr>
        <w:tabs>
          <w:tab w:val="left" w:pos="420"/>
        </w:tabs>
        <w:spacing w:line="360" w:lineRule="auto"/>
        <w:ind w:firstLine="508" w:firstLineChars="200"/>
        <w:rPr>
          <w:rFonts w:hint="eastAsia" w:ascii="宋体" w:hAnsi="宋体" w:cs="宋体"/>
          <w:color w:val="auto"/>
          <w:spacing w:val="7"/>
          <w:kern w:val="0"/>
          <w:sz w:val="24"/>
          <w:highlight w:val="none"/>
        </w:rPr>
      </w:pPr>
      <w:r>
        <w:rPr>
          <w:rFonts w:hint="eastAsia" w:ascii="宋体" w:hAnsi="宋体" w:cs="宋体"/>
          <w:color w:val="auto"/>
          <w:spacing w:val="7"/>
          <w:kern w:val="0"/>
          <w:sz w:val="24"/>
          <w:highlight w:val="none"/>
        </w:rPr>
        <w:t>__________________</w:t>
      </w:r>
    </w:p>
    <w:p w14:paraId="7DAC7899">
      <w:pPr>
        <w:numPr>
          <w:ilvl w:val="0"/>
          <w:numId w:val="0"/>
        </w:numPr>
        <w:tabs>
          <w:tab w:val="left" w:pos="420"/>
        </w:tabs>
        <w:spacing w:line="360" w:lineRule="auto"/>
        <w:ind w:firstLine="508" w:firstLineChars="200"/>
        <w:rPr>
          <w:rFonts w:hint="eastAsia" w:ascii="宋体" w:hAnsi="宋体" w:cs="宋体"/>
          <w:color w:val="auto"/>
          <w:spacing w:val="7"/>
          <w:kern w:val="0"/>
          <w:sz w:val="24"/>
          <w:szCs w:val="24"/>
          <w:highlight w:val="none"/>
        </w:rPr>
      </w:pPr>
      <w:r>
        <w:rPr>
          <w:rFonts w:hint="eastAsia" w:ascii="宋体" w:hAnsi="宋体" w:cs="宋体"/>
          <w:color w:val="auto"/>
          <w:spacing w:val="7"/>
          <w:kern w:val="0"/>
          <w:sz w:val="24"/>
          <w:szCs w:val="24"/>
          <w:highlight w:val="none"/>
        </w:rPr>
        <w:t>1.产品如有型号，请在“产品名称”栏一并填写。</w:t>
      </w:r>
    </w:p>
    <w:p w14:paraId="5C9B90F2">
      <w:pPr>
        <w:numPr>
          <w:ilvl w:val="0"/>
          <w:numId w:val="0"/>
        </w:numPr>
        <w:tabs>
          <w:tab w:val="left" w:pos="420"/>
        </w:tabs>
        <w:spacing w:line="360" w:lineRule="auto"/>
        <w:ind w:firstLine="508" w:firstLineChars="200"/>
        <w:rPr>
          <w:rFonts w:hint="eastAsia" w:ascii="宋体" w:hAnsi="宋体" w:cs="宋体"/>
          <w:color w:val="auto"/>
          <w:spacing w:val="7"/>
          <w:kern w:val="0"/>
          <w:sz w:val="24"/>
          <w:szCs w:val="24"/>
          <w:highlight w:val="none"/>
        </w:rPr>
      </w:pPr>
      <w:r>
        <w:rPr>
          <w:rFonts w:hint="eastAsia" w:ascii="宋体" w:hAnsi="宋体" w:cs="宋体"/>
          <w:color w:val="auto"/>
          <w:spacing w:val="7"/>
          <w:kern w:val="0"/>
          <w:sz w:val="24"/>
          <w:szCs w:val="24"/>
          <w:highlight w:val="none"/>
        </w:rPr>
        <w:t>2.生产厂名与厂址应与生产厂营业执照载明的相关信息保持一致。</w:t>
      </w:r>
    </w:p>
    <w:p w14:paraId="57148E6C">
      <w:pPr>
        <w:numPr>
          <w:ilvl w:val="0"/>
          <w:numId w:val="0"/>
        </w:numPr>
        <w:tabs>
          <w:tab w:val="left" w:pos="420"/>
        </w:tabs>
        <w:spacing w:line="360" w:lineRule="auto"/>
        <w:ind w:firstLine="508" w:firstLineChars="200"/>
        <w:rPr>
          <w:rFonts w:hint="eastAsia" w:ascii="宋体" w:hAnsi="宋体" w:cs="宋体"/>
          <w:color w:val="auto"/>
          <w:spacing w:val="7"/>
          <w:kern w:val="0"/>
          <w:sz w:val="24"/>
          <w:szCs w:val="24"/>
          <w:highlight w:val="none"/>
        </w:rPr>
      </w:pPr>
      <w:r>
        <w:rPr>
          <w:rFonts w:hint="eastAsia" w:ascii="宋体" w:hAnsi="宋体" w:cs="宋体"/>
          <w:color w:val="auto"/>
          <w:spacing w:val="7"/>
          <w:kern w:val="0"/>
          <w:sz w:val="24"/>
          <w:szCs w:val="24"/>
          <w:highlight w:val="none"/>
        </w:rPr>
        <w:t>3.该产品的中国境内生产的组件成本占比相关要求实施前，“规定比例”栏可不填，下同。</w:t>
      </w:r>
    </w:p>
    <w:p w14:paraId="4AA89E66">
      <w:pPr>
        <w:numPr>
          <w:ilvl w:val="0"/>
          <w:numId w:val="0"/>
        </w:numPr>
        <w:tabs>
          <w:tab w:val="left" w:pos="420"/>
        </w:tabs>
        <w:spacing w:line="360" w:lineRule="auto"/>
        <w:ind w:firstLine="508" w:firstLineChars="200"/>
        <w:rPr>
          <w:rFonts w:hint="eastAsia" w:ascii="宋体" w:hAnsi="宋体" w:cs="宋体"/>
          <w:color w:val="auto"/>
          <w:spacing w:val="7"/>
          <w:kern w:val="0"/>
          <w:sz w:val="24"/>
          <w:szCs w:val="24"/>
          <w:highlight w:val="none"/>
        </w:rPr>
      </w:pPr>
      <w:r>
        <w:rPr>
          <w:rFonts w:hint="eastAsia" w:ascii="宋体" w:hAnsi="宋体" w:cs="宋体"/>
          <w:color w:val="auto"/>
          <w:spacing w:val="7"/>
          <w:kern w:val="0"/>
          <w:sz w:val="24"/>
          <w:szCs w:val="24"/>
          <w:highlight w:val="none"/>
        </w:rPr>
        <w:t>4.该产品的关键组件要求实施前，“关键组件”栏可不填，下同。</w:t>
      </w:r>
    </w:p>
    <w:p w14:paraId="41D18EBD">
      <w:pPr>
        <w:numPr>
          <w:ilvl w:val="0"/>
          <w:numId w:val="0"/>
        </w:numPr>
        <w:tabs>
          <w:tab w:val="left" w:pos="420"/>
        </w:tabs>
        <w:spacing w:line="360" w:lineRule="auto"/>
        <w:ind w:firstLine="508" w:firstLineChars="200"/>
        <w:rPr>
          <w:rFonts w:hint="eastAsia" w:ascii="宋体" w:hAnsi="宋体" w:cs="宋体"/>
          <w:color w:val="auto"/>
          <w:spacing w:val="7"/>
          <w:kern w:val="0"/>
          <w:sz w:val="24"/>
          <w:szCs w:val="24"/>
          <w:highlight w:val="none"/>
        </w:rPr>
      </w:pPr>
      <w:r>
        <w:rPr>
          <w:rFonts w:hint="eastAsia" w:ascii="宋体" w:hAnsi="宋体" w:cs="宋体"/>
          <w:color w:val="auto"/>
          <w:spacing w:val="7"/>
          <w:kern w:val="0"/>
          <w:sz w:val="24"/>
          <w:szCs w:val="24"/>
          <w:highlight w:val="none"/>
        </w:rPr>
        <w:t>5.该产品的关键工序要求实施前，“关键工序”栏可不填，下同。</w:t>
      </w:r>
    </w:p>
    <w:p w14:paraId="175A7C70">
      <w:pPr>
        <w:widowControl/>
        <w:numPr>
          <w:ilvl w:val="0"/>
          <w:numId w:val="0"/>
        </w:numPr>
        <w:tabs>
          <w:tab w:val="left" w:pos="420"/>
        </w:tabs>
        <w:spacing w:line="360" w:lineRule="auto"/>
        <w:ind w:firstLine="508"/>
        <w:jc w:val="left"/>
        <w:rPr>
          <w:rFonts w:hint="eastAsia" w:ascii="宋体" w:hAnsi="宋体" w:cs="宋体"/>
          <w:b w:val="0"/>
          <w:color w:val="auto"/>
          <w:spacing w:val="7"/>
          <w:kern w:val="0"/>
          <w:sz w:val="24"/>
          <w:szCs w:val="24"/>
          <w:highlight w:val="none"/>
        </w:rPr>
        <w:sectPr>
          <w:pgSz w:w="11907" w:h="16840"/>
          <w:pgMar w:top="1417" w:right="1417" w:bottom="1417" w:left="1417" w:header="850" w:footer="998" w:gutter="0"/>
          <w:pgBorders>
            <w:top w:val="none" w:sz="0" w:space="0"/>
            <w:left w:val="none" w:sz="0" w:space="0"/>
            <w:bottom w:val="none" w:sz="0" w:space="0"/>
            <w:right w:val="none" w:sz="0" w:space="0"/>
          </w:pgBorders>
          <w:pgNumType w:fmt="numberInDash"/>
          <w:cols w:space="720" w:num="1"/>
          <w:docGrid w:type="lines" w:linePitch="379" w:charSpace="0"/>
        </w:sectPr>
      </w:pPr>
    </w:p>
    <w:p w14:paraId="365DCED2">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lang w:eastAsia="zh-CN"/>
        </w:rPr>
      </w:pPr>
      <w:bookmarkStart w:id="616" w:name="_Toc31683"/>
      <w:r>
        <w:rPr>
          <w:rFonts w:hint="eastAsia" w:ascii="宋体" w:hAnsi="宋体" w:eastAsia="宋体" w:cs="宋体"/>
          <w:b/>
          <w:color w:val="auto"/>
          <w:kern w:val="0"/>
          <w:sz w:val="30"/>
          <w:szCs w:val="30"/>
          <w:highlight w:val="none"/>
          <w:lang w:val="en-US" w:eastAsia="zh-CN"/>
        </w:rPr>
        <w:t>十</w:t>
      </w:r>
      <w:r>
        <w:rPr>
          <w:rFonts w:hint="eastAsia" w:ascii="宋体" w:hAnsi="宋体" w:cs="宋体"/>
          <w:b/>
          <w:color w:val="auto"/>
          <w:kern w:val="0"/>
          <w:sz w:val="30"/>
          <w:szCs w:val="30"/>
          <w:highlight w:val="none"/>
          <w:lang w:val="en-US" w:eastAsia="zh-CN"/>
        </w:rPr>
        <w:t>一</w:t>
      </w:r>
      <w:r>
        <w:rPr>
          <w:rFonts w:hint="eastAsia" w:ascii="宋体" w:hAnsi="宋体" w:eastAsia="宋体" w:cs="宋体"/>
          <w:b/>
          <w:color w:val="auto"/>
          <w:kern w:val="0"/>
          <w:sz w:val="30"/>
          <w:szCs w:val="30"/>
          <w:highlight w:val="none"/>
          <w:lang w:val="en-US" w:eastAsia="zh-CN"/>
        </w:rPr>
        <w:t>、</w:t>
      </w:r>
      <w:r>
        <w:rPr>
          <w:rFonts w:hint="eastAsia" w:ascii="宋体" w:hAnsi="宋体" w:eastAsia="宋体" w:cs="宋体"/>
          <w:b/>
          <w:color w:val="auto"/>
          <w:kern w:val="0"/>
          <w:sz w:val="30"/>
          <w:szCs w:val="30"/>
          <w:highlight w:val="none"/>
        </w:rPr>
        <w:t>中小企业声明函</w:t>
      </w:r>
      <w:r>
        <w:rPr>
          <w:rFonts w:hint="eastAsia" w:ascii="宋体" w:hAnsi="宋体" w:eastAsia="宋体" w:cs="宋体"/>
          <w:b/>
          <w:color w:val="auto"/>
          <w:kern w:val="0"/>
          <w:sz w:val="30"/>
          <w:szCs w:val="30"/>
          <w:highlight w:val="none"/>
          <w:lang w:eastAsia="zh-CN"/>
        </w:rPr>
        <w:t>（</w:t>
      </w:r>
      <w:r>
        <w:rPr>
          <w:rFonts w:hint="eastAsia" w:ascii="宋体" w:hAnsi="宋体" w:eastAsia="宋体" w:cs="宋体"/>
          <w:b/>
          <w:color w:val="auto"/>
          <w:kern w:val="0"/>
          <w:sz w:val="30"/>
          <w:szCs w:val="30"/>
          <w:highlight w:val="none"/>
          <w:lang w:val="en-US" w:eastAsia="zh-CN"/>
        </w:rPr>
        <w:t>如有</w:t>
      </w:r>
      <w:r>
        <w:rPr>
          <w:rFonts w:hint="eastAsia" w:ascii="宋体" w:hAnsi="宋体" w:eastAsia="宋体" w:cs="宋体"/>
          <w:b/>
          <w:color w:val="auto"/>
          <w:kern w:val="0"/>
          <w:sz w:val="30"/>
          <w:szCs w:val="30"/>
          <w:highlight w:val="none"/>
          <w:lang w:eastAsia="zh-CN"/>
        </w:rPr>
        <w:t>）</w:t>
      </w:r>
      <w:bookmarkEnd w:id="604"/>
      <w:bookmarkEnd w:id="605"/>
      <w:bookmarkEnd w:id="606"/>
      <w:bookmarkEnd w:id="607"/>
      <w:bookmarkEnd w:id="608"/>
      <w:bookmarkEnd w:id="609"/>
      <w:bookmarkEnd w:id="610"/>
      <w:bookmarkEnd w:id="611"/>
      <w:bookmarkEnd w:id="612"/>
      <w:bookmarkEnd w:id="613"/>
      <w:bookmarkEnd w:id="614"/>
      <w:bookmarkEnd w:id="616"/>
    </w:p>
    <w:p w14:paraId="65D72E81">
      <w:pPr>
        <w:keepNext w:val="0"/>
        <w:keepLines w:val="0"/>
        <w:pageBreakBefore w:val="0"/>
        <w:tabs>
          <w:tab w:val="left" w:pos="420"/>
        </w:tabs>
        <w:kinsoku/>
        <w:wordWrap/>
        <w:overflowPunct/>
        <w:topLinePunct w:val="0"/>
        <w:autoSpaceDE/>
        <w:autoSpaceDN/>
        <w:bidi w:val="0"/>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采购活动，提供的货物全部由符合政策要求的中小企业制造。相关企业（含联合体中的中小企业、签订分包意向协议的中小企业）的具体情况如下：</w:t>
      </w:r>
    </w:p>
    <w:p w14:paraId="67461AE4">
      <w:pPr>
        <w:keepNext w:val="0"/>
        <w:keepLines w:val="0"/>
        <w:pageBreakBefore w:val="0"/>
        <w:tabs>
          <w:tab w:val="left" w:pos="420"/>
        </w:tabs>
        <w:kinsoku/>
        <w:wordWrap/>
        <w:overflowPunct/>
        <w:topLinePunct w:val="0"/>
        <w:autoSpaceDE/>
        <w:autoSpaceDN/>
        <w:bidi w:val="0"/>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 xml:space="preserve">； </w:t>
      </w:r>
    </w:p>
    <w:p w14:paraId="158ABA5C">
      <w:pPr>
        <w:keepNext w:val="0"/>
        <w:keepLines w:val="0"/>
        <w:pageBreakBefore w:val="0"/>
        <w:tabs>
          <w:tab w:val="left" w:pos="420"/>
        </w:tabs>
        <w:kinsoku/>
        <w:wordWrap/>
        <w:overflowPunct/>
        <w:topLinePunct w:val="0"/>
        <w:autoSpaceDE/>
        <w:autoSpaceDN/>
        <w:bidi w:val="0"/>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 xml:space="preserve">；  </w:t>
      </w:r>
    </w:p>
    <w:p w14:paraId="3D1973E1">
      <w:pPr>
        <w:keepNext w:val="0"/>
        <w:keepLines w:val="0"/>
        <w:pageBreakBefore w:val="0"/>
        <w:tabs>
          <w:tab w:val="left" w:pos="420"/>
        </w:tabs>
        <w:kinsoku/>
        <w:wordWrap/>
        <w:overflowPunct/>
        <w:topLinePunct w:val="0"/>
        <w:autoSpaceDE/>
        <w:autoSpaceDN/>
        <w:bidi w:val="0"/>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398DBDAA">
      <w:pPr>
        <w:keepNext w:val="0"/>
        <w:keepLines w:val="0"/>
        <w:pageBreakBefore w:val="0"/>
        <w:tabs>
          <w:tab w:val="left" w:pos="420"/>
        </w:tabs>
        <w:kinsoku/>
        <w:wordWrap/>
        <w:overflowPunct/>
        <w:topLinePunct w:val="0"/>
        <w:autoSpaceDE/>
        <w:autoSpaceDN/>
        <w:bidi w:val="0"/>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1DA8D983">
      <w:pPr>
        <w:keepNext w:val="0"/>
        <w:keepLines w:val="0"/>
        <w:pageBreakBefore w:val="0"/>
        <w:tabs>
          <w:tab w:val="left" w:pos="420"/>
        </w:tabs>
        <w:kinsoku/>
        <w:wordWrap/>
        <w:overflowPunct/>
        <w:topLinePunct w:val="0"/>
        <w:autoSpaceDE/>
        <w:autoSpaceDN/>
        <w:bidi w:val="0"/>
        <w:spacing w:line="360" w:lineRule="auto"/>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127A9BC6">
      <w:pPr>
        <w:keepNext w:val="0"/>
        <w:keepLines w:val="0"/>
        <w:pageBreakBefore w:val="0"/>
        <w:tabs>
          <w:tab w:val="left" w:pos="420"/>
        </w:tabs>
        <w:kinsoku/>
        <w:wordWrap/>
        <w:overflowPunct/>
        <w:topLinePunct w:val="0"/>
        <w:autoSpaceDE/>
        <w:autoSpaceDN/>
        <w:bidi w:val="0"/>
        <w:spacing w:line="360" w:lineRule="auto"/>
        <w:ind w:left="0" w:firstLine="2880" w:firstLineChars="1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w:t>
      </w:r>
    </w:p>
    <w:p w14:paraId="38557A61">
      <w:pPr>
        <w:keepNext w:val="0"/>
        <w:keepLines w:val="0"/>
        <w:pageBreakBefore w:val="0"/>
        <w:widowControl/>
        <w:tabs>
          <w:tab w:val="left" w:pos="420"/>
        </w:tabs>
        <w:kinsoku/>
        <w:wordWrap/>
        <w:overflowPunct/>
        <w:topLinePunct w:val="0"/>
        <w:autoSpaceDE/>
        <w:autoSpaceDN/>
        <w:bidi w:val="0"/>
        <w:spacing w:line="360" w:lineRule="auto"/>
        <w:ind w:left="880" w:leftChars="419" w:firstLine="1860" w:firstLineChars="775"/>
        <w:textAlignment w:val="auto"/>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bidi="ar"/>
        </w:rPr>
        <w:t>日   期：</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年</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月</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 xml:space="preserve">日 </w:t>
      </w:r>
    </w:p>
    <w:p w14:paraId="3DCFCC98">
      <w:pPr>
        <w:keepNext w:val="0"/>
        <w:keepLines w:val="0"/>
        <w:pageBreakBefore w:val="0"/>
        <w:numPr>
          <w:ilvl w:val="0"/>
          <w:numId w:val="0"/>
        </w:numPr>
        <w:tabs>
          <w:tab w:val="left" w:pos="420"/>
        </w:tabs>
        <w:kinsoku/>
        <w:wordWrap/>
        <w:overflowPunct/>
        <w:topLinePunct w:val="0"/>
        <w:autoSpaceDE/>
        <w:autoSpaceDN/>
        <w:bidi w:val="0"/>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注：1、本项目对应的中小企业划分标准所属行业：</w:t>
      </w:r>
      <w:r>
        <w:rPr>
          <w:rFonts w:hint="eastAsia" w:ascii="宋体" w:hAnsi="宋体" w:eastAsia="宋体" w:cs="宋体"/>
          <w:b/>
          <w:bCs/>
          <w:color w:val="auto"/>
          <w:sz w:val="24"/>
          <w:szCs w:val="24"/>
          <w:highlight w:val="none"/>
          <w:u w:val="single"/>
        </w:rPr>
        <w:t>软件和信息技术服务业。</w:t>
      </w:r>
    </w:p>
    <w:p w14:paraId="482A5C01">
      <w:pPr>
        <w:keepNext w:val="0"/>
        <w:keepLines w:val="0"/>
        <w:pageBreakBefore w:val="0"/>
        <w:numPr>
          <w:ilvl w:val="0"/>
          <w:numId w:val="0"/>
        </w:numPr>
        <w:tabs>
          <w:tab w:val="left" w:pos="420"/>
        </w:tabs>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从业人员、营业收入、资产总额填报上一年度数据，无上一年度数据的新成立企业可不填报。</w:t>
      </w:r>
    </w:p>
    <w:p w14:paraId="6A9B524C">
      <w:pPr>
        <w:keepNext w:val="0"/>
        <w:keepLines w:val="0"/>
        <w:pageBreakBefore w:val="0"/>
        <w:numPr>
          <w:ilvl w:val="0"/>
          <w:numId w:val="0"/>
        </w:numPr>
        <w:tabs>
          <w:tab w:val="left" w:pos="420"/>
        </w:tabs>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填写前请认真阅读《关于印发中小企业划型标准规定的通知》（工信部联企业[2011]300号）和《关于 印发＜政府采购促进中小企业发展管理办法＞的通知》(财库﹝2020﹞46号)相关规定。</w:t>
      </w:r>
    </w:p>
    <w:p w14:paraId="00CF2AD4">
      <w:pPr>
        <w:keepNext w:val="0"/>
        <w:keepLines w:val="0"/>
        <w:pageBreakBefore w:val="0"/>
        <w:tabs>
          <w:tab w:val="left" w:pos="420"/>
        </w:tabs>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未按上述要求提供、填写的，评审时不予以考虑。</w:t>
      </w:r>
    </w:p>
    <w:p w14:paraId="272AEAAF">
      <w:pPr>
        <w:keepNext w:val="0"/>
        <w:keepLines w:val="0"/>
        <w:pageBreakBefore w:val="0"/>
        <w:tabs>
          <w:tab w:val="left" w:pos="420"/>
        </w:tabs>
        <w:kinsoku/>
        <w:wordWrap/>
        <w:overflowPunct/>
        <w:topLinePunct w:val="0"/>
        <w:autoSpaceDE/>
        <w:autoSpaceDN/>
        <w:bidi w:val="0"/>
        <w:adjustRightInd w:val="0"/>
        <w:snapToGrid w:val="0"/>
        <w:spacing w:line="360" w:lineRule="auto"/>
        <w:ind w:left="0" w:firstLine="422" w:firstLineChars="200"/>
        <w:jc w:val="left"/>
        <w:textAlignment w:val="auto"/>
        <w:rPr>
          <w:rFonts w:hint="eastAsia" w:ascii="宋体" w:hAnsi="宋体" w:eastAsia="宋体" w:cs="宋体"/>
          <w:b/>
          <w:bCs/>
          <w:color w:val="auto"/>
          <w:szCs w:val="21"/>
          <w:highlight w:val="none"/>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0" w:num="1"/>
          <w:docGrid w:type="lines" w:linePitch="379" w:charSpace="0"/>
        </w:sectPr>
      </w:pPr>
    </w:p>
    <w:p w14:paraId="65A9EF78">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lang w:eastAsia="zh-CN"/>
        </w:rPr>
      </w:pPr>
      <w:bookmarkStart w:id="617" w:name="_Toc414"/>
      <w:bookmarkStart w:id="618" w:name="_Toc10602"/>
      <w:bookmarkStart w:id="619" w:name="_Toc21725"/>
      <w:bookmarkStart w:id="620" w:name="_Toc15336"/>
      <w:bookmarkStart w:id="621" w:name="_Toc1982"/>
      <w:bookmarkStart w:id="622" w:name="_Toc26319"/>
      <w:bookmarkStart w:id="623" w:name="_Toc21420"/>
      <w:bookmarkStart w:id="624" w:name="_Toc16333"/>
      <w:bookmarkStart w:id="625" w:name="_Toc20727"/>
      <w:bookmarkStart w:id="626" w:name="_Toc1272"/>
      <w:bookmarkStart w:id="627" w:name="_Toc29882"/>
      <w:bookmarkStart w:id="628" w:name="_Toc16147"/>
      <w:bookmarkStart w:id="629" w:name="_Toc15181"/>
      <w:bookmarkStart w:id="630" w:name="_Toc29955"/>
      <w:bookmarkStart w:id="631" w:name="_Toc26852"/>
      <w:bookmarkStart w:id="632" w:name="_Toc31831"/>
      <w:bookmarkStart w:id="633" w:name="_Toc14447"/>
      <w:bookmarkStart w:id="634" w:name="_Toc12658"/>
      <w:bookmarkStart w:id="635" w:name="_Toc9117"/>
      <w:bookmarkStart w:id="636" w:name="_Toc10411"/>
      <w:bookmarkStart w:id="637" w:name="_Toc9476"/>
      <w:bookmarkStart w:id="638" w:name="_Toc27083"/>
      <w:bookmarkStart w:id="639" w:name="_Toc13317"/>
      <w:bookmarkStart w:id="640" w:name="_Toc24518"/>
      <w:bookmarkStart w:id="641" w:name="_Toc7231"/>
      <w:bookmarkStart w:id="642" w:name="_Toc21049"/>
      <w:bookmarkStart w:id="643" w:name="_Toc22925"/>
      <w:bookmarkStart w:id="644" w:name="_Toc25165"/>
      <w:bookmarkStart w:id="645" w:name="_Toc7521"/>
      <w:bookmarkStart w:id="646" w:name="_Toc5659"/>
      <w:r>
        <w:rPr>
          <w:rFonts w:hint="eastAsia" w:ascii="宋体" w:hAnsi="宋体" w:eastAsia="宋体" w:cs="宋体"/>
          <w:b/>
          <w:color w:val="auto"/>
          <w:kern w:val="0"/>
          <w:sz w:val="30"/>
          <w:szCs w:val="30"/>
          <w:highlight w:val="none"/>
        </w:rPr>
        <w:t>十</w:t>
      </w:r>
      <w:r>
        <w:rPr>
          <w:rFonts w:hint="eastAsia" w:ascii="宋体" w:hAnsi="宋体" w:cs="宋体"/>
          <w:b/>
          <w:color w:val="auto"/>
          <w:kern w:val="0"/>
          <w:sz w:val="30"/>
          <w:szCs w:val="30"/>
          <w:highlight w:val="none"/>
          <w:lang w:val="en-US" w:eastAsia="zh-CN"/>
        </w:rPr>
        <w:t>二</w:t>
      </w:r>
      <w:r>
        <w:rPr>
          <w:rFonts w:hint="eastAsia" w:ascii="宋体" w:hAnsi="宋体" w:eastAsia="宋体" w:cs="宋体"/>
          <w:b/>
          <w:color w:val="auto"/>
          <w:kern w:val="0"/>
          <w:sz w:val="30"/>
          <w:szCs w:val="30"/>
          <w:highlight w:val="none"/>
        </w:rPr>
        <w:t>、残疾人福利性单位声明函</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Pr>
          <w:rFonts w:hint="eastAsia" w:ascii="宋体" w:hAnsi="宋体" w:eastAsia="宋体" w:cs="宋体"/>
          <w:b/>
          <w:color w:val="auto"/>
          <w:kern w:val="0"/>
          <w:sz w:val="30"/>
          <w:szCs w:val="30"/>
          <w:highlight w:val="none"/>
          <w:lang w:eastAsia="zh-CN"/>
        </w:rPr>
        <w:t>（</w:t>
      </w:r>
      <w:r>
        <w:rPr>
          <w:rFonts w:hint="eastAsia" w:ascii="宋体" w:hAnsi="宋体" w:eastAsia="宋体" w:cs="宋体"/>
          <w:b/>
          <w:color w:val="auto"/>
          <w:kern w:val="0"/>
          <w:sz w:val="30"/>
          <w:szCs w:val="30"/>
          <w:highlight w:val="none"/>
          <w:lang w:val="en-US" w:eastAsia="zh-CN"/>
        </w:rPr>
        <w:t>如有</w:t>
      </w:r>
      <w:r>
        <w:rPr>
          <w:rFonts w:hint="eastAsia" w:ascii="宋体" w:hAnsi="宋体" w:eastAsia="宋体" w:cs="宋体"/>
          <w:b/>
          <w:color w:val="auto"/>
          <w:kern w:val="0"/>
          <w:sz w:val="30"/>
          <w:szCs w:val="30"/>
          <w:highlight w:val="none"/>
          <w:lang w:eastAsia="zh-CN"/>
        </w:rPr>
        <w:t>）</w:t>
      </w:r>
      <w:bookmarkEnd w:id="635"/>
      <w:bookmarkEnd w:id="636"/>
      <w:bookmarkEnd w:id="637"/>
      <w:bookmarkEnd w:id="638"/>
      <w:bookmarkEnd w:id="639"/>
      <w:bookmarkEnd w:id="640"/>
      <w:bookmarkEnd w:id="641"/>
      <w:bookmarkEnd w:id="642"/>
      <w:bookmarkEnd w:id="643"/>
      <w:bookmarkEnd w:id="644"/>
      <w:bookmarkEnd w:id="645"/>
      <w:bookmarkEnd w:id="646"/>
    </w:p>
    <w:p w14:paraId="17C3A75C">
      <w:pPr>
        <w:widowControl/>
        <w:numPr>
          <w:ilvl w:val="0"/>
          <w:numId w:val="0"/>
        </w:numPr>
        <w:tabs>
          <w:tab w:val="left" w:pos="420"/>
        </w:tabs>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单位的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项目采购活动提供本单位制造的货物（由本单位承担工程/提供服务），或者提供其他残疾人福利性单位制造的货物（不包括使用非残疾人福利性单位注册商标的货物）。</w:t>
      </w:r>
    </w:p>
    <w:p w14:paraId="739F54A6">
      <w:pPr>
        <w:widowControl/>
        <w:numPr>
          <w:ilvl w:val="0"/>
          <w:numId w:val="0"/>
        </w:numPr>
        <w:tabs>
          <w:tab w:val="left" w:pos="420"/>
        </w:tabs>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本单位对上述声明的真实性负责。如有虚假，将依法承担相应责任。</w:t>
      </w:r>
    </w:p>
    <w:p w14:paraId="0291DDB3">
      <w:pPr>
        <w:widowControl/>
        <w:numPr>
          <w:ilvl w:val="0"/>
          <w:numId w:val="0"/>
        </w:numPr>
        <w:tabs>
          <w:tab w:val="left" w:pos="420"/>
        </w:tabs>
        <w:spacing w:before="100" w:beforeAutospacing="1" w:after="100" w:afterAutospacing="1" w:line="360" w:lineRule="auto"/>
        <w:jc w:val="left"/>
        <w:rPr>
          <w:rFonts w:hint="eastAsia" w:ascii="宋体" w:hAnsi="宋体" w:eastAsia="宋体" w:cs="宋体"/>
          <w:color w:val="auto"/>
          <w:kern w:val="0"/>
          <w:sz w:val="24"/>
          <w:szCs w:val="24"/>
          <w:highlight w:val="none"/>
        </w:rPr>
      </w:pPr>
    </w:p>
    <w:p w14:paraId="4EB2E683">
      <w:pPr>
        <w:tabs>
          <w:tab w:val="left" w:pos="420"/>
        </w:tabs>
        <w:spacing w:line="360" w:lineRule="auto"/>
        <w:ind w:left="0" w:firstLine="2880" w:firstLineChars="1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w:t>
      </w:r>
    </w:p>
    <w:p w14:paraId="72FB97F5">
      <w:pPr>
        <w:widowControl/>
        <w:tabs>
          <w:tab w:val="left" w:pos="420"/>
        </w:tabs>
        <w:spacing w:line="360" w:lineRule="auto"/>
        <w:ind w:left="880" w:leftChars="419" w:firstLine="1860" w:firstLineChars="775"/>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bidi="ar"/>
        </w:rPr>
        <w:t>日   期：</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年</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月</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kern w:val="0"/>
          <w:sz w:val="24"/>
          <w:szCs w:val="24"/>
          <w:highlight w:val="none"/>
          <w:lang w:bidi="ar"/>
        </w:rPr>
        <w:t xml:space="preserve">日 </w:t>
      </w:r>
    </w:p>
    <w:p w14:paraId="744C7B55">
      <w:pPr>
        <w:tabs>
          <w:tab w:val="left" w:pos="420"/>
        </w:tabs>
        <w:spacing w:after="120" w:line="360" w:lineRule="auto"/>
        <w:rPr>
          <w:rFonts w:hint="eastAsia" w:ascii="宋体" w:hAnsi="宋体" w:eastAsia="宋体" w:cs="宋体"/>
          <w:color w:val="auto"/>
          <w:sz w:val="24"/>
          <w:szCs w:val="24"/>
          <w:highlight w:val="none"/>
        </w:rPr>
      </w:pPr>
    </w:p>
    <w:p w14:paraId="096F8678">
      <w:pPr>
        <w:numPr>
          <w:ilvl w:val="0"/>
          <w:numId w:val="0"/>
        </w:numPr>
        <w:tabs>
          <w:tab w:val="left" w:pos="420"/>
        </w:tabs>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2C6A563E">
      <w:pPr>
        <w:numPr>
          <w:ilvl w:val="0"/>
          <w:numId w:val="0"/>
        </w:numPr>
        <w:tabs>
          <w:tab w:val="left" w:pos="420"/>
        </w:tabs>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符合条件的残疾人福利性单位在参加政府采购活动时，应当提供</w:t>
      </w:r>
      <w:r>
        <w:rPr>
          <w:rFonts w:hint="eastAsia" w:ascii="宋体" w:hAnsi="宋体" w:eastAsia="宋体" w:cs="宋体"/>
          <w:color w:val="auto"/>
          <w:sz w:val="24"/>
          <w:szCs w:val="24"/>
          <w:highlight w:val="none"/>
          <w:lang w:val="en-US" w:eastAsia="zh-CN"/>
        </w:rPr>
        <w:t>此声明函</w:t>
      </w:r>
      <w:r>
        <w:rPr>
          <w:rFonts w:hint="eastAsia" w:ascii="宋体" w:hAnsi="宋体" w:eastAsia="宋体" w:cs="宋体"/>
          <w:color w:val="auto"/>
          <w:sz w:val="24"/>
          <w:szCs w:val="24"/>
          <w:highlight w:val="none"/>
        </w:rPr>
        <w:t>，并对声明的真实性负责。未提供的，视为放弃享受小微企业价格扣除优惠政策。</w:t>
      </w:r>
    </w:p>
    <w:p w14:paraId="2DD24162">
      <w:pPr>
        <w:numPr>
          <w:ilvl w:val="0"/>
          <w:numId w:val="0"/>
        </w:numPr>
        <w:tabs>
          <w:tab w:val="left" w:pos="420"/>
        </w:tabs>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中标、成交供应商为残疾人福利性单位的，采购人或者其委托的采购代理机构</w:t>
      </w:r>
      <w:r>
        <w:rPr>
          <w:rFonts w:hint="eastAsia" w:ascii="宋体" w:hAnsi="宋体" w:eastAsia="宋体" w:cs="宋体"/>
          <w:color w:val="auto"/>
          <w:sz w:val="24"/>
          <w:szCs w:val="24"/>
          <w:highlight w:val="none"/>
          <w:lang w:val="en-US" w:eastAsia="zh-CN"/>
        </w:rPr>
        <w:t>将</w:t>
      </w:r>
      <w:r>
        <w:rPr>
          <w:rFonts w:hint="eastAsia" w:ascii="宋体" w:hAnsi="宋体" w:eastAsia="宋体" w:cs="宋体"/>
          <w:color w:val="auto"/>
          <w:sz w:val="24"/>
          <w:szCs w:val="24"/>
          <w:highlight w:val="none"/>
        </w:rPr>
        <w:t>随中标、成交结果同时公告其《残疾人福利性单位声明函》，接受社会监督。</w:t>
      </w:r>
    </w:p>
    <w:p w14:paraId="4034B049">
      <w:pPr>
        <w:numPr>
          <w:ilvl w:val="0"/>
          <w:numId w:val="0"/>
        </w:numPr>
        <w:tabs>
          <w:tab w:val="left" w:pos="420"/>
        </w:tabs>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供应商提供的《残疾人福利性单位声明函》与事实不符的，依照《政府采购法》第七十七条第一款的规定追究法律责任。</w:t>
      </w:r>
    </w:p>
    <w:p w14:paraId="796E79B1">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sz w:val="24"/>
          <w:szCs w:val="24"/>
          <w:highlight w:val="none"/>
        </w:rPr>
        <w:br w:type="page"/>
      </w:r>
      <w:bookmarkStart w:id="647" w:name="_Toc21738"/>
      <w:bookmarkStart w:id="648" w:name="_Toc2152"/>
      <w:bookmarkStart w:id="649" w:name="_Toc13554"/>
      <w:bookmarkStart w:id="650" w:name="_Toc25855"/>
      <w:bookmarkStart w:id="651" w:name="_Toc13348"/>
      <w:bookmarkStart w:id="652" w:name="_Toc20708"/>
      <w:bookmarkStart w:id="653" w:name="_Toc20780"/>
      <w:bookmarkStart w:id="654" w:name="_Toc28515"/>
      <w:bookmarkStart w:id="655" w:name="_Toc11532"/>
      <w:bookmarkStart w:id="656" w:name="_Toc6752"/>
      <w:bookmarkStart w:id="657" w:name="_Toc28879"/>
      <w:bookmarkStart w:id="658" w:name="_Toc13834"/>
      <w:r>
        <w:rPr>
          <w:rFonts w:hint="eastAsia" w:ascii="宋体" w:hAnsi="宋体" w:eastAsia="宋体" w:cs="宋体"/>
          <w:b/>
          <w:color w:val="auto"/>
          <w:kern w:val="0"/>
          <w:sz w:val="30"/>
          <w:szCs w:val="30"/>
          <w:highlight w:val="none"/>
          <w:lang w:val="en-US" w:eastAsia="zh-CN"/>
        </w:rPr>
        <w:t>十</w:t>
      </w:r>
      <w:r>
        <w:rPr>
          <w:rFonts w:hint="eastAsia" w:ascii="宋体" w:hAnsi="宋体" w:cs="宋体"/>
          <w:b/>
          <w:color w:val="auto"/>
          <w:kern w:val="0"/>
          <w:sz w:val="30"/>
          <w:szCs w:val="30"/>
          <w:highlight w:val="none"/>
          <w:lang w:val="en-US" w:eastAsia="zh-CN"/>
        </w:rPr>
        <w:t>三</w:t>
      </w:r>
      <w:r>
        <w:rPr>
          <w:rFonts w:hint="eastAsia" w:ascii="宋体" w:hAnsi="宋体" w:eastAsia="宋体" w:cs="宋体"/>
          <w:b/>
          <w:color w:val="auto"/>
          <w:kern w:val="0"/>
          <w:sz w:val="30"/>
          <w:szCs w:val="30"/>
          <w:highlight w:val="none"/>
          <w:lang w:val="en-US" w:eastAsia="zh-CN"/>
        </w:rPr>
        <w:t>、监狱企业证明文件（如有）</w:t>
      </w:r>
      <w:bookmarkEnd w:id="647"/>
      <w:bookmarkEnd w:id="648"/>
      <w:bookmarkEnd w:id="649"/>
      <w:bookmarkEnd w:id="650"/>
      <w:bookmarkEnd w:id="651"/>
      <w:bookmarkEnd w:id="652"/>
      <w:bookmarkEnd w:id="653"/>
      <w:bookmarkEnd w:id="654"/>
      <w:bookmarkEnd w:id="655"/>
      <w:bookmarkEnd w:id="656"/>
      <w:bookmarkEnd w:id="657"/>
      <w:bookmarkEnd w:id="658"/>
    </w:p>
    <w:p w14:paraId="0F090392">
      <w:pPr>
        <w:keepNext w:val="0"/>
        <w:keepLines w:val="0"/>
        <w:widowControl/>
        <w:suppressLineNumbers w:val="0"/>
        <w:tabs>
          <w:tab w:val="left" w:pos="420"/>
        </w:tabs>
        <w:spacing w:line="360" w:lineRule="auto"/>
        <w:ind w:left="0"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注：</w:t>
      </w:r>
    </w:p>
    <w:p w14:paraId="647B991E">
      <w:pPr>
        <w:numPr>
          <w:ilvl w:val="0"/>
          <w:numId w:val="0"/>
        </w:numPr>
        <w:tabs>
          <w:tab w:val="left" w:pos="420"/>
        </w:tabs>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1、监狱企业参加本政府采购活动时，须提供由省级以上监狱管理局、戒毒管理局（含新疆生产建设兵团）出具的属于监狱企业的证明文件。</w:t>
      </w:r>
    </w:p>
    <w:p w14:paraId="19D68675">
      <w:pPr>
        <w:numPr>
          <w:ilvl w:val="0"/>
          <w:numId w:val="0"/>
        </w:numPr>
        <w:tabs>
          <w:tab w:val="left" w:pos="420"/>
        </w:tabs>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2、监狱企业视同小型、微型企业，未提供监狱企业证明文件的，视为放弃享受小微企业价格扣除优惠政策。</w:t>
      </w:r>
    </w:p>
    <w:bookmarkEnd w:id="511"/>
    <w:bookmarkEnd w:id="512"/>
    <w:bookmarkEnd w:id="513"/>
    <w:bookmarkEnd w:id="615"/>
    <w:p w14:paraId="73D1DF17">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rPr>
      </w:pPr>
      <w:r>
        <w:rPr>
          <w:rFonts w:hint="eastAsia" w:ascii="宋体" w:hAnsi="宋体" w:eastAsia="宋体" w:cs="宋体"/>
          <w:b/>
          <w:color w:val="auto"/>
          <w:szCs w:val="21"/>
          <w:highlight w:val="none"/>
        </w:rPr>
        <w:br w:type="page"/>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Start w:id="659" w:name="_Toc19789"/>
      <w:bookmarkStart w:id="660" w:name="_Toc13739"/>
      <w:bookmarkStart w:id="661" w:name="_Toc9509"/>
      <w:bookmarkStart w:id="662" w:name="_Toc25753"/>
      <w:bookmarkStart w:id="663" w:name="_Toc30122"/>
      <w:bookmarkStart w:id="664" w:name="_Toc2341"/>
      <w:bookmarkStart w:id="665" w:name="_Toc6435"/>
      <w:bookmarkStart w:id="666" w:name="_Toc8756"/>
      <w:bookmarkStart w:id="667" w:name="_Toc10763"/>
      <w:bookmarkStart w:id="668" w:name="_Toc29559"/>
      <w:bookmarkStart w:id="669" w:name="_Toc17885"/>
      <w:bookmarkStart w:id="670" w:name="_Toc18880"/>
      <w:bookmarkStart w:id="671" w:name="_Toc13820"/>
      <w:bookmarkStart w:id="672" w:name="_Toc12020"/>
      <w:bookmarkStart w:id="673" w:name="_Toc16103"/>
      <w:bookmarkStart w:id="674" w:name="_Toc27243"/>
      <w:bookmarkStart w:id="675" w:name="_Toc31079"/>
      <w:bookmarkStart w:id="676" w:name="_Toc15969"/>
      <w:bookmarkStart w:id="677" w:name="_Toc7184"/>
      <w:bookmarkStart w:id="678" w:name="_Toc19224"/>
      <w:bookmarkStart w:id="679" w:name="_Toc18949"/>
      <w:bookmarkStart w:id="680" w:name="_Toc32585"/>
      <w:bookmarkStart w:id="681" w:name="_Toc25867"/>
      <w:bookmarkStart w:id="682" w:name="_Toc16088"/>
      <w:bookmarkStart w:id="683" w:name="_Toc10276"/>
      <w:bookmarkStart w:id="684" w:name="_Toc3776"/>
      <w:bookmarkStart w:id="685" w:name="_Toc27377"/>
      <w:bookmarkStart w:id="686" w:name="_Toc31216"/>
      <w:bookmarkStart w:id="687" w:name="_Toc12996"/>
      <w:bookmarkStart w:id="688" w:name="_Toc27865"/>
      <w:r>
        <w:rPr>
          <w:rFonts w:hint="eastAsia" w:ascii="宋体" w:hAnsi="宋体" w:eastAsia="宋体" w:cs="宋体"/>
          <w:b/>
          <w:color w:val="auto"/>
          <w:kern w:val="0"/>
          <w:sz w:val="30"/>
          <w:szCs w:val="30"/>
          <w:highlight w:val="none"/>
          <w:lang w:val="en-US" w:eastAsia="zh-CN"/>
        </w:rPr>
        <w:t>十</w:t>
      </w:r>
      <w:r>
        <w:rPr>
          <w:rFonts w:hint="eastAsia" w:ascii="宋体" w:hAnsi="宋体" w:cs="宋体"/>
          <w:b/>
          <w:color w:val="auto"/>
          <w:kern w:val="0"/>
          <w:sz w:val="30"/>
          <w:szCs w:val="30"/>
          <w:highlight w:val="none"/>
          <w:lang w:val="en-US" w:eastAsia="zh-CN"/>
        </w:rPr>
        <w:t>四</w:t>
      </w:r>
      <w:r>
        <w:rPr>
          <w:rFonts w:hint="eastAsia" w:ascii="宋体" w:hAnsi="宋体" w:eastAsia="宋体" w:cs="宋体"/>
          <w:b/>
          <w:color w:val="auto"/>
          <w:kern w:val="0"/>
          <w:sz w:val="30"/>
          <w:szCs w:val="30"/>
          <w:highlight w:val="none"/>
          <w:lang w:val="en-US" w:eastAsia="zh-CN"/>
        </w:rPr>
        <w:t>、节能环保产品证明文件（如有）</w:t>
      </w:r>
      <w:bookmarkEnd w:id="659"/>
      <w:bookmarkEnd w:id="660"/>
      <w:bookmarkEnd w:id="661"/>
      <w:bookmarkEnd w:id="662"/>
      <w:bookmarkEnd w:id="663"/>
      <w:bookmarkEnd w:id="664"/>
      <w:bookmarkEnd w:id="665"/>
      <w:bookmarkEnd w:id="666"/>
      <w:bookmarkEnd w:id="667"/>
      <w:bookmarkEnd w:id="668"/>
      <w:bookmarkEnd w:id="669"/>
      <w:bookmarkEnd w:id="670"/>
      <w:bookmarkEnd w:id="671"/>
    </w:p>
    <w:tbl>
      <w:tblPr>
        <w:tblStyle w:val="34"/>
        <w:tblW w:w="93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523"/>
        <w:gridCol w:w="1292"/>
        <w:gridCol w:w="1047"/>
        <w:gridCol w:w="1170"/>
        <w:gridCol w:w="1170"/>
        <w:gridCol w:w="1170"/>
        <w:gridCol w:w="1170"/>
      </w:tblGrid>
      <w:tr w14:paraId="04778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816" w:type="dxa"/>
            <w:tcBorders>
              <w:tl2br w:val="nil"/>
              <w:tr2bl w:val="nil"/>
            </w:tcBorders>
            <w:noWrap w:val="0"/>
            <w:vAlign w:val="center"/>
          </w:tcPr>
          <w:p w14:paraId="29711C3F">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vertAlign w:val="baseline"/>
                <w:lang w:val="en-US" w:eastAsia="zh-CN" w:bidi="ar"/>
              </w:rPr>
              <w:t>序号</w:t>
            </w:r>
          </w:p>
        </w:tc>
        <w:tc>
          <w:tcPr>
            <w:tcW w:w="1523" w:type="dxa"/>
            <w:tcBorders>
              <w:tl2br w:val="nil"/>
              <w:tr2bl w:val="nil"/>
            </w:tcBorders>
            <w:noWrap w:val="0"/>
            <w:vAlign w:val="center"/>
          </w:tcPr>
          <w:p w14:paraId="35A9755F">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vertAlign w:val="baseline"/>
                <w:lang w:val="en-US" w:eastAsia="zh-CN" w:bidi="ar"/>
              </w:rPr>
              <w:t>产品名称</w:t>
            </w:r>
          </w:p>
        </w:tc>
        <w:tc>
          <w:tcPr>
            <w:tcW w:w="1292" w:type="dxa"/>
            <w:tcBorders>
              <w:tl2br w:val="nil"/>
              <w:tr2bl w:val="nil"/>
            </w:tcBorders>
            <w:noWrap w:val="0"/>
            <w:vAlign w:val="center"/>
          </w:tcPr>
          <w:p w14:paraId="0A5A1E51">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vertAlign w:val="baseline"/>
                <w:lang w:val="en-US" w:eastAsia="zh-CN" w:bidi="ar"/>
              </w:rPr>
              <w:t>品牌、型号</w:t>
            </w:r>
          </w:p>
        </w:tc>
        <w:tc>
          <w:tcPr>
            <w:tcW w:w="1047" w:type="dxa"/>
            <w:tcBorders>
              <w:tl2br w:val="nil"/>
              <w:tr2bl w:val="nil"/>
            </w:tcBorders>
            <w:noWrap w:val="0"/>
            <w:vAlign w:val="center"/>
          </w:tcPr>
          <w:p w14:paraId="2A5D3B37">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vertAlign w:val="baseline"/>
                <w:lang w:val="en-US" w:eastAsia="zh-CN" w:bidi="ar"/>
              </w:rPr>
              <w:t>制造商</w:t>
            </w:r>
          </w:p>
        </w:tc>
        <w:tc>
          <w:tcPr>
            <w:tcW w:w="1170" w:type="dxa"/>
            <w:tcBorders>
              <w:tl2br w:val="nil"/>
              <w:tr2bl w:val="nil"/>
            </w:tcBorders>
            <w:noWrap w:val="0"/>
            <w:vAlign w:val="center"/>
          </w:tcPr>
          <w:p w14:paraId="0FB20043">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vertAlign w:val="baseline"/>
                <w:lang w:val="en-US" w:eastAsia="zh-CN" w:bidi="ar"/>
              </w:rPr>
              <w:t>节能产品</w:t>
            </w:r>
          </w:p>
        </w:tc>
        <w:tc>
          <w:tcPr>
            <w:tcW w:w="1170" w:type="dxa"/>
            <w:tcBorders>
              <w:tl2br w:val="nil"/>
              <w:tr2bl w:val="nil"/>
            </w:tcBorders>
            <w:noWrap w:val="0"/>
            <w:vAlign w:val="center"/>
          </w:tcPr>
          <w:p w14:paraId="5CCFF77E">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vertAlign w:val="baseline"/>
                <w:lang w:val="en-US" w:eastAsia="zh-CN" w:bidi="ar"/>
              </w:rPr>
              <w:t>环境标志产品</w:t>
            </w:r>
          </w:p>
        </w:tc>
        <w:tc>
          <w:tcPr>
            <w:tcW w:w="1170" w:type="dxa"/>
            <w:tcBorders>
              <w:tl2br w:val="nil"/>
              <w:tr2bl w:val="nil"/>
            </w:tcBorders>
            <w:noWrap w:val="0"/>
            <w:vAlign w:val="center"/>
          </w:tcPr>
          <w:p w14:paraId="3BB6925C">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vertAlign w:val="baseline"/>
                <w:lang w:val="en-US" w:eastAsia="zh-CN" w:bidi="ar"/>
              </w:rPr>
              <w:t>认证证书编号</w:t>
            </w:r>
          </w:p>
        </w:tc>
        <w:tc>
          <w:tcPr>
            <w:tcW w:w="1170" w:type="dxa"/>
            <w:tcBorders>
              <w:tl2br w:val="nil"/>
              <w:tr2bl w:val="nil"/>
            </w:tcBorders>
            <w:noWrap w:val="0"/>
            <w:vAlign w:val="center"/>
          </w:tcPr>
          <w:p w14:paraId="6268E268">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vertAlign w:val="baseline"/>
                <w:lang w:val="en-US" w:eastAsia="zh-CN" w:bidi="ar"/>
              </w:rPr>
              <w:t>备注</w:t>
            </w:r>
          </w:p>
        </w:tc>
      </w:tr>
      <w:tr w14:paraId="1C5C8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16" w:type="dxa"/>
            <w:tcBorders>
              <w:tl2br w:val="nil"/>
              <w:tr2bl w:val="nil"/>
            </w:tcBorders>
            <w:noWrap w:val="0"/>
            <w:vAlign w:val="top"/>
          </w:tcPr>
          <w:p w14:paraId="50018C14">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523" w:type="dxa"/>
            <w:tcBorders>
              <w:tl2br w:val="nil"/>
              <w:tr2bl w:val="nil"/>
            </w:tcBorders>
            <w:noWrap w:val="0"/>
            <w:vAlign w:val="top"/>
          </w:tcPr>
          <w:p w14:paraId="17667E02">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292" w:type="dxa"/>
            <w:tcBorders>
              <w:tl2br w:val="nil"/>
              <w:tr2bl w:val="nil"/>
            </w:tcBorders>
            <w:noWrap w:val="0"/>
            <w:vAlign w:val="top"/>
          </w:tcPr>
          <w:p w14:paraId="5F011210">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047" w:type="dxa"/>
            <w:tcBorders>
              <w:tl2br w:val="nil"/>
              <w:tr2bl w:val="nil"/>
            </w:tcBorders>
            <w:noWrap w:val="0"/>
            <w:vAlign w:val="top"/>
          </w:tcPr>
          <w:p w14:paraId="73EE43B0">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5AA5C2BF">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4C82A3C9">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586E5664">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2759F38A">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r>
      <w:tr w14:paraId="26964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816" w:type="dxa"/>
            <w:tcBorders>
              <w:tl2br w:val="nil"/>
              <w:tr2bl w:val="nil"/>
            </w:tcBorders>
            <w:noWrap w:val="0"/>
            <w:vAlign w:val="top"/>
          </w:tcPr>
          <w:p w14:paraId="57389A4D">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523" w:type="dxa"/>
            <w:tcBorders>
              <w:tl2br w:val="nil"/>
              <w:tr2bl w:val="nil"/>
            </w:tcBorders>
            <w:noWrap w:val="0"/>
            <w:vAlign w:val="top"/>
          </w:tcPr>
          <w:p w14:paraId="39C5369A">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292" w:type="dxa"/>
            <w:tcBorders>
              <w:tl2br w:val="nil"/>
              <w:tr2bl w:val="nil"/>
            </w:tcBorders>
            <w:noWrap w:val="0"/>
            <w:vAlign w:val="top"/>
          </w:tcPr>
          <w:p w14:paraId="1B842CB8">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047" w:type="dxa"/>
            <w:tcBorders>
              <w:tl2br w:val="nil"/>
              <w:tr2bl w:val="nil"/>
            </w:tcBorders>
            <w:noWrap w:val="0"/>
            <w:vAlign w:val="top"/>
          </w:tcPr>
          <w:p w14:paraId="1247F8DD">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47773D16">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11C308F6">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4AD2AA7D">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27255C52">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r>
      <w:tr w14:paraId="73BFD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16" w:type="dxa"/>
            <w:tcBorders>
              <w:tl2br w:val="nil"/>
              <w:tr2bl w:val="nil"/>
            </w:tcBorders>
            <w:noWrap w:val="0"/>
            <w:vAlign w:val="top"/>
          </w:tcPr>
          <w:p w14:paraId="1C305DE7">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523" w:type="dxa"/>
            <w:tcBorders>
              <w:tl2br w:val="nil"/>
              <w:tr2bl w:val="nil"/>
            </w:tcBorders>
            <w:noWrap w:val="0"/>
            <w:vAlign w:val="top"/>
          </w:tcPr>
          <w:p w14:paraId="419671A4">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292" w:type="dxa"/>
            <w:tcBorders>
              <w:tl2br w:val="nil"/>
              <w:tr2bl w:val="nil"/>
            </w:tcBorders>
            <w:noWrap w:val="0"/>
            <w:vAlign w:val="top"/>
          </w:tcPr>
          <w:p w14:paraId="360F4DE4">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047" w:type="dxa"/>
            <w:tcBorders>
              <w:tl2br w:val="nil"/>
              <w:tr2bl w:val="nil"/>
            </w:tcBorders>
            <w:noWrap w:val="0"/>
            <w:vAlign w:val="top"/>
          </w:tcPr>
          <w:p w14:paraId="69C37B0C">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16CFC71F">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513AA141">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1355189A">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70" w:type="dxa"/>
            <w:tcBorders>
              <w:tl2br w:val="nil"/>
              <w:tr2bl w:val="nil"/>
            </w:tcBorders>
            <w:noWrap w:val="0"/>
            <w:vAlign w:val="top"/>
          </w:tcPr>
          <w:p w14:paraId="128F420A">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0"/>
              <w:jc w:val="center"/>
              <w:textAlignment w:val="auto"/>
              <w:rPr>
                <w:rFonts w:hint="eastAsia" w:ascii="宋体" w:hAnsi="宋体" w:eastAsia="宋体" w:cs="宋体"/>
                <w:color w:val="auto"/>
                <w:kern w:val="0"/>
                <w:sz w:val="21"/>
                <w:szCs w:val="21"/>
                <w:highlight w:val="none"/>
                <w:vertAlign w:val="baseline"/>
                <w:lang w:val="en-US" w:eastAsia="zh-CN" w:bidi="ar"/>
              </w:rPr>
            </w:pPr>
          </w:p>
        </w:tc>
      </w:tr>
    </w:tbl>
    <w:p w14:paraId="175E1CC5">
      <w:pPr>
        <w:keepNext w:val="0"/>
        <w:keepLines w:val="0"/>
        <w:pageBreakBefore w:val="0"/>
        <w:widowControl/>
        <w:suppressLineNumbers w:val="0"/>
        <w:tabs>
          <w:tab w:val="left" w:pos="420"/>
        </w:tabs>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注：“节能产品、环保标志产品”须填写认证证书编号，并在对应“节能产品”、“环保标志产品”栏中勾选，同时提供提供国家确定的认证机构出具的、处于有效期之内的节能产品、环境标志产品认证证书，并加盖</w:t>
      </w:r>
      <w:r>
        <w:rPr>
          <w:rFonts w:hint="eastAsia" w:ascii="宋体" w:hAnsi="宋体" w:eastAsia="宋体" w:cs="宋体"/>
          <w:color w:val="auto"/>
          <w:sz w:val="24"/>
          <w:szCs w:val="24"/>
          <w:highlight w:val="none"/>
          <w:lang w:eastAsia="zh-CN"/>
        </w:rPr>
        <w:t>单位</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lang w:eastAsia="zh-CN"/>
        </w:rPr>
        <w:t>。</w:t>
      </w:r>
    </w:p>
    <w:p w14:paraId="654F58ED">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24"/>
          <w:szCs w:val="24"/>
          <w:highlight w:val="none"/>
        </w:rPr>
        <w:br w:type="page"/>
      </w:r>
      <w:bookmarkStart w:id="689" w:name="_Toc26314"/>
      <w:bookmarkStart w:id="690" w:name="_Toc13439"/>
      <w:bookmarkStart w:id="691" w:name="_Toc17392"/>
      <w:bookmarkStart w:id="692" w:name="_Toc14466"/>
      <w:bookmarkStart w:id="693" w:name="_Toc8741"/>
      <w:bookmarkStart w:id="694" w:name="_Toc8791"/>
      <w:bookmarkStart w:id="695" w:name="_Toc24267"/>
      <w:bookmarkStart w:id="696" w:name="_Toc31113"/>
      <w:bookmarkStart w:id="697" w:name="_Toc6628"/>
      <w:bookmarkStart w:id="698" w:name="_Toc8955"/>
      <w:bookmarkStart w:id="699" w:name="_Toc24573"/>
      <w:r>
        <w:rPr>
          <w:rFonts w:hint="eastAsia" w:ascii="宋体" w:hAnsi="宋体" w:eastAsia="宋体" w:cs="宋体"/>
          <w:b/>
          <w:color w:val="auto"/>
          <w:kern w:val="0"/>
          <w:sz w:val="30"/>
          <w:szCs w:val="30"/>
          <w:highlight w:val="none"/>
          <w:lang w:val="en-US" w:eastAsia="zh-CN"/>
        </w:rPr>
        <w:t>十</w:t>
      </w:r>
      <w:r>
        <w:rPr>
          <w:rFonts w:hint="eastAsia" w:ascii="宋体" w:hAnsi="宋体" w:cs="宋体"/>
          <w:b/>
          <w:color w:val="auto"/>
          <w:kern w:val="0"/>
          <w:sz w:val="30"/>
          <w:szCs w:val="30"/>
          <w:highlight w:val="none"/>
          <w:lang w:val="en-US" w:eastAsia="zh-CN"/>
        </w:rPr>
        <w:t>五</w:t>
      </w:r>
      <w:r>
        <w:rPr>
          <w:rFonts w:hint="eastAsia" w:ascii="宋体" w:hAnsi="宋体" w:eastAsia="宋体" w:cs="宋体"/>
          <w:b/>
          <w:color w:val="auto"/>
          <w:kern w:val="0"/>
          <w:sz w:val="30"/>
          <w:szCs w:val="30"/>
          <w:highlight w:val="none"/>
        </w:rPr>
        <w:t>、其他材料</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11109E24">
      <w:pPr>
        <w:numPr>
          <w:ilvl w:val="0"/>
          <w:numId w:val="0"/>
        </w:numPr>
        <w:tabs>
          <w:tab w:val="left" w:pos="420"/>
        </w:tabs>
        <w:snapToGrid w:val="0"/>
        <w:spacing w:line="360" w:lineRule="auto"/>
        <w:rPr>
          <w:rFonts w:hint="eastAsia" w:ascii="宋体" w:hAnsi="宋体" w:eastAsia="宋体" w:cs="宋体"/>
          <w:color w:val="auto"/>
          <w:szCs w:val="21"/>
          <w:highlight w:val="none"/>
        </w:rPr>
      </w:pPr>
    </w:p>
    <w:p w14:paraId="5BB7718B">
      <w:pPr>
        <w:numPr>
          <w:ilvl w:val="0"/>
          <w:numId w:val="0"/>
        </w:numPr>
        <w:tabs>
          <w:tab w:val="left" w:pos="420"/>
        </w:tabs>
        <w:snapToGrid w:val="0"/>
        <w:spacing w:line="360" w:lineRule="auto"/>
        <w:rPr>
          <w:rFonts w:hint="eastAsia" w:ascii="宋体" w:hAnsi="宋体" w:eastAsia="宋体" w:cs="宋体"/>
          <w:color w:val="auto"/>
          <w:sz w:val="24"/>
          <w:szCs w:val="24"/>
          <w:highlight w:val="none"/>
        </w:rPr>
      </w:pPr>
    </w:p>
    <w:p w14:paraId="28A3CD21">
      <w:pPr>
        <w:jc w:val="center"/>
        <w:rPr>
          <w:rFonts w:asciiTheme="minorEastAsia" w:hAnsiTheme="minorEastAsia" w:eastAsiaTheme="minorEastAsia" w:cstheme="minorEastAsia"/>
          <w:sz w:val="24"/>
          <w:szCs w:val="24"/>
        </w:rPr>
      </w:pPr>
      <w:r>
        <w:rPr>
          <w:rFonts w:hint="eastAsia" w:ascii="宋体" w:hAnsi="宋体" w:eastAsia="宋体" w:cs="宋体"/>
          <w:color w:val="auto"/>
          <w:sz w:val="24"/>
          <w:szCs w:val="24"/>
          <w:highlight w:val="none"/>
        </w:rPr>
        <w:t>招标文件规定的其他材料及</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认为需要提供的其他材料。</w:t>
      </w:r>
    </w:p>
    <w:bookmarkEnd w:id="305"/>
    <w:p w14:paraId="2D764862">
      <w:pPr>
        <w:spacing w:line="360" w:lineRule="auto"/>
        <w:ind w:firstLine="880"/>
        <w:jc w:val="center"/>
        <w:rPr>
          <w:rFonts w:ascii="方正小标宋简体" w:hAnsi="方正小标宋简体" w:eastAsia="方正小标宋简体" w:cs="方正小标宋简体"/>
          <w:b/>
          <w:sz w:val="44"/>
          <w:szCs w:val="44"/>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0" w:num="1"/>
          <w:docGrid w:type="lines" w:linePitch="379" w:charSpace="0"/>
        </w:sectPr>
      </w:pPr>
    </w:p>
    <w:p w14:paraId="4EEE9C7B">
      <w:pPr>
        <w:pStyle w:val="4"/>
        <w:rPr>
          <w:rFonts w:hint="eastAsia" w:ascii="Book Antiqua" w:hAnsi="Book Antiqua" w:eastAsia="宋体" w:cs="Times New Roman"/>
          <w:bCs/>
          <w:sz w:val="36"/>
          <w:szCs w:val="36"/>
          <w:lang w:eastAsia="zh-CN"/>
        </w:rPr>
      </w:pPr>
      <w:bookmarkStart w:id="700" w:name="_Toc13633"/>
      <w:bookmarkStart w:id="701" w:name="_Toc10055"/>
      <w:bookmarkStart w:id="702" w:name="_Toc5303"/>
      <w:r>
        <w:rPr>
          <w:rFonts w:hint="eastAsia" w:ascii="Book Antiqua" w:hAnsi="Book Antiqua" w:eastAsia="宋体" w:cs="Times New Roman"/>
          <w:bCs/>
          <w:sz w:val="36"/>
          <w:szCs w:val="36"/>
        </w:rPr>
        <w:t>第</w:t>
      </w:r>
      <w:r>
        <w:rPr>
          <w:rFonts w:hint="eastAsia" w:cs="Times New Roman"/>
          <w:bCs/>
          <w:sz w:val="36"/>
          <w:szCs w:val="36"/>
          <w:lang w:val="en-US" w:eastAsia="zh-CN"/>
        </w:rPr>
        <w:t>九</w:t>
      </w:r>
      <w:r>
        <w:rPr>
          <w:rFonts w:hint="eastAsia" w:ascii="Book Antiqua" w:hAnsi="Book Antiqua" w:eastAsia="宋体" w:cs="Times New Roman"/>
          <w:bCs/>
          <w:sz w:val="36"/>
          <w:szCs w:val="36"/>
        </w:rPr>
        <w:t xml:space="preserve">章 </w:t>
      </w:r>
      <w:r>
        <w:rPr>
          <w:rFonts w:hint="eastAsia" w:ascii="Book Antiqua" w:hAnsi="Book Antiqua" w:eastAsia="宋体" w:cs="Times New Roman"/>
          <w:bCs/>
          <w:sz w:val="36"/>
          <w:szCs w:val="36"/>
          <w:lang w:val="en-US" w:eastAsia="zh-CN"/>
        </w:rPr>
        <w:t>附件</w:t>
      </w:r>
      <w:bookmarkEnd w:id="700"/>
      <w:bookmarkEnd w:id="701"/>
      <w:bookmarkEnd w:id="702"/>
    </w:p>
    <w:p w14:paraId="0A1AE166">
      <w:pPr>
        <w:pStyle w:val="5"/>
        <w:jc w:val="center"/>
        <w:rPr>
          <w:rFonts w:hint="eastAsia" w:asciiTheme="minorEastAsia" w:hAnsiTheme="minorEastAsia" w:eastAsiaTheme="minorEastAsia" w:cstheme="minorEastAsia"/>
          <w:b/>
          <w:bCs w:val="0"/>
          <w:sz w:val="30"/>
          <w:szCs w:val="30"/>
          <w:lang w:val="en-US" w:eastAsia="zh-CN"/>
        </w:rPr>
      </w:pPr>
      <w:bookmarkStart w:id="703" w:name="_Toc19105"/>
      <w:bookmarkStart w:id="704" w:name="_Toc5190"/>
      <w:bookmarkStart w:id="705" w:name="_Toc28680"/>
      <w:r>
        <w:rPr>
          <w:rFonts w:hint="eastAsia" w:asciiTheme="minorEastAsia" w:hAnsiTheme="minorEastAsia" w:eastAsiaTheme="minorEastAsia" w:cstheme="minorEastAsia"/>
          <w:b/>
          <w:bCs w:val="0"/>
          <w:sz w:val="30"/>
          <w:szCs w:val="30"/>
          <w:lang w:val="en-US" w:eastAsia="zh-CN"/>
        </w:rPr>
        <w:t>附件1：</w:t>
      </w:r>
      <w:r>
        <w:rPr>
          <w:rFonts w:hint="eastAsia" w:asciiTheme="minorEastAsia" w:hAnsiTheme="minorEastAsia" w:eastAsiaTheme="minorEastAsia" w:cstheme="minorEastAsia"/>
          <w:b/>
          <w:bCs w:val="0"/>
          <w:sz w:val="30"/>
          <w:szCs w:val="30"/>
        </w:rPr>
        <w:t>优化和提升政府采购政策</w:t>
      </w:r>
      <w:bookmarkEnd w:id="703"/>
      <w:bookmarkEnd w:id="704"/>
      <w:bookmarkEnd w:id="705"/>
    </w:p>
    <w:p w14:paraId="091EE046">
      <w:pPr>
        <w:spacing w:line="360" w:lineRule="auto"/>
        <w:ind w:firstLine="480" w:firstLineChars="200"/>
        <w:jc w:val="both"/>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一、全面取消采购文件费用和投标保证金费用。</w:t>
      </w:r>
    </w:p>
    <w:p w14:paraId="3C92F4DB">
      <w:pPr>
        <w:shd w:val="clear" w:color="auto" w:fill="FFFFFF"/>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二、免收履约保证金。确因项目需要的，应以保函等非现金形式收取，比例不得超过合同金额的</w:t>
      </w:r>
      <w:r>
        <w:rPr>
          <w:rFonts w:hint="eastAsia" w:asciiTheme="minorEastAsia" w:hAnsiTheme="minorEastAsia" w:eastAsiaTheme="minorEastAsia" w:cstheme="minorEastAsia"/>
          <w:sz w:val="24"/>
          <w:u w:val="single"/>
        </w:rPr>
        <w:t>6%</w:t>
      </w:r>
      <w:r>
        <w:rPr>
          <w:rFonts w:hint="eastAsia" w:asciiTheme="minorEastAsia" w:hAnsiTheme="minorEastAsia" w:eastAsiaTheme="minorEastAsia" w:cstheme="minorEastAsia"/>
          <w:sz w:val="24"/>
        </w:rPr>
        <w:t>，并按约定的时间和条件退还。</w:t>
      </w:r>
    </w:p>
    <w:p w14:paraId="59F159A4">
      <w:pPr>
        <w:shd w:val="clear" w:color="auto" w:fill="FFFFFF"/>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三、评标结果确认时限。自评标（评审）结束后应2个工作日内确定中标（成交）供应商，5个工作日内公告结果，同时发送中标（成交）通知书。</w:t>
      </w:r>
    </w:p>
    <w:p w14:paraId="03E04D41">
      <w:pPr>
        <w:shd w:val="clear" w:color="auto" w:fill="FFFFFF"/>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四、合同签订时限。自中标（成交）通知书发出之日起</w:t>
      </w:r>
      <w:r>
        <w:rPr>
          <w:rFonts w:hint="eastAsia" w:asciiTheme="minorEastAsia" w:hAnsiTheme="minorEastAsia" w:eastAsiaTheme="minorEastAsia" w:cstheme="minorEastAsia"/>
          <w:sz w:val="24"/>
          <w:u w:val="single"/>
        </w:rPr>
        <w:t>15</w:t>
      </w:r>
      <w:r>
        <w:rPr>
          <w:rFonts w:hint="eastAsia" w:asciiTheme="minorEastAsia" w:hAnsiTheme="minorEastAsia" w:eastAsiaTheme="minorEastAsia" w:cstheme="minorEastAsia"/>
          <w:sz w:val="24"/>
        </w:rPr>
        <w:t xml:space="preserve">日内，按照采购文件和投标（响应性）文件确定的事项签订政府采购合同。 </w:t>
      </w:r>
    </w:p>
    <w:p w14:paraId="3408A25F">
      <w:pPr>
        <w:shd w:val="clear" w:color="auto" w:fill="FFFFFF"/>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五、合同公告和备案时限。自合同签订之日起2个工作日内。</w:t>
      </w:r>
    </w:p>
    <w:p w14:paraId="71FD8756">
      <w:pPr>
        <w:shd w:val="clear" w:color="auto" w:fill="FFFFFF"/>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六、项目验收。自收到供应商项目验收建议之日起5个工作日内组织验收；验收结束后2个工作日内出具《验收报告》，并在焦作市政府采购网公告验收结果。</w:t>
      </w:r>
    </w:p>
    <w:p w14:paraId="42BF250E">
      <w:pPr>
        <w:shd w:val="clear" w:color="auto" w:fill="FFFFFF"/>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七、资金支付。按照合同约定的条件及时支付资金，不得因机构变更、人员更替、政策调整等原因拒绝或延迟资金支付。</w:t>
      </w:r>
    </w:p>
    <w:p w14:paraId="24060F1A">
      <w:pPr>
        <w:shd w:val="clear" w:color="auto" w:fill="FFFFFF"/>
        <w:spacing w:line="360" w:lineRule="auto"/>
        <w:ind w:firstLine="480" w:firstLineChars="200"/>
        <w:rPr>
          <w:rFonts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在政府采购活动中，若发现采购人或采购代理机构未按以上政策执行的，可向监督部门举报反映。</w:t>
      </w:r>
    </w:p>
    <w:p w14:paraId="4CFA3DF7">
      <w:pPr>
        <w:shd w:val="clear" w:color="auto" w:fill="FFFFFF"/>
        <w:spacing w:line="360" w:lineRule="auto"/>
        <w:ind w:firstLine="480" w:firstLineChars="200"/>
        <w:rPr>
          <w:rFonts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监督单位：博爱县财政局政府采购监督管理办公室</w:t>
      </w:r>
    </w:p>
    <w:p w14:paraId="68F02464">
      <w:pPr>
        <w:shd w:val="clear" w:color="auto" w:fill="FFFFFF"/>
        <w:spacing w:line="360" w:lineRule="auto"/>
        <w:ind w:firstLine="480" w:firstLineChars="200"/>
        <w:rPr>
          <w:rFonts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监督电话：0391-8683273</w:t>
      </w:r>
    </w:p>
    <w:p w14:paraId="4B7C9656">
      <w:pPr>
        <w:shd w:val="clear" w:color="auto" w:fill="FFFFFF"/>
        <w:spacing w:line="360" w:lineRule="auto"/>
        <w:ind w:firstLine="480" w:firstLineChars="200"/>
        <w:rPr>
          <w:rFonts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地址：博爱县发展大道188号机关综合办公楼主楼1213室</w:t>
      </w:r>
    </w:p>
    <w:p w14:paraId="6B1F6F3F">
      <w:pPr>
        <w:spacing w:line="440" w:lineRule="exact"/>
        <w:ind w:firstLine="723"/>
        <w:jc w:val="center"/>
        <w:rPr>
          <w:rFonts w:ascii="宋体" w:hAnsi="宋体" w:cs="宋体"/>
          <w:b/>
          <w:sz w:val="36"/>
          <w:szCs w:val="36"/>
        </w:rPr>
      </w:pPr>
    </w:p>
    <w:p w14:paraId="0FB18685">
      <w:pPr>
        <w:spacing w:line="440" w:lineRule="exact"/>
        <w:ind w:firstLine="723"/>
        <w:jc w:val="center"/>
        <w:rPr>
          <w:rFonts w:ascii="宋体" w:hAnsi="宋体" w:cs="宋体"/>
          <w:b/>
          <w:sz w:val="36"/>
          <w:szCs w:val="36"/>
        </w:rPr>
      </w:pPr>
    </w:p>
    <w:p w14:paraId="2D44FD6C">
      <w:pPr>
        <w:spacing w:line="440" w:lineRule="exact"/>
        <w:ind w:firstLine="723"/>
        <w:jc w:val="center"/>
        <w:rPr>
          <w:rFonts w:ascii="宋体" w:hAnsi="宋体" w:cs="宋体"/>
          <w:b/>
          <w:sz w:val="36"/>
          <w:szCs w:val="36"/>
        </w:rPr>
      </w:pPr>
    </w:p>
    <w:p w14:paraId="6898EF34">
      <w:pPr>
        <w:pStyle w:val="5"/>
        <w:jc w:val="center"/>
        <w:rPr>
          <w:rFonts w:hint="eastAsia" w:asciiTheme="minorEastAsia" w:hAnsiTheme="minorEastAsia" w:eastAsiaTheme="minorEastAsia" w:cstheme="minorEastAsia"/>
          <w:b/>
          <w:bCs w:val="0"/>
          <w:sz w:val="30"/>
          <w:szCs w:val="30"/>
        </w:rPr>
      </w:pPr>
      <w:bookmarkStart w:id="706" w:name="_Toc30127"/>
      <w:bookmarkStart w:id="707" w:name="_Toc24847"/>
      <w:bookmarkStart w:id="708" w:name="_Toc31573"/>
      <w:bookmarkStart w:id="709" w:name="_Toc12919"/>
      <w:bookmarkStart w:id="710" w:name="_Toc3333"/>
      <w:bookmarkStart w:id="711" w:name="_Toc30420"/>
      <w:bookmarkStart w:id="712" w:name="_Toc26376"/>
      <w:bookmarkStart w:id="713" w:name="_Toc493"/>
      <w:bookmarkStart w:id="714" w:name="_Toc5978"/>
      <w:r>
        <w:rPr>
          <w:rFonts w:hint="eastAsia" w:asciiTheme="minorEastAsia" w:hAnsiTheme="minorEastAsia" w:eastAsiaTheme="minorEastAsia" w:cstheme="minorEastAsia"/>
          <w:b/>
          <w:bCs w:val="0"/>
          <w:color w:val="auto"/>
          <w:kern w:val="2"/>
          <w:sz w:val="30"/>
          <w:szCs w:val="30"/>
          <w:highlight w:val="none"/>
        </w:rPr>
        <w:t>附件</w:t>
      </w:r>
      <w:r>
        <w:rPr>
          <w:rFonts w:hint="eastAsia" w:asciiTheme="minorEastAsia" w:hAnsiTheme="minorEastAsia" w:eastAsiaTheme="minorEastAsia" w:cstheme="minorEastAsia"/>
          <w:b/>
          <w:bCs w:val="0"/>
          <w:sz w:val="30"/>
          <w:szCs w:val="30"/>
          <w:lang w:eastAsia="zh-CN"/>
        </w:rPr>
        <w:t>2</w:t>
      </w:r>
      <w:r>
        <w:rPr>
          <w:rFonts w:hint="eastAsia" w:asciiTheme="minorEastAsia" w:hAnsiTheme="minorEastAsia" w:eastAsiaTheme="minorEastAsia" w:cstheme="minorEastAsia"/>
          <w:b/>
          <w:bCs w:val="0"/>
          <w:color w:val="auto"/>
          <w:kern w:val="2"/>
          <w:sz w:val="30"/>
          <w:szCs w:val="30"/>
          <w:highlight w:val="none"/>
        </w:rPr>
        <w:t>：</w:t>
      </w:r>
      <w:bookmarkEnd w:id="706"/>
      <w:bookmarkEnd w:id="707"/>
      <w:bookmarkEnd w:id="708"/>
      <w:bookmarkEnd w:id="709"/>
      <w:bookmarkEnd w:id="710"/>
      <w:bookmarkEnd w:id="711"/>
      <w:r>
        <w:rPr>
          <w:rFonts w:hint="eastAsia" w:asciiTheme="minorEastAsia" w:hAnsiTheme="minorEastAsia" w:eastAsiaTheme="minorEastAsia" w:cstheme="minorEastAsia"/>
          <w:b/>
          <w:bCs w:val="0"/>
          <w:sz w:val="30"/>
          <w:szCs w:val="30"/>
        </w:rPr>
        <w:t>河南省政府采购合同融资政策告知函</w:t>
      </w:r>
      <w:bookmarkEnd w:id="712"/>
      <w:bookmarkEnd w:id="713"/>
      <w:bookmarkEnd w:id="714"/>
    </w:p>
    <w:p w14:paraId="4E76021F">
      <w:pPr>
        <w:spacing w:line="440" w:lineRule="exact"/>
        <w:ind w:firstLine="723"/>
        <w:jc w:val="center"/>
        <w:rPr>
          <w:rFonts w:ascii="宋体" w:hAnsi="宋体" w:cs="宋体"/>
          <w:b/>
          <w:sz w:val="30"/>
          <w:szCs w:val="30"/>
        </w:rPr>
      </w:pPr>
      <w:r>
        <w:rPr>
          <w:rFonts w:hint="eastAsia" w:ascii="宋体" w:hAnsi="宋体" w:cs="宋体"/>
          <w:b/>
          <w:sz w:val="30"/>
          <w:szCs w:val="30"/>
        </w:rPr>
        <w:t>河南省政府采购合同融资政策告知函</w:t>
      </w:r>
    </w:p>
    <w:p w14:paraId="49024A99">
      <w:pPr>
        <w:shd w:val="clear" w:color="auto" w:fill="FFFFFF"/>
        <w:spacing w:line="360" w:lineRule="auto"/>
        <w:rPr>
          <w:rFonts w:hint="eastAsia"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各供应商：</w:t>
      </w:r>
    </w:p>
    <w:p w14:paraId="1CE12674">
      <w:pPr>
        <w:shd w:val="clear" w:color="auto" w:fill="FFFFFF"/>
        <w:spacing w:line="360" w:lineRule="auto"/>
        <w:ind w:firstLine="480" w:firstLineChars="200"/>
        <w:rPr>
          <w:rFonts w:hint="eastAsia"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欢迎贵公司参与河南省政府采购活动！</w:t>
      </w:r>
    </w:p>
    <w:p w14:paraId="649301C0">
      <w:pPr>
        <w:shd w:val="clear" w:color="auto" w:fill="FFFFFF"/>
        <w:spacing w:line="360" w:lineRule="auto"/>
        <w:ind w:firstLine="480" w:firstLineChars="200"/>
        <w:rPr>
          <w:rFonts w:hint="eastAsia"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依据《河南省采购合同融资工作实施方案》（豫财购[2017]10号），按照双方自愿的原则提供便捷、优惠的贷款服务。</w:t>
      </w:r>
    </w:p>
    <w:p w14:paraId="01ADECDC">
      <w:pPr>
        <w:shd w:val="clear" w:color="auto" w:fill="FFFFFF"/>
        <w:spacing w:line="360" w:lineRule="auto"/>
        <w:ind w:firstLine="480" w:firstLineChars="200"/>
        <w:rPr>
          <w:rFonts w:hint="eastAsia" w:ascii="宋体" w:hAnsi="宋体" w:cs="宋体"/>
          <w:bCs/>
          <w:sz w:val="24"/>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0" w:num="1"/>
          <w:docGrid w:type="lines" w:linePitch="379" w:charSpace="0"/>
        </w:sectPr>
      </w:pPr>
      <w:r>
        <w:rPr>
          <w:rFonts w:hint="eastAsia" w:asciiTheme="minorEastAsia" w:hAnsiTheme="minorEastAsia" w:eastAsiaTheme="minorEastAsia" w:cstheme="minorEastAsia"/>
          <w:sz w:val="24"/>
          <w:shd w:val="clear" w:color="auto" w:fill="FFFFFF"/>
        </w:rPr>
        <w:t>贷款渠道和提供贷款的金融机构，可在河南省政府采购网“河南省政府采购合同融资平台”查询联系。</w:t>
      </w:r>
    </w:p>
    <w:p w14:paraId="3526ED74">
      <w:pPr>
        <w:pStyle w:val="5"/>
        <w:pageBreakBefore w:val="0"/>
        <w:kinsoku/>
        <w:wordWrap/>
        <w:overflowPunct/>
        <w:topLinePunct w:val="0"/>
        <w:autoSpaceDE/>
        <w:bidi w:val="0"/>
        <w:adjustRightInd/>
        <w:snapToGrid/>
        <w:spacing w:line="360" w:lineRule="auto"/>
        <w:rPr>
          <w:rFonts w:hint="eastAsia" w:asciiTheme="minorEastAsia" w:hAnsiTheme="minorEastAsia" w:eastAsiaTheme="minorEastAsia" w:cstheme="minorEastAsia"/>
          <w:b/>
          <w:bCs w:val="0"/>
          <w:sz w:val="30"/>
          <w:szCs w:val="30"/>
        </w:rPr>
      </w:pPr>
      <w:bookmarkStart w:id="715" w:name="_Toc18140"/>
      <w:bookmarkStart w:id="716" w:name="_Toc19710"/>
      <w:bookmarkStart w:id="717" w:name="_Toc5965"/>
      <w:r>
        <w:rPr>
          <w:rFonts w:hint="eastAsia" w:asciiTheme="minorEastAsia" w:hAnsiTheme="minorEastAsia" w:eastAsiaTheme="minorEastAsia" w:cstheme="minorEastAsia"/>
          <w:b/>
          <w:bCs w:val="0"/>
          <w:sz w:val="30"/>
          <w:szCs w:val="30"/>
        </w:rPr>
        <w:t>附件</w:t>
      </w:r>
      <w:r>
        <w:rPr>
          <w:rFonts w:hint="eastAsia" w:asciiTheme="minorEastAsia" w:hAnsiTheme="minorEastAsia" w:eastAsiaTheme="minorEastAsia" w:cstheme="minorEastAsia"/>
          <w:b/>
          <w:bCs w:val="0"/>
          <w:sz w:val="30"/>
          <w:szCs w:val="30"/>
          <w:lang w:val="en-US" w:eastAsia="zh-CN"/>
        </w:rPr>
        <w:t>3</w:t>
      </w:r>
      <w:r>
        <w:rPr>
          <w:rFonts w:hint="eastAsia" w:asciiTheme="minorEastAsia" w:hAnsiTheme="minorEastAsia" w:eastAsiaTheme="minorEastAsia" w:cstheme="minorEastAsia"/>
          <w:b/>
          <w:bCs w:val="0"/>
          <w:sz w:val="30"/>
          <w:szCs w:val="30"/>
        </w:rPr>
        <w:t>：</w:t>
      </w:r>
      <w:r>
        <w:rPr>
          <w:rFonts w:hint="eastAsia" w:asciiTheme="minorEastAsia" w:hAnsiTheme="minorEastAsia" w:eastAsiaTheme="minorEastAsia" w:cstheme="minorEastAsia"/>
          <w:bCs w:val="0"/>
          <w:sz w:val="30"/>
          <w:szCs w:val="30"/>
        </w:rPr>
        <w:t>焦作市政府采购合同融资合作企业</w:t>
      </w:r>
      <w:bookmarkEnd w:id="715"/>
      <w:bookmarkEnd w:id="716"/>
      <w:bookmarkEnd w:id="717"/>
    </w:p>
    <w:p w14:paraId="2BAECB7F">
      <w:pPr>
        <w:pageBreakBefore w:val="0"/>
        <w:kinsoku/>
        <w:wordWrap/>
        <w:overflowPunct/>
        <w:topLinePunct w:val="0"/>
        <w:autoSpaceDE/>
        <w:bidi w:val="0"/>
        <w:adjustRightInd/>
        <w:snapToGrid/>
        <w:spacing w:line="360" w:lineRule="auto"/>
        <w:ind w:firstLine="643"/>
        <w:jc w:val="center"/>
        <w:rPr>
          <w:rFonts w:ascii="宋体" w:hAnsi="宋体"/>
          <w:b/>
          <w:sz w:val="30"/>
          <w:szCs w:val="30"/>
        </w:rPr>
      </w:pPr>
      <w:r>
        <w:rPr>
          <w:rFonts w:hint="eastAsia" w:ascii="宋体" w:hAnsi="宋体"/>
          <w:b/>
          <w:sz w:val="30"/>
          <w:szCs w:val="30"/>
        </w:rPr>
        <w:t>焦作市政府采购合同融资合作企业</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8"/>
        <w:gridCol w:w="1110"/>
        <w:gridCol w:w="1852"/>
        <w:gridCol w:w="2585"/>
      </w:tblGrid>
      <w:tr w14:paraId="09E7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012" w:type="pct"/>
            <w:vAlign w:val="center"/>
          </w:tcPr>
          <w:p w14:paraId="29BD87A8">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名称</w:t>
            </w:r>
          </w:p>
        </w:tc>
        <w:tc>
          <w:tcPr>
            <w:tcW w:w="598" w:type="pct"/>
            <w:vAlign w:val="center"/>
          </w:tcPr>
          <w:p w14:paraId="54E4A747">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联系人</w:t>
            </w:r>
          </w:p>
        </w:tc>
        <w:tc>
          <w:tcPr>
            <w:tcW w:w="997" w:type="pct"/>
            <w:vAlign w:val="center"/>
          </w:tcPr>
          <w:p w14:paraId="05248B5A">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w:t>
            </w:r>
          </w:p>
        </w:tc>
        <w:tc>
          <w:tcPr>
            <w:tcW w:w="1391" w:type="pct"/>
            <w:vAlign w:val="center"/>
          </w:tcPr>
          <w:p w14:paraId="7FB5E253">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地址</w:t>
            </w:r>
          </w:p>
        </w:tc>
      </w:tr>
      <w:tr w14:paraId="2CFF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012" w:type="pct"/>
            <w:shd w:val="clear" w:color="auto" w:fill="auto"/>
            <w:vAlign w:val="center"/>
          </w:tcPr>
          <w:p w14:paraId="232AC968">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中国农业银行股份有限公司焦作分行</w:t>
            </w:r>
          </w:p>
        </w:tc>
        <w:tc>
          <w:tcPr>
            <w:tcW w:w="598" w:type="pct"/>
            <w:shd w:val="solid" w:color="FFFFFF" w:fill="auto"/>
            <w:vAlign w:val="center"/>
          </w:tcPr>
          <w:p w14:paraId="1ACC8D96">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薛国战</w:t>
            </w:r>
          </w:p>
        </w:tc>
        <w:tc>
          <w:tcPr>
            <w:tcW w:w="997" w:type="pct"/>
            <w:shd w:val="solid" w:color="FFFFFF" w:fill="auto"/>
            <w:vAlign w:val="center"/>
          </w:tcPr>
          <w:p w14:paraId="621D10D1">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0391-2878039       13839109026</w:t>
            </w:r>
          </w:p>
        </w:tc>
        <w:tc>
          <w:tcPr>
            <w:tcW w:w="1391" w:type="pct"/>
            <w:shd w:val="solid" w:color="FFFFFF" w:fill="auto"/>
            <w:vAlign w:val="center"/>
          </w:tcPr>
          <w:p w14:paraId="266C3060">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焦作市民主南路88号</w:t>
            </w:r>
          </w:p>
        </w:tc>
      </w:tr>
      <w:tr w14:paraId="5CE5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shd w:val="clear" w:color="auto" w:fill="auto"/>
            <w:vAlign w:val="center"/>
          </w:tcPr>
          <w:p w14:paraId="2EC0B1CF">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中国银行股份有限公司焦作分行</w:t>
            </w:r>
          </w:p>
        </w:tc>
        <w:tc>
          <w:tcPr>
            <w:tcW w:w="598" w:type="pct"/>
            <w:shd w:val="solid" w:color="FFFFFF" w:fill="auto"/>
            <w:vAlign w:val="center"/>
          </w:tcPr>
          <w:p w14:paraId="1730CCCA">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曹阳</w:t>
            </w:r>
          </w:p>
        </w:tc>
        <w:tc>
          <w:tcPr>
            <w:tcW w:w="997" w:type="pct"/>
            <w:shd w:val="solid" w:color="FFFFFF" w:fill="auto"/>
            <w:vAlign w:val="center"/>
          </w:tcPr>
          <w:p w14:paraId="7ED7E01F">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0391-8825171  13839118160</w:t>
            </w:r>
          </w:p>
        </w:tc>
        <w:tc>
          <w:tcPr>
            <w:tcW w:w="1391" w:type="pct"/>
            <w:shd w:val="solid" w:color="FFFFFF" w:fill="auto"/>
            <w:vAlign w:val="center"/>
          </w:tcPr>
          <w:p w14:paraId="16D74DBE">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焦作市丰收路159号</w:t>
            </w:r>
          </w:p>
        </w:tc>
      </w:tr>
      <w:tr w14:paraId="1A0C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2" w:type="pct"/>
            <w:shd w:val="clear" w:color="auto" w:fill="auto"/>
            <w:vAlign w:val="center"/>
          </w:tcPr>
          <w:p w14:paraId="04BFD143">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中国建设银行股份有限公司焦作分行</w:t>
            </w:r>
          </w:p>
        </w:tc>
        <w:tc>
          <w:tcPr>
            <w:tcW w:w="598" w:type="pct"/>
            <w:shd w:val="clear" w:color="auto" w:fill="auto"/>
            <w:vAlign w:val="center"/>
          </w:tcPr>
          <w:p w14:paraId="135B1893">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李华莹</w:t>
            </w:r>
          </w:p>
        </w:tc>
        <w:tc>
          <w:tcPr>
            <w:tcW w:w="997" w:type="pct"/>
            <w:shd w:val="clear" w:color="auto" w:fill="auto"/>
            <w:vAlign w:val="center"/>
          </w:tcPr>
          <w:p w14:paraId="01CC8692">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0391-3918471</w:t>
            </w:r>
          </w:p>
        </w:tc>
        <w:tc>
          <w:tcPr>
            <w:tcW w:w="1391" w:type="pct"/>
            <w:shd w:val="solid" w:color="FFFFFF" w:fill="auto"/>
            <w:vAlign w:val="center"/>
          </w:tcPr>
          <w:p w14:paraId="6C3CFBA8">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焦作市建设东路152号</w:t>
            </w:r>
          </w:p>
        </w:tc>
      </w:tr>
      <w:tr w14:paraId="7DFB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pct"/>
            <w:shd w:val="clear" w:color="auto" w:fill="auto"/>
            <w:vAlign w:val="center"/>
          </w:tcPr>
          <w:p w14:paraId="343BF5C8">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中国邮政储蓄银行股份有限公司焦作市分行</w:t>
            </w:r>
          </w:p>
        </w:tc>
        <w:tc>
          <w:tcPr>
            <w:tcW w:w="598" w:type="pct"/>
            <w:shd w:val="solid" w:color="FFFFFF" w:fill="auto"/>
            <w:vAlign w:val="center"/>
          </w:tcPr>
          <w:p w14:paraId="742E20B1">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李天祥</w:t>
            </w:r>
          </w:p>
        </w:tc>
        <w:tc>
          <w:tcPr>
            <w:tcW w:w="997" w:type="pct"/>
            <w:shd w:val="solid" w:color="FFFFFF" w:fill="auto"/>
            <w:vAlign w:val="center"/>
          </w:tcPr>
          <w:p w14:paraId="1BF0CFA7">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0391-2981968 13523359082</w:t>
            </w:r>
          </w:p>
        </w:tc>
        <w:tc>
          <w:tcPr>
            <w:tcW w:w="1391" w:type="pct"/>
            <w:shd w:val="solid" w:color="FFFFFF" w:fill="auto"/>
            <w:vAlign w:val="center"/>
          </w:tcPr>
          <w:p w14:paraId="17992017">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焦作市丰收中路2233号</w:t>
            </w:r>
          </w:p>
        </w:tc>
      </w:tr>
      <w:tr w14:paraId="271E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012" w:type="pct"/>
            <w:shd w:val="clear" w:color="auto" w:fill="auto"/>
            <w:vAlign w:val="center"/>
          </w:tcPr>
          <w:p w14:paraId="3E69DC36">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焦作中旅银行股份有限公司</w:t>
            </w:r>
          </w:p>
        </w:tc>
        <w:tc>
          <w:tcPr>
            <w:tcW w:w="598" w:type="pct"/>
            <w:shd w:val="solid" w:color="FFFFFF" w:fill="auto"/>
            <w:vAlign w:val="center"/>
          </w:tcPr>
          <w:p w14:paraId="012C57B8">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周建林</w:t>
            </w:r>
          </w:p>
        </w:tc>
        <w:tc>
          <w:tcPr>
            <w:tcW w:w="997" w:type="pct"/>
            <w:shd w:val="solid" w:color="FFFFFF" w:fill="auto"/>
            <w:vAlign w:val="center"/>
          </w:tcPr>
          <w:p w14:paraId="0273D6CD">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0391-2116963 15893053027</w:t>
            </w:r>
          </w:p>
        </w:tc>
        <w:tc>
          <w:tcPr>
            <w:tcW w:w="1391" w:type="pct"/>
            <w:shd w:val="solid" w:color="FFFFFF" w:fill="auto"/>
            <w:vAlign w:val="center"/>
          </w:tcPr>
          <w:p w14:paraId="4F797638">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焦作市山阳区迎宾路1号</w:t>
            </w:r>
          </w:p>
        </w:tc>
      </w:tr>
      <w:tr w14:paraId="1412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2012" w:type="pct"/>
            <w:shd w:val="clear" w:color="auto" w:fill="auto"/>
            <w:vAlign w:val="center"/>
          </w:tcPr>
          <w:p w14:paraId="784B7810">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中信银行股份有限公司焦作分行</w:t>
            </w:r>
          </w:p>
        </w:tc>
        <w:tc>
          <w:tcPr>
            <w:tcW w:w="598" w:type="pct"/>
            <w:shd w:val="clear" w:color="auto" w:fill="auto"/>
            <w:vAlign w:val="center"/>
          </w:tcPr>
          <w:p w14:paraId="1043A043">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周江江</w:t>
            </w:r>
          </w:p>
        </w:tc>
        <w:tc>
          <w:tcPr>
            <w:tcW w:w="997" w:type="pct"/>
            <w:shd w:val="clear" w:color="auto" w:fill="auto"/>
            <w:vAlign w:val="center"/>
          </w:tcPr>
          <w:p w14:paraId="1350CD84">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17639185001</w:t>
            </w:r>
          </w:p>
        </w:tc>
        <w:tc>
          <w:tcPr>
            <w:tcW w:w="1391" w:type="pct"/>
            <w:shd w:val="solid" w:color="FFFFFF" w:fill="auto"/>
            <w:vAlign w:val="center"/>
          </w:tcPr>
          <w:p w14:paraId="4933F4FD">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焦作市塔南路1736号嘉隆国际中心</w:t>
            </w:r>
          </w:p>
        </w:tc>
      </w:tr>
      <w:tr w14:paraId="11E5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012" w:type="pct"/>
            <w:shd w:val="clear" w:color="auto" w:fill="auto"/>
            <w:vAlign w:val="center"/>
          </w:tcPr>
          <w:p w14:paraId="43FCDA46">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中国光大银行股份有限公司焦作分行</w:t>
            </w:r>
          </w:p>
        </w:tc>
        <w:tc>
          <w:tcPr>
            <w:tcW w:w="598" w:type="pct"/>
            <w:shd w:val="solid" w:color="FFFFFF" w:fill="auto"/>
            <w:vAlign w:val="center"/>
          </w:tcPr>
          <w:p w14:paraId="37D84FD5">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王海宾</w:t>
            </w:r>
          </w:p>
        </w:tc>
        <w:tc>
          <w:tcPr>
            <w:tcW w:w="997" w:type="pct"/>
            <w:shd w:val="solid" w:color="FFFFFF" w:fill="auto"/>
            <w:vAlign w:val="center"/>
          </w:tcPr>
          <w:p w14:paraId="5AAAB8E5">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0391-8787996 13598534626</w:t>
            </w:r>
          </w:p>
        </w:tc>
        <w:tc>
          <w:tcPr>
            <w:tcW w:w="1391" w:type="pct"/>
            <w:shd w:val="solid" w:color="FFFFFF" w:fill="auto"/>
            <w:vAlign w:val="center"/>
          </w:tcPr>
          <w:p w14:paraId="1F4DE1E9">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焦作市塔南路1736号</w:t>
            </w:r>
          </w:p>
        </w:tc>
      </w:tr>
      <w:tr w14:paraId="716A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2012" w:type="pct"/>
            <w:shd w:val="clear" w:color="auto" w:fill="auto"/>
            <w:vAlign w:val="center"/>
          </w:tcPr>
          <w:p w14:paraId="06DC2D2E">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中原银行股份有限公司焦作分行</w:t>
            </w:r>
          </w:p>
        </w:tc>
        <w:tc>
          <w:tcPr>
            <w:tcW w:w="598" w:type="pct"/>
            <w:shd w:val="solid" w:color="FFFFFF" w:fill="auto"/>
            <w:vAlign w:val="center"/>
          </w:tcPr>
          <w:p w14:paraId="6EF13B1A">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赵伟</w:t>
            </w:r>
          </w:p>
        </w:tc>
        <w:tc>
          <w:tcPr>
            <w:tcW w:w="997" w:type="pct"/>
            <w:shd w:val="solid" w:color="FFFFFF" w:fill="auto"/>
            <w:vAlign w:val="center"/>
          </w:tcPr>
          <w:p w14:paraId="47A04444">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0391-8796520 15738533033</w:t>
            </w:r>
          </w:p>
        </w:tc>
        <w:tc>
          <w:tcPr>
            <w:tcW w:w="1391" w:type="pct"/>
            <w:shd w:val="solid" w:color="FFFFFF" w:fill="auto"/>
            <w:vAlign w:val="center"/>
          </w:tcPr>
          <w:p w14:paraId="18024E5E">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焦作市解放区人民路479号</w:t>
            </w:r>
          </w:p>
        </w:tc>
      </w:tr>
      <w:tr w14:paraId="6C5A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012" w:type="pct"/>
            <w:shd w:val="clear" w:color="auto" w:fill="auto"/>
            <w:vAlign w:val="center"/>
          </w:tcPr>
          <w:p w14:paraId="451F487F">
            <w:pPr>
              <w:pageBreakBefore w:val="0"/>
              <w:widowControl/>
              <w:tabs>
                <w:tab w:val="left" w:pos="0"/>
              </w:tabs>
              <w:kinsoku/>
              <w:wordWrap/>
              <w:overflowPunct/>
              <w:topLinePunct w:val="0"/>
              <w:autoSpaceDE/>
              <w:bidi w:val="0"/>
              <w:adjustRightInd/>
              <w:snapToGrid/>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广发银行股份有限公司焦作分行</w:t>
            </w:r>
          </w:p>
        </w:tc>
        <w:tc>
          <w:tcPr>
            <w:tcW w:w="598" w:type="pct"/>
            <w:shd w:val="solid" w:color="FFFFFF" w:fill="auto"/>
            <w:vAlign w:val="center"/>
          </w:tcPr>
          <w:p w14:paraId="2B702AFE">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shd w:val="clear" w:color="auto" w:fill="FFFFFF"/>
              </w:rPr>
              <w:t>张嘉强</w:t>
            </w:r>
          </w:p>
        </w:tc>
        <w:tc>
          <w:tcPr>
            <w:tcW w:w="997" w:type="pct"/>
            <w:shd w:val="solid" w:color="FFFFFF" w:fill="auto"/>
            <w:vAlign w:val="center"/>
          </w:tcPr>
          <w:p w14:paraId="35C30D81">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0391-653785 13203910032</w:t>
            </w:r>
          </w:p>
        </w:tc>
        <w:tc>
          <w:tcPr>
            <w:tcW w:w="1391" w:type="pct"/>
            <w:shd w:val="solid" w:color="FFFFFF" w:fill="auto"/>
            <w:vAlign w:val="center"/>
          </w:tcPr>
          <w:p w14:paraId="3AFF1D47">
            <w:pPr>
              <w:pageBreakBefore w:val="0"/>
              <w:shd w:val="solid" w:color="FFFFFF" w:fill="auto"/>
              <w:kinsoku/>
              <w:wordWrap/>
              <w:overflowPunct/>
              <w:topLinePunct w:val="0"/>
              <w:autoSpaceDE/>
              <w:autoSpaceDN w:val="0"/>
              <w:bidi w:val="0"/>
              <w:adjustRightInd/>
              <w:snapToGrid/>
              <w:spacing w:line="360" w:lineRule="auto"/>
              <w:jc w:val="center"/>
              <w:textAlignment w:val="center"/>
              <w:rPr>
                <w:rFonts w:hint="eastAsia" w:asciiTheme="minorEastAsia" w:hAnsiTheme="minorEastAsia" w:eastAsiaTheme="minorEastAsia" w:cstheme="minorEastAsia"/>
                <w:sz w:val="21"/>
                <w:szCs w:val="21"/>
                <w:shd w:val="clear" w:color="auto" w:fill="FFFFFF"/>
              </w:rPr>
            </w:pPr>
            <w:r>
              <w:rPr>
                <w:rFonts w:hint="eastAsia" w:asciiTheme="minorEastAsia" w:hAnsiTheme="minorEastAsia" w:eastAsiaTheme="minorEastAsia" w:cstheme="minorEastAsia"/>
                <w:sz w:val="21"/>
                <w:szCs w:val="21"/>
                <w:shd w:val="clear" w:color="auto" w:fill="FFFFFF"/>
              </w:rPr>
              <w:t>焦作市塔南路1736号嘉隆金融中心</w:t>
            </w:r>
          </w:p>
        </w:tc>
      </w:tr>
    </w:tbl>
    <w:p w14:paraId="2809090F">
      <w:pPr>
        <w:pageBreakBefore w:val="0"/>
        <w:kinsoku/>
        <w:wordWrap/>
        <w:overflowPunct/>
        <w:topLinePunct w:val="0"/>
        <w:autoSpaceDE/>
        <w:bidi w:val="0"/>
        <w:adjustRightInd/>
        <w:snapToGrid/>
        <w:spacing w:line="360" w:lineRule="auto"/>
        <w:ind w:firstLine="480"/>
        <w:rPr>
          <w:sz w:val="24"/>
          <w:szCs w:val="24"/>
        </w:rPr>
      </w:pPr>
      <w:r>
        <w:rPr>
          <w:rFonts w:hint="eastAsia" w:ascii="宋体" w:hAnsi="宋体" w:cs="宋体"/>
          <w:sz w:val="24"/>
          <w:szCs w:val="24"/>
        </w:rPr>
        <w:t>备注：融资服务机构名单和人员联系方式会随时变化。具体情况可登录“焦作市政府采购网”政府采购合同融资平台查询。</w:t>
      </w:r>
    </w:p>
    <w:p w14:paraId="42BD5B9D">
      <w:pPr>
        <w:pageBreakBefore w:val="0"/>
        <w:kinsoku/>
        <w:wordWrap/>
        <w:overflowPunct/>
        <w:topLinePunct w:val="0"/>
        <w:autoSpaceDE/>
        <w:bidi w:val="0"/>
        <w:adjustRightInd/>
        <w:snapToGrid/>
        <w:spacing w:line="360" w:lineRule="auto"/>
        <w:rPr>
          <w:sz w:val="24"/>
          <w:szCs w:val="24"/>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0" w:num="1"/>
          <w:docGrid w:type="lines" w:linePitch="379" w:charSpace="0"/>
        </w:sectPr>
      </w:pPr>
    </w:p>
    <w:p w14:paraId="306F172C">
      <w:pPr>
        <w:pStyle w:val="5"/>
        <w:pageBreakBefore w:val="0"/>
        <w:kinsoku/>
        <w:wordWrap/>
        <w:overflowPunct/>
        <w:topLinePunct w:val="0"/>
        <w:autoSpaceDE/>
        <w:bidi w:val="0"/>
        <w:adjustRightInd/>
        <w:snapToGrid/>
        <w:spacing w:line="360" w:lineRule="auto"/>
        <w:rPr>
          <w:rFonts w:hint="eastAsia" w:asciiTheme="minorEastAsia" w:hAnsiTheme="minorEastAsia" w:eastAsiaTheme="minorEastAsia" w:cstheme="minorEastAsia"/>
          <w:b/>
          <w:bCs w:val="0"/>
          <w:sz w:val="30"/>
          <w:szCs w:val="30"/>
        </w:rPr>
      </w:pPr>
      <w:bookmarkStart w:id="718" w:name="_Toc31251"/>
      <w:bookmarkStart w:id="719" w:name="_Toc26276"/>
      <w:bookmarkStart w:id="720" w:name="_Toc3792"/>
      <w:bookmarkStart w:id="721" w:name="_Toc23022"/>
      <w:bookmarkStart w:id="722" w:name="_Toc31189"/>
      <w:bookmarkStart w:id="723" w:name="_Toc32524"/>
      <w:bookmarkStart w:id="724" w:name="_Toc15530"/>
      <w:bookmarkStart w:id="725" w:name="_Toc12571"/>
      <w:bookmarkStart w:id="726" w:name="_Toc30680"/>
      <w:bookmarkStart w:id="727" w:name="_Toc24415"/>
      <w:r>
        <w:rPr>
          <w:rFonts w:hint="eastAsia" w:asciiTheme="minorEastAsia" w:hAnsiTheme="minorEastAsia" w:eastAsiaTheme="minorEastAsia" w:cstheme="minorEastAsia"/>
          <w:b/>
          <w:bCs w:val="0"/>
          <w:sz w:val="30"/>
          <w:szCs w:val="30"/>
        </w:rPr>
        <w:t>附件</w:t>
      </w:r>
      <w:r>
        <w:rPr>
          <w:rFonts w:hint="eastAsia" w:asciiTheme="minorEastAsia" w:hAnsiTheme="minorEastAsia" w:eastAsiaTheme="minorEastAsia" w:cstheme="minorEastAsia"/>
          <w:b/>
          <w:bCs w:val="0"/>
          <w:sz w:val="30"/>
          <w:szCs w:val="30"/>
          <w:lang w:val="en-US" w:eastAsia="zh-CN"/>
        </w:rPr>
        <w:t>4</w:t>
      </w:r>
      <w:r>
        <w:rPr>
          <w:rFonts w:hint="eastAsia" w:asciiTheme="minorEastAsia" w:hAnsiTheme="minorEastAsia" w:eastAsiaTheme="minorEastAsia" w:cstheme="minorEastAsia"/>
          <w:b/>
          <w:bCs w:val="0"/>
          <w:sz w:val="30"/>
          <w:szCs w:val="30"/>
        </w:rPr>
        <w:t>：节能产品政府采购品目清单</w:t>
      </w:r>
      <w:bookmarkEnd w:id="718"/>
      <w:bookmarkEnd w:id="719"/>
      <w:bookmarkEnd w:id="720"/>
      <w:bookmarkEnd w:id="721"/>
      <w:bookmarkEnd w:id="722"/>
      <w:bookmarkEnd w:id="723"/>
      <w:bookmarkEnd w:id="724"/>
      <w:bookmarkEnd w:id="725"/>
      <w:bookmarkEnd w:id="726"/>
      <w:bookmarkEnd w:id="727"/>
    </w:p>
    <w:p w14:paraId="4322163E">
      <w:pPr>
        <w:pStyle w:val="31"/>
        <w:tabs>
          <w:tab w:val="left" w:pos="420"/>
        </w:tabs>
        <w:spacing w:after="0" w:line="360" w:lineRule="auto"/>
        <w:ind w:left="0" w:firstLine="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407025" cy="7655560"/>
            <wp:effectExtent l="0" t="0" r="3175" b="2540"/>
            <wp:docPr id="5" name="图片 2" descr="91571227636007800406a48f79b5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91571227636007800406a48f79b5a57"/>
                    <pic:cNvPicPr>
                      <a:picLocks noChangeAspect="1"/>
                    </pic:cNvPicPr>
                  </pic:nvPicPr>
                  <pic:blipFill>
                    <a:blip r:embed="rId10"/>
                    <a:stretch>
                      <a:fillRect/>
                    </a:stretch>
                  </pic:blipFill>
                  <pic:spPr>
                    <a:xfrm>
                      <a:off x="0" y="0"/>
                      <a:ext cx="5407025" cy="7655560"/>
                    </a:xfrm>
                    <a:prstGeom prst="rect">
                      <a:avLst/>
                    </a:prstGeom>
                    <a:noFill/>
                    <a:ln>
                      <a:noFill/>
                    </a:ln>
                  </pic:spPr>
                </pic:pic>
              </a:graphicData>
            </a:graphic>
          </wp:inline>
        </w:drawing>
      </w:r>
      <w:r>
        <w:rPr>
          <w:rFonts w:hint="eastAsia" w:ascii="宋体" w:hAnsi="宋体" w:eastAsia="宋体" w:cs="宋体"/>
          <w:snapToGrid w:val="0"/>
          <w:w w:val="0"/>
          <w:sz w:val="16"/>
          <w:szCs w:val="0"/>
          <w:highlight w:val="none"/>
          <w:u w:val="none" w:color="000000"/>
          <w:shd w:val="clear" w:color="000000" w:fill="000000"/>
        </w:rPr>
        <w:t xml:space="preserve"> </w:t>
      </w:r>
      <w:r>
        <w:rPr>
          <w:rFonts w:hint="eastAsia" w:ascii="宋体" w:hAnsi="宋体" w:eastAsia="宋体" w:cs="宋体"/>
          <w:highlight w:val="none"/>
        </w:rPr>
        <w:drawing>
          <wp:inline distT="0" distB="0" distL="114300" distR="114300">
            <wp:extent cx="5732780" cy="8119745"/>
            <wp:effectExtent l="0" t="0" r="1270" b="5080"/>
            <wp:docPr id="2" name="图片 3" descr="c6bd16894bc20e4cd62c9a426d3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6bd16894bc20e4cd62c9a426d36532"/>
                    <pic:cNvPicPr>
                      <a:picLocks noChangeAspect="1"/>
                    </pic:cNvPicPr>
                  </pic:nvPicPr>
                  <pic:blipFill>
                    <a:blip r:embed="rId11"/>
                    <a:stretch>
                      <a:fillRect/>
                    </a:stretch>
                  </pic:blipFill>
                  <pic:spPr>
                    <a:xfrm>
                      <a:off x="0" y="0"/>
                      <a:ext cx="5732780" cy="8119745"/>
                    </a:xfrm>
                    <a:prstGeom prst="rect">
                      <a:avLst/>
                    </a:prstGeom>
                    <a:noFill/>
                    <a:ln>
                      <a:noFill/>
                    </a:ln>
                  </pic:spPr>
                </pic:pic>
              </a:graphicData>
            </a:graphic>
          </wp:inline>
        </w:drawing>
      </w:r>
    </w:p>
    <w:p w14:paraId="14506978">
      <w:pPr>
        <w:pStyle w:val="31"/>
        <w:tabs>
          <w:tab w:val="left" w:pos="420"/>
        </w:tabs>
        <w:spacing w:line="360" w:lineRule="auto"/>
        <w:rPr>
          <w:rFonts w:hint="eastAsia" w:ascii="宋体" w:hAnsi="宋体" w:eastAsia="宋体" w:cs="宋体"/>
          <w:highlight w:val="none"/>
        </w:rPr>
      </w:pPr>
    </w:p>
    <w:p w14:paraId="66A350AE">
      <w:pPr>
        <w:pStyle w:val="31"/>
        <w:rPr>
          <w:rFonts w:hint="eastAsia"/>
          <w:highlight w:val="none"/>
        </w:rPr>
      </w:pPr>
      <w:r>
        <w:rPr>
          <w:rFonts w:hint="eastAsia"/>
          <w:highlight w:val="none"/>
        </w:rPr>
        <w:drawing>
          <wp:inline distT="0" distB="0" distL="114300" distR="114300">
            <wp:extent cx="5732780" cy="8119745"/>
            <wp:effectExtent l="0" t="0" r="1270" b="5080"/>
            <wp:docPr id="4" name="图片 4" descr="58a95bd3b7bb0d3d292b5dff46d5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8a95bd3b7bb0d3d292b5dff46d56be"/>
                    <pic:cNvPicPr>
                      <a:picLocks noChangeAspect="1"/>
                    </pic:cNvPicPr>
                  </pic:nvPicPr>
                  <pic:blipFill>
                    <a:blip r:embed="rId12"/>
                    <a:stretch>
                      <a:fillRect/>
                    </a:stretch>
                  </pic:blipFill>
                  <pic:spPr>
                    <a:xfrm>
                      <a:off x="0" y="0"/>
                      <a:ext cx="5732780" cy="8119745"/>
                    </a:xfrm>
                    <a:prstGeom prst="rect">
                      <a:avLst/>
                    </a:prstGeom>
                    <a:noFill/>
                    <a:ln>
                      <a:noFill/>
                    </a:ln>
                  </pic:spPr>
                </pic:pic>
              </a:graphicData>
            </a:graphic>
          </wp:inline>
        </w:drawing>
      </w:r>
      <w:r>
        <w:rPr>
          <w:rFonts w:hint="eastAsia"/>
          <w:highlight w:val="none"/>
        </w:rPr>
        <w:drawing>
          <wp:inline distT="0" distB="0" distL="114300" distR="114300">
            <wp:extent cx="5733415" cy="8119110"/>
            <wp:effectExtent l="0" t="0" r="635" b="5715"/>
            <wp:docPr id="3" name="图片 5" descr="85ada8be9590c9cbcde21bcdd292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85ada8be9590c9cbcde21bcdd292bfd"/>
                    <pic:cNvPicPr>
                      <a:picLocks noChangeAspect="1"/>
                    </pic:cNvPicPr>
                  </pic:nvPicPr>
                  <pic:blipFill>
                    <a:blip r:embed="rId13"/>
                    <a:stretch>
                      <a:fillRect/>
                    </a:stretch>
                  </pic:blipFill>
                  <pic:spPr>
                    <a:xfrm>
                      <a:off x="0" y="0"/>
                      <a:ext cx="5733415" cy="8119110"/>
                    </a:xfrm>
                    <a:prstGeom prst="rect">
                      <a:avLst/>
                    </a:prstGeom>
                    <a:noFill/>
                    <a:ln>
                      <a:noFill/>
                    </a:ln>
                  </pic:spPr>
                </pic:pic>
              </a:graphicData>
            </a:graphic>
          </wp:inline>
        </w:drawing>
      </w:r>
    </w:p>
    <w:p w14:paraId="5A9B18E9">
      <w:pPr>
        <w:pStyle w:val="32"/>
        <w:rPr>
          <w:rFonts w:hint="eastAsia"/>
          <w:highlight w:val="none"/>
        </w:rPr>
        <w:sectPr>
          <w:pgSz w:w="11907" w:h="16840"/>
          <w:pgMar w:top="1417" w:right="1417" w:bottom="1417" w:left="1417" w:header="850" w:footer="998" w:gutter="0"/>
          <w:pgBorders>
            <w:top w:val="none" w:sz="0" w:space="0"/>
            <w:left w:val="none" w:sz="0" w:space="0"/>
            <w:bottom w:val="none" w:sz="0" w:space="0"/>
            <w:right w:val="none" w:sz="0" w:space="0"/>
          </w:pgBorders>
          <w:pgNumType w:fmt="decimal"/>
          <w:cols w:space="0" w:num="1"/>
          <w:docGrid w:type="lines" w:linePitch="379" w:charSpace="0"/>
        </w:sectPr>
      </w:pPr>
    </w:p>
    <w:p w14:paraId="3BEBA373">
      <w:pPr>
        <w:pStyle w:val="5"/>
        <w:pageBreakBefore w:val="0"/>
        <w:kinsoku/>
        <w:wordWrap/>
        <w:overflowPunct/>
        <w:topLinePunct w:val="0"/>
        <w:autoSpaceDE/>
        <w:bidi w:val="0"/>
        <w:adjustRightInd/>
        <w:snapToGrid/>
        <w:spacing w:line="360" w:lineRule="auto"/>
        <w:rPr>
          <w:rFonts w:hint="default" w:asciiTheme="minorEastAsia" w:hAnsiTheme="minorEastAsia" w:eastAsiaTheme="minorEastAsia" w:cstheme="minorEastAsia"/>
          <w:b/>
          <w:bCs w:val="0"/>
          <w:sz w:val="30"/>
          <w:szCs w:val="30"/>
          <w:lang w:val="en-US" w:eastAsia="zh-CN"/>
        </w:rPr>
      </w:pPr>
      <w:bookmarkStart w:id="728" w:name="_Toc4206"/>
      <w:bookmarkStart w:id="729" w:name="_Toc19589"/>
      <w:bookmarkStart w:id="730" w:name="_Toc28312"/>
      <w:bookmarkStart w:id="731" w:name="_Toc826"/>
      <w:bookmarkStart w:id="732" w:name="_Toc18105"/>
      <w:bookmarkStart w:id="733" w:name="_Toc9603"/>
      <w:bookmarkStart w:id="734" w:name="_Toc10793"/>
      <w:r>
        <w:rPr>
          <w:rFonts w:hint="eastAsia" w:asciiTheme="minorEastAsia" w:hAnsiTheme="minorEastAsia" w:eastAsiaTheme="minorEastAsia" w:cstheme="minorEastAsia"/>
          <w:b/>
          <w:bCs w:val="0"/>
          <w:sz w:val="30"/>
          <w:szCs w:val="30"/>
          <w:lang w:val="en-US" w:eastAsia="zh-CN"/>
        </w:rPr>
        <w:t>附件5：</w:t>
      </w:r>
      <w:bookmarkEnd w:id="728"/>
      <w:r>
        <w:rPr>
          <w:rFonts w:hint="eastAsia" w:asciiTheme="minorEastAsia" w:hAnsiTheme="minorEastAsia" w:eastAsiaTheme="minorEastAsia" w:cstheme="minorEastAsia"/>
          <w:b/>
          <w:bCs w:val="0"/>
          <w:sz w:val="30"/>
          <w:szCs w:val="30"/>
          <w:lang w:val="en-US" w:eastAsia="zh-CN"/>
        </w:rPr>
        <w:t>大中小微型企业划分标准</w:t>
      </w:r>
      <w:bookmarkEnd w:id="729"/>
      <w:bookmarkEnd w:id="730"/>
      <w:bookmarkEnd w:id="731"/>
      <w:bookmarkEnd w:id="732"/>
      <w:bookmarkEnd w:id="733"/>
      <w:bookmarkEnd w:id="734"/>
    </w:p>
    <w:p w14:paraId="6B43F102">
      <w:pPr>
        <w:pStyle w:val="24"/>
        <w:numPr>
          <w:ilvl w:val="0"/>
          <w:numId w:val="0"/>
        </w:numPr>
        <w:tabs>
          <w:tab w:val="left" w:pos="420"/>
        </w:tabs>
        <w:spacing w:line="360" w:lineRule="auto"/>
        <w:rPr>
          <w:rFonts w:hint="eastAsia" w:ascii="宋体" w:hAnsi="宋体" w:eastAsia="宋体" w:cs="宋体"/>
          <w:color w:val="auto"/>
          <w:szCs w:val="21"/>
          <w:highlight w:val="none"/>
        </w:rPr>
      </w:pPr>
      <w:r>
        <w:drawing>
          <wp:inline distT="0" distB="0" distL="114300" distR="114300">
            <wp:extent cx="5753735" cy="7381875"/>
            <wp:effectExtent l="0" t="0" r="889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5753735" cy="7381875"/>
                    </a:xfrm>
                    <a:prstGeom prst="rect">
                      <a:avLst/>
                    </a:prstGeom>
                    <a:noFill/>
                    <a:ln>
                      <a:noFill/>
                    </a:ln>
                  </pic:spPr>
                </pic:pic>
              </a:graphicData>
            </a:graphic>
          </wp:inline>
        </w:drawing>
      </w:r>
    </w:p>
    <w:p w14:paraId="2FCBD2E3">
      <w:pPr>
        <w:pStyle w:val="24"/>
        <w:numPr>
          <w:ilvl w:val="0"/>
          <w:numId w:val="0"/>
        </w:numPr>
        <w:tabs>
          <w:tab w:val="left" w:pos="420"/>
        </w:tabs>
        <w:spacing w:line="360" w:lineRule="auto"/>
        <w:rPr>
          <w:rFonts w:hint="eastAsia" w:ascii="宋体" w:hAnsi="宋体" w:eastAsia="宋体" w:cs="宋体"/>
          <w:color w:val="auto"/>
          <w:szCs w:val="21"/>
          <w:highlight w:val="none"/>
        </w:rPr>
      </w:pPr>
    </w:p>
    <w:p w14:paraId="17C49B17">
      <w:pPr>
        <w:pStyle w:val="24"/>
        <w:numPr>
          <w:ilvl w:val="0"/>
          <w:numId w:val="0"/>
        </w:numPr>
        <w:tabs>
          <w:tab w:val="left" w:pos="420"/>
        </w:tabs>
        <w:spacing w:line="360" w:lineRule="auto"/>
        <w:rPr>
          <w:rFonts w:hint="eastAsia" w:ascii="宋体" w:hAnsi="宋体" w:eastAsia="宋体" w:cs="宋体"/>
          <w:color w:val="auto"/>
          <w:szCs w:val="21"/>
          <w:highlight w:val="none"/>
        </w:rPr>
      </w:pPr>
    </w:p>
    <w:p w14:paraId="1402CA26">
      <w:pPr>
        <w:pStyle w:val="24"/>
        <w:numPr>
          <w:ilvl w:val="0"/>
          <w:numId w:val="0"/>
        </w:numPr>
        <w:tabs>
          <w:tab w:val="left" w:pos="420"/>
        </w:tabs>
        <w:spacing w:line="360" w:lineRule="auto"/>
        <w:rPr>
          <w:rFonts w:hint="eastAsia" w:ascii="宋体" w:hAnsi="宋体" w:eastAsia="宋体" w:cs="宋体"/>
          <w:color w:val="auto"/>
          <w:szCs w:val="21"/>
          <w:highlight w:val="none"/>
        </w:rPr>
        <w:sectPr>
          <w:pgSz w:w="11905" w:h="16838"/>
          <w:pgMar w:top="1417" w:right="1417" w:bottom="1417" w:left="1417" w:header="850" w:footer="992" w:gutter="0"/>
          <w:pgBorders>
            <w:top w:val="none" w:sz="0" w:space="0"/>
            <w:left w:val="none" w:sz="0" w:space="0"/>
            <w:bottom w:val="none" w:sz="0" w:space="0"/>
            <w:right w:val="none" w:sz="0" w:space="0"/>
          </w:pgBorders>
          <w:pgNumType w:fmt="decimal"/>
          <w:cols w:space="720" w:num="1"/>
          <w:docGrid w:type="lines" w:linePitch="318" w:charSpace="0"/>
        </w:sectPr>
      </w:pPr>
    </w:p>
    <w:p w14:paraId="51969FA4">
      <w:r>
        <w:drawing>
          <wp:inline distT="0" distB="0" distL="114300" distR="114300">
            <wp:extent cx="5760085" cy="7296785"/>
            <wp:effectExtent l="0" t="0" r="2540" b="889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5760085" cy="7296785"/>
                    </a:xfrm>
                    <a:prstGeom prst="rect">
                      <a:avLst/>
                    </a:prstGeom>
                    <a:noFill/>
                    <a:ln>
                      <a:noFill/>
                    </a:ln>
                  </pic:spPr>
                </pic:pic>
              </a:graphicData>
            </a:graphic>
          </wp:inline>
        </w:drawing>
      </w:r>
    </w:p>
    <w:p w14:paraId="4D9C2CF0"/>
    <w:p w14:paraId="75DF7683">
      <w:pPr>
        <w:pStyle w:val="32"/>
      </w:pPr>
    </w:p>
    <w:sectPr>
      <w:pgSz w:w="11905" w:h="16838"/>
      <w:pgMar w:top="1417" w:right="1417" w:bottom="1417" w:left="1417" w:header="850" w:footer="992" w:gutter="0"/>
      <w:pgBorders>
        <w:top w:val="none" w:sz="0" w:space="0"/>
        <w:left w:val="none" w:sz="0" w:space="0"/>
        <w:bottom w:val="none" w:sz="0" w:space="0"/>
        <w:right w:val="none" w:sz="0" w:space="0"/>
      </w:pgBorders>
      <w:pgNumType w:fmt="decimal"/>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D7685F6-2CCE-49E1-9CDC-BF7C5FFC5DE3}"/>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497AA0A-2F03-4B03-BCA5-FB292FB154A3}"/>
  </w:font>
  <w:font w:name="Book Antiqua">
    <w:panose1 w:val="02040602050305030304"/>
    <w:charset w:val="00"/>
    <w:family w:val="roman"/>
    <w:pitch w:val="default"/>
    <w:sig w:usb0="00000287" w:usb1="00000000" w:usb2="00000000" w:usb3="00000000" w:csb0="2000009F" w:csb1="DFD70000"/>
    <w:embedRegular r:id="rId3" w:fontKey="{A41B97D7-8E21-479F-A6AB-61C5B23DE388}"/>
  </w:font>
  <w:font w:name="Calibri Light">
    <w:panose1 w:val="020F03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CDB22815-5DFC-4184-848A-3ABA3023D3DB}"/>
  </w:font>
  <w:font w:name="方正小标宋简体">
    <w:panose1 w:val="03000509000000000000"/>
    <w:charset w:val="86"/>
    <w:family w:val="auto"/>
    <w:pitch w:val="default"/>
    <w:sig w:usb0="00000001" w:usb1="080E0000" w:usb2="00000000" w:usb3="00000000" w:csb0="00040000" w:csb1="00000000"/>
    <w:embedRegular r:id="rId5" w:fontKey="{3913CFB4-56EB-4FAC-B739-4AE5FA6AFF07}"/>
  </w:font>
  <w:font w:name="WPSEMBED2">
    <w:panose1 w:val="020406020503050303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C2E2F">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3E583">
    <w:pPr>
      <w:pStyle w:val="22"/>
    </w:pPr>
    <w:r>
      <w:pict>
        <v:shape id="文本框 1" o:spid="_x0000_s4097" o:spt="202" type="#_x0000_t202" style="position:absolute;left:0pt;margin-left:189.25pt;margin-top:-21.75pt;height:165.75pt;width:119.25pt;mso-position-horizontal-relative:margin;z-index:251659264;mso-width-relative:page;mso-height-relative:page;" filled="f" stroked="f" coordsize="21600,21600" o:gfxdata="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Pf+m2AAAAAsBAAAPAAAAAAAAAAEAIAAAACIAAABkcnMvZG93bnJldi54bWxQSwECFAAUAAAACACH&#10;TuJAQ2062bIBAABdAwAADgAAAAAAAAABACAAAAAnAQAAZHJzL2Uyb0RvYy54bWxQSwUGAAAAAAYA&#10;BgBZAQAASwUAAAAA&#10;">
          <v:path/>
          <v:fill on="f" focussize="0,0"/>
          <v:stroke on="f" joinstyle="miter"/>
          <v:imagedata o:title=""/>
          <o:lock v:ext="edit"/>
          <v:textbox>
            <w:txbxContent>
              <w:p w14:paraId="66358E4D">
                <w:pPr>
                  <w:snapToGrid w:val="0"/>
                  <w:rPr>
                    <w:sz w:val="1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76A3">
    <w:pPr>
      <w:pBdr>
        <w:top w:val="thinThickSmallGap" w:color="auto" w:sz="24" w:space="1"/>
        <w:left w:val="none" w:color="auto" w:sz="0" w:space="4"/>
        <w:bottom w:val="none" w:color="auto" w:sz="0" w:space="1"/>
        <w:right w:val="none" w:color="auto" w:sz="0" w:space="4"/>
      </w:pBdr>
      <w:tabs>
        <w:tab w:val="left" w:pos="420"/>
      </w:tabs>
      <w:ind w:left="1197" w:leftChars="200" w:hanging="777" w:hangingChars="370"/>
      <w:rPr>
        <w:sz w:val="16"/>
        <w:szCs w:val="22"/>
      </w:rPr>
    </w:pPr>
    <w:r>
      <w:rPr>
        <w:highlight w:val="none"/>
      </w:rPr>
      <w:drawing>
        <wp:anchor distT="0" distB="0" distL="114300" distR="114300" simplePos="0" relativeHeight="251661312" behindDoc="0" locked="0" layoutInCell="1" allowOverlap="1">
          <wp:simplePos x="0" y="0"/>
          <wp:positionH relativeFrom="column">
            <wp:posOffset>-6350</wp:posOffset>
          </wp:positionH>
          <wp:positionV relativeFrom="paragraph">
            <wp:posOffset>-64770</wp:posOffset>
          </wp:positionV>
          <wp:extent cx="271780" cy="252095"/>
          <wp:effectExtent l="0" t="0" r="4445" b="5080"/>
          <wp:wrapSquare wrapText="bothSides"/>
          <wp:docPr id="8" name="图片 8" descr="C:\Users\Administrator\Desktop\QQ图片20190413145940.pngQQ图片2019041314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QQ图片20190413145940.pngQQ图片20190413145940"/>
                  <pic:cNvPicPr>
                    <a:picLocks noChangeAspect="1"/>
                  </pic:cNvPicPr>
                </pic:nvPicPr>
                <pic:blipFill>
                  <a:blip r:embed="rId1"/>
                  <a:stretch>
                    <a:fillRect/>
                  </a:stretch>
                </pic:blipFill>
                <pic:spPr>
                  <a:xfrm>
                    <a:off x="0" y="0"/>
                    <a:ext cx="271780" cy="252095"/>
                  </a:xfrm>
                  <a:prstGeom prst="rect">
                    <a:avLst/>
                  </a:prstGeom>
                  <a:noFill/>
                  <a:ln>
                    <a:noFill/>
                  </a:ln>
                </pic:spPr>
              </pic:pic>
            </a:graphicData>
          </a:graphic>
        </wp:anchor>
      </w:drawing>
    </w:r>
    <w:r>
      <w:rPr>
        <w:sz w:val="15"/>
      </w:rPr>
      <w:pict>
        <v:shape id="_x0000_s4098" o:spid="_x0000_s4098"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59CB49DD">
                <w:pPr>
                  <w:pStyle w:val="22"/>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w:r>
    <w:r>
      <w:rPr>
        <w:rFonts w:hint="eastAsia" w:ascii="宋体" w:hAnsi="宋体" w:eastAsia="宋体" w:cs="宋体"/>
        <w:b/>
        <w:bCs/>
        <w:sz w:val="15"/>
        <w:szCs w:val="15"/>
      </w:rPr>
      <w:t>河南领秀工程造价咨询有限公司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F31FC">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8C060">
    <w:pPr>
      <w:numPr>
        <w:ilvl w:val="0"/>
        <w:numId w:val="0"/>
      </w:numPr>
      <w:pBdr>
        <w:top w:val="none" w:color="auto" w:sz="0" w:space="1"/>
        <w:left w:val="none" w:color="auto" w:sz="0" w:space="4"/>
        <w:bottom w:val="thickThinSmallGap" w:color="auto" w:sz="12" w:space="1"/>
        <w:right w:val="none" w:color="auto" w:sz="0" w:space="4"/>
      </w:pBdr>
      <w:tabs>
        <w:tab w:val="left" w:pos="420"/>
      </w:tabs>
      <w:jc w:val="center"/>
    </w:pPr>
    <w:r>
      <w:rPr>
        <w:rFonts w:hint="eastAsia" w:ascii="宋体" w:hAnsi="宋体" w:cs="宋体"/>
        <w:b/>
        <w:bCs/>
        <w:kern w:val="0"/>
        <w:sz w:val="21"/>
        <w:szCs w:val="21"/>
        <w:lang w:eastAsia="zh-CN" w:bidi="ar"/>
      </w:rPr>
      <w:t>博爱县城市生命线系统暨运行管理服务平台项目（一期）</w:t>
    </w:r>
    <w:r>
      <w:rPr>
        <w:rFonts w:hint="eastAsia" w:ascii="宋体" w:hAnsi="宋体" w:eastAsia="宋体" w:cs="宋体"/>
        <w:b/>
        <w:bCs/>
        <w:kern w:val="0"/>
        <w:sz w:val="21"/>
        <w:szCs w:val="21"/>
        <w:lang w:val="en-US" w:eastAsia="zh-CN" w:bidi="ar"/>
      </w:rPr>
      <w:t xml:space="preserve">                       </w:t>
    </w:r>
    <w:r>
      <w:rPr>
        <w:rFonts w:hint="eastAsia" w:ascii="宋体" w:hAnsi="宋体" w:eastAsia="宋体" w:cs="宋体"/>
        <w:b/>
        <w:bCs/>
        <w:kern w:val="0"/>
        <w:sz w:val="21"/>
        <w:szCs w:val="21"/>
        <w:lang w:bidi="ar"/>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D0B0A"/>
    <w:multiLevelType w:val="singleLevel"/>
    <w:tmpl w:val="955D0B0A"/>
    <w:lvl w:ilvl="0" w:tentative="0">
      <w:start w:val="1"/>
      <w:numFmt w:val="decimal"/>
      <w:suff w:val="nothing"/>
      <w:lvlText w:val="（%1）"/>
      <w:lvlJc w:val="left"/>
    </w:lvl>
  </w:abstractNum>
  <w:abstractNum w:abstractNumId="1">
    <w:nsid w:val="B940B7CB"/>
    <w:multiLevelType w:val="singleLevel"/>
    <w:tmpl w:val="B940B7CB"/>
    <w:lvl w:ilvl="0" w:tentative="0">
      <w:start w:val="3"/>
      <w:numFmt w:val="decimal"/>
      <w:suff w:val="nothing"/>
      <w:lvlText w:val="%1、"/>
      <w:lvlJc w:val="left"/>
    </w:lvl>
  </w:abstractNum>
  <w:abstractNum w:abstractNumId="2">
    <w:nsid w:val="C5A0F9D9"/>
    <w:multiLevelType w:val="singleLevel"/>
    <w:tmpl w:val="C5A0F9D9"/>
    <w:lvl w:ilvl="0" w:tentative="0">
      <w:start w:val="1"/>
      <w:numFmt w:val="decimal"/>
      <w:suff w:val="nothing"/>
      <w:lvlText w:val="%1、"/>
      <w:lvlJc w:val="left"/>
    </w:lvl>
  </w:abstractNum>
  <w:abstractNum w:abstractNumId="3">
    <w:nsid w:val="074054F6"/>
    <w:multiLevelType w:val="multilevel"/>
    <w:tmpl w:val="074054F6"/>
    <w:lvl w:ilvl="0" w:tentative="0">
      <w:start w:val="1"/>
      <w:numFmt w:val="decimal"/>
      <w:pStyle w:val="44"/>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1C58BAF0"/>
    <w:multiLevelType w:val="singleLevel"/>
    <w:tmpl w:val="1C58BAF0"/>
    <w:lvl w:ilvl="0" w:tentative="0">
      <w:start w:val="1"/>
      <w:numFmt w:val="decimal"/>
      <w:suff w:val="nothing"/>
      <w:lvlText w:val="（%1）"/>
      <w:lvlJc w:val="left"/>
    </w:lvl>
  </w:abstractNum>
  <w:abstractNum w:abstractNumId="5">
    <w:nsid w:val="1C6C9C68"/>
    <w:multiLevelType w:val="singleLevel"/>
    <w:tmpl w:val="1C6C9C68"/>
    <w:lvl w:ilvl="0" w:tentative="0">
      <w:start w:val="1"/>
      <w:numFmt w:val="chineseCounting"/>
      <w:suff w:val="nothing"/>
      <w:lvlText w:val="%1、"/>
      <w:lvlJc w:val="left"/>
      <w:rPr>
        <w:rFonts w:hint="eastAsia"/>
      </w:rPr>
    </w:lvl>
  </w:abstractNum>
  <w:abstractNum w:abstractNumId="6">
    <w:nsid w:val="1D491617"/>
    <w:multiLevelType w:val="multilevel"/>
    <w:tmpl w:val="1D491617"/>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7">
    <w:nsid w:val="2C59C011"/>
    <w:multiLevelType w:val="multilevel"/>
    <w:tmpl w:val="2C59C011"/>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8">
    <w:nsid w:val="6D443A17"/>
    <w:multiLevelType w:val="singleLevel"/>
    <w:tmpl w:val="6D443A17"/>
    <w:lvl w:ilvl="0" w:tentative="0">
      <w:start w:val="1"/>
      <w:numFmt w:val="decimal"/>
      <w:suff w:val="nothing"/>
      <w:lvlText w:val="%1、"/>
      <w:lvlJc w:val="left"/>
    </w:lvl>
  </w:abstractNum>
  <w:abstractNum w:abstractNumId="9">
    <w:nsid w:val="75324FB0"/>
    <w:multiLevelType w:val="singleLevel"/>
    <w:tmpl w:val="75324FB0"/>
    <w:lvl w:ilvl="0" w:tentative="0">
      <w:start w:val="1"/>
      <w:numFmt w:val="chineseCounting"/>
      <w:suff w:val="space"/>
      <w:lvlText w:val="第%1章"/>
      <w:lvlJc w:val="left"/>
      <w:pPr>
        <w:ind w:left="2693"/>
      </w:pPr>
      <w:rPr>
        <w:rFonts w:hint="eastAsia"/>
      </w:rPr>
    </w:lvl>
  </w:abstractNum>
  <w:num w:numId="1">
    <w:abstractNumId w:val="3"/>
  </w:num>
  <w:num w:numId="2">
    <w:abstractNumId w:val="1"/>
  </w:num>
  <w:num w:numId="3">
    <w:abstractNumId w:val="9"/>
  </w:num>
  <w:num w:numId="4">
    <w:abstractNumId w:val="4"/>
  </w:num>
  <w:num w:numId="5">
    <w:abstractNumId w:val="5"/>
  </w:num>
  <w:num w:numId="6">
    <w:abstractNumId w:val="0"/>
  </w:num>
  <w:num w:numId="7">
    <w:abstractNumId w:val="2"/>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37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IzN2RiYzNkNmQ5ZjAwZmY1OGRlM2FiY2FmNDE0ZjQifQ=="/>
  </w:docVars>
  <w:rsids>
    <w:rsidRoot w:val="00CF3BAF"/>
    <w:rsid w:val="00001E16"/>
    <w:rsid w:val="00030FE8"/>
    <w:rsid w:val="00031F80"/>
    <w:rsid w:val="000567CC"/>
    <w:rsid w:val="000873D4"/>
    <w:rsid w:val="00092C2D"/>
    <w:rsid w:val="000D23F7"/>
    <w:rsid w:val="000E0A41"/>
    <w:rsid w:val="000F79F1"/>
    <w:rsid w:val="00100C3C"/>
    <w:rsid w:val="00101084"/>
    <w:rsid w:val="00121A2D"/>
    <w:rsid w:val="001300E3"/>
    <w:rsid w:val="001345CA"/>
    <w:rsid w:val="001752E6"/>
    <w:rsid w:val="001755C1"/>
    <w:rsid w:val="001764B3"/>
    <w:rsid w:val="00176BEC"/>
    <w:rsid w:val="001A41FF"/>
    <w:rsid w:val="001A555A"/>
    <w:rsid w:val="001B7373"/>
    <w:rsid w:val="001C680C"/>
    <w:rsid w:val="001E5464"/>
    <w:rsid w:val="0020272C"/>
    <w:rsid w:val="002145A1"/>
    <w:rsid w:val="00215D2E"/>
    <w:rsid w:val="00220A0F"/>
    <w:rsid w:val="002426F2"/>
    <w:rsid w:val="00267FBB"/>
    <w:rsid w:val="00281BCC"/>
    <w:rsid w:val="00286C81"/>
    <w:rsid w:val="00294D0D"/>
    <w:rsid w:val="002D071D"/>
    <w:rsid w:val="002E2D00"/>
    <w:rsid w:val="002E3E38"/>
    <w:rsid w:val="002F7142"/>
    <w:rsid w:val="00310969"/>
    <w:rsid w:val="00315DE7"/>
    <w:rsid w:val="0033400B"/>
    <w:rsid w:val="00337586"/>
    <w:rsid w:val="0034193D"/>
    <w:rsid w:val="0037545D"/>
    <w:rsid w:val="00382698"/>
    <w:rsid w:val="0038377A"/>
    <w:rsid w:val="003A5110"/>
    <w:rsid w:val="003B593F"/>
    <w:rsid w:val="003C687B"/>
    <w:rsid w:val="003E73C1"/>
    <w:rsid w:val="003F1F81"/>
    <w:rsid w:val="004003A4"/>
    <w:rsid w:val="0040509D"/>
    <w:rsid w:val="004378B2"/>
    <w:rsid w:val="0044714F"/>
    <w:rsid w:val="00456693"/>
    <w:rsid w:val="00472E42"/>
    <w:rsid w:val="00473108"/>
    <w:rsid w:val="00481F81"/>
    <w:rsid w:val="004A4CB9"/>
    <w:rsid w:val="004A7B3F"/>
    <w:rsid w:val="004B7CC0"/>
    <w:rsid w:val="004D3E34"/>
    <w:rsid w:val="004D445A"/>
    <w:rsid w:val="004E21EA"/>
    <w:rsid w:val="004E31D9"/>
    <w:rsid w:val="004E6E19"/>
    <w:rsid w:val="004F1673"/>
    <w:rsid w:val="004F55D0"/>
    <w:rsid w:val="004F727C"/>
    <w:rsid w:val="005329C2"/>
    <w:rsid w:val="00540344"/>
    <w:rsid w:val="00554035"/>
    <w:rsid w:val="00572CA1"/>
    <w:rsid w:val="0057569A"/>
    <w:rsid w:val="00581A53"/>
    <w:rsid w:val="00586B75"/>
    <w:rsid w:val="005D0392"/>
    <w:rsid w:val="005D57A5"/>
    <w:rsid w:val="005D7066"/>
    <w:rsid w:val="00620789"/>
    <w:rsid w:val="006235BB"/>
    <w:rsid w:val="00632E2C"/>
    <w:rsid w:val="00650F64"/>
    <w:rsid w:val="00653EFC"/>
    <w:rsid w:val="00661847"/>
    <w:rsid w:val="00664AF0"/>
    <w:rsid w:val="00666C3F"/>
    <w:rsid w:val="00666E50"/>
    <w:rsid w:val="0069744B"/>
    <w:rsid w:val="00697EF6"/>
    <w:rsid w:val="006A0697"/>
    <w:rsid w:val="006B2CA3"/>
    <w:rsid w:val="006B3267"/>
    <w:rsid w:val="006B4F0B"/>
    <w:rsid w:val="006C5275"/>
    <w:rsid w:val="006F059E"/>
    <w:rsid w:val="006F2C3F"/>
    <w:rsid w:val="007048DF"/>
    <w:rsid w:val="0070516B"/>
    <w:rsid w:val="00715848"/>
    <w:rsid w:val="00726300"/>
    <w:rsid w:val="00733D4C"/>
    <w:rsid w:val="007439FF"/>
    <w:rsid w:val="007575CA"/>
    <w:rsid w:val="00757B9E"/>
    <w:rsid w:val="007C105F"/>
    <w:rsid w:val="007E638B"/>
    <w:rsid w:val="008171C6"/>
    <w:rsid w:val="00826118"/>
    <w:rsid w:val="00831DEF"/>
    <w:rsid w:val="0084328A"/>
    <w:rsid w:val="00843B55"/>
    <w:rsid w:val="00844BE6"/>
    <w:rsid w:val="00860207"/>
    <w:rsid w:val="008602DA"/>
    <w:rsid w:val="0087156E"/>
    <w:rsid w:val="0087167F"/>
    <w:rsid w:val="00895A36"/>
    <w:rsid w:val="008A6253"/>
    <w:rsid w:val="008E7880"/>
    <w:rsid w:val="00910734"/>
    <w:rsid w:val="00912A54"/>
    <w:rsid w:val="0093590F"/>
    <w:rsid w:val="009370EE"/>
    <w:rsid w:val="009374BF"/>
    <w:rsid w:val="009863FD"/>
    <w:rsid w:val="009B1669"/>
    <w:rsid w:val="009B5FE2"/>
    <w:rsid w:val="009D3832"/>
    <w:rsid w:val="009F1B39"/>
    <w:rsid w:val="009F5863"/>
    <w:rsid w:val="00A14599"/>
    <w:rsid w:val="00A302F3"/>
    <w:rsid w:val="00A352E8"/>
    <w:rsid w:val="00A56DED"/>
    <w:rsid w:val="00A65DF7"/>
    <w:rsid w:val="00A6740B"/>
    <w:rsid w:val="00A74E1F"/>
    <w:rsid w:val="00A953B1"/>
    <w:rsid w:val="00AA0C0E"/>
    <w:rsid w:val="00AD7A7F"/>
    <w:rsid w:val="00AE3E37"/>
    <w:rsid w:val="00B01BDA"/>
    <w:rsid w:val="00B1290E"/>
    <w:rsid w:val="00B12AB6"/>
    <w:rsid w:val="00B42415"/>
    <w:rsid w:val="00B469BF"/>
    <w:rsid w:val="00B83830"/>
    <w:rsid w:val="00B86A5A"/>
    <w:rsid w:val="00BB191C"/>
    <w:rsid w:val="00BD290F"/>
    <w:rsid w:val="00BE0E8C"/>
    <w:rsid w:val="00BE1545"/>
    <w:rsid w:val="00BF2E6B"/>
    <w:rsid w:val="00BF7E92"/>
    <w:rsid w:val="00C3336E"/>
    <w:rsid w:val="00C51C2D"/>
    <w:rsid w:val="00C60241"/>
    <w:rsid w:val="00C62318"/>
    <w:rsid w:val="00C6692C"/>
    <w:rsid w:val="00C80115"/>
    <w:rsid w:val="00C84D44"/>
    <w:rsid w:val="00C94A06"/>
    <w:rsid w:val="00C94AF7"/>
    <w:rsid w:val="00CB518A"/>
    <w:rsid w:val="00CC2A37"/>
    <w:rsid w:val="00CF3BAF"/>
    <w:rsid w:val="00CF490C"/>
    <w:rsid w:val="00D10227"/>
    <w:rsid w:val="00D13A0E"/>
    <w:rsid w:val="00D20449"/>
    <w:rsid w:val="00D23242"/>
    <w:rsid w:val="00D33ED4"/>
    <w:rsid w:val="00D50F46"/>
    <w:rsid w:val="00D55A92"/>
    <w:rsid w:val="00D57727"/>
    <w:rsid w:val="00D82E9E"/>
    <w:rsid w:val="00D850D8"/>
    <w:rsid w:val="00D91A93"/>
    <w:rsid w:val="00D976A3"/>
    <w:rsid w:val="00DA2FC4"/>
    <w:rsid w:val="00DB1597"/>
    <w:rsid w:val="00DB38A1"/>
    <w:rsid w:val="00DB6D6D"/>
    <w:rsid w:val="00DB780C"/>
    <w:rsid w:val="00DB7F04"/>
    <w:rsid w:val="00DD615E"/>
    <w:rsid w:val="00DE5033"/>
    <w:rsid w:val="00E16A55"/>
    <w:rsid w:val="00E17B76"/>
    <w:rsid w:val="00E30FAC"/>
    <w:rsid w:val="00E543D3"/>
    <w:rsid w:val="00E61A34"/>
    <w:rsid w:val="00E91213"/>
    <w:rsid w:val="00EC4BBF"/>
    <w:rsid w:val="00EC6CC8"/>
    <w:rsid w:val="00EE2FC0"/>
    <w:rsid w:val="00EF4E20"/>
    <w:rsid w:val="00EF5073"/>
    <w:rsid w:val="00F26328"/>
    <w:rsid w:val="00F40FB1"/>
    <w:rsid w:val="00F4265C"/>
    <w:rsid w:val="00F44D8F"/>
    <w:rsid w:val="00F64654"/>
    <w:rsid w:val="00F705B3"/>
    <w:rsid w:val="00FB3E02"/>
    <w:rsid w:val="00FD6951"/>
    <w:rsid w:val="00FF73F5"/>
    <w:rsid w:val="010F100A"/>
    <w:rsid w:val="012D0479"/>
    <w:rsid w:val="01490536"/>
    <w:rsid w:val="014D28C9"/>
    <w:rsid w:val="01541F62"/>
    <w:rsid w:val="01785B98"/>
    <w:rsid w:val="017E6F26"/>
    <w:rsid w:val="019B53E2"/>
    <w:rsid w:val="019C74BD"/>
    <w:rsid w:val="01A050EF"/>
    <w:rsid w:val="01A06E9D"/>
    <w:rsid w:val="01A249C3"/>
    <w:rsid w:val="01AE1C40"/>
    <w:rsid w:val="01B34E22"/>
    <w:rsid w:val="01B6046E"/>
    <w:rsid w:val="01CD0413"/>
    <w:rsid w:val="01F82835"/>
    <w:rsid w:val="02300221"/>
    <w:rsid w:val="023713FA"/>
    <w:rsid w:val="024A32BB"/>
    <w:rsid w:val="02534437"/>
    <w:rsid w:val="02535CBD"/>
    <w:rsid w:val="025A529E"/>
    <w:rsid w:val="02781BC8"/>
    <w:rsid w:val="02881E0B"/>
    <w:rsid w:val="02994018"/>
    <w:rsid w:val="029D33DC"/>
    <w:rsid w:val="02A079AD"/>
    <w:rsid w:val="02A5099A"/>
    <w:rsid w:val="02A64159"/>
    <w:rsid w:val="02AD7AC3"/>
    <w:rsid w:val="02AE7397"/>
    <w:rsid w:val="02AF7852"/>
    <w:rsid w:val="02F72AEC"/>
    <w:rsid w:val="0329547C"/>
    <w:rsid w:val="03373831"/>
    <w:rsid w:val="033B6E7D"/>
    <w:rsid w:val="034322B8"/>
    <w:rsid w:val="0348159A"/>
    <w:rsid w:val="036D7252"/>
    <w:rsid w:val="037203C5"/>
    <w:rsid w:val="037830CE"/>
    <w:rsid w:val="03887BE8"/>
    <w:rsid w:val="03A73E0F"/>
    <w:rsid w:val="03B86720"/>
    <w:rsid w:val="03CB3FCC"/>
    <w:rsid w:val="03D177E1"/>
    <w:rsid w:val="03D23BC1"/>
    <w:rsid w:val="03DB240E"/>
    <w:rsid w:val="03FD567C"/>
    <w:rsid w:val="0422003D"/>
    <w:rsid w:val="04351B1E"/>
    <w:rsid w:val="04473600"/>
    <w:rsid w:val="045521C0"/>
    <w:rsid w:val="04754611"/>
    <w:rsid w:val="047563BF"/>
    <w:rsid w:val="04832DE3"/>
    <w:rsid w:val="049A5F70"/>
    <w:rsid w:val="049F51EA"/>
    <w:rsid w:val="04A265F5"/>
    <w:rsid w:val="04A84D8E"/>
    <w:rsid w:val="04B14F1D"/>
    <w:rsid w:val="04B62533"/>
    <w:rsid w:val="04B872BF"/>
    <w:rsid w:val="04B947D7"/>
    <w:rsid w:val="04BF5DA5"/>
    <w:rsid w:val="04C64E6C"/>
    <w:rsid w:val="04CD6C68"/>
    <w:rsid w:val="04D10976"/>
    <w:rsid w:val="04D4291E"/>
    <w:rsid w:val="04D53301"/>
    <w:rsid w:val="04EE6171"/>
    <w:rsid w:val="04F73E4E"/>
    <w:rsid w:val="04F855F6"/>
    <w:rsid w:val="050463C4"/>
    <w:rsid w:val="051536FE"/>
    <w:rsid w:val="0532605E"/>
    <w:rsid w:val="0538324A"/>
    <w:rsid w:val="053C7B2A"/>
    <w:rsid w:val="05595CE0"/>
    <w:rsid w:val="0560706F"/>
    <w:rsid w:val="0564266B"/>
    <w:rsid w:val="056C5A14"/>
    <w:rsid w:val="05776166"/>
    <w:rsid w:val="05793C8D"/>
    <w:rsid w:val="057B7A05"/>
    <w:rsid w:val="05832D5D"/>
    <w:rsid w:val="05A056BD"/>
    <w:rsid w:val="05A21435"/>
    <w:rsid w:val="05BB6053"/>
    <w:rsid w:val="05BE3D95"/>
    <w:rsid w:val="05CF1AFF"/>
    <w:rsid w:val="05E25CD6"/>
    <w:rsid w:val="05E63004"/>
    <w:rsid w:val="05EF21A1"/>
    <w:rsid w:val="062F259D"/>
    <w:rsid w:val="063858F6"/>
    <w:rsid w:val="063D2F0C"/>
    <w:rsid w:val="06430CCF"/>
    <w:rsid w:val="064B3EA8"/>
    <w:rsid w:val="064E5119"/>
    <w:rsid w:val="06783F44"/>
    <w:rsid w:val="067F52D3"/>
    <w:rsid w:val="0680104B"/>
    <w:rsid w:val="06824DC3"/>
    <w:rsid w:val="06A02ACB"/>
    <w:rsid w:val="06B84C89"/>
    <w:rsid w:val="06BB2083"/>
    <w:rsid w:val="06C8480D"/>
    <w:rsid w:val="06D22CE7"/>
    <w:rsid w:val="06DC2725"/>
    <w:rsid w:val="06F1337E"/>
    <w:rsid w:val="0701428A"/>
    <w:rsid w:val="070D0B30"/>
    <w:rsid w:val="072326A2"/>
    <w:rsid w:val="07244BB0"/>
    <w:rsid w:val="07375F33"/>
    <w:rsid w:val="073E6F3C"/>
    <w:rsid w:val="0748600C"/>
    <w:rsid w:val="074D4119"/>
    <w:rsid w:val="076D4BCF"/>
    <w:rsid w:val="07785199"/>
    <w:rsid w:val="078C004C"/>
    <w:rsid w:val="07997BA5"/>
    <w:rsid w:val="07A31495"/>
    <w:rsid w:val="07BA233A"/>
    <w:rsid w:val="07BA4E4C"/>
    <w:rsid w:val="07CC09EB"/>
    <w:rsid w:val="07FB6BDB"/>
    <w:rsid w:val="07FC4CAC"/>
    <w:rsid w:val="083A174E"/>
    <w:rsid w:val="08564759"/>
    <w:rsid w:val="086A3BF5"/>
    <w:rsid w:val="088B1607"/>
    <w:rsid w:val="088C3CD7"/>
    <w:rsid w:val="08B6562F"/>
    <w:rsid w:val="08CE0793"/>
    <w:rsid w:val="08F24482"/>
    <w:rsid w:val="091324E2"/>
    <w:rsid w:val="091A12E3"/>
    <w:rsid w:val="09440A55"/>
    <w:rsid w:val="094B3B92"/>
    <w:rsid w:val="094D790A"/>
    <w:rsid w:val="094E71DE"/>
    <w:rsid w:val="09552FEF"/>
    <w:rsid w:val="0989722B"/>
    <w:rsid w:val="09B730DA"/>
    <w:rsid w:val="09B95BD0"/>
    <w:rsid w:val="0A03446D"/>
    <w:rsid w:val="0A1D552E"/>
    <w:rsid w:val="0A200B7B"/>
    <w:rsid w:val="0A232262"/>
    <w:rsid w:val="0A3079EF"/>
    <w:rsid w:val="0A3B1226"/>
    <w:rsid w:val="0A426D43"/>
    <w:rsid w:val="0A463458"/>
    <w:rsid w:val="0A532468"/>
    <w:rsid w:val="0A981059"/>
    <w:rsid w:val="0AAC0660"/>
    <w:rsid w:val="0AB45767"/>
    <w:rsid w:val="0AC95A83"/>
    <w:rsid w:val="0AD41965"/>
    <w:rsid w:val="0AD61B81"/>
    <w:rsid w:val="0AF3628F"/>
    <w:rsid w:val="0B0E131B"/>
    <w:rsid w:val="0B136931"/>
    <w:rsid w:val="0B212DFC"/>
    <w:rsid w:val="0B6C7DF0"/>
    <w:rsid w:val="0BA47589"/>
    <w:rsid w:val="0BAC00AE"/>
    <w:rsid w:val="0BB21CA6"/>
    <w:rsid w:val="0BB9775D"/>
    <w:rsid w:val="0BD01EC0"/>
    <w:rsid w:val="0BEA7692"/>
    <w:rsid w:val="0BEF27FC"/>
    <w:rsid w:val="0BFC73C5"/>
    <w:rsid w:val="0C000C64"/>
    <w:rsid w:val="0C076843"/>
    <w:rsid w:val="0C193AD3"/>
    <w:rsid w:val="0C2506CA"/>
    <w:rsid w:val="0C2D57D1"/>
    <w:rsid w:val="0C3C5A14"/>
    <w:rsid w:val="0C460641"/>
    <w:rsid w:val="0C4F03F1"/>
    <w:rsid w:val="0C525237"/>
    <w:rsid w:val="0C6A5E4D"/>
    <w:rsid w:val="0C790A16"/>
    <w:rsid w:val="0C835D34"/>
    <w:rsid w:val="0C9E047D"/>
    <w:rsid w:val="0CB90E13"/>
    <w:rsid w:val="0CC137D7"/>
    <w:rsid w:val="0CD05128"/>
    <w:rsid w:val="0CFD51A3"/>
    <w:rsid w:val="0D186481"/>
    <w:rsid w:val="0D38442D"/>
    <w:rsid w:val="0D471A45"/>
    <w:rsid w:val="0D4B4161"/>
    <w:rsid w:val="0D5441D2"/>
    <w:rsid w:val="0D731909"/>
    <w:rsid w:val="0D792EC2"/>
    <w:rsid w:val="0D81592D"/>
    <w:rsid w:val="0D841D8A"/>
    <w:rsid w:val="0D847672"/>
    <w:rsid w:val="0D967279"/>
    <w:rsid w:val="0DB7234A"/>
    <w:rsid w:val="0DE14AC5"/>
    <w:rsid w:val="0DEB14A0"/>
    <w:rsid w:val="0DF90060"/>
    <w:rsid w:val="0E042561"/>
    <w:rsid w:val="0E056A05"/>
    <w:rsid w:val="0E1E3623"/>
    <w:rsid w:val="0E2502F7"/>
    <w:rsid w:val="0E2A54AA"/>
    <w:rsid w:val="0E3E48E4"/>
    <w:rsid w:val="0E8559ED"/>
    <w:rsid w:val="0EA33B28"/>
    <w:rsid w:val="0EBE0962"/>
    <w:rsid w:val="0ECD6DF7"/>
    <w:rsid w:val="0EDB32C2"/>
    <w:rsid w:val="0EDE6CBA"/>
    <w:rsid w:val="0EF10D38"/>
    <w:rsid w:val="0F0410E0"/>
    <w:rsid w:val="0F0C791F"/>
    <w:rsid w:val="0F0F5662"/>
    <w:rsid w:val="0F2C6543"/>
    <w:rsid w:val="0F3375A2"/>
    <w:rsid w:val="0F4C0664"/>
    <w:rsid w:val="0F781459"/>
    <w:rsid w:val="0F7A0D2D"/>
    <w:rsid w:val="0F930041"/>
    <w:rsid w:val="0F995FA6"/>
    <w:rsid w:val="0FB133D7"/>
    <w:rsid w:val="0FB863AE"/>
    <w:rsid w:val="0FD14351"/>
    <w:rsid w:val="0FF7412C"/>
    <w:rsid w:val="1007595A"/>
    <w:rsid w:val="10101691"/>
    <w:rsid w:val="1012372A"/>
    <w:rsid w:val="102B0F3E"/>
    <w:rsid w:val="10433815"/>
    <w:rsid w:val="104355C3"/>
    <w:rsid w:val="10482BD9"/>
    <w:rsid w:val="10544429"/>
    <w:rsid w:val="105C0433"/>
    <w:rsid w:val="10826F67"/>
    <w:rsid w:val="10C67D8D"/>
    <w:rsid w:val="10D91A83"/>
    <w:rsid w:val="10E47C58"/>
    <w:rsid w:val="10F73596"/>
    <w:rsid w:val="10F92125"/>
    <w:rsid w:val="10FD7E68"/>
    <w:rsid w:val="10FE14EA"/>
    <w:rsid w:val="11140D0D"/>
    <w:rsid w:val="11366E46"/>
    <w:rsid w:val="114A472F"/>
    <w:rsid w:val="11577667"/>
    <w:rsid w:val="115F57E9"/>
    <w:rsid w:val="11660B07"/>
    <w:rsid w:val="11660E72"/>
    <w:rsid w:val="116752E1"/>
    <w:rsid w:val="11851C0B"/>
    <w:rsid w:val="118C11EC"/>
    <w:rsid w:val="118D5C28"/>
    <w:rsid w:val="119D6F55"/>
    <w:rsid w:val="11A25357"/>
    <w:rsid w:val="11A26319"/>
    <w:rsid w:val="11AC0F46"/>
    <w:rsid w:val="11B34CF4"/>
    <w:rsid w:val="11BE5C5E"/>
    <w:rsid w:val="11C10C0A"/>
    <w:rsid w:val="11C42733"/>
    <w:rsid w:val="11C877E7"/>
    <w:rsid w:val="11CE35B2"/>
    <w:rsid w:val="11D02E86"/>
    <w:rsid w:val="11DA3D05"/>
    <w:rsid w:val="11E22BBA"/>
    <w:rsid w:val="12162AC4"/>
    <w:rsid w:val="122A4C8C"/>
    <w:rsid w:val="12303925"/>
    <w:rsid w:val="12483364"/>
    <w:rsid w:val="12695089"/>
    <w:rsid w:val="127E28E2"/>
    <w:rsid w:val="12865E73"/>
    <w:rsid w:val="1299534A"/>
    <w:rsid w:val="12A93C89"/>
    <w:rsid w:val="12B02CB8"/>
    <w:rsid w:val="12D15108"/>
    <w:rsid w:val="12F31522"/>
    <w:rsid w:val="13056638"/>
    <w:rsid w:val="1309318F"/>
    <w:rsid w:val="130A686C"/>
    <w:rsid w:val="130C25E4"/>
    <w:rsid w:val="130F3E82"/>
    <w:rsid w:val="132C0590"/>
    <w:rsid w:val="132F0080"/>
    <w:rsid w:val="134A310C"/>
    <w:rsid w:val="1360799A"/>
    <w:rsid w:val="136A2E67"/>
    <w:rsid w:val="13B011C1"/>
    <w:rsid w:val="13BA3DEE"/>
    <w:rsid w:val="13CA1B57"/>
    <w:rsid w:val="13FD3CDB"/>
    <w:rsid w:val="14131750"/>
    <w:rsid w:val="141D41B0"/>
    <w:rsid w:val="14213E6D"/>
    <w:rsid w:val="142B0848"/>
    <w:rsid w:val="142E20E6"/>
    <w:rsid w:val="144162BD"/>
    <w:rsid w:val="1444190A"/>
    <w:rsid w:val="14553B17"/>
    <w:rsid w:val="145E0C1D"/>
    <w:rsid w:val="14860849"/>
    <w:rsid w:val="14AE2DAD"/>
    <w:rsid w:val="14CB5B87"/>
    <w:rsid w:val="14D02DF5"/>
    <w:rsid w:val="14E37374"/>
    <w:rsid w:val="14E629C1"/>
    <w:rsid w:val="14F51BFA"/>
    <w:rsid w:val="14F670A8"/>
    <w:rsid w:val="151A0798"/>
    <w:rsid w:val="151A266A"/>
    <w:rsid w:val="15451DDD"/>
    <w:rsid w:val="154F0566"/>
    <w:rsid w:val="15632263"/>
    <w:rsid w:val="157D3325"/>
    <w:rsid w:val="158C5316"/>
    <w:rsid w:val="15A07014"/>
    <w:rsid w:val="15C617EC"/>
    <w:rsid w:val="15E05662"/>
    <w:rsid w:val="15E21848"/>
    <w:rsid w:val="15EF0FCE"/>
    <w:rsid w:val="15F0019F"/>
    <w:rsid w:val="15FA2BC8"/>
    <w:rsid w:val="15FD0F11"/>
    <w:rsid w:val="16041350"/>
    <w:rsid w:val="1609323B"/>
    <w:rsid w:val="16213B84"/>
    <w:rsid w:val="16254CA4"/>
    <w:rsid w:val="166F059E"/>
    <w:rsid w:val="16997753"/>
    <w:rsid w:val="169D288C"/>
    <w:rsid w:val="16AD3796"/>
    <w:rsid w:val="16B25250"/>
    <w:rsid w:val="16B5089D"/>
    <w:rsid w:val="16B713C6"/>
    <w:rsid w:val="16C37BFA"/>
    <w:rsid w:val="16DC22CD"/>
    <w:rsid w:val="16E41182"/>
    <w:rsid w:val="16E64E7E"/>
    <w:rsid w:val="16E82A20"/>
    <w:rsid w:val="16FF3FC3"/>
    <w:rsid w:val="17087008"/>
    <w:rsid w:val="172758AF"/>
    <w:rsid w:val="172D2B29"/>
    <w:rsid w:val="17312619"/>
    <w:rsid w:val="17345C65"/>
    <w:rsid w:val="174A608B"/>
    <w:rsid w:val="176C2540"/>
    <w:rsid w:val="17797B1C"/>
    <w:rsid w:val="177B1AE6"/>
    <w:rsid w:val="17982698"/>
    <w:rsid w:val="179C380B"/>
    <w:rsid w:val="179E7583"/>
    <w:rsid w:val="17A0154D"/>
    <w:rsid w:val="17B16FB2"/>
    <w:rsid w:val="17B42DE1"/>
    <w:rsid w:val="17B80644"/>
    <w:rsid w:val="17BE7C25"/>
    <w:rsid w:val="17D80CE7"/>
    <w:rsid w:val="17F81177"/>
    <w:rsid w:val="17FD074D"/>
    <w:rsid w:val="18283E16"/>
    <w:rsid w:val="183D0B4A"/>
    <w:rsid w:val="18702CCD"/>
    <w:rsid w:val="189A7199"/>
    <w:rsid w:val="18A84B5D"/>
    <w:rsid w:val="18B4671A"/>
    <w:rsid w:val="18B52DD6"/>
    <w:rsid w:val="18C15C1F"/>
    <w:rsid w:val="18CE20EA"/>
    <w:rsid w:val="19087540"/>
    <w:rsid w:val="19363992"/>
    <w:rsid w:val="19524AC9"/>
    <w:rsid w:val="1963576F"/>
    <w:rsid w:val="196A7BE4"/>
    <w:rsid w:val="19766A09"/>
    <w:rsid w:val="19813ABD"/>
    <w:rsid w:val="19B65058"/>
    <w:rsid w:val="19B66E06"/>
    <w:rsid w:val="19E10151"/>
    <w:rsid w:val="19E51499"/>
    <w:rsid w:val="19EA4D01"/>
    <w:rsid w:val="19EF2318"/>
    <w:rsid w:val="1A051B3B"/>
    <w:rsid w:val="1A2B77F4"/>
    <w:rsid w:val="1A383CBF"/>
    <w:rsid w:val="1A3B37AF"/>
    <w:rsid w:val="1A5F56EF"/>
    <w:rsid w:val="1A604FC3"/>
    <w:rsid w:val="1A620D3B"/>
    <w:rsid w:val="1A7647E7"/>
    <w:rsid w:val="1A89276C"/>
    <w:rsid w:val="1A8A7F67"/>
    <w:rsid w:val="1A913822"/>
    <w:rsid w:val="1A9D6217"/>
    <w:rsid w:val="1AC217DA"/>
    <w:rsid w:val="1AD41657"/>
    <w:rsid w:val="1AE13C5B"/>
    <w:rsid w:val="1AF851FC"/>
    <w:rsid w:val="1B330E9B"/>
    <w:rsid w:val="1B33310F"/>
    <w:rsid w:val="1B3E70B3"/>
    <w:rsid w:val="1B584AFA"/>
    <w:rsid w:val="1B66485B"/>
    <w:rsid w:val="1B6F72F8"/>
    <w:rsid w:val="1B79633D"/>
    <w:rsid w:val="1B813443"/>
    <w:rsid w:val="1B891503"/>
    <w:rsid w:val="1BCE2BAE"/>
    <w:rsid w:val="1BCF2401"/>
    <w:rsid w:val="1BD529D4"/>
    <w:rsid w:val="1BE9127A"/>
    <w:rsid w:val="1BF43C15"/>
    <w:rsid w:val="1C185B56"/>
    <w:rsid w:val="1C2F4C4D"/>
    <w:rsid w:val="1C3A6870"/>
    <w:rsid w:val="1C427076"/>
    <w:rsid w:val="1C7B7E93"/>
    <w:rsid w:val="1CB3587E"/>
    <w:rsid w:val="1CD57C9C"/>
    <w:rsid w:val="1CDA105D"/>
    <w:rsid w:val="1CEE68B6"/>
    <w:rsid w:val="1D1C78C7"/>
    <w:rsid w:val="1D412E8A"/>
    <w:rsid w:val="1D5A65E9"/>
    <w:rsid w:val="1D61177E"/>
    <w:rsid w:val="1D7C0366"/>
    <w:rsid w:val="1D8D471D"/>
    <w:rsid w:val="1D955CC2"/>
    <w:rsid w:val="1D9C6312"/>
    <w:rsid w:val="1D9D734A"/>
    <w:rsid w:val="1DC414D0"/>
    <w:rsid w:val="1DD106B2"/>
    <w:rsid w:val="1E002D45"/>
    <w:rsid w:val="1E10191F"/>
    <w:rsid w:val="1E1467F1"/>
    <w:rsid w:val="1E212A6F"/>
    <w:rsid w:val="1E360353"/>
    <w:rsid w:val="1E380731"/>
    <w:rsid w:val="1E3C05D7"/>
    <w:rsid w:val="1E3E28D3"/>
    <w:rsid w:val="1E421502"/>
    <w:rsid w:val="1E4B0DCA"/>
    <w:rsid w:val="1E4B73EA"/>
    <w:rsid w:val="1E537319"/>
    <w:rsid w:val="1E74103D"/>
    <w:rsid w:val="1E895F8B"/>
    <w:rsid w:val="1EB10611"/>
    <w:rsid w:val="1EB33136"/>
    <w:rsid w:val="1EC04B50"/>
    <w:rsid w:val="1ED55F80"/>
    <w:rsid w:val="1EE03AB4"/>
    <w:rsid w:val="1EE937D9"/>
    <w:rsid w:val="1EE95587"/>
    <w:rsid w:val="1EF26B32"/>
    <w:rsid w:val="1EF635A0"/>
    <w:rsid w:val="1F1B526A"/>
    <w:rsid w:val="1F1D7927"/>
    <w:rsid w:val="1F1E555E"/>
    <w:rsid w:val="1F212959"/>
    <w:rsid w:val="1F246BFA"/>
    <w:rsid w:val="1F282554"/>
    <w:rsid w:val="1F2C52B6"/>
    <w:rsid w:val="1F3F164B"/>
    <w:rsid w:val="1F3F33F9"/>
    <w:rsid w:val="1F4D5417"/>
    <w:rsid w:val="1F50309A"/>
    <w:rsid w:val="1F5D378B"/>
    <w:rsid w:val="1F775289"/>
    <w:rsid w:val="1F813B73"/>
    <w:rsid w:val="1FAD2A59"/>
    <w:rsid w:val="1FE97C73"/>
    <w:rsid w:val="1FFE1506"/>
    <w:rsid w:val="20016AA3"/>
    <w:rsid w:val="2012158F"/>
    <w:rsid w:val="205E3D53"/>
    <w:rsid w:val="20605D1D"/>
    <w:rsid w:val="207B4905"/>
    <w:rsid w:val="20823EE5"/>
    <w:rsid w:val="20855784"/>
    <w:rsid w:val="2097158A"/>
    <w:rsid w:val="20AF2801"/>
    <w:rsid w:val="20AF45AF"/>
    <w:rsid w:val="20B35E4D"/>
    <w:rsid w:val="20C444FE"/>
    <w:rsid w:val="20F14089"/>
    <w:rsid w:val="211663DC"/>
    <w:rsid w:val="214C004F"/>
    <w:rsid w:val="21515666"/>
    <w:rsid w:val="215B1B40"/>
    <w:rsid w:val="2167178D"/>
    <w:rsid w:val="217355DC"/>
    <w:rsid w:val="21A244F3"/>
    <w:rsid w:val="21B438F6"/>
    <w:rsid w:val="21D35843"/>
    <w:rsid w:val="21E87D78"/>
    <w:rsid w:val="220B1CB9"/>
    <w:rsid w:val="220F3557"/>
    <w:rsid w:val="22172BBE"/>
    <w:rsid w:val="22342FBD"/>
    <w:rsid w:val="2263736E"/>
    <w:rsid w:val="228D26CE"/>
    <w:rsid w:val="22936CD5"/>
    <w:rsid w:val="22994C0C"/>
    <w:rsid w:val="22A243CB"/>
    <w:rsid w:val="22E54AD1"/>
    <w:rsid w:val="22F015DA"/>
    <w:rsid w:val="22FA13D7"/>
    <w:rsid w:val="2302130E"/>
    <w:rsid w:val="230A01C2"/>
    <w:rsid w:val="230C5B36"/>
    <w:rsid w:val="2318643B"/>
    <w:rsid w:val="23250B58"/>
    <w:rsid w:val="23290648"/>
    <w:rsid w:val="23420EF4"/>
    <w:rsid w:val="2375388E"/>
    <w:rsid w:val="2378337E"/>
    <w:rsid w:val="2387570B"/>
    <w:rsid w:val="239D1036"/>
    <w:rsid w:val="23AB3753"/>
    <w:rsid w:val="23C12F77"/>
    <w:rsid w:val="23C21A0E"/>
    <w:rsid w:val="23FA0237"/>
    <w:rsid w:val="241237D2"/>
    <w:rsid w:val="241A61E3"/>
    <w:rsid w:val="24443260"/>
    <w:rsid w:val="24581EC9"/>
    <w:rsid w:val="245B6F27"/>
    <w:rsid w:val="245D7AC3"/>
    <w:rsid w:val="246833F2"/>
    <w:rsid w:val="2470067F"/>
    <w:rsid w:val="24833D88"/>
    <w:rsid w:val="249E0BC2"/>
    <w:rsid w:val="24A563F4"/>
    <w:rsid w:val="24AF2DCF"/>
    <w:rsid w:val="24B44889"/>
    <w:rsid w:val="24B7193C"/>
    <w:rsid w:val="24C06D8A"/>
    <w:rsid w:val="24C148B0"/>
    <w:rsid w:val="24C21763"/>
    <w:rsid w:val="24CA5E5B"/>
    <w:rsid w:val="24D46CDA"/>
    <w:rsid w:val="24DC2373"/>
    <w:rsid w:val="24FB6014"/>
    <w:rsid w:val="25050C41"/>
    <w:rsid w:val="2533755C"/>
    <w:rsid w:val="25537BFE"/>
    <w:rsid w:val="25983863"/>
    <w:rsid w:val="25AE3087"/>
    <w:rsid w:val="25C92E20"/>
    <w:rsid w:val="25E305B9"/>
    <w:rsid w:val="25EA2DD8"/>
    <w:rsid w:val="25FE400E"/>
    <w:rsid w:val="261E020C"/>
    <w:rsid w:val="263317DE"/>
    <w:rsid w:val="26502390"/>
    <w:rsid w:val="2671382C"/>
    <w:rsid w:val="26751DF6"/>
    <w:rsid w:val="26887D7C"/>
    <w:rsid w:val="26926C81"/>
    <w:rsid w:val="26A336EE"/>
    <w:rsid w:val="26AC3A6A"/>
    <w:rsid w:val="26AF355A"/>
    <w:rsid w:val="26DC3C24"/>
    <w:rsid w:val="26EB6DA0"/>
    <w:rsid w:val="26F31699"/>
    <w:rsid w:val="27054F28"/>
    <w:rsid w:val="273C7F3A"/>
    <w:rsid w:val="27653C19"/>
    <w:rsid w:val="27787DF0"/>
    <w:rsid w:val="277D2D4C"/>
    <w:rsid w:val="279D1605"/>
    <w:rsid w:val="27E569F4"/>
    <w:rsid w:val="27F95BF0"/>
    <w:rsid w:val="28013F40"/>
    <w:rsid w:val="28034902"/>
    <w:rsid w:val="2811482D"/>
    <w:rsid w:val="285223EF"/>
    <w:rsid w:val="288A1B89"/>
    <w:rsid w:val="288D78CB"/>
    <w:rsid w:val="289D4712"/>
    <w:rsid w:val="28BD1C36"/>
    <w:rsid w:val="28BE0004"/>
    <w:rsid w:val="28DE3C83"/>
    <w:rsid w:val="28F2772E"/>
    <w:rsid w:val="29053906"/>
    <w:rsid w:val="291E49C7"/>
    <w:rsid w:val="292518B2"/>
    <w:rsid w:val="29475CCC"/>
    <w:rsid w:val="29A94291"/>
    <w:rsid w:val="29AD1F3E"/>
    <w:rsid w:val="29BB5D72"/>
    <w:rsid w:val="29BC6FAD"/>
    <w:rsid w:val="29D551E1"/>
    <w:rsid w:val="2A334727"/>
    <w:rsid w:val="2A570191"/>
    <w:rsid w:val="2A726D79"/>
    <w:rsid w:val="2A834AE2"/>
    <w:rsid w:val="2A844398"/>
    <w:rsid w:val="2A9071FF"/>
    <w:rsid w:val="2AA77D80"/>
    <w:rsid w:val="2AC375D4"/>
    <w:rsid w:val="2AC633CF"/>
    <w:rsid w:val="2AC6772C"/>
    <w:rsid w:val="2AD01CF1"/>
    <w:rsid w:val="2AE632C3"/>
    <w:rsid w:val="2B0D5692"/>
    <w:rsid w:val="2B18427A"/>
    <w:rsid w:val="2B1B2F6C"/>
    <w:rsid w:val="2B1C4F36"/>
    <w:rsid w:val="2B285689"/>
    <w:rsid w:val="2B2F07C6"/>
    <w:rsid w:val="2B4D50F0"/>
    <w:rsid w:val="2B536BAA"/>
    <w:rsid w:val="2B5E554F"/>
    <w:rsid w:val="2B6D4BAF"/>
    <w:rsid w:val="2B6D7540"/>
    <w:rsid w:val="2BA271EA"/>
    <w:rsid w:val="2BA9031A"/>
    <w:rsid w:val="2BE041B6"/>
    <w:rsid w:val="2BE55328"/>
    <w:rsid w:val="2BF043F9"/>
    <w:rsid w:val="2C002162"/>
    <w:rsid w:val="2C3F712F"/>
    <w:rsid w:val="2C6B3F00"/>
    <w:rsid w:val="2C7E7C57"/>
    <w:rsid w:val="2C9E3E55"/>
    <w:rsid w:val="2C9F2793"/>
    <w:rsid w:val="2CA07839"/>
    <w:rsid w:val="2CB67712"/>
    <w:rsid w:val="2CBE44F7"/>
    <w:rsid w:val="2CCB2770"/>
    <w:rsid w:val="2CE101E6"/>
    <w:rsid w:val="2D0B7011"/>
    <w:rsid w:val="2D1E0AF2"/>
    <w:rsid w:val="2D2325AC"/>
    <w:rsid w:val="2D283E2A"/>
    <w:rsid w:val="2D4442C2"/>
    <w:rsid w:val="2D4759F0"/>
    <w:rsid w:val="2D483DC1"/>
    <w:rsid w:val="2D4B17C9"/>
    <w:rsid w:val="2D825525"/>
    <w:rsid w:val="2D8C0151"/>
    <w:rsid w:val="2D8E211C"/>
    <w:rsid w:val="2D9C5EBB"/>
    <w:rsid w:val="2DA82AB1"/>
    <w:rsid w:val="2DAC47BD"/>
    <w:rsid w:val="2DBB1C5C"/>
    <w:rsid w:val="2DCA2A28"/>
    <w:rsid w:val="2DCB7A40"/>
    <w:rsid w:val="2E0C3040"/>
    <w:rsid w:val="2E314855"/>
    <w:rsid w:val="2E385BE3"/>
    <w:rsid w:val="2E3D58F0"/>
    <w:rsid w:val="2E5A1B5A"/>
    <w:rsid w:val="2E5C5D76"/>
    <w:rsid w:val="2E6609A2"/>
    <w:rsid w:val="2E7164C1"/>
    <w:rsid w:val="2E813C5F"/>
    <w:rsid w:val="2E8B0409"/>
    <w:rsid w:val="2E9D1EEA"/>
    <w:rsid w:val="2EA4634A"/>
    <w:rsid w:val="2ED80964"/>
    <w:rsid w:val="2EE21A82"/>
    <w:rsid w:val="2EF04710"/>
    <w:rsid w:val="2EFA13EE"/>
    <w:rsid w:val="2F0464B9"/>
    <w:rsid w:val="2F2D7712"/>
    <w:rsid w:val="2F351AB9"/>
    <w:rsid w:val="2F4D7220"/>
    <w:rsid w:val="2F583040"/>
    <w:rsid w:val="2F5B427F"/>
    <w:rsid w:val="2F666780"/>
    <w:rsid w:val="2F833E46"/>
    <w:rsid w:val="2FB4573E"/>
    <w:rsid w:val="2FD51B05"/>
    <w:rsid w:val="2FD86CE5"/>
    <w:rsid w:val="3001625E"/>
    <w:rsid w:val="30204B81"/>
    <w:rsid w:val="3034687E"/>
    <w:rsid w:val="304271ED"/>
    <w:rsid w:val="30451BBC"/>
    <w:rsid w:val="304E16EE"/>
    <w:rsid w:val="3054090C"/>
    <w:rsid w:val="30556F21"/>
    <w:rsid w:val="305667F5"/>
    <w:rsid w:val="305D7B83"/>
    <w:rsid w:val="30696528"/>
    <w:rsid w:val="30752113"/>
    <w:rsid w:val="307B2D66"/>
    <w:rsid w:val="307D7835"/>
    <w:rsid w:val="309A0DD7"/>
    <w:rsid w:val="30AC0255"/>
    <w:rsid w:val="30B654E5"/>
    <w:rsid w:val="30B71989"/>
    <w:rsid w:val="30BC0D4E"/>
    <w:rsid w:val="30BD4AC6"/>
    <w:rsid w:val="30C23E8A"/>
    <w:rsid w:val="30C776F3"/>
    <w:rsid w:val="30D1097F"/>
    <w:rsid w:val="30E3452C"/>
    <w:rsid w:val="30E450F8"/>
    <w:rsid w:val="30FC55EE"/>
    <w:rsid w:val="3103697D"/>
    <w:rsid w:val="312608BD"/>
    <w:rsid w:val="314A0F7E"/>
    <w:rsid w:val="31570A76"/>
    <w:rsid w:val="3163566D"/>
    <w:rsid w:val="31675B9E"/>
    <w:rsid w:val="3179279B"/>
    <w:rsid w:val="317B29B7"/>
    <w:rsid w:val="319D31AE"/>
    <w:rsid w:val="31A11CF2"/>
    <w:rsid w:val="31AD4B3A"/>
    <w:rsid w:val="31BB7257"/>
    <w:rsid w:val="31FB1EE3"/>
    <w:rsid w:val="3207249C"/>
    <w:rsid w:val="32083507"/>
    <w:rsid w:val="321321F8"/>
    <w:rsid w:val="321D6829"/>
    <w:rsid w:val="32270449"/>
    <w:rsid w:val="323A30A1"/>
    <w:rsid w:val="323A6B7D"/>
    <w:rsid w:val="32455CAD"/>
    <w:rsid w:val="3255145A"/>
    <w:rsid w:val="32650F71"/>
    <w:rsid w:val="32780CA4"/>
    <w:rsid w:val="327A0EC0"/>
    <w:rsid w:val="32951856"/>
    <w:rsid w:val="329F26D5"/>
    <w:rsid w:val="32AC094E"/>
    <w:rsid w:val="32BB5035"/>
    <w:rsid w:val="32BD6FFF"/>
    <w:rsid w:val="32C43EEA"/>
    <w:rsid w:val="32CC7242"/>
    <w:rsid w:val="32D61E6F"/>
    <w:rsid w:val="32E26C2C"/>
    <w:rsid w:val="32E818F6"/>
    <w:rsid w:val="33053318"/>
    <w:rsid w:val="33072028"/>
    <w:rsid w:val="3308533D"/>
    <w:rsid w:val="33130419"/>
    <w:rsid w:val="333170A5"/>
    <w:rsid w:val="33715184"/>
    <w:rsid w:val="33890C8F"/>
    <w:rsid w:val="33C85C5B"/>
    <w:rsid w:val="33CE2B4F"/>
    <w:rsid w:val="33DE0FDB"/>
    <w:rsid w:val="33E779B7"/>
    <w:rsid w:val="340547BA"/>
    <w:rsid w:val="340C3D9A"/>
    <w:rsid w:val="34206490"/>
    <w:rsid w:val="342E2D1F"/>
    <w:rsid w:val="3438096A"/>
    <w:rsid w:val="343D132C"/>
    <w:rsid w:val="344A2B14"/>
    <w:rsid w:val="344F1ED9"/>
    <w:rsid w:val="346C65E7"/>
    <w:rsid w:val="34742E35"/>
    <w:rsid w:val="34872615"/>
    <w:rsid w:val="34BD50A2"/>
    <w:rsid w:val="34BF0E0C"/>
    <w:rsid w:val="34D10B40"/>
    <w:rsid w:val="34FA09EA"/>
    <w:rsid w:val="35262C3A"/>
    <w:rsid w:val="355377A7"/>
    <w:rsid w:val="356103C1"/>
    <w:rsid w:val="35615087"/>
    <w:rsid w:val="3566572C"/>
    <w:rsid w:val="35675000"/>
    <w:rsid w:val="35687BFA"/>
    <w:rsid w:val="35702107"/>
    <w:rsid w:val="357240D1"/>
    <w:rsid w:val="357D65D2"/>
    <w:rsid w:val="35843E04"/>
    <w:rsid w:val="35887450"/>
    <w:rsid w:val="35942299"/>
    <w:rsid w:val="359E5349"/>
    <w:rsid w:val="35B244CD"/>
    <w:rsid w:val="35CC0DC1"/>
    <w:rsid w:val="36015455"/>
    <w:rsid w:val="360D1B6A"/>
    <w:rsid w:val="361211DA"/>
    <w:rsid w:val="361D5D26"/>
    <w:rsid w:val="36266C69"/>
    <w:rsid w:val="3627310D"/>
    <w:rsid w:val="364D41F6"/>
    <w:rsid w:val="3651018A"/>
    <w:rsid w:val="366003CD"/>
    <w:rsid w:val="36625EF3"/>
    <w:rsid w:val="366C4FC4"/>
    <w:rsid w:val="368247AC"/>
    <w:rsid w:val="368E3763"/>
    <w:rsid w:val="36985DB9"/>
    <w:rsid w:val="36A4650C"/>
    <w:rsid w:val="36BD137C"/>
    <w:rsid w:val="36D27A8C"/>
    <w:rsid w:val="36F2243E"/>
    <w:rsid w:val="37060F75"/>
    <w:rsid w:val="37133692"/>
    <w:rsid w:val="371371EE"/>
    <w:rsid w:val="3715740A"/>
    <w:rsid w:val="371D1E1A"/>
    <w:rsid w:val="371E508C"/>
    <w:rsid w:val="373D070E"/>
    <w:rsid w:val="37403D5B"/>
    <w:rsid w:val="376712E7"/>
    <w:rsid w:val="377044C0"/>
    <w:rsid w:val="37763604"/>
    <w:rsid w:val="377F2AD5"/>
    <w:rsid w:val="37845C3C"/>
    <w:rsid w:val="37A34A15"/>
    <w:rsid w:val="37A662B4"/>
    <w:rsid w:val="37BA3B0D"/>
    <w:rsid w:val="37DC7264"/>
    <w:rsid w:val="37EF01AF"/>
    <w:rsid w:val="38037262"/>
    <w:rsid w:val="382471D8"/>
    <w:rsid w:val="382F0057"/>
    <w:rsid w:val="3832485E"/>
    <w:rsid w:val="384855BD"/>
    <w:rsid w:val="384A4E91"/>
    <w:rsid w:val="384F4ECB"/>
    <w:rsid w:val="386F2B4A"/>
    <w:rsid w:val="38961E84"/>
    <w:rsid w:val="389B56ED"/>
    <w:rsid w:val="389C3213"/>
    <w:rsid w:val="38A10829"/>
    <w:rsid w:val="38AA5930"/>
    <w:rsid w:val="38DE55D9"/>
    <w:rsid w:val="38F80D91"/>
    <w:rsid w:val="38FF18D3"/>
    <w:rsid w:val="39290F4A"/>
    <w:rsid w:val="39375DE7"/>
    <w:rsid w:val="3942025E"/>
    <w:rsid w:val="39882C57"/>
    <w:rsid w:val="398F4345"/>
    <w:rsid w:val="39B50A30"/>
    <w:rsid w:val="39BA7DF4"/>
    <w:rsid w:val="39D569DC"/>
    <w:rsid w:val="39D709A6"/>
    <w:rsid w:val="39D906C5"/>
    <w:rsid w:val="39F63EFF"/>
    <w:rsid w:val="3A0B4AF4"/>
    <w:rsid w:val="3A306308"/>
    <w:rsid w:val="3A3556CD"/>
    <w:rsid w:val="3A527C44"/>
    <w:rsid w:val="3A5532A3"/>
    <w:rsid w:val="3A563FC1"/>
    <w:rsid w:val="3A5D316D"/>
    <w:rsid w:val="3A614714"/>
    <w:rsid w:val="3A644864"/>
    <w:rsid w:val="3A661D2A"/>
    <w:rsid w:val="3A8268F9"/>
    <w:rsid w:val="3A8A3C6B"/>
    <w:rsid w:val="3AB12189"/>
    <w:rsid w:val="3AB40CE8"/>
    <w:rsid w:val="3AC058DE"/>
    <w:rsid w:val="3AC405E4"/>
    <w:rsid w:val="3AEA4709"/>
    <w:rsid w:val="3AED7D56"/>
    <w:rsid w:val="3AF235BE"/>
    <w:rsid w:val="3B0D21A6"/>
    <w:rsid w:val="3B2319C9"/>
    <w:rsid w:val="3B3E0A5D"/>
    <w:rsid w:val="3B4756B8"/>
    <w:rsid w:val="3B680882"/>
    <w:rsid w:val="3B6B3A9C"/>
    <w:rsid w:val="3B6F4C0F"/>
    <w:rsid w:val="3B9C3C56"/>
    <w:rsid w:val="3BD038FF"/>
    <w:rsid w:val="3C0C354E"/>
    <w:rsid w:val="3C120E6A"/>
    <w:rsid w:val="3C224A69"/>
    <w:rsid w:val="3C2854E9"/>
    <w:rsid w:val="3C3F2833"/>
    <w:rsid w:val="3C4D4F50"/>
    <w:rsid w:val="3C4F6F1A"/>
    <w:rsid w:val="3C5462DE"/>
    <w:rsid w:val="3C5740DD"/>
    <w:rsid w:val="3C577B7C"/>
    <w:rsid w:val="3C5D2432"/>
    <w:rsid w:val="3C6127A9"/>
    <w:rsid w:val="3C875BD5"/>
    <w:rsid w:val="3C8C1F1C"/>
    <w:rsid w:val="3C97441D"/>
    <w:rsid w:val="3CA134EE"/>
    <w:rsid w:val="3CD411CD"/>
    <w:rsid w:val="3CFC0724"/>
    <w:rsid w:val="3D0575D8"/>
    <w:rsid w:val="3D0E0B83"/>
    <w:rsid w:val="3D0F6E1F"/>
    <w:rsid w:val="3D121548"/>
    <w:rsid w:val="3D1E4B3E"/>
    <w:rsid w:val="3D2C1009"/>
    <w:rsid w:val="3D3F6549"/>
    <w:rsid w:val="3D4960C9"/>
    <w:rsid w:val="3D4E6007"/>
    <w:rsid w:val="3D540560"/>
    <w:rsid w:val="3D583BAC"/>
    <w:rsid w:val="3D645105"/>
    <w:rsid w:val="3D711112"/>
    <w:rsid w:val="3D730B7A"/>
    <w:rsid w:val="3DA259A8"/>
    <w:rsid w:val="3DA476DF"/>
    <w:rsid w:val="3DB54DD9"/>
    <w:rsid w:val="3DBE4EA6"/>
    <w:rsid w:val="3DC729DF"/>
    <w:rsid w:val="3DCB0822"/>
    <w:rsid w:val="3DD31EFC"/>
    <w:rsid w:val="3DE73182"/>
    <w:rsid w:val="3DEC46DF"/>
    <w:rsid w:val="3DF15DAF"/>
    <w:rsid w:val="3E09134A"/>
    <w:rsid w:val="3E0B6E71"/>
    <w:rsid w:val="3E0C46EF"/>
    <w:rsid w:val="3E1D16FD"/>
    <w:rsid w:val="3E1D75B3"/>
    <w:rsid w:val="3E3068D7"/>
    <w:rsid w:val="3E4B54BF"/>
    <w:rsid w:val="3E7E3AE6"/>
    <w:rsid w:val="3E8E1D06"/>
    <w:rsid w:val="3E9450B8"/>
    <w:rsid w:val="3EAF2EDB"/>
    <w:rsid w:val="3EB2553E"/>
    <w:rsid w:val="3EB47508"/>
    <w:rsid w:val="3EB5502E"/>
    <w:rsid w:val="3EC82EF0"/>
    <w:rsid w:val="3EE6168C"/>
    <w:rsid w:val="3EE80B50"/>
    <w:rsid w:val="3EF2315D"/>
    <w:rsid w:val="3F0C10F2"/>
    <w:rsid w:val="3F220916"/>
    <w:rsid w:val="3F407CAA"/>
    <w:rsid w:val="3F51170A"/>
    <w:rsid w:val="3F5B5BD6"/>
    <w:rsid w:val="3F60143E"/>
    <w:rsid w:val="3F614E5B"/>
    <w:rsid w:val="3F7E5489"/>
    <w:rsid w:val="3FB3269B"/>
    <w:rsid w:val="3FBB6674"/>
    <w:rsid w:val="3FBD063E"/>
    <w:rsid w:val="3FD66319"/>
    <w:rsid w:val="3FDB6D16"/>
    <w:rsid w:val="3FE47979"/>
    <w:rsid w:val="402B287A"/>
    <w:rsid w:val="404843AC"/>
    <w:rsid w:val="405C39B3"/>
    <w:rsid w:val="40701AC1"/>
    <w:rsid w:val="407C1AED"/>
    <w:rsid w:val="40880C4C"/>
    <w:rsid w:val="409475F1"/>
    <w:rsid w:val="40AE6405"/>
    <w:rsid w:val="40BB2AF3"/>
    <w:rsid w:val="40C8729B"/>
    <w:rsid w:val="40C96B6F"/>
    <w:rsid w:val="40D00C85"/>
    <w:rsid w:val="40D82DFB"/>
    <w:rsid w:val="40DC68A2"/>
    <w:rsid w:val="40DE6ABE"/>
    <w:rsid w:val="40E90FBF"/>
    <w:rsid w:val="40F7192E"/>
    <w:rsid w:val="41166258"/>
    <w:rsid w:val="411E335F"/>
    <w:rsid w:val="41287D39"/>
    <w:rsid w:val="4157061F"/>
    <w:rsid w:val="41686388"/>
    <w:rsid w:val="417B430D"/>
    <w:rsid w:val="417F3550"/>
    <w:rsid w:val="418F1B67"/>
    <w:rsid w:val="41935748"/>
    <w:rsid w:val="41A82C28"/>
    <w:rsid w:val="41B65021"/>
    <w:rsid w:val="41B96BE3"/>
    <w:rsid w:val="41BB6E00"/>
    <w:rsid w:val="41C77552"/>
    <w:rsid w:val="41DB65B2"/>
    <w:rsid w:val="41F52311"/>
    <w:rsid w:val="41FA16D6"/>
    <w:rsid w:val="4205007B"/>
    <w:rsid w:val="420C4EF5"/>
    <w:rsid w:val="42181E5B"/>
    <w:rsid w:val="42224789"/>
    <w:rsid w:val="42246753"/>
    <w:rsid w:val="423473DA"/>
    <w:rsid w:val="425A2175"/>
    <w:rsid w:val="42815953"/>
    <w:rsid w:val="428E62C2"/>
    <w:rsid w:val="42B850ED"/>
    <w:rsid w:val="42BA70B7"/>
    <w:rsid w:val="42C341BE"/>
    <w:rsid w:val="42CC0911"/>
    <w:rsid w:val="42EE0B0F"/>
    <w:rsid w:val="42F65BA4"/>
    <w:rsid w:val="42FC322C"/>
    <w:rsid w:val="42FE0D52"/>
    <w:rsid w:val="43123DB8"/>
    <w:rsid w:val="431548F3"/>
    <w:rsid w:val="431E7EBF"/>
    <w:rsid w:val="43324E9F"/>
    <w:rsid w:val="4332746C"/>
    <w:rsid w:val="43355A10"/>
    <w:rsid w:val="434370AD"/>
    <w:rsid w:val="434B7D0F"/>
    <w:rsid w:val="43752EA3"/>
    <w:rsid w:val="438B3EA6"/>
    <w:rsid w:val="4392593E"/>
    <w:rsid w:val="43A713E9"/>
    <w:rsid w:val="43A7402D"/>
    <w:rsid w:val="43BA5BCD"/>
    <w:rsid w:val="43D83C99"/>
    <w:rsid w:val="43DB7C59"/>
    <w:rsid w:val="43E91A02"/>
    <w:rsid w:val="43FE2FD4"/>
    <w:rsid w:val="44095C00"/>
    <w:rsid w:val="440A1978"/>
    <w:rsid w:val="440D1FCD"/>
    <w:rsid w:val="4447497A"/>
    <w:rsid w:val="4453447A"/>
    <w:rsid w:val="445A46AE"/>
    <w:rsid w:val="44867251"/>
    <w:rsid w:val="44926F5D"/>
    <w:rsid w:val="44B86B6B"/>
    <w:rsid w:val="44E65F41"/>
    <w:rsid w:val="4504461A"/>
    <w:rsid w:val="45132AAF"/>
    <w:rsid w:val="45154A79"/>
    <w:rsid w:val="45196317"/>
    <w:rsid w:val="45237A84"/>
    <w:rsid w:val="453C0855"/>
    <w:rsid w:val="456C246E"/>
    <w:rsid w:val="457C68A6"/>
    <w:rsid w:val="45A32E70"/>
    <w:rsid w:val="45AF4585"/>
    <w:rsid w:val="45B1127B"/>
    <w:rsid w:val="45B362BF"/>
    <w:rsid w:val="45C32973"/>
    <w:rsid w:val="460C4827"/>
    <w:rsid w:val="464253F9"/>
    <w:rsid w:val="465313B5"/>
    <w:rsid w:val="46567554"/>
    <w:rsid w:val="465F41FD"/>
    <w:rsid w:val="466B2BA2"/>
    <w:rsid w:val="467D4684"/>
    <w:rsid w:val="46841EB6"/>
    <w:rsid w:val="46A95479"/>
    <w:rsid w:val="46B207D1"/>
    <w:rsid w:val="46F32B98"/>
    <w:rsid w:val="472F1E22"/>
    <w:rsid w:val="474B29D4"/>
    <w:rsid w:val="475A6773"/>
    <w:rsid w:val="476B4E24"/>
    <w:rsid w:val="476F76C6"/>
    <w:rsid w:val="477C2B8D"/>
    <w:rsid w:val="47841A42"/>
    <w:rsid w:val="47A04ACD"/>
    <w:rsid w:val="47A2487C"/>
    <w:rsid w:val="47A345BE"/>
    <w:rsid w:val="47B70069"/>
    <w:rsid w:val="47BE31A6"/>
    <w:rsid w:val="47C36A0E"/>
    <w:rsid w:val="47C84024"/>
    <w:rsid w:val="47D91D8D"/>
    <w:rsid w:val="47F15329"/>
    <w:rsid w:val="480A0199"/>
    <w:rsid w:val="485E2293"/>
    <w:rsid w:val="486E372E"/>
    <w:rsid w:val="4876582E"/>
    <w:rsid w:val="487D6BBD"/>
    <w:rsid w:val="48831CF9"/>
    <w:rsid w:val="48855A71"/>
    <w:rsid w:val="488C6E00"/>
    <w:rsid w:val="48967C7F"/>
    <w:rsid w:val="489857A5"/>
    <w:rsid w:val="489933D6"/>
    <w:rsid w:val="48AC74A2"/>
    <w:rsid w:val="48B3438D"/>
    <w:rsid w:val="48BD0791"/>
    <w:rsid w:val="48E44E8E"/>
    <w:rsid w:val="48FE3131"/>
    <w:rsid w:val="49092B40"/>
    <w:rsid w:val="491E2A4E"/>
    <w:rsid w:val="49634005"/>
    <w:rsid w:val="49697141"/>
    <w:rsid w:val="49722DC2"/>
    <w:rsid w:val="49736D23"/>
    <w:rsid w:val="4977185E"/>
    <w:rsid w:val="49865F45"/>
    <w:rsid w:val="49A77509"/>
    <w:rsid w:val="49AF0FF8"/>
    <w:rsid w:val="49BF0A58"/>
    <w:rsid w:val="49C1174A"/>
    <w:rsid w:val="49E7060F"/>
    <w:rsid w:val="49FD6207"/>
    <w:rsid w:val="4A282B58"/>
    <w:rsid w:val="4A5120AF"/>
    <w:rsid w:val="4A5B4CDC"/>
    <w:rsid w:val="4A637A38"/>
    <w:rsid w:val="4A79005F"/>
    <w:rsid w:val="4A7D2EA4"/>
    <w:rsid w:val="4A7D4C52"/>
    <w:rsid w:val="4B0B2043"/>
    <w:rsid w:val="4B1C1CAE"/>
    <w:rsid w:val="4B26353C"/>
    <w:rsid w:val="4B3D0885"/>
    <w:rsid w:val="4B3D6AD7"/>
    <w:rsid w:val="4B655726"/>
    <w:rsid w:val="4B6814DC"/>
    <w:rsid w:val="4B751DCD"/>
    <w:rsid w:val="4B7757A2"/>
    <w:rsid w:val="4B9336BF"/>
    <w:rsid w:val="4BC915C7"/>
    <w:rsid w:val="4BDE7972"/>
    <w:rsid w:val="4C0D46FC"/>
    <w:rsid w:val="4C31571C"/>
    <w:rsid w:val="4C4814B5"/>
    <w:rsid w:val="4C485734"/>
    <w:rsid w:val="4C681932"/>
    <w:rsid w:val="4C840F23"/>
    <w:rsid w:val="4C9F7824"/>
    <w:rsid w:val="4CA02851"/>
    <w:rsid w:val="4CA961D2"/>
    <w:rsid w:val="4CB42387"/>
    <w:rsid w:val="4CE90CC5"/>
    <w:rsid w:val="4CF3569F"/>
    <w:rsid w:val="4CF51418"/>
    <w:rsid w:val="4CF51A29"/>
    <w:rsid w:val="4CFF4044"/>
    <w:rsid w:val="4D0F22C2"/>
    <w:rsid w:val="4D33675D"/>
    <w:rsid w:val="4D3E6E1B"/>
    <w:rsid w:val="4D3F08E5"/>
    <w:rsid w:val="4D587BF8"/>
    <w:rsid w:val="4D812CAB"/>
    <w:rsid w:val="4D8C494F"/>
    <w:rsid w:val="4D904A3F"/>
    <w:rsid w:val="4D950505"/>
    <w:rsid w:val="4DB50BA7"/>
    <w:rsid w:val="4DC42B98"/>
    <w:rsid w:val="4DD728CB"/>
    <w:rsid w:val="4DDC4386"/>
    <w:rsid w:val="4E127DA7"/>
    <w:rsid w:val="4E393586"/>
    <w:rsid w:val="4E6B1965"/>
    <w:rsid w:val="4E944C60"/>
    <w:rsid w:val="4EA56E6D"/>
    <w:rsid w:val="4EA76741"/>
    <w:rsid w:val="4EAD103B"/>
    <w:rsid w:val="4EC310A1"/>
    <w:rsid w:val="4ED65279"/>
    <w:rsid w:val="4EF72C5F"/>
    <w:rsid w:val="4F1D43F5"/>
    <w:rsid w:val="4F22401A"/>
    <w:rsid w:val="4F2C6C47"/>
    <w:rsid w:val="4F2D4E82"/>
    <w:rsid w:val="4F391364"/>
    <w:rsid w:val="4F3B50DC"/>
    <w:rsid w:val="4F4A3571"/>
    <w:rsid w:val="4F5A37B4"/>
    <w:rsid w:val="4F610FE6"/>
    <w:rsid w:val="4F6939F7"/>
    <w:rsid w:val="4F894099"/>
    <w:rsid w:val="4F8D0EEC"/>
    <w:rsid w:val="4FB56C3C"/>
    <w:rsid w:val="4FDA48F5"/>
    <w:rsid w:val="4FF14039"/>
    <w:rsid w:val="500B2D00"/>
    <w:rsid w:val="50124FE5"/>
    <w:rsid w:val="502A762A"/>
    <w:rsid w:val="503A2181"/>
    <w:rsid w:val="503B1837"/>
    <w:rsid w:val="50446212"/>
    <w:rsid w:val="50530248"/>
    <w:rsid w:val="505A4C98"/>
    <w:rsid w:val="505C17AE"/>
    <w:rsid w:val="505C5108"/>
    <w:rsid w:val="506A3ECB"/>
    <w:rsid w:val="50772144"/>
    <w:rsid w:val="509176A9"/>
    <w:rsid w:val="50942CF5"/>
    <w:rsid w:val="50BB0282"/>
    <w:rsid w:val="50C7131D"/>
    <w:rsid w:val="50CE26AB"/>
    <w:rsid w:val="510D6856"/>
    <w:rsid w:val="51145BE4"/>
    <w:rsid w:val="51165E00"/>
    <w:rsid w:val="512F2A1E"/>
    <w:rsid w:val="513E2C61"/>
    <w:rsid w:val="514055B0"/>
    <w:rsid w:val="51656440"/>
    <w:rsid w:val="516C72A2"/>
    <w:rsid w:val="517D3A01"/>
    <w:rsid w:val="51A57EC9"/>
    <w:rsid w:val="51A8581B"/>
    <w:rsid w:val="51B11685"/>
    <w:rsid w:val="51C15D6C"/>
    <w:rsid w:val="51D257F3"/>
    <w:rsid w:val="51D25C28"/>
    <w:rsid w:val="51E34E44"/>
    <w:rsid w:val="51F82BBB"/>
    <w:rsid w:val="51FD48CA"/>
    <w:rsid w:val="520143BB"/>
    <w:rsid w:val="522A5F69"/>
    <w:rsid w:val="522B7DE8"/>
    <w:rsid w:val="52302EF2"/>
    <w:rsid w:val="523C7326"/>
    <w:rsid w:val="5248023B"/>
    <w:rsid w:val="527E5A0B"/>
    <w:rsid w:val="5280716B"/>
    <w:rsid w:val="528154FB"/>
    <w:rsid w:val="528D5C4E"/>
    <w:rsid w:val="52A30E0D"/>
    <w:rsid w:val="52B339D8"/>
    <w:rsid w:val="52CA50F4"/>
    <w:rsid w:val="52D27B05"/>
    <w:rsid w:val="52DC6BD6"/>
    <w:rsid w:val="52E8557B"/>
    <w:rsid w:val="52EB6588"/>
    <w:rsid w:val="52F65EE9"/>
    <w:rsid w:val="52F67C97"/>
    <w:rsid w:val="52FB6FBA"/>
    <w:rsid w:val="53051C89"/>
    <w:rsid w:val="530D4FE1"/>
    <w:rsid w:val="53140377"/>
    <w:rsid w:val="53285A20"/>
    <w:rsid w:val="533C3B2B"/>
    <w:rsid w:val="534A7F45"/>
    <w:rsid w:val="53513120"/>
    <w:rsid w:val="535E75EB"/>
    <w:rsid w:val="5365781A"/>
    <w:rsid w:val="536B75FD"/>
    <w:rsid w:val="536C7F5A"/>
    <w:rsid w:val="536D782E"/>
    <w:rsid w:val="538C4158"/>
    <w:rsid w:val="53A5521A"/>
    <w:rsid w:val="53C11D5F"/>
    <w:rsid w:val="53D53D51"/>
    <w:rsid w:val="53DA4EC3"/>
    <w:rsid w:val="53DD49B3"/>
    <w:rsid w:val="53E126F6"/>
    <w:rsid w:val="53F32429"/>
    <w:rsid w:val="541008E5"/>
    <w:rsid w:val="54102FDB"/>
    <w:rsid w:val="54176117"/>
    <w:rsid w:val="541C4A4C"/>
    <w:rsid w:val="54295E4B"/>
    <w:rsid w:val="544D30F2"/>
    <w:rsid w:val="5458228C"/>
    <w:rsid w:val="5463135D"/>
    <w:rsid w:val="546C69BA"/>
    <w:rsid w:val="547F3CBD"/>
    <w:rsid w:val="5486329D"/>
    <w:rsid w:val="5490104A"/>
    <w:rsid w:val="54971006"/>
    <w:rsid w:val="54B576DE"/>
    <w:rsid w:val="54C02A4D"/>
    <w:rsid w:val="54C341E7"/>
    <w:rsid w:val="54CF6925"/>
    <w:rsid w:val="54F16968"/>
    <w:rsid w:val="54FE72D7"/>
    <w:rsid w:val="5507618C"/>
    <w:rsid w:val="5516017D"/>
    <w:rsid w:val="551B611D"/>
    <w:rsid w:val="55287EB0"/>
    <w:rsid w:val="5549056E"/>
    <w:rsid w:val="55562C6F"/>
    <w:rsid w:val="556C4241"/>
    <w:rsid w:val="557F6076"/>
    <w:rsid w:val="55911EF9"/>
    <w:rsid w:val="55A45CF2"/>
    <w:rsid w:val="55B33C1E"/>
    <w:rsid w:val="55B96A08"/>
    <w:rsid w:val="55C343BA"/>
    <w:rsid w:val="55C81AB9"/>
    <w:rsid w:val="55EA0C0A"/>
    <w:rsid w:val="55EC7130"/>
    <w:rsid w:val="55EF587B"/>
    <w:rsid w:val="55F52488"/>
    <w:rsid w:val="55FA7A9F"/>
    <w:rsid w:val="5630526E"/>
    <w:rsid w:val="5664557C"/>
    <w:rsid w:val="567A0BDF"/>
    <w:rsid w:val="569815DE"/>
    <w:rsid w:val="56BB3C75"/>
    <w:rsid w:val="56C11D54"/>
    <w:rsid w:val="56DE7067"/>
    <w:rsid w:val="56EF2A31"/>
    <w:rsid w:val="56F02C50"/>
    <w:rsid w:val="570955B4"/>
    <w:rsid w:val="570D1A54"/>
    <w:rsid w:val="57124981"/>
    <w:rsid w:val="57347BEB"/>
    <w:rsid w:val="57527C3E"/>
    <w:rsid w:val="577D0B9E"/>
    <w:rsid w:val="5783793E"/>
    <w:rsid w:val="578641E7"/>
    <w:rsid w:val="57882E88"/>
    <w:rsid w:val="57B3177F"/>
    <w:rsid w:val="57BC191A"/>
    <w:rsid w:val="57C40364"/>
    <w:rsid w:val="57CA34A1"/>
    <w:rsid w:val="57CA524F"/>
    <w:rsid w:val="57CC2BA0"/>
    <w:rsid w:val="57CC546B"/>
    <w:rsid w:val="57DE0CFA"/>
    <w:rsid w:val="57E02CC4"/>
    <w:rsid w:val="57E44562"/>
    <w:rsid w:val="57E52089"/>
    <w:rsid w:val="57F3456B"/>
    <w:rsid w:val="58011FC2"/>
    <w:rsid w:val="58156E12"/>
    <w:rsid w:val="585A65D3"/>
    <w:rsid w:val="587A0A23"/>
    <w:rsid w:val="58893338"/>
    <w:rsid w:val="58A75590"/>
    <w:rsid w:val="58BE4745"/>
    <w:rsid w:val="58C93758"/>
    <w:rsid w:val="58D02D39"/>
    <w:rsid w:val="58DA7713"/>
    <w:rsid w:val="58DF2F7C"/>
    <w:rsid w:val="58F3732A"/>
    <w:rsid w:val="5900361E"/>
    <w:rsid w:val="59023F6F"/>
    <w:rsid w:val="59060509"/>
    <w:rsid w:val="5919023C"/>
    <w:rsid w:val="591A2206"/>
    <w:rsid w:val="59246BE1"/>
    <w:rsid w:val="59253085"/>
    <w:rsid w:val="59376914"/>
    <w:rsid w:val="59395F6C"/>
    <w:rsid w:val="593E4146"/>
    <w:rsid w:val="59492A0C"/>
    <w:rsid w:val="59575007"/>
    <w:rsid w:val="595C281E"/>
    <w:rsid w:val="59617E35"/>
    <w:rsid w:val="5966544B"/>
    <w:rsid w:val="59683ECF"/>
    <w:rsid w:val="5991071A"/>
    <w:rsid w:val="599C0E6D"/>
    <w:rsid w:val="599F77C9"/>
    <w:rsid w:val="59AA6E7A"/>
    <w:rsid w:val="59B42737"/>
    <w:rsid w:val="59B85CA7"/>
    <w:rsid w:val="59C70CFE"/>
    <w:rsid w:val="59C95F43"/>
    <w:rsid w:val="59D342DF"/>
    <w:rsid w:val="59D40607"/>
    <w:rsid w:val="5A1034FE"/>
    <w:rsid w:val="5A2E5F69"/>
    <w:rsid w:val="5A4A08C9"/>
    <w:rsid w:val="5A6875FF"/>
    <w:rsid w:val="5A7A11AE"/>
    <w:rsid w:val="5A7A2F5C"/>
    <w:rsid w:val="5A8E4C59"/>
    <w:rsid w:val="5A93268F"/>
    <w:rsid w:val="5AAB52C0"/>
    <w:rsid w:val="5AAD6225"/>
    <w:rsid w:val="5AB2046A"/>
    <w:rsid w:val="5AC309BF"/>
    <w:rsid w:val="5AE6318E"/>
    <w:rsid w:val="5AF82759"/>
    <w:rsid w:val="5B0B0058"/>
    <w:rsid w:val="5B551D0B"/>
    <w:rsid w:val="5B615ECA"/>
    <w:rsid w:val="5B7142C9"/>
    <w:rsid w:val="5BA109BC"/>
    <w:rsid w:val="5BA733CB"/>
    <w:rsid w:val="5BBC75A4"/>
    <w:rsid w:val="5BDB7A2A"/>
    <w:rsid w:val="5BE54D4D"/>
    <w:rsid w:val="5BED775E"/>
    <w:rsid w:val="5BF5616A"/>
    <w:rsid w:val="5BFB1E7B"/>
    <w:rsid w:val="5BFD2097"/>
    <w:rsid w:val="5BFD3E45"/>
    <w:rsid w:val="5C001B87"/>
    <w:rsid w:val="5C084598"/>
    <w:rsid w:val="5C094EE4"/>
    <w:rsid w:val="5C480E38"/>
    <w:rsid w:val="5C575311"/>
    <w:rsid w:val="5C642116"/>
    <w:rsid w:val="5C735EB5"/>
    <w:rsid w:val="5C871960"/>
    <w:rsid w:val="5C8E651C"/>
    <w:rsid w:val="5CAE485D"/>
    <w:rsid w:val="5CBA05C5"/>
    <w:rsid w:val="5CBA7F88"/>
    <w:rsid w:val="5CC73186"/>
    <w:rsid w:val="5CC746CF"/>
    <w:rsid w:val="5CDC7EFE"/>
    <w:rsid w:val="5CEB1EEF"/>
    <w:rsid w:val="5CEE7168"/>
    <w:rsid w:val="5CFD7E74"/>
    <w:rsid w:val="5CFF31EA"/>
    <w:rsid w:val="5D072AA1"/>
    <w:rsid w:val="5D0905C7"/>
    <w:rsid w:val="5D120EE1"/>
    <w:rsid w:val="5D211242"/>
    <w:rsid w:val="5D3159EA"/>
    <w:rsid w:val="5D3A69D3"/>
    <w:rsid w:val="5D3C5914"/>
    <w:rsid w:val="5D722610"/>
    <w:rsid w:val="5D891708"/>
    <w:rsid w:val="5D9011B3"/>
    <w:rsid w:val="5D942587"/>
    <w:rsid w:val="5DB16CFF"/>
    <w:rsid w:val="5DB443B5"/>
    <w:rsid w:val="5DD415C7"/>
    <w:rsid w:val="5DE52DE2"/>
    <w:rsid w:val="5DFE20F6"/>
    <w:rsid w:val="5E023994"/>
    <w:rsid w:val="5E070FAB"/>
    <w:rsid w:val="5E0C65C1"/>
    <w:rsid w:val="5E313880"/>
    <w:rsid w:val="5E4D2736"/>
    <w:rsid w:val="5E677C9B"/>
    <w:rsid w:val="5E6C3504"/>
    <w:rsid w:val="5E6F6B50"/>
    <w:rsid w:val="5E803BCC"/>
    <w:rsid w:val="5E806488"/>
    <w:rsid w:val="5E8E6FD6"/>
    <w:rsid w:val="5EAE4FD3"/>
    <w:rsid w:val="5EB35D99"/>
    <w:rsid w:val="5EB51CAA"/>
    <w:rsid w:val="5EC24ED2"/>
    <w:rsid w:val="5EC7073A"/>
    <w:rsid w:val="5EC767BA"/>
    <w:rsid w:val="5ED26194"/>
    <w:rsid w:val="5ED40A1F"/>
    <w:rsid w:val="5EE60767"/>
    <w:rsid w:val="5EE72B8A"/>
    <w:rsid w:val="5EEE5CC7"/>
    <w:rsid w:val="5EF62DCD"/>
    <w:rsid w:val="5F0279C4"/>
    <w:rsid w:val="5F030150"/>
    <w:rsid w:val="5F09244A"/>
    <w:rsid w:val="5F0B0627"/>
    <w:rsid w:val="5F3B723E"/>
    <w:rsid w:val="5F41229A"/>
    <w:rsid w:val="5F626B29"/>
    <w:rsid w:val="5F7145C8"/>
    <w:rsid w:val="5F7C1524"/>
    <w:rsid w:val="5F7D37F7"/>
    <w:rsid w:val="5F9177D9"/>
    <w:rsid w:val="5FAD00B5"/>
    <w:rsid w:val="5FB52C88"/>
    <w:rsid w:val="5FB707AE"/>
    <w:rsid w:val="5FBA3DFB"/>
    <w:rsid w:val="5FC44C79"/>
    <w:rsid w:val="600339F4"/>
    <w:rsid w:val="600745F5"/>
    <w:rsid w:val="60082DB8"/>
    <w:rsid w:val="600B28A8"/>
    <w:rsid w:val="601131F8"/>
    <w:rsid w:val="6028345A"/>
    <w:rsid w:val="6039028A"/>
    <w:rsid w:val="60487659"/>
    <w:rsid w:val="608A62C4"/>
    <w:rsid w:val="608D73D9"/>
    <w:rsid w:val="608E7761"/>
    <w:rsid w:val="60B25AEA"/>
    <w:rsid w:val="60F03B02"/>
    <w:rsid w:val="60FB46CB"/>
    <w:rsid w:val="61023CAB"/>
    <w:rsid w:val="611A256B"/>
    <w:rsid w:val="61375EAB"/>
    <w:rsid w:val="614147D4"/>
    <w:rsid w:val="6142054C"/>
    <w:rsid w:val="614918DA"/>
    <w:rsid w:val="614C3178"/>
    <w:rsid w:val="61534507"/>
    <w:rsid w:val="615C6151"/>
    <w:rsid w:val="615E1291"/>
    <w:rsid w:val="61671D60"/>
    <w:rsid w:val="61692624"/>
    <w:rsid w:val="616E1341"/>
    <w:rsid w:val="61970898"/>
    <w:rsid w:val="61972646"/>
    <w:rsid w:val="61B67FA1"/>
    <w:rsid w:val="61BD393C"/>
    <w:rsid w:val="61C40F61"/>
    <w:rsid w:val="61D4389A"/>
    <w:rsid w:val="61E15FB7"/>
    <w:rsid w:val="61F25A5A"/>
    <w:rsid w:val="61F96E5C"/>
    <w:rsid w:val="62047871"/>
    <w:rsid w:val="62143C96"/>
    <w:rsid w:val="62175534"/>
    <w:rsid w:val="621A17A6"/>
    <w:rsid w:val="622B3906"/>
    <w:rsid w:val="622D6A8D"/>
    <w:rsid w:val="62402CDD"/>
    <w:rsid w:val="6243414C"/>
    <w:rsid w:val="625C73EB"/>
    <w:rsid w:val="627666FF"/>
    <w:rsid w:val="628A03FC"/>
    <w:rsid w:val="629628FD"/>
    <w:rsid w:val="62A20EC5"/>
    <w:rsid w:val="62E33669"/>
    <w:rsid w:val="62EF46F3"/>
    <w:rsid w:val="62F13785"/>
    <w:rsid w:val="62FB4E56"/>
    <w:rsid w:val="6349032F"/>
    <w:rsid w:val="63514A76"/>
    <w:rsid w:val="63620A31"/>
    <w:rsid w:val="637D010E"/>
    <w:rsid w:val="638D5C35"/>
    <w:rsid w:val="639826A5"/>
    <w:rsid w:val="63B079EF"/>
    <w:rsid w:val="63C4349A"/>
    <w:rsid w:val="63C60FC0"/>
    <w:rsid w:val="63D17BEE"/>
    <w:rsid w:val="63DD630A"/>
    <w:rsid w:val="63F55D49"/>
    <w:rsid w:val="642027F0"/>
    <w:rsid w:val="64504D2E"/>
    <w:rsid w:val="64634A61"/>
    <w:rsid w:val="647D6BDB"/>
    <w:rsid w:val="647F10F5"/>
    <w:rsid w:val="6482392E"/>
    <w:rsid w:val="649C7F73"/>
    <w:rsid w:val="64B96D77"/>
    <w:rsid w:val="64CA3CB4"/>
    <w:rsid w:val="64DF4A2F"/>
    <w:rsid w:val="64F8789F"/>
    <w:rsid w:val="64FF0C2E"/>
    <w:rsid w:val="65183A9D"/>
    <w:rsid w:val="65362175"/>
    <w:rsid w:val="65586590"/>
    <w:rsid w:val="655A2308"/>
    <w:rsid w:val="65674A25"/>
    <w:rsid w:val="656930BF"/>
    <w:rsid w:val="65921AA2"/>
    <w:rsid w:val="6593581A"/>
    <w:rsid w:val="65BD2897"/>
    <w:rsid w:val="65BF03BD"/>
    <w:rsid w:val="65C46CD4"/>
    <w:rsid w:val="65C6174B"/>
    <w:rsid w:val="65D42400"/>
    <w:rsid w:val="65D5373C"/>
    <w:rsid w:val="65DB0019"/>
    <w:rsid w:val="65E16C58"/>
    <w:rsid w:val="65EF7DA6"/>
    <w:rsid w:val="65F52031"/>
    <w:rsid w:val="65F938CF"/>
    <w:rsid w:val="660E6C4E"/>
    <w:rsid w:val="661B7E1F"/>
    <w:rsid w:val="66370323"/>
    <w:rsid w:val="663743F7"/>
    <w:rsid w:val="664B4680"/>
    <w:rsid w:val="664E60E1"/>
    <w:rsid w:val="667747F4"/>
    <w:rsid w:val="66807B4C"/>
    <w:rsid w:val="66E449D7"/>
    <w:rsid w:val="66E53E53"/>
    <w:rsid w:val="66EF08CC"/>
    <w:rsid w:val="66F10A4A"/>
    <w:rsid w:val="66F67E0E"/>
    <w:rsid w:val="670D5158"/>
    <w:rsid w:val="670E60A7"/>
    <w:rsid w:val="671E11FE"/>
    <w:rsid w:val="672030DD"/>
    <w:rsid w:val="67477DD7"/>
    <w:rsid w:val="674A1F08"/>
    <w:rsid w:val="674C1365"/>
    <w:rsid w:val="675E59B4"/>
    <w:rsid w:val="677D22DE"/>
    <w:rsid w:val="67923FAF"/>
    <w:rsid w:val="67A529E5"/>
    <w:rsid w:val="67AB689B"/>
    <w:rsid w:val="67B141C3"/>
    <w:rsid w:val="67D572E8"/>
    <w:rsid w:val="67EB36EB"/>
    <w:rsid w:val="67EC2FBF"/>
    <w:rsid w:val="67FB3202"/>
    <w:rsid w:val="68295FC1"/>
    <w:rsid w:val="682E6AFE"/>
    <w:rsid w:val="685D081F"/>
    <w:rsid w:val="68670447"/>
    <w:rsid w:val="687235E4"/>
    <w:rsid w:val="689478DF"/>
    <w:rsid w:val="68A8338A"/>
    <w:rsid w:val="68B4049D"/>
    <w:rsid w:val="68B476C6"/>
    <w:rsid w:val="68B675CB"/>
    <w:rsid w:val="68BC0BE4"/>
    <w:rsid w:val="68DD74D8"/>
    <w:rsid w:val="68E85E7D"/>
    <w:rsid w:val="69082F26"/>
    <w:rsid w:val="692769A5"/>
    <w:rsid w:val="692A37F7"/>
    <w:rsid w:val="6942733B"/>
    <w:rsid w:val="69472BA3"/>
    <w:rsid w:val="69497502"/>
    <w:rsid w:val="694A61EF"/>
    <w:rsid w:val="694E2184"/>
    <w:rsid w:val="69544778"/>
    <w:rsid w:val="6954706E"/>
    <w:rsid w:val="69567CA0"/>
    <w:rsid w:val="696723FF"/>
    <w:rsid w:val="69690D6B"/>
    <w:rsid w:val="696E6382"/>
    <w:rsid w:val="69872FA0"/>
    <w:rsid w:val="698F62F8"/>
    <w:rsid w:val="699A7177"/>
    <w:rsid w:val="69A91168"/>
    <w:rsid w:val="69AE1092"/>
    <w:rsid w:val="69AF6C02"/>
    <w:rsid w:val="69EC54F9"/>
    <w:rsid w:val="69F67EF4"/>
    <w:rsid w:val="69F820EF"/>
    <w:rsid w:val="6A162576"/>
    <w:rsid w:val="6A242EE4"/>
    <w:rsid w:val="6A462E5B"/>
    <w:rsid w:val="6A4E61B3"/>
    <w:rsid w:val="6A5E3620"/>
    <w:rsid w:val="6A5E48CA"/>
    <w:rsid w:val="6A8614A9"/>
    <w:rsid w:val="6A930EAF"/>
    <w:rsid w:val="6AA62616"/>
    <w:rsid w:val="6AA8530A"/>
    <w:rsid w:val="6ADE7537"/>
    <w:rsid w:val="6AE86CE5"/>
    <w:rsid w:val="6AF01A9B"/>
    <w:rsid w:val="6B221D59"/>
    <w:rsid w:val="6B3233DF"/>
    <w:rsid w:val="6B3A0933"/>
    <w:rsid w:val="6B3C600C"/>
    <w:rsid w:val="6B514C91"/>
    <w:rsid w:val="6B655563"/>
    <w:rsid w:val="6B721A2E"/>
    <w:rsid w:val="6B8E4AB9"/>
    <w:rsid w:val="6B9D5F71"/>
    <w:rsid w:val="6BD85D34"/>
    <w:rsid w:val="6C042FCD"/>
    <w:rsid w:val="6C0A614D"/>
    <w:rsid w:val="6C0C5F81"/>
    <w:rsid w:val="6C0D792D"/>
    <w:rsid w:val="6C1B20C5"/>
    <w:rsid w:val="6C225202"/>
    <w:rsid w:val="6C305B70"/>
    <w:rsid w:val="6C376EFF"/>
    <w:rsid w:val="6C382C77"/>
    <w:rsid w:val="6C6377A0"/>
    <w:rsid w:val="6C9D0D2C"/>
    <w:rsid w:val="6CA13DEE"/>
    <w:rsid w:val="6CA26865"/>
    <w:rsid w:val="6CA34594"/>
    <w:rsid w:val="6CAE4CE7"/>
    <w:rsid w:val="6CB30550"/>
    <w:rsid w:val="6CD72490"/>
    <w:rsid w:val="6CDA3D2E"/>
    <w:rsid w:val="6CDE737B"/>
    <w:rsid w:val="6CF22E26"/>
    <w:rsid w:val="6D045625"/>
    <w:rsid w:val="6D066E01"/>
    <w:rsid w:val="6D0A63C2"/>
    <w:rsid w:val="6D2202DE"/>
    <w:rsid w:val="6D2917A9"/>
    <w:rsid w:val="6D2C27DC"/>
    <w:rsid w:val="6D323B6A"/>
    <w:rsid w:val="6D350D33"/>
    <w:rsid w:val="6D4C4C2C"/>
    <w:rsid w:val="6D4E6E2B"/>
    <w:rsid w:val="6D65184A"/>
    <w:rsid w:val="6D6830E8"/>
    <w:rsid w:val="6D7402AF"/>
    <w:rsid w:val="6D92004C"/>
    <w:rsid w:val="6DA5433C"/>
    <w:rsid w:val="6E04629C"/>
    <w:rsid w:val="6E0B0643"/>
    <w:rsid w:val="6E11552E"/>
    <w:rsid w:val="6E22773B"/>
    <w:rsid w:val="6E364F94"/>
    <w:rsid w:val="6E366C0E"/>
    <w:rsid w:val="6E6164B5"/>
    <w:rsid w:val="6E6B10E2"/>
    <w:rsid w:val="6E7D0E15"/>
    <w:rsid w:val="6E8132BB"/>
    <w:rsid w:val="6EDA1DC4"/>
    <w:rsid w:val="6EE97127"/>
    <w:rsid w:val="6F184A7E"/>
    <w:rsid w:val="6F2B0871"/>
    <w:rsid w:val="6F2E3EBD"/>
    <w:rsid w:val="6F2F65B3"/>
    <w:rsid w:val="6F33431F"/>
    <w:rsid w:val="6F3449C2"/>
    <w:rsid w:val="6F3911E0"/>
    <w:rsid w:val="6F4162E7"/>
    <w:rsid w:val="6F8C7562"/>
    <w:rsid w:val="6FE0340A"/>
    <w:rsid w:val="6FE729EA"/>
    <w:rsid w:val="6FF62C2D"/>
    <w:rsid w:val="6FFD220E"/>
    <w:rsid w:val="70053BBC"/>
    <w:rsid w:val="7007308C"/>
    <w:rsid w:val="702B124D"/>
    <w:rsid w:val="70394351"/>
    <w:rsid w:val="70495453"/>
    <w:rsid w:val="706B361B"/>
    <w:rsid w:val="707C3B5A"/>
    <w:rsid w:val="70822713"/>
    <w:rsid w:val="70A24B63"/>
    <w:rsid w:val="70A408DB"/>
    <w:rsid w:val="70A64653"/>
    <w:rsid w:val="70AC7A0B"/>
    <w:rsid w:val="70AE52B6"/>
    <w:rsid w:val="70B07280"/>
    <w:rsid w:val="70B42BBA"/>
    <w:rsid w:val="70B46F74"/>
    <w:rsid w:val="70B52AE8"/>
    <w:rsid w:val="70B91C63"/>
    <w:rsid w:val="70C765AF"/>
    <w:rsid w:val="70C82DD2"/>
    <w:rsid w:val="70CF74E9"/>
    <w:rsid w:val="70D75E95"/>
    <w:rsid w:val="70D867D7"/>
    <w:rsid w:val="70E46F2A"/>
    <w:rsid w:val="7104581E"/>
    <w:rsid w:val="71056B35"/>
    <w:rsid w:val="711315BD"/>
    <w:rsid w:val="711C2B67"/>
    <w:rsid w:val="71245578"/>
    <w:rsid w:val="71610C71"/>
    <w:rsid w:val="71662034"/>
    <w:rsid w:val="716F0EE9"/>
    <w:rsid w:val="718B3B92"/>
    <w:rsid w:val="71B93BCD"/>
    <w:rsid w:val="71C50B09"/>
    <w:rsid w:val="71D76A8E"/>
    <w:rsid w:val="71E73175"/>
    <w:rsid w:val="71F65166"/>
    <w:rsid w:val="72200435"/>
    <w:rsid w:val="7249173A"/>
    <w:rsid w:val="724A3704"/>
    <w:rsid w:val="7253195A"/>
    <w:rsid w:val="726522EC"/>
    <w:rsid w:val="72760055"/>
    <w:rsid w:val="728B1D53"/>
    <w:rsid w:val="728C1627"/>
    <w:rsid w:val="72953EC0"/>
    <w:rsid w:val="72A76461"/>
    <w:rsid w:val="72B42A0D"/>
    <w:rsid w:val="72CE796A"/>
    <w:rsid w:val="72D03C09"/>
    <w:rsid w:val="730B69EF"/>
    <w:rsid w:val="731F06ED"/>
    <w:rsid w:val="731F2276"/>
    <w:rsid w:val="73216213"/>
    <w:rsid w:val="733C129F"/>
    <w:rsid w:val="73900C02"/>
    <w:rsid w:val="73942E89"/>
    <w:rsid w:val="73BD72EC"/>
    <w:rsid w:val="73BE334D"/>
    <w:rsid w:val="73D56FFD"/>
    <w:rsid w:val="73EE611A"/>
    <w:rsid w:val="74143FCA"/>
    <w:rsid w:val="74236324"/>
    <w:rsid w:val="74387CB8"/>
    <w:rsid w:val="745A3892"/>
    <w:rsid w:val="74842EFD"/>
    <w:rsid w:val="748E2236"/>
    <w:rsid w:val="74CF694D"/>
    <w:rsid w:val="74EA0887"/>
    <w:rsid w:val="74EC0AA3"/>
    <w:rsid w:val="75091655"/>
    <w:rsid w:val="7510653F"/>
    <w:rsid w:val="751C1388"/>
    <w:rsid w:val="753D283B"/>
    <w:rsid w:val="75410DEE"/>
    <w:rsid w:val="75475CD9"/>
    <w:rsid w:val="754F0E8E"/>
    <w:rsid w:val="755744A6"/>
    <w:rsid w:val="75581C94"/>
    <w:rsid w:val="756D47FB"/>
    <w:rsid w:val="75706FDE"/>
    <w:rsid w:val="759A22AD"/>
    <w:rsid w:val="75A96C06"/>
    <w:rsid w:val="75B50E95"/>
    <w:rsid w:val="75B96BD7"/>
    <w:rsid w:val="75BF3144"/>
    <w:rsid w:val="75D90A4C"/>
    <w:rsid w:val="75E63744"/>
    <w:rsid w:val="75FF5B4F"/>
    <w:rsid w:val="76031899"/>
    <w:rsid w:val="760A11E0"/>
    <w:rsid w:val="760A7432"/>
    <w:rsid w:val="76236746"/>
    <w:rsid w:val="76286D4A"/>
    <w:rsid w:val="76452218"/>
    <w:rsid w:val="76475789"/>
    <w:rsid w:val="766320B0"/>
    <w:rsid w:val="768F401B"/>
    <w:rsid w:val="769345A4"/>
    <w:rsid w:val="76BA425A"/>
    <w:rsid w:val="76DF2334"/>
    <w:rsid w:val="76F8774B"/>
    <w:rsid w:val="771D13E7"/>
    <w:rsid w:val="771E7E83"/>
    <w:rsid w:val="77202EE9"/>
    <w:rsid w:val="774412B1"/>
    <w:rsid w:val="77463913"/>
    <w:rsid w:val="77505928"/>
    <w:rsid w:val="77617526"/>
    <w:rsid w:val="7782124A"/>
    <w:rsid w:val="779C230C"/>
    <w:rsid w:val="77A94A29"/>
    <w:rsid w:val="77B81C5A"/>
    <w:rsid w:val="77C17FC5"/>
    <w:rsid w:val="77C655DB"/>
    <w:rsid w:val="77E37F3B"/>
    <w:rsid w:val="77ED0DBA"/>
    <w:rsid w:val="77F93260"/>
    <w:rsid w:val="78012F5A"/>
    <w:rsid w:val="78412EB3"/>
    <w:rsid w:val="78480FAD"/>
    <w:rsid w:val="785726D7"/>
    <w:rsid w:val="78857244"/>
    <w:rsid w:val="78A551F0"/>
    <w:rsid w:val="78B83FF9"/>
    <w:rsid w:val="78BD1F5B"/>
    <w:rsid w:val="78BD69DE"/>
    <w:rsid w:val="78BE2756"/>
    <w:rsid w:val="78E52B1B"/>
    <w:rsid w:val="78F10436"/>
    <w:rsid w:val="78F32400"/>
    <w:rsid w:val="79077C59"/>
    <w:rsid w:val="790C34C1"/>
    <w:rsid w:val="79116D2A"/>
    <w:rsid w:val="793A6280"/>
    <w:rsid w:val="79584F37"/>
    <w:rsid w:val="795B7E31"/>
    <w:rsid w:val="79646E59"/>
    <w:rsid w:val="796C3F60"/>
    <w:rsid w:val="796D402F"/>
    <w:rsid w:val="796F0365"/>
    <w:rsid w:val="79786DA9"/>
    <w:rsid w:val="79797E6F"/>
    <w:rsid w:val="797D43BF"/>
    <w:rsid w:val="797F418F"/>
    <w:rsid w:val="79AE27CB"/>
    <w:rsid w:val="79D00993"/>
    <w:rsid w:val="79D42231"/>
    <w:rsid w:val="7A14482C"/>
    <w:rsid w:val="7A222527"/>
    <w:rsid w:val="7A2860D9"/>
    <w:rsid w:val="7A3525A4"/>
    <w:rsid w:val="7A431165"/>
    <w:rsid w:val="7A630C3D"/>
    <w:rsid w:val="7A735DDD"/>
    <w:rsid w:val="7A794B87"/>
    <w:rsid w:val="7A7E03EF"/>
    <w:rsid w:val="7A8A28F0"/>
    <w:rsid w:val="7A921700"/>
    <w:rsid w:val="7A94376E"/>
    <w:rsid w:val="7A9B2D4F"/>
    <w:rsid w:val="7ABB6F4D"/>
    <w:rsid w:val="7AC22AE9"/>
    <w:rsid w:val="7AD16771"/>
    <w:rsid w:val="7AD81021"/>
    <w:rsid w:val="7AEA15E0"/>
    <w:rsid w:val="7B4E1B6F"/>
    <w:rsid w:val="7B6B690F"/>
    <w:rsid w:val="7BDA1655"/>
    <w:rsid w:val="7C1A207B"/>
    <w:rsid w:val="7C224DAA"/>
    <w:rsid w:val="7C2B0102"/>
    <w:rsid w:val="7C370855"/>
    <w:rsid w:val="7C537629"/>
    <w:rsid w:val="7C564F4A"/>
    <w:rsid w:val="7C5E11EF"/>
    <w:rsid w:val="7C75312C"/>
    <w:rsid w:val="7C8D66C7"/>
    <w:rsid w:val="7CAD4FBB"/>
    <w:rsid w:val="7CBE0F77"/>
    <w:rsid w:val="7CC83F86"/>
    <w:rsid w:val="7CCA3711"/>
    <w:rsid w:val="7CCB3616"/>
    <w:rsid w:val="7CCF7706"/>
    <w:rsid w:val="7CDE6F23"/>
    <w:rsid w:val="7CE00EED"/>
    <w:rsid w:val="7CE92D02"/>
    <w:rsid w:val="7CF74714"/>
    <w:rsid w:val="7D0532C6"/>
    <w:rsid w:val="7D060228"/>
    <w:rsid w:val="7D0F5319"/>
    <w:rsid w:val="7D1961AD"/>
    <w:rsid w:val="7D414429"/>
    <w:rsid w:val="7D4D4616"/>
    <w:rsid w:val="7D4F3628"/>
    <w:rsid w:val="7D537911"/>
    <w:rsid w:val="7D715FE9"/>
    <w:rsid w:val="7D7A30EF"/>
    <w:rsid w:val="7D7F0706"/>
    <w:rsid w:val="7D821FA4"/>
    <w:rsid w:val="7D9E518D"/>
    <w:rsid w:val="7DA10183"/>
    <w:rsid w:val="7DA243F4"/>
    <w:rsid w:val="7DA97531"/>
    <w:rsid w:val="7DC0487A"/>
    <w:rsid w:val="7DCE51E9"/>
    <w:rsid w:val="7DF649C9"/>
    <w:rsid w:val="7E4159BB"/>
    <w:rsid w:val="7E4B4970"/>
    <w:rsid w:val="7E503E50"/>
    <w:rsid w:val="7E70004F"/>
    <w:rsid w:val="7E85578E"/>
    <w:rsid w:val="7E8F55C4"/>
    <w:rsid w:val="7EAA17B2"/>
    <w:rsid w:val="7EAA512E"/>
    <w:rsid w:val="7EAD3051"/>
    <w:rsid w:val="7EDF63C8"/>
    <w:rsid w:val="7EF816DB"/>
    <w:rsid w:val="7EF95A5A"/>
    <w:rsid w:val="7EFC5E66"/>
    <w:rsid w:val="7F285F22"/>
    <w:rsid w:val="7F3477A8"/>
    <w:rsid w:val="7F3B537A"/>
    <w:rsid w:val="7F5D6825"/>
    <w:rsid w:val="7F6851CA"/>
    <w:rsid w:val="7F765B38"/>
    <w:rsid w:val="7F840255"/>
    <w:rsid w:val="7F857B2A"/>
    <w:rsid w:val="7F8A5140"/>
    <w:rsid w:val="7F932247"/>
    <w:rsid w:val="7F985AAF"/>
    <w:rsid w:val="7FBB5164"/>
    <w:rsid w:val="7FCA4328"/>
    <w:rsid w:val="7FD50AB1"/>
    <w:rsid w:val="7FDA60C7"/>
    <w:rsid w:val="7FFB7DEC"/>
    <w:rsid w:val="BFB8CF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qFormat="1"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Book Antiqua" w:hAnsi="Book Antiqua" w:eastAsia="宋体" w:cs="Times New Roman"/>
      <w:kern w:val="2"/>
      <w:sz w:val="21"/>
      <w:szCs w:val="24"/>
      <w:lang w:val="en-US" w:eastAsia="zh-CN" w:bidi="ar-SA"/>
    </w:rPr>
  </w:style>
  <w:style w:type="paragraph" w:styleId="4">
    <w:name w:val="heading 1"/>
    <w:basedOn w:val="1"/>
    <w:next w:val="1"/>
    <w:link w:val="75"/>
    <w:qFormat/>
    <w:uiPriority w:val="0"/>
    <w:pPr>
      <w:keepNext/>
      <w:keepLines/>
      <w:spacing w:before="340" w:after="330" w:line="578" w:lineRule="auto"/>
      <w:jc w:val="center"/>
      <w:outlineLvl w:val="0"/>
    </w:pPr>
    <w:rPr>
      <w:b/>
      <w:bCs/>
      <w:kern w:val="44"/>
      <w:sz w:val="44"/>
      <w:szCs w:val="44"/>
    </w:rPr>
  </w:style>
  <w:style w:type="paragraph" w:styleId="5">
    <w:name w:val="heading 2"/>
    <w:basedOn w:val="1"/>
    <w:next w:val="1"/>
    <w:qFormat/>
    <w:uiPriority w:val="99"/>
    <w:pPr>
      <w:keepNext/>
      <w:keepLines/>
      <w:spacing w:before="260" w:after="260" w:line="416" w:lineRule="auto"/>
      <w:outlineLvl w:val="1"/>
    </w:pPr>
    <w:rPr>
      <w:rFonts w:ascii="Calibri Light" w:hAnsi="Calibri Light"/>
      <w:b/>
      <w:bCs/>
      <w:sz w:val="32"/>
      <w:szCs w:val="32"/>
    </w:rPr>
  </w:style>
  <w:style w:type="paragraph" w:styleId="6">
    <w:name w:val="heading 3"/>
    <w:basedOn w:val="1"/>
    <w:next w:val="1"/>
    <w:unhideWhenUsed/>
    <w:qFormat/>
    <w:uiPriority w:val="0"/>
    <w:pPr>
      <w:jc w:val="left"/>
      <w:outlineLvl w:val="2"/>
    </w:pPr>
    <w:rPr>
      <w:rFonts w:hint="eastAsia" w:ascii="宋体" w:hAnsi="宋体"/>
      <w:kern w:val="0"/>
      <w:sz w:val="24"/>
    </w:rPr>
  </w:style>
  <w:style w:type="paragraph" w:styleId="7">
    <w:name w:val="heading 4"/>
    <w:basedOn w:val="1"/>
    <w:next w:val="1"/>
    <w:qFormat/>
    <w:uiPriority w:val="0"/>
    <w:pPr>
      <w:keepNext/>
      <w:keepLines/>
      <w:spacing w:before="280" w:after="290" w:line="376" w:lineRule="auto"/>
      <w:outlineLvl w:val="3"/>
    </w:pPr>
    <w:rPr>
      <w:rFonts w:ascii="Times New Roman" w:hAnsi="Times New Roman"/>
      <w:sz w:val="32"/>
      <w:szCs w:val="20"/>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2">
    <w:name w:val="无间隔1"/>
    <w:next w:val="3"/>
    <w:qFormat/>
    <w:uiPriority w:val="0"/>
    <w:pPr>
      <w:widowControl w:val="0"/>
      <w:jc w:val="both"/>
    </w:pPr>
    <w:rPr>
      <w:rFonts w:ascii="Calibri" w:hAnsi="Calibri" w:eastAsia="宋体" w:cs="Times New Roman"/>
      <w:kern w:val="2"/>
      <w:sz w:val="21"/>
      <w:szCs w:val="22"/>
      <w:lang w:val="en-US" w:eastAsia="zh-CN" w:bidi="ar-SA"/>
    </w:rPr>
  </w:style>
  <w:style w:type="paragraph" w:customStyle="1" w:styleId="3">
    <w:name w:val="TOC Heading1"/>
    <w:next w:val="1"/>
    <w:qFormat/>
    <w:uiPriority w:val="0"/>
    <w:pPr>
      <w:wordWrap w:val="0"/>
    </w:pPr>
    <w:rPr>
      <w:rFonts w:ascii="Calibri" w:hAnsi="Calibri" w:eastAsia="宋体" w:cs="Times New Roman"/>
      <w:sz w:val="32"/>
      <w:szCs w:val="22"/>
      <w:lang w:val="en-US" w:eastAsia="zh-CN" w:bidi="ar-SA"/>
    </w:rPr>
  </w:style>
  <w:style w:type="paragraph" w:styleId="8">
    <w:name w:val="table of authorities"/>
    <w:basedOn w:val="1"/>
    <w:next w:val="1"/>
    <w:qFormat/>
    <w:uiPriority w:val="0"/>
    <w:pPr>
      <w:ind w:left="420" w:leftChars="200"/>
    </w:pPr>
  </w:style>
  <w:style w:type="paragraph" w:styleId="9">
    <w:name w:val="index 8"/>
    <w:basedOn w:val="1"/>
    <w:next w:val="1"/>
    <w:unhideWhenUsed/>
    <w:qFormat/>
    <w:uiPriority w:val="99"/>
    <w:pPr>
      <w:ind w:left="1400" w:leftChars="1400"/>
    </w:pPr>
  </w:style>
  <w:style w:type="paragraph" w:styleId="10">
    <w:name w:val="Normal Indent"/>
    <w:basedOn w:val="1"/>
    <w:unhideWhenUsed/>
    <w:qFormat/>
    <w:uiPriority w:val="99"/>
    <w:pPr>
      <w:ind w:firstLine="420"/>
    </w:pPr>
    <w:rPr>
      <w:rFonts w:ascii="Calibri" w:hAnsi="Calibri"/>
      <w:szCs w:val="20"/>
    </w:rPr>
  </w:style>
  <w:style w:type="paragraph" w:styleId="11">
    <w:name w:val="caption"/>
    <w:basedOn w:val="1"/>
    <w:next w:val="1"/>
    <w:qFormat/>
    <w:uiPriority w:val="0"/>
    <w:rPr>
      <w:rFonts w:ascii="Arial" w:hAnsi="Arial" w:eastAsia="黑体" w:cstheme="minorBidi"/>
      <w:sz w:val="20"/>
    </w:rPr>
  </w:style>
  <w:style w:type="paragraph" w:styleId="12">
    <w:name w:val="toa heading"/>
    <w:basedOn w:val="1"/>
    <w:next w:val="1"/>
    <w:unhideWhenUsed/>
    <w:qFormat/>
    <w:uiPriority w:val="99"/>
    <w:pPr>
      <w:spacing w:before="120"/>
    </w:pPr>
    <w:rPr>
      <w:rFonts w:ascii="Arial" w:hAnsi="Arial" w:cs="Arial"/>
      <w:sz w:val="24"/>
    </w:rPr>
  </w:style>
  <w:style w:type="paragraph" w:styleId="13">
    <w:name w:val="annotation text"/>
    <w:basedOn w:val="1"/>
    <w:semiHidden/>
    <w:qFormat/>
    <w:uiPriority w:val="0"/>
    <w:pPr>
      <w:jc w:val="left"/>
    </w:pPr>
  </w:style>
  <w:style w:type="paragraph" w:styleId="14">
    <w:name w:val="Body Text 3"/>
    <w:basedOn w:val="1"/>
    <w:unhideWhenUsed/>
    <w:qFormat/>
    <w:uiPriority w:val="0"/>
    <w:pPr>
      <w:spacing w:after="120"/>
    </w:pPr>
    <w:rPr>
      <w:rFonts w:ascii="Times New Roman" w:hAnsi="Times New Roman"/>
      <w:sz w:val="16"/>
      <w:szCs w:val="16"/>
    </w:rPr>
  </w:style>
  <w:style w:type="paragraph" w:styleId="15">
    <w:name w:val="Body Text"/>
    <w:basedOn w:val="1"/>
    <w:next w:val="1"/>
    <w:qFormat/>
    <w:uiPriority w:val="0"/>
    <w:rPr>
      <w:rFonts w:ascii="Times New Roman" w:hAnsi="Times New Roman"/>
    </w:rPr>
  </w:style>
  <w:style w:type="paragraph" w:styleId="16">
    <w:name w:val="Body Text Indent"/>
    <w:basedOn w:val="1"/>
    <w:next w:val="17"/>
    <w:qFormat/>
    <w:uiPriority w:val="0"/>
    <w:pPr>
      <w:ind w:firstLine="560" w:firstLineChars="200"/>
    </w:pPr>
    <w:rPr>
      <w:rFonts w:ascii="Times New Roman" w:hAnsi="Times New Roman"/>
    </w:rPr>
  </w:style>
  <w:style w:type="paragraph" w:styleId="17">
    <w:name w:val="envelope return"/>
    <w:basedOn w:val="1"/>
    <w:qFormat/>
    <w:uiPriority w:val="99"/>
    <w:pPr>
      <w:snapToGrid w:val="0"/>
    </w:pPr>
    <w:rPr>
      <w:rFonts w:ascii="Arial" w:hAnsi="Arial" w:cs="Arial"/>
    </w:rPr>
  </w:style>
  <w:style w:type="paragraph" w:styleId="18">
    <w:name w:val="toc 3"/>
    <w:basedOn w:val="1"/>
    <w:next w:val="1"/>
    <w:qFormat/>
    <w:uiPriority w:val="39"/>
    <w:pPr>
      <w:ind w:left="840" w:leftChars="400"/>
    </w:pPr>
  </w:style>
  <w:style w:type="paragraph" w:styleId="19">
    <w:name w:val="Plain Text"/>
    <w:basedOn w:val="1"/>
    <w:qFormat/>
    <w:uiPriority w:val="0"/>
    <w:rPr>
      <w:rFonts w:hint="eastAsia" w:ascii="宋体" w:hAnsi="Courier New"/>
      <w:szCs w:val="21"/>
    </w:rPr>
  </w:style>
  <w:style w:type="paragraph" w:styleId="20">
    <w:name w:val="Body Text Indent 2"/>
    <w:basedOn w:val="1"/>
    <w:unhideWhenUsed/>
    <w:qFormat/>
    <w:uiPriority w:val="99"/>
    <w:pPr>
      <w:autoSpaceDE w:val="0"/>
      <w:autoSpaceDN w:val="0"/>
      <w:spacing w:after="120" w:line="480" w:lineRule="auto"/>
      <w:ind w:left="420" w:leftChars="200"/>
      <w:jc w:val="left"/>
    </w:pPr>
    <w:rPr>
      <w:rFonts w:ascii="宋体" w:hAnsi="宋体" w:cs="宋体"/>
      <w:kern w:val="0"/>
      <w:sz w:val="22"/>
      <w:lang w:val="ja-JP" w:eastAsia="ja-JP" w:bidi="ja-JP"/>
    </w:rPr>
  </w:style>
  <w:style w:type="paragraph" w:styleId="21">
    <w:name w:val="Balloon Text"/>
    <w:basedOn w:val="1"/>
    <w:link w:val="74"/>
    <w:qFormat/>
    <w:uiPriority w:val="0"/>
    <w:rPr>
      <w:sz w:val="18"/>
      <w:szCs w:val="18"/>
    </w:rPr>
  </w:style>
  <w:style w:type="paragraph" w:styleId="22">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szCs w:val="18"/>
    </w:rPr>
  </w:style>
  <w:style w:type="paragraph" w:styleId="24">
    <w:name w:val="toc 1"/>
    <w:basedOn w:val="1"/>
    <w:next w:val="1"/>
    <w:qFormat/>
    <w:uiPriority w:val="39"/>
    <w:rPr>
      <w:rFonts w:ascii="Times New Roman" w:hAnsi="Times New Roman"/>
    </w:rPr>
  </w:style>
  <w:style w:type="paragraph" w:styleId="25">
    <w:name w:val="footnote text"/>
    <w:basedOn w:val="1"/>
    <w:unhideWhenUsed/>
    <w:qFormat/>
    <w:uiPriority w:val="99"/>
    <w:pPr>
      <w:tabs>
        <w:tab w:val="left" w:pos="420"/>
      </w:tabs>
      <w:snapToGrid w:val="0"/>
    </w:pPr>
    <w:rPr>
      <w:sz w:val="18"/>
      <w:szCs w:val="18"/>
    </w:rPr>
  </w:style>
  <w:style w:type="paragraph" w:styleId="26">
    <w:name w:val="toc 2"/>
    <w:basedOn w:val="1"/>
    <w:next w:val="1"/>
    <w:qFormat/>
    <w:uiPriority w:val="39"/>
    <w:pPr>
      <w:ind w:left="420" w:leftChars="200"/>
    </w:pPr>
  </w:style>
  <w:style w:type="paragraph" w:styleId="27">
    <w:name w:val="Body Text 2"/>
    <w:basedOn w:val="1"/>
    <w:next w:val="1"/>
    <w:unhideWhenUsed/>
    <w:qFormat/>
    <w:uiPriority w:val="0"/>
    <w:pPr>
      <w:spacing w:after="120" w:line="480" w:lineRule="auto"/>
    </w:pPr>
    <w:rPr>
      <w:rFonts w:ascii="Times New Roman" w:hAnsi="Times New Roman"/>
    </w:rPr>
  </w:style>
  <w:style w:type="paragraph" w:styleId="2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9">
    <w:name w:val="Title"/>
    <w:basedOn w:val="1"/>
    <w:next w:val="1"/>
    <w:qFormat/>
    <w:uiPriority w:val="0"/>
    <w:pPr>
      <w:spacing w:before="240" w:after="60"/>
      <w:jc w:val="center"/>
      <w:outlineLvl w:val="0"/>
    </w:pPr>
    <w:rPr>
      <w:rFonts w:ascii="Calibri Light" w:hAnsi="Calibri Light" w:eastAsia="Calibri Light"/>
      <w:b/>
      <w:sz w:val="32"/>
      <w:szCs w:val="32"/>
    </w:rPr>
  </w:style>
  <w:style w:type="paragraph" w:styleId="30">
    <w:name w:val="annotation subject"/>
    <w:basedOn w:val="13"/>
    <w:next w:val="1"/>
    <w:qFormat/>
    <w:uiPriority w:val="0"/>
    <w:rPr>
      <w:b/>
      <w:bCs/>
    </w:rPr>
  </w:style>
  <w:style w:type="paragraph" w:styleId="31">
    <w:name w:val="Body Text First Indent"/>
    <w:basedOn w:val="15"/>
    <w:next w:val="32"/>
    <w:unhideWhenUsed/>
    <w:qFormat/>
    <w:uiPriority w:val="0"/>
    <w:pPr>
      <w:ind w:firstLine="420" w:firstLineChars="100"/>
    </w:pPr>
    <w:rPr>
      <w:rFonts w:hint="eastAsia" w:ascii="楷体_GB2312" w:eastAsia="楷体_GB2312"/>
      <w:sz w:val="32"/>
    </w:rPr>
  </w:style>
  <w:style w:type="paragraph" w:styleId="32">
    <w:name w:val="Body Text First Indent 2"/>
    <w:basedOn w:val="16"/>
    <w:next w:val="1"/>
    <w:qFormat/>
    <w:uiPriority w:val="0"/>
    <w:pPr>
      <w:ind w:firstLine="420"/>
    </w:pPr>
  </w:style>
  <w:style w:type="table" w:styleId="34">
    <w:name w:val="Table Grid"/>
    <w:basedOn w:val="3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0"/>
    <w:rPr>
      <w:b/>
    </w:rPr>
  </w:style>
  <w:style w:type="character" w:styleId="37">
    <w:name w:val="page number"/>
    <w:basedOn w:val="35"/>
    <w:qFormat/>
    <w:uiPriority w:val="0"/>
  </w:style>
  <w:style w:type="character" w:styleId="38">
    <w:name w:val="FollowedHyperlink"/>
    <w:basedOn w:val="35"/>
    <w:qFormat/>
    <w:uiPriority w:val="0"/>
    <w:rPr>
      <w:color w:val="444444"/>
      <w:sz w:val="21"/>
      <w:szCs w:val="21"/>
      <w:u w:val="none"/>
    </w:rPr>
  </w:style>
  <w:style w:type="character" w:styleId="39">
    <w:name w:val="Emphasis"/>
    <w:qFormat/>
    <w:uiPriority w:val="20"/>
    <w:rPr>
      <w:i/>
      <w:iCs/>
    </w:rPr>
  </w:style>
  <w:style w:type="character" w:styleId="40">
    <w:name w:val="Hyperlink"/>
    <w:qFormat/>
    <w:uiPriority w:val="99"/>
    <w:rPr>
      <w:rFonts w:cs="Times New Roman"/>
      <w:color w:val="0000FF"/>
      <w:u w:val="single"/>
    </w:rPr>
  </w:style>
  <w:style w:type="character" w:styleId="41">
    <w:name w:val="annotation reference"/>
    <w:basedOn w:val="35"/>
    <w:qFormat/>
    <w:uiPriority w:val="0"/>
    <w:rPr>
      <w:sz w:val="21"/>
      <w:szCs w:val="21"/>
    </w:rPr>
  </w:style>
  <w:style w:type="paragraph" w:customStyle="1" w:styleId="42">
    <w:name w:val="Default"/>
    <w:basedOn w:val="19"/>
    <w:next w:val="25"/>
    <w:qFormat/>
    <w:uiPriority w:val="0"/>
    <w:pPr>
      <w:autoSpaceDE w:val="0"/>
      <w:autoSpaceDN w:val="0"/>
      <w:adjustRightInd w:val="0"/>
      <w:jc w:val="left"/>
    </w:pPr>
    <w:rPr>
      <w:rFonts w:hAnsi="Calibri"/>
      <w:color w:val="000000"/>
      <w:kern w:val="0"/>
      <w:sz w:val="24"/>
    </w:rPr>
  </w:style>
  <w:style w:type="paragraph" w:customStyle="1" w:styleId="43">
    <w:name w:val="大标题"/>
    <w:basedOn w:val="1"/>
    <w:next w:val="32"/>
    <w:qFormat/>
    <w:uiPriority w:val="0"/>
    <w:pPr>
      <w:jc w:val="center"/>
    </w:pPr>
    <w:rPr>
      <w:rFonts w:ascii="Arial" w:hAnsi="Arial"/>
      <w:b/>
      <w:sz w:val="28"/>
    </w:rPr>
  </w:style>
  <w:style w:type="paragraph" w:customStyle="1" w:styleId="44">
    <w:name w:val="Style1"/>
    <w:next w:val="45"/>
    <w:qFormat/>
    <w:uiPriority w:val="0"/>
    <w:pPr>
      <w:numPr>
        <w:ilvl w:val="0"/>
        <w:numId w:val="1"/>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Calibri" w:hAnsi="Calibri" w:eastAsia="宋体" w:cs="宋体"/>
      <w:b/>
      <w:kern w:val="24"/>
      <w:sz w:val="24"/>
      <w:lang w:val="en-GB" w:eastAsia="zh-CN" w:bidi="ar-SA"/>
    </w:rPr>
  </w:style>
  <w:style w:type="paragraph" w:customStyle="1" w:styleId="45">
    <w:name w:val="*正文"/>
    <w:basedOn w:val="1"/>
    <w:qFormat/>
    <w:uiPriority w:val="0"/>
    <w:pPr>
      <w:ind w:firstLine="200" w:firstLineChars="200"/>
    </w:pPr>
    <w:rPr>
      <w:rFonts w:ascii="宋体" w:hAnsi="宋体"/>
      <w:szCs w:val="22"/>
    </w:rPr>
  </w:style>
  <w:style w:type="paragraph" w:customStyle="1" w:styleId="46">
    <w:name w:val="style4"/>
    <w:basedOn w:val="47"/>
    <w:next w:val="48"/>
    <w:qFormat/>
    <w:uiPriority w:val="0"/>
    <w:pPr>
      <w:widowControl/>
      <w:spacing w:before="100" w:beforeAutospacing="1" w:after="100" w:afterAutospacing="1"/>
      <w:jc w:val="left"/>
    </w:pPr>
    <w:rPr>
      <w:rFonts w:ascii="宋体" w:hAnsi="宋体" w:cs="宋体"/>
      <w:kern w:val="0"/>
      <w:sz w:val="18"/>
      <w:szCs w:val="18"/>
    </w:rPr>
  </w:style>
  <w:style w:type="paragraph" w:customStyle="1" w:styleId="47">
    <w:name w:val="正文_0"/>
    <w:next w:val="3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Body Text First Indent1"/>
    <w:basedOn w:val="15"/>
    <w:qFormat/>
    <w:uiPriority w:val="0"/>
    <w:pPr>
      <w:ind w:firstLine="420" w:firstLineChars="100"/>
    </w:pPr>
  </w:style>
  <w:style w:type="paragraph" w:customStyle="1" w:styleId="50">
    <w:name w:val="列出段落2"/>
    <w:basedOn w:val="1"/>
    <w:qFormat/>
    <w:uiPriority w:val="34"/>
    <w:pPr>
      <w:autoSpaceDE w:val="0"/>
      <w:autoSpaceDN w:val="0"/>
      <w:ind w:left="111" w:firstLine="420"/>
      <w:jc w:val="left"/>
    </w:pPr>
    <w:rPr>
      <w:rFonts w:ascii="宋体" w:hAnsi="宋体" w:cs="宋体"/>
      <w:kern w:val="0"/>
      <w:sz w:val="22"/>
      <w:szCs w:val="22"/>
      <w:lang w:eastAsia="en-US"/>
    </w:rPr>
  </w:style>
  <w:style w:type="paragraph" w:customStyle="1" w:styleId="51">
    <w:name w:val="表格文字"/>
    <w:basedOn w:val="1"/>
    <w:next w:val="15"/>
    <w:qFormat/>
    <w:uiPriority w:val="0"/>
    <w:pPr>
      <w:adjustRightInd w:val="0"/>
      <w:spacing w:line="420" w:lineRule="atLeast"/>
      <w:jc w:val="left"/>
      <w:textAlignment w:val="baseline"/>
    </w:pPr>
    <w:rPr>
      <w:kern w:val="0"/>
    </w:rPr>
  </w:style>
  <w:style w:type="paragraph" w:customStyle="1" w:styleId="52">
    <w:name w:val="p0"/>
    <w:basedOn w:val="53"/>
    <w:qFormat/>
    <w:uiPriority w:val="0"/>
    <w:pPr>
      <w:widowControl/>
    </w:pPr>
    <w:rPr>
      <w:kern w:val="0"/>
      <w:szCs w:val="21"/>
    </w:rPr>
  </w:style>
  <w:style w:type="paragraph" w:customStyle="1" w:styleId="53">
    <w:name w:val="正文1"/>
    <w:next w:val="5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正文文本1"/>
    <w:basedOn w:val="53"/>
    <w:qFormat/>
    <w:uiPriority w:val="99"/>
    <w:rPr>
      <w:rFonts w:eastAsia="楷体_GB2312"/>
      <w:sz w:val="28"/>
    </w:rPr>
  </w:style>
  <w:style w:type="character" w:customStyle="1" w:styleId="55">
    <w:name w:val="NormalCharacter"/>
    <w:qFormat/>
    <w:uiPriority w:val="0"/>
    <w:rPr>
      <w:rFonts w:ascii="Book Antiqua" w:hAnsi="Book Antiqua" w:eastAsia="宋体" w:cs="Times New Roman"/>
      <w:kern w:val="2"/>
      <w:sz w:val="21"/>
      <w:szCs w:val="24"/>
      <w:lang w:val="en-US" w:eastAsia="zh-CN" w:bidi="ar-SA"/>
    </w:rPr>
  </w:style>
  <w:style w:type="paragraph" w:customStyle="1" w:styleId="56">
    <w:name w:val="BodyText1I"/>
    <w:basedOn w:val="57"/>
    <w:next w:val="59"/>
    <w:qFormat/>
    <w:uiPriority w:val="0"/>
    <w:pPr>
      <w:ind w:firstLine="420" w:firstLineChars="100"/>
    </w:pPr>
    <w:rPr>
      <w:rFonts w:ascii="楷体_GB2312"/>
      <w:sz w:val="32"/>
    </w:rPr>
  </w:style>
  <w:style w:type="paragraph" w:customStyle="1" w:styleId="57">
    <w:name w:val="BodyText"/>
    <w:basedOn w:val="1"/>
    <w:next w:val="58"/>
    <w:qFormat/>
    <w:uiPriority w:val="0"/>
    <w:pPr>
      <w:textAlignment w:val="baseline"/>
    </w:pPr>
    <w:rPr>
      <w:rFonts w:ascii="Calibri" w:hAnsi="Calibri" w:eastAsia="楷体_GB2312"/>
      <w:kern w:val="0"/>
      <w:sz w:val="28"/>
    </w:rPr>
  </w:style>
  <w:style w:type="paragraph" w:customStyle="1" w:styleId="58">
    <w:name w:val="BodyText2"/>
    <w:basedOn w:val="1"/>
    <w:next w:val="57"/>
    <w:qFormat/>
    <w:uiPriority w:val="0"/>
    <w:pPr>
      <w:spacing w:after="120" w:line="480" w:lineRule="auto"/>
      <w:textAlignment w:val="baseline"/>
    </w:pPr>
  </w:style>
  <w:style w:type="paragraph" w:customStyle="1" w:styleId="59">
    <w:name w:val="BodyText1I2"/>
    <w:basedOn w:val="60"/>
    <w:qFormat/>
    <w:uiPriority w:val="0"/>
    <w:pPr>
      <w:ind w:firstLine="420" w:firstLineChars="200"/>
    </w:pPr>
  </w:style>
  <w:style w:type="paragraph" w:customStyle="1" w:styleId="60">
    <w:name w:val="BodyTextIndent"/>
    <w:basedOn w:val="1"/>
    <w:qFormat/>
    <w:uiPriority w:val="0"/>
    <w:pPr>
      <w:spacing w:after="120"/>
      <w:ind w:left="420" w:leftChars="200"/>
      <w:textAlignment w:val="baseline"/>
    </w:pPr>
  </w:style>
  <w:style w:type="paragraph" w:customStyle="1" w:styleId="61">
    <w:name w:val="TOAHeading"/>
    <w:basedOn w:val="1"/>
    <w:next w:val="1"/>
    <w:qFormat/>
    <w:uiPriority w:val="0"/>
    <w:pPr>
      <w:spacing w:before="120"/>
      <w:textAlignment w:val="baseline"/>
    </w:pPr>
    <w:rPr>
      <w:rFonts w:ascii="Arial" w:hAnsi="Arial"/>
      <w:sz w:val="24"/>
      <w:szCs w:val="22"/>
    </w:rPr>
  </w:style>
  <w:style w:type="paragraph" w:customStyle="1" w:styleId="62">
    <w:name w:val="Table Paragraph"/>
    <w:basedOn w:val="1"/>
    <w:qFormat/>
    <w:uiPriority w:val="1"/>
    <w:rPr>
      <w:rFonts w:ascii="宋体" w:hAnsi="宋体" w:cs="宋体"/>
      <w:lang w:val="zh-CN" w:bidi="zh-CN"/>
    </w:rPr>
  </w:style>
  <w:style w:type="paragraph" w:customStyle="1" w:styleId="63">
    <w:name w:val="列表段落1"/>
    <w:basedOn w:val="1"/>
    <w:qFormat/>
    <w:uiPriority w:val="0"/>
    <w:pPr>
      <w:widowControl/>
      <w:ind w:left="720"/>
      <w:jc w:val="left"/>
    </w:pPr>
    <w:rPr>
      <w:rFonts w:hint="eastAsia" w:ascii="Calibri" w:hAnsi="Calibri"/>
      <w:kern w:val="0"/>
      <w:sz w:val="24"/>
      <w:lang w:eastAsia="en-US" w:bidi="en-US"/>
    </w:rPr>
  </w:style>
  <w:style w:type="paragraph" w:customStyle="1" w:styleId="64">
    <w:name w:val="_Style 41"/>
    <w:basedOn w:val="1"/>
    <w:next w:val="63"/>
    <w:qFormat/>
    <w:uiPriority w:val="34"/>
    <w:pPr>
      <w:ind w:firstLine="420" w:firstLineChars="200"/>
    </w:pPr>
    <w:rPr>
      <w:rFonts w:ascii="等线" w:hAnsi="等线" w:eastAsia="等线"/>
      <w:szCs w:val="22"/>
    </w:rPr>
  </w:style>
  <w:style w:type="character" w:customStyle="1" w:styleId="65">
    <w:name w:val="font41"/>
    <w:qFormat/>
    <w:uiPriority w:val="0"/>
    <w:rPr>
      <w:rFonts w:hint="eastAsia" w:ascii="宋体" w:hAnsi="宋体" w:eastAsia="宋体" w:cs="宋体"/>
      <w:color w:val="000000"/>
      <w:sz w:val="20"/>
      <w:szCs w:val="20"/>
      <w:u w:val="none"/>
    </w:rPr>
  </w:style>
  <w:style w:type="character" w:customStyle="1" w:styleId="66">
    <w:name w:val="font01"/>
    <w:basedOn w:val="35"/>
    <w:qFormat/>
    <w:uiPriority w:val="0"/>
    <w:rPr>
      <w:rFonts w:hint="eastAsia" w:ascii="宋体" w:hAnsi="宋体" w:eastAsia="宋体" w:cs="宋体"/>
      <w:color w:val="000000"/>
      <w:sz w:val="24"/>
      <w:szCs w:val="24"/>
      <w:u w:val="none"/>
    </w:rPr>
  </w:style>
  <w:style w:type="character" w:customStyle="1" w:styleId="67">
    <w:name w:val="font71"/>
    <w:basedOn w:val="35"/>
    <w:qFormat/>
    <w:uiPriority w:val="0"/>
    <w:rPr>
      <w:rFonts w:hint="default" w:ascii="Times New Roman" w:hAnsi="Times New Roman" w:cs="Times New Roman"/>
      <w:color w:val="000000"/>
      <w:sz w:val="22"/>
      <w:szCs w:val="22"/>
      <w:u w:val="none"/>
    </w:rPr>
  </w:style>
  <w:style w:type="character" w:customStyle="1" w:styleId="68">
    <w:name w:val="font131"/>
    <w:basedOn w:val="35"/>
    <w:qFormat/>
    <w:uiPriority w:val="0"/>
    <w:rPr>
      <w:rFonts w:hint="default" w:ascii="方正仿宋_GBK" w:hAnsi="方正仿宋_GBK" w:eastAsia="方正仿宋_GBK" w:cs="方正仿宋_GBK"/>
      <w:color w:val="000000"/>
      <w:sz w:val="22"/>
      <w:szCs w:val="22"/>
      <w:u w:val="none"/>
    </w:rPr>
  </w:style>
  <w:style w:type="character" w:customStyle="1" w:styleId="69">
    <w:name w:val="font21"/>
    <w:basedOn w:val="35"/>
    <w:qFormat/>
    <w:uiPriority w:val="0"/>
    <w:rPr>
      <w:rFonts w:hint="eastAsia" w:ascii="宋体" w:hAnsi="宋体" w:eastAsia="宋体" w:cs="宋体"/>
      <w:color w:val="000000"/>
      <w:sz w:val="22"/>
      <w:szCs w:val="22"/>
      <w:u w:val="none"/>
    </w:rPr>
  </w:style>
  <w:style w:type="character" w:customStyle="1" w:styleId="70">
    <w:name w:val="font141"/>
    <w:basedOn w:val="35"/>
    <w:qFormat/>
    <w:uiPriority w:val="0"/>
    <w:rPr>
      <w:rFonts w:hint="eastAsia" w:ascii="宋体" w:hAnsi="宋体" w:eastAsia="宋体" w:cs="宋体"/>
      <w:color w:val="333333"/>
      <w:sz w:val="22"/>
      <w:szCs w:val="22"/>
      <w:u w:val="none"/>
    </w:rPr>
  </w:style>
  <w:style w:type="character" w:customStyle="1" w:styleId="71">
    <w:name w:val="hover18"/>
    <w:basedOn w:val="35"/>
    <w:qFormat/>
    <w:uiPriority w:val="0"/>
  </w:style>
  <w:style w:type="paragraph" w:customStyle="1" w:styleId="72">
    <w:name w:val="Char Char1"/>
    <w:basedOn w:val="1"/>
    <w:qFormat/>
    <w:uiPriority w:val="0"/>
    <w:pPr>
      <w:widowControl/>
      <w:spacing w:after="160" w:line="240" w:lineRule="exact"/>
      <w:jc w:val="left"/>
    </w:pPr>
    <w:rPr>
      <w:rFonts w:ascii="Verdana" w:hAnsi="Verdana" w:eastAsia="仿宋_GB2312"/>
      <w:kern w:val="0"/>
      <w:sz w:val="20"/>
      <w:szCs w:val="20"/>
      <w:lang w:eastAsia="en-US"/>
    </w:rPr>
  </w:style>
  <w:style w:type="paragraph" w:customStyle="1" w:styleId="73">
    <w:name w:val="Char Char11"/>
    <w:basedOn w:val="1"/>
    <w:qFormat/>
    <w:uiPriority w:val="0"/>
    <w:pPr>
      <w:widowControl/>
      <w:spacing w:after="160" w:line="240" w:lineRule="exact"/>
      <w:jc w:val="left"/>
    </w:pPr>
    <w:rPr>
      <w:rFonts w:ascii="Verdana" w:hAnsi="Verdana" w:eastAsia="仿宋_GB2312"/>
      <w:kern w:val="0"/>
      <w:sz w:val="20"/>
      <w:szCs w:val="20"/>
      <w:lang w:eastAsia="en-US"/>
    </w:rPr>
  </w:style>
  <w:style w:type="character" w:customStyle="1" w:styleId="74">
    <w:name w:val="批注框文本 Char"/>
    <w:basedOn w:val="35"/>
    <w:link w:val="21"/>
    <w:qFormat/>
    <w:uiPriority w:val="0"/>
    <w:rPr>
      <w:rFonts w:ascii="Book Antiqua" w:hAnsi="Book Antiqua"/>
      <w:kern w:val="2"/>
      <w:sz w:val="18"/>
      <w:szCs w:val="18"/>
    </w:rPr>
  </w:style>
  <w:style w:type="character" w:customStyle="1" w:styleId="75">
    <w:name w:val="标题 1 Char"/>
    <w:link w:val="4"/>
    <w:qFormat/>
    <w:uiPriority w:val="0"/>
    <w:rPr>
      <w:b/>
      <w:bCs/>
      <w:kern w:val="44"/>
      <w:sz w:val="44"/>
      <w:szCs w:val="44"/>
    </w:rPr>
  </w:style>
  <w:style w:type="character" w:customStyle="1" w:styleId="76">
    <w:name w:val="font122"/>
    <w:basedOn w:val="35"/>
    <w:qFormat/>
    <w:uiPriority w:val="0"/>
    <w:rPr>
      <w:rFonts w:ascii="Arial" w:hAnsi="Arial" w:cs="Arial"/>
      <w:color w:val="000000"/>
      <w:sz w:val="20"/>
      <w:szCs w:val="20"/>
      <w:u w:val="none"/>
    </w:rPr>
  </w:style>
  <w:style w:type="character" w:customStyle="1" w:styleId="77">
    <w:name w:val="font81"/>
    <w:basedOn w:val="35"/>
    <w:qFormat/>
    <w:uiPriority w:val="0"/>
    <w:rPr>
      <w:rFonts w:hint="eastAsia" w:ascii="宋体" w:hAnsi="宋体" w:eastAsia="宋体" w:cs="宋体"/>
      <w:color w:val="000000"/>
      <w:sz w:val="20"/>
      <w:szCs w:val="20"/>
      <w:u w:val="none"/>
    </w:rPr>
  </w:style>
  <w:style w:type="character" w:customStyle="1" w:styleId="78">
    <w:name w:val="font161"/>
    <w:basedOn w:val="35"/>
    <w:qFormat/>
    <w:uiPriority w:val="0"/>
    <w:rPr>
      <w:rFonts w:hint="default" w:ascii="Times New Roman" w:hAnsi="Times New Roman" w:cs="Times New Roman"/>
      <w:color w:val="000000"/>
      <w:sz w:val="20"/>
      <w:szCs w:val="20"/>
      <w:u w:val="none"/>
    </w:rPr>
  </w:style>
  <w:style w:type="character" w:customStyle="1" w:styleId="79">
    <w:name w:val="font61"/>
    <w:basedOn w:val="35"/>
    <w:qFormat/>
    <w:uiPriority w:val="0"/>
    <w:rPr>
      <w:rFonts w:hint="eastAsia" w:ascii="宋体" w:hAnsi="宋体" w:eastAsia="宋体" w:cs="宋体"/>
      <w:color w:val="000000"/>
      <w:sz w:val="20"/>
      <w:szCs w:val="20"/>
      <w:u w:val="none"/>
    </w:rPr>
  </w:style>
  <w:style w:type="character" w:customStyle="1" w:styleId="80">
    <w:name w:val="font31"/>
    <w:basedOn w:val="35"/>
    <w:qFormat/>
    <w:uiPriority w:val="0"/>
    <w:rPr>
      <w:rFonts w:hint="default" w:ascii="Times New Roman" w:hAnsi="Times New Roman" w:cs="Times New Roman"/>
      <w:color w:val="000000"/>
      <w:sz w:val="20"/>
      <w:szCs w:val="20"/>
      <w:u w:val="none"/>
    </w:rPr>
  </w:style>
  <w:style w:type="paragraph" w:customStyle="1" w:styleId="81">
    <w:name w:val="样式 首行缩进:  2 字符"/>
    <w:qFormat/>
    <w:uiPriority w:val="0"/>
    <w:pPr>
      <w:widowControl w:val="0"/>
      <w:spacing w:after="160" w:line="400" w:lineRule="exact"/>
      <w:ind w:firstLine="200" w:firstLineChars="200"/>
      <w:jc w:val="both"/>
    </w:pPr>
    <w:rPr>
      <w:rFonts w:ascii="Times New Roman"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09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132</Pages>
  <Words>11689</Words>
  <Characters>12874</Characters>
  <Lines>201</Lines>
  <Paragraphs>56</Paragraphs>
  <TotalTime>0</TotalTime>
  <ScaleCrop>false</ScaleCrop>
  <LinksUpToDate>false</LinksUpToDate>
  <CharactersWithSpaces>13142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2024-03-25T07:12:00Z</dcterms:created>
  <dc:creator>Administrator</dc:creator>
  <cp:lastModifiedBy>白小白</cp:lastModifiedBy>
  <cp:lastPrinted>2025-07-21T07:59:00Z</cp:lastPrinted>
  <dcterms:modified xsi:type="dcterms:W3CDTF">2026-01-05T03:31:31Z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88E34C0AF7C34557A6690307074FB188_13</vt:lpwstr>
  </property>
  <property fmtid="{D5CDD505-2E9C-101B-9397-08002B2CF9AE}" pid="4" name="KSOTemplateDocerSaveRecord">
    <vt:lpwstr>eyJoZGlkIjoiZjVhNGJiMWVmZTg4ZjFhYWZhYWFiMzBkODkwYWRkZmUiLCJ1c2VySWQiOiIzMzc4MDY4MzcifQ==</vt:lpwstr>
  </property>
</Properties>
</file>