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5BC404">
      <w:pPr>
        <w:spacing w:line="360" w:lineRule="auto"/>
        <w:jc w:val="both"/>
        <w:rPr>
          <w:rFonts w:hint="eastAsia" w:ascii="思源宋体 CN Light" w:hAnsi="思源宋体 CN Light" w:eastAsia="思源宋体 CN Light" w:cs="思源宋体 CN Light"/>
          <w:lang w:eastAsia="zh-CN"/>
        </w:rPr>
      </w:pPr>
    </w:p>
    <w:p w14:paraId="2F7BAB1D">
      <w:pPr>
        <w:spacing w:line="360" w:lineRule="auto"/>
        <w:rPr>
          <w:rFonts w:ascii="思源宋体 CN Light" w:hAnsi="思源宋体 CN Light" w:eastAsia="思源宋体 CN Light" w:cs="思源宋体 CN Light"/>
        </w:rPr>
      </w:pPr>
    </w:p>
    <w:p w14:paraId="28695E30">
      <w:pPr>
        <w:spacing w:line="360" w:lineRule="auto"/>
        <w:rPr>
          <w:rFonts w:ascii="思源宋体 CN Light" w:hAnsi="思源宋体 CN Light" w:eastAsia="思源宋体 CN Light" w:cs="思源宋体 CN Light"/>
        </w:rPr>
      </w:pPr>
    </w:p>
    <w:p w14:paraId="0DAC0ECA">
      <w:pPr>
        <w:spacing w:line="360" w:lineRule="auto"/>
        <w:jc w:val="center"/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</w:pPr>
      <w:r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  <w:t>焦作市</w:t>
      </w:r>
      <w:r>
        <w:rPr>
          <w:rFonts w:hint="eastAsia" w:ascii="思源黑体 CN Regular" w:hAnsi="思源黑体 CN Regular" w:eastAsia="思源黑体 CN Regular"/>
          <w:b/>
          <w:sz w:val="52"/>
          <w:szCs w:val="52"/>
        </w:rPr>
        <w:t>公共资源交易</w:t>
      </w:r>
      <w:r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  <w:t>平台</w:t>
      </w:r>
    </w:p>
    <w:p w14:paraId="6D4F1267">
      <w:pPr>
        <w:spacing w:line="360" w:lineRule="auto"/>
        <w:jc w:val="center"/>
        <w:rPr>
          <w:rFonts w:hint="eastAsia" w:ascii="思源黑体 CN Regular" w:hAnsi="思源黑体 CN Regular" w:eastAsia="思源黑体 CN Regular"/>
          <w:b/>
          <w:sz w:val="52"/>
          <w:szCs w:val="52"/>
        </w:rPr>
      </w:pPr>
      <w:r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  <w:t>定标</w:t>
      </w:r>
      <w:r>
        <w:rPr>
          <w:rFonts w:hint="eastAsia" w:ascii="思源黑体 CN Regular" w:hAnsi="思源黑体 CN Regular" w:eastAsia="思源黑体 CN Regular"/>
          <w:b/>
          <w:sz w:val="52"/>
          <w:szCs w:val="52"/>
        </w:rPr>
        <w:t>系统操作手册</w:t>
      </w:r>
    </w:p>
    <w:p w14:paraId="4CA9F57D">
      <w:pPr>
        <w:spacing w:line="360" w:lineRule="auto"/>
        <w:jc w:val="center"/>
        <w:rPr>
          <w:rFonts w:hint="eastAsia" w:ascii="思源黑体 CN Regular" w:hAnsi="思源黑体 CN Regular" w:eastAsia="思源黑体 CN Regular"/>
          <w:b/>
          <w:sz w:val="52"/>
          <w:szCs w:val="52"/>
        </w:rPr>
      </w:pPr>
      <w:r>
        <w:rPr>
          <w:rFonts w:hint="eastAsia" w:ascii="思源黑体 CN Regular" w:hAnsi="思源黑体 CN Regular" w:eastAsia="思源黑体 CN Regular"/>
          <w:b/>
          <w:sz w:val="52"/>
          <w:szCs w:val="52"/>
        </w:rPr>
        <w:t>（</w:t>
      </w:r>
      <w:r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  <w:t>定标委员</w:t>
      </w:r>
      <w:r>
        <w:rPr>
          <w:rFonts w:hint="eastAsia" w:ascii="思源黑体 CN Regular" w:hAnsi="思源黑体 CN Regular" w:eastAsia="思源黑体 CN Regular"/>
          <w:b/>
          <w:sz w:val="52"/>
          <w:szCs w:val="52"/>
        </w:rPr>
        <w:t>）</w:t>
      </w:r>
    </w:p>
    <w:p w14:paraId="7C3350A7">
      <w:pPr>
        <w:pStyle w:val="2"/>
        <w:rPr>
          <w:rFonts w:hint="eastAsia" w:ascii="思源黑体 CN Regular" w:hAnsi="思源黑体 CN Regular" w:eastAsia="思源黑体 CN Regular"/>
          <w:b/>
          <w:sz w:val="52"/>
          <w:szCs w:val="52"/>
        </w:rPr>
      </w:pPr>
    </w:p>
    <w:p w14:paraId="1F77AF18">
      <w:pPr>
        <w:pStyle w:val="2"/>
        <w:rPr>
          <w:rFonts w:hint="eastAsia" w:ascii="思源黑体 CN Regular" w:hAnsi="思源黑体 CN Regular" w:eastAsia="思源黑体 CN Regular"/>
          <w:b/>
          <w:sz w:val="52"/>
          <w:szCs w:val="52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797" w:bottom="1440" w:left="1797" w:header="851" w:footer="992" w:gutter="0"/>
          <w:cols w:space="720" w:num="1"/>
          <w:titlePg/>
          <w:docGrid w:type="lines" w:linePitch="312" w:charSpace="0"/>
        </w:sectPr>
      </w:pPr>
    </w:p>
    <w:p w14:paraId="272CBF16">
      <w:pPr>
        <w:pStyle w:val="2"/>
        <w:spacing w:line="360" w:lineRule="auto"/>
        <w:ind w:firstLine="0" w:firstLineChars="0"/>
        <w:rPr>
          <w:rFonts w:hint="eastAsia"/>
        </w:rPr>
      </w:pPr>
    </w:p>
    <w:p w14:paraId="7AAB8322">
      <w:pPr>
        <w:pStyle w:val="17"/>
        <w:spacing w:line="360" w:lineRule="auto"/>
        <w:ind w:left="0" w:leftChars="0"/>
        <w:jc w:val="center"/>
        <w:rPr>
          <w:rFonts w:ascii="思源宋体 CN Light" w:hAnsi="思源宋体 CN Light" w:eastAsia="思源宋体 CN Light" w:cs="思源宋体 CN Light"/>
          <w:b/>
          <w:bCs/>
          <w:sz w:val="32"/>
          <w:szCs w:val="32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sz w:val="32"/>
          <w:szCs w:val="32"/>
        </w:rPr>
        <w:t>目  录</w:t>
      </w:r>
    </w:p>
    <w:p w14:paraId="72FCD3C1">
      <w:pPr>
        <w:pStyle w:val="22"/>
        <w:tabs>
          <w:tab w:val="right" w:leader="dot" w:pos="10206"/>
        </w:tabs>
      </w:pPr>
      <w:bookmarkStart w:id="30" w:name="_GoBack"/>
      <w:bookmarkEnd w:id="30"/>
      <w:r>
        <w:rPr>
          <w:rFonts w:hint="eastAsia" w:ascii="思源宋体 CN Light" w:hAnsi="思源宋体 CN Light" w:eastAsia="思源宋体 CN Light" w:cs="思源宋体 CN Light"/>
          <w:sz w:val="24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 w:val="24"/>
        </w:rPr>
        <w:instrText xml:space="preserve"> TOC \o "1-3" \h \z </w:instrText>
      </w:r>
      <w:r>
        <w:rPr>
          <w:rFonts w:hint="eastAsia" w:ascii="思源宋体 CN Light" w:hAnsi="思源宋体 CN Light" w:eastAsia="思源宋体 CN Light" w:cs="思源宋体 CN Light"/>
          <w:sz w:val="24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_Toc4198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2"/>
        </w:rPr>
        <w:t xml:space="preserve">第1章 </w:t>
      </w:r>
      <w:r>
        <w:rPr>
          <w:rFonts w:hint="eastAsia" w:ascii="思源宋体 CN Light" w:hAnsi="思源宋体 CN Light" w:eastAsia="思源宋体 CN Light" w:cs="思源宋体 CN Light"/>
          <w:szCs w:val="32"/>
          <w:lang w:val="en-US" w:eastAsia="zh-CN"/>
        </w:rPr>
        <w:t>定标评委操作流程</w:t>
      </w:r>
      <w:r>
        <w:tab/>
      </w:r>
      <w:r>
        <w:fldChar w:fldCharType="begin"/>
      </w:r>
      <w:r>
        <w:instrText xml:space="preserve"> PAGEREF _Toc4198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3409DF36">
      <w:pPr>
        <w:pStyle w:val="25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_Toc2886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</w:rPr>
        <w:t>1.1 系统登录</w:t>
      </w:r>
      <w:r>
        <w:tab/>
      </w:r>
      <w:r>
        <w:fldChar w:fldCharType="begin"/>
      </w:r>
      <w:r>
        <w:instrText xml:space="preserve"> PAGEREF _Toc2886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398A92E9">
      <w:pPr>
        <w:pStyle w:val="25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_Toc2062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</w:rPr>
        <w:t xml:space="preserve">1.2 </w:t>
      </w:r>
      <w:r>
        <w:rPr>
          <w:rFonts w:hint="eastAsia" w:ascii="思源宋体 CN Light" w:hAnsi="思源宋体 CN Light" w:eastAsia="思源宋体 CN Light" w:cs="思源宋体 CN Light"/>
          <w:szCs w:val="30"/>
          <w:lang w:val="en-US" w:eastAsia="zh-CN"/>
        </w:rPr>
        <w:t>进入标段</w:t>
      </w:r>
      <w:r>
        <w:tab/>
      </w:r>
      <w:r>
        <w:fldChar w:fldCharType="begin"/>
      </w:r>
      <w:r>
        <w:instrText xml:space="preserve"> PAGEREF _Toc2062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36E9A791">
      <w:pPr>
        <w:pStyle w:val="25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_Toc12973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/>
          <w:lang w:val="en-US" w:eastAsia="zh-CN"/>
        </w:rPr>
        <w:t>1.3 阅读定标纪律</w:t>
      </w:r>
      <w:r>
        <w:tab/>
      </w:r>
      <w:r>
        <w:fldChar w:fldCharType="begin"/>
      </w:r>
      <w:r>
        <w:instrText xml:space="preserve"> PAGEREF _Toc12973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1A7B357B">
      <w:pPr>
        <w:pStyle w:val="22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_Toc21596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/>
          <w:lang w:val="en-US" w:eastAsia="zh-CN"/>
        </w:rPr>
        <w:t>第2章 核查随机法</w:t>
      </w:r>
      <w:r>
        <w:tab/>
      </w:r>
      <w:r>
        <w:fldChar w:fldCharType="begin"/>
      </w:r>
      <w:r>
        <w:instrText xml:space="preserve"> PAGEREF _Toc21596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204E165B">
      <w:pPr>
        <w:pStyle w:val="25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_Toc15704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/>
          <w:lang w:val="en-US" w:eastAsia="zh-CN"/>
        </w:rPr>
        <w:t>2.1 随机抽取</w:t>
      </w:r>
      <w:r>
        <w:tab/>
      </w:r>
      <w:r>
        <w:fldChar w:fldCharType="begin"/>
      </w:r>
      <w:r>
        <w:instrText xml:space="preserve"> PAGEREF _Toc15704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4AE569B2">
      <w:pPr>
        <w:pStyle w:val="25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_Toc16441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/>
          <w:lang w:val="en-US" w:eastAsia="zh-CN"/>
        </w:rPr>
        <w:t>2.2 定标报告</w:t>
      </w:r>
      <w:r>
        <w:tab/>
      </w:r>
      <w:r>
        <w:fldChar w:fldCharType="begin"/>
      </w:r>
      <w:r>
        <w:instrText xml:space="preserve"> PAGEREF _Toc16441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623DC119">
      <w:pPr>
        <w:pStyle w:val="25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_Toc17994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/>
          <w:lang w:val="en-US" w:eastAsia="zh-CN"/>
        </w:rPr>
        <w:t>2.3 定标委员签章</w:t>
      </w:r>
      <w:r>
        <w:tab/>
      </w:r>
      <w:r>
        <w:fldChar w:fldCharType="begin"/>
      </w:r>
      <w:r>
        <w:instrText xml:space="preserve"> PAGEREF _Toc17994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33C785EE">
      <w:pPr>
        <w:pStyle w:val="25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_Toc28524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/>
          <w:lang w:val="en-US" w:eastAsia="zh-CN"/>
        </w:rPr>
        <w:t>2.4 定标结束</w:t>
      </w:r>
      <w:r>
        <w:tab/>
      </w:r>
      <w:r>
        <w:fldChar w:fldCharType="begin"/>
      </w:r>
      <w:r>
        <w:instrText xml:space="preserve"> PAGEREF _Toc28524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73967EF4">
      <w:pPr>
        <w:pStyle w:val="25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_Toc19379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/>
          <w:lang w:val="en-US" w:eastAsia="zh-CN"/>
        </w:rPr>
        <w:t>2.5 注意事项</w:t>
      </w:r>
      <w:r>
        <w:tab/>
      </w:r>
      <w:r>
        <w:fldChar w:fldCharType="begin"/>
      </w:r>
      <w:r>
        <w:instrText xml:space="preserve"> PAGEREF _Toc19379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5105EF30">
      <w:pPr>
        <w:pStyle w:val="22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_Toc21194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/>
          <w:lang w:val="en-US" w:eastAsia="zh-CN"/>
        </w:rPr>
        <w:t>第3章 票决定标法</w:t>
      </w:r>
      <w:r>
        <w:tab/>
      </w:r>
      <w:r>
        <w:fldChar w:fldCharType="begin"/>
      </w:r>
      <w:r>
        <w:instrText xml:space="preserve"> PAGEREF _Toc21194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4289BF93">
      <w:pPr>
        <w:pStyle w:val="25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_Toc16625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/>
        </w:rPr>
        <w:t xml:space="preserve">3.1 </w:t>
      </w:r>
      <w:r>
        <w:rPr>
          <w:rFonts w:hint="eastAsia"/>
          <w:lang w:val="en-US" w:eastAsia="zh-CN"/>
        </w:rPr>
        <w:t>定标委员会评审</w:t>
      </w:r>
      <w:r>
        <w:tab/>
      </w:r>
      <w:r>
        <w:fldChar w:fldCharType="begin"/>
      </w:r>
      <w:r>
        <w:instrText xml:space="preserve"> PAGEREF _Toc16625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0E65CA41">
      <w:pPr>
        <w:pStyle w:val="17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_Toc9895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/>
        </w:rPr>
        <w:t>3.1.1 评委</w:t>
      </w:r>
      <w:r>
        <w:rPr>
          <w:rFonts w:hint="eastAsia"/>
          <w:lang w:val="en-US" w:eastAsia="zh-CN"/>
        </w:rPr>
        <w:t>投票</w:t>
      </w:r>
      <w:r>
        <w:tab/>
      </w:r>
      <w:r>
        <w:fldChar w:fldCharType="begin"/>
      </w:r>
      <w:r>
        <w:instrText xml:space="preserve"> PAGEREF _Toc9895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51884BFE">
      <w:pPr>
        <w:pStyle w:val="17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_Toc30128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/>
        </w:rPr>
        <w:t xml:space="preserve">3.1.2 </w:t>
      </w:r>
      <w:r>
        <w:rPr>
          <w:rFonts w:hint="eastAsia"/>
          <w:lang w:val="en-US" w:eastAsia="zh-CN"/>
        </w:rPr>
        <w:t>查看投票结果</w:t>
      </w:r>
      <w:r>
        <w:tab/>
      </w:r>
      <w:r>
        <w:fldChar w:fldCharType="begin"/>
      </w:r>
      <w:r>
        <w:instrText xml:space="preserve"> PAGEREF _Toc30128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201C1316">
      <w:pPr>
        <w:pStyle w:val="25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_Toc5639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/>
        </w:rPr>
        <w:t xml:space="preserve">3.2 </w:t>
      </w:r>
      <w:r>
        <w:rPr>
          <w:rFonts w:hint="eastAsia"/>
          <w:lang w:val="en-US" w:eastAsia="zh-CN"/>
        </w:rPr>
        <w:t>评审汇总</w:t>
      </w:r>
      <w:r>
        <w:tab/>
      </w:r>
      <w:r>
        <w:fldChar w:fldCharType="begin"/>
      </w:r>
      <w:r>
        <w:instrText xml:space="preserve"> PAGEREF _Toc5639 \h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5089F4A6">
      <w:pPr>
        <w:pStyle w:val="25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_Toc8929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/>
        </w:rPr>
        <w:t xml:space="preserve">3.3 </w:t>
      </w:r>
      <w:r>
        <w:rPr>
          <w:rFonts w:hint="eastAsia"/>
          <w:lang w:val="en-US" w:eastAsia="zh-CN"/>
        </w:rPr>
        <w:t>定标报告</w:t>
      </w:r>
      <w:r>
        <w:tab/>
      </w:r>
      <w:r>
        <w:fldChar w:fldCharType="begin"/>
      </w:r>
      <w:r>
        <w:instrText xml:space="preserve"> PAGEREF _Toc8929 \h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74C7F9C9">
      <w:pPr>
        <w:pStyle w:val="25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_Toc12320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/>
        </w:rPr>
        <w:t xml:space="preserve">3.4 </w:t>
      </w:r>
      <w:r>
        <w:rPr>
          <w:rFonts w:hint="eastAsia"/>
          <w:lang w:val="en-US" w:eastAsia="zh-CN"/>
        </w:rPr>
        <w:t>定标委员签章</w:t>
      </w:r>
      <w:r>
        <w:tab/>
      </w:r>
      <w:r>
        <w:fldChar w:fldCharType="begin"/>
      </w:r>
      <w:r>
        <w:instrText xml:space="preserve"> PAGEREF _Toc12320 \h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43BCACB8">
      <w:pPr>
        <w:pStyle w:val="25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_Toc13481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/>
          <w:lang w:val="en-US" w:eastAsia="zh-CN"/>
        </w:rPr>
        <w:t>3.5 定标结束</w:t>
      </w:r>
      <w:r>
        <w:tab/>
      </w:r>
      <w:r>
        <w:fldChar w:fldCharType="begin"/>
      </w:r>
      <w:r>
        <w:instrText xml:space="preserve"> PAGEREF _Toc13481 \h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4B2203BE">
      <w:pPr>
        <w:pStyle w:val="22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_Toc2863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/>
          <w:lang w:val="en-US" w:eastAsia="zh-CN"/>
        </w:rPr>
        <w:t>第4章 集体议事法</w:t>
      </w:r>
      <w:r>
        <w:tab/>
      </w:r>
      <w:r>
        <w:fldChar w:fldCharType="begin"/>
      </w:r>
      <w:r>
        <w:instrText xml:space="preserve"> PAGEREF _Toc2863 \h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5DFB37BB">
      <w:pPr>
        <w:pStyle w:val="25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_Toc24686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/>
          <w:lang w:val="en-US" w:eastAsia="zh-CN"/>
        </w:rPr>
        <w:t>4.1 定标委员会评审</w:t>
      </w:r>
      <w:r>
        <w:tab/>
      </w:r>
      <w:r>
        <w:fldChar w:fldCharType="begin"/>
      </w:r>
      <w:r>
        <w:instrText xml:space="preserve"> PAGEREF _Toc24686 \h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5C6245F9">
      <w:pPr>
        <w:pStyle w:val="17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_Toc1708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/>
          <w:lang w:val="en-US" w:eastAsia="zh-CN"/>
        </w:rPr>
        <w:t>4.1.1 评委议事</w:t>
      </w:r>
      <w:r>
        <w:tab/>
      </w:r>
      <w:r>
        <w:fldChar w:fldCharType="begin"/>
      </w:r>
      <w:r>
        <w:instrText xml:space="preserve"> PAGEREF _Toc1708 \h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7C6E530D">
      <w:pPr>
        <w:pStyle w:val="17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_Toc20656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/>
          <w:lang w:val="en-US" w:eastAsia="zh-CN"/>
        </w:rPr>
        <w:t>4.1.2 查看议事结果</w:t>
      </w:r>
      <w:r>
        <w:tab/>
      </w:r>
      <w:r>
        <w:fldChar w:fldCharType="begin"/>
      </w:r>
      <w:r>
        <w:instrText xml:space="preserve"> PAGEREF _Toc20656 \h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0C8A6502">
      <w:pPr>
        <w:pStyle w:val="25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_Toc28765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/>
          <w:lang w:val="en-US" w:eastAsia="zh-CN"/>
        </w:rPr>
        <w:t>4.2 评审汇总</w:t>
      </w:r>
      <w:r>
        <w:tab/>
      </w:r>
      <w:r>
        <w:fldChar w:fldCharType="begin"/>
      </w:r>
      <w:r>
        <w:instrText xml:space="preserve"> PAGEREF _Toc28765 \h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0E8F70CF">
      <w:pPr>
        <w:pStyle w:val="25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_Toc15444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/>
          <w:lang w:val="en-US" w:eastAsia="zh-CN"/>
        </w:rPr>
        <w:t>4.3 定标报告</w:t>
      </w:r>
      <w:r>
        <w:tab/>
      </w:r>
      <w:r>
        <w:fldChar w:fldCharType="begin"/>
      </w:r>
      <w:r>
        <w:instrText xml:space="preserve"> PAGEREF _Toc15444 \h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5AAEC145">
      <w:pPr>
        <w:pStyle w:val="25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_Toc10981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/>
          <w:lang w:val="en-US" w:eastAsia="zh-CN"/>
        </w:rPr>
        <w:t>4.4 定标委员签章</w:t>
      </w:r>
      <w:r>
        <w:tab/>
      </w:r>
      <w:r>
        <w:fldChar w:fldCharType="begin"/>
      </w:r>
      <w:r>
        <w:instrText xml:space="preserve"> PAGEREF _Toc10981 \h </w:instrText>
      </w:r>
      <w:r>
        <w:fldChar w:fldCharType="separate"/>
      </w:r>
      <w:r>
        <w:t>17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0D4BA838">
      <w:pPr>
        <w:pStyle w:val="25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_Toc11649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/>
          <w:lang w:val="en-US" w:eastAsia="zh-CN"/>
        </w:rPr>
        <w:t>4.5 定标结束</w:t>
      </w:r>
      <w:r>
        <w:tab/>
      </w:r>
      <w:r>
        <w:fldChar w:fldCharType="begin"/>
      </w:r>
      <w:r>
        <w:instrText xml:space="preserve"> PAGEREF _Toc11649 \h </w:instrText>
      </w:r>
      <w:r>
        <w:fldChar w:fldCharType="separate"/>
      </w:r>
      <w:r>
        <w:t>17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3156ED0D">
      <w:pPr>
        <w:pStyle w:val="22"/>
        <w:tabs>
          <w:tab w:val="right" w:leader="dot" w:pos="8302"/>
        </w:tabs>
        <w:spacing w:before="312" w:line="360" w:lineRule="auto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6ED0E4E3">
      <w:pPr>
        <w:pStyle w:val="3"/>
        <w:spacing w:line="360" w:lineRule="auto"/>
        <w:rPr>
          <w:rFonts w:ascii="思源宋体 CN Light" w:hAnsi="思源宋体 CN Light" w:eastAsia="思源宋体 CN Light" w:cs="思源宋体 CN Light"/>
          <w:sz w:val="32"/>
          <w:szCs w:val="32"/>
        </w:rPr>
      </w:pPr>
      <w:r>
        <w:rPr>
          <w:rFonts w:hint="eastAsia" w:ascii="思源宋体 CN Light" w:hAnsi="思源宋体 CN Light" w:eastAsia="思源宋体 CN Light" w:cs="思源宋体 CN Light"/>
        </w:rPr>
        <w:br w:type="page"/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 xml:space="preserve"> </w:t>
      </w:r>
      <w:bookmarkStart w:id="0" w:name="_Toc4198"/>
      <w:r>
        <w:rPr>
          <w:rFonts w:hint="eastAsia" w:ascii="思源宋体 CN Light" w:hAnsi="思源宋体 CN Light" w:eastAsia="思源宋体 CN Light" w:cs="思源宋体 CN Light"/>
          <w:sz w:val="32"/>
          <w:szCs w:val="32"/>
          <w:lang w:val="en-US" w:eastAsia="zh-CN"/>
        </w:rPr>
        <w:t>定标评委操作流程</w:t>
      </w:r>
      <w:bookmarkEnd w:id="0"/>
    </w:p>
    <w:p w14:paraId="5EE9B826">
      <w:pPr>
        <w:pStyle w:val="5"/>
        <w:spacing w:line="360" w:lineRule="auto"/>
        <w:rPr>
          <w:rFonts w:ascii="思源宋体 CN Light" w:hAnsi="思源宋体 CN Light" w:eastAsia="思源宋体 CN Light" w:cs="思源宋体 CN Light"/>
          <w:sz w:val="30"/>
          <w:szCs w:val="30"/>
        </w:rPr>
      </w:pPr>
      <w:bookmarkStart w:id="1" w:name="_Toc7238"/>
      <w:bookmarkStart w:id="2" w:name="_Toc3280"/>
      <w:bookmarkStart w:id="3" w:name="_Toc2886"/>
      <w:r>
        <w:rPr>
          <w:rFonts w:hint="eastAsia" w:ascii="思源宋体 CN Light" w:hAnsi="思源宋体 CN Light" w:eastAsia="思源宋体 CN Light" w:cs="思源宋体 CN Light"/>
          <w:sz w:val="30"/>
          <w:szCs w:val="30"/>
        </w:rPr>
        <w:t>系统登录</w:t>
      </w:r>
      <w:bookmarkEnd w:id="1"/>
      <w:bookmarkEnd w:id="2"/>
      <w:bookmarkEnd w:id="3"/>
    </w:p>
    <w:p w14:paraId="2E3D9373"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</w:rPr>
        <w:t>进入登录页面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（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https://ggzy.jiaozuo.gov.cn/DingBiao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）</w:t>
      </w:r>
      <w:r>
        <w:rPr>
          <w:rFonts w:hint="eastAsia" w:ascii="思源宋体 CN Light" w:hAnsi="思源宋体 CN Light" w:eastAsia="思源宋体 CN Light" w:cs="思源宋体 CN Light"/>
        </w:rPr>
        <w:t>，选择对应的身份：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定标委员。</w:t>
      </w:r>
    </w:p>
    <w:p w14:paraId="50DA6A6B">
      <w:pPr>
        <w:pStyle w:val="2"/>
        <w:rPr>
          <w:rFonts w:hint="default" w:eastAsia="宋体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定标电脑通过账户密码登录（账户密码由代理机构手动生成后提供）。</w:t>
      </w:r>
      <w:r>
        <w:rPr>
          <w:rFonts w:hint="eastAsia" w:ascii="思源宋体 CN Light" w:hAnsi="思源宋体 CN Light" w:eastAsia="思源宋体 CN Light" w:cs="思源宋体 CN Light"/>
        </w:rPr>
        <w:t>输入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账户和</w:t>
      </w:r>
      <w:r>
        <w:rPr>
          <w:rFonts w:hint="eastAsia" w:ascii="思源宋体 CN Light" w:hAnsi="思源宋体 CN Light" w:eastAsia="思源宋体 CN Light" w:cs="思源宋体 CN Light"/>
        </w:rPr>
        <w:t>密码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后</w:t>
      </w:r>
      <w:r>
        <w:rPr>
          <w:rFonts w:hint="eastAsia" w:ascii="思源宋体 CN Light" w:hAnsi="思源宋体 CN Light" w:eastAsia="思源宋体 CN Light" w:cs="思源宋体 CN Light"/>
        </w:rPr>
        <w:t>点击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【</w:t>
      </w:r>
      <w:r>
        <w:rPr>
          <w:rFonts w:hint="eastAsia" w:ascii="思源宋体 CN Light" w:hAnsi="思源宋体 CN Light" w:eastAsia="思源宋体 CN Light" w:cs="思源宋体 CN Light"/>
        </w:rPr>
        <w:t>登录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】</w:t>
      </w:r>
      <w:r>
        <w:rPr>
          <w:rFonts w:hint="eastAsia" w:ascii="思源宋体 CN Light" w:hAnsi="思源宋体 CN Light" w:eastAsia="思源宋体 CN Light" w:cs="思源宋体 CN Light"/>
        </w:rPr>
        <w:t>按钮，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即可登录</w:t>
      </w:r>
      <w:r>
        <w:rPr>
          <w:rFonts w:hint="eastAsia" w:ascii="思源宋体 CN Light" w:hAnsi="思源宋体 CN Light" w:eastAsia="思源宋体 CN Light" w:cs="思源宋体 CN Light"/>
        </w:rPr>
        <w:t>进入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定标系统中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。</w:t>
      </w:r>
      <w:r>
        <w:rPr>
          <w:rFonts w:hint="eastAsia"/>
          <w:lang w:val="en-US" w:eastAsia="zh-CN"/>
        </w:rPr>
        <w:t>定标评委登录页面如下图：</w:t>
      </w:r>
    </w:p>
    <w:p w14:paraId="51DB80D4">
      <w:pPr>
        <w:spacing w:line="360" w:lineRule="auto"/>
      </w:pPr>
      <w:r>
        <w:drawing>
          <wp:inline distT="0" distB="0" distL="114300" distR="114300">
            <wp:extent cx="6480175" cy="2411730"/>
            <wp:effectExtent l="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t="1034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31CF8"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选择“定标委员”身份，输入账号密码，即可登录进入定标系统。</w:t>
      </w:r>
    </w:p>
    <w:p w14:paraId="4FF68B11">
      <w:pPr>
        <w:pStyle w:val="2"/>
        <w:ind w:left="0" w:leftChars="0" w:firstLine="0" w:firstLineChars="0"/>
      </w:pPr>
    </w:p>
    <w:p w14:paraId="6420BC25">
      <w:pPr>
        <w:pStyle w:val="2"/>
        <w:ind w:left="0" w:leftChars="0" w:firstLine="0" w:firstLineChars="0"/>
      </w:pPr>
      <w:r>
        <w:drawing>
          <wp:inline distT="0" distB="0" distL="114300" distR="114300">
            <wp:extent cx="6480175" cy="2530475"/>
            <wp:effectExtent l="0" t="0" r="0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t="994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86B2C"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 w14:paraId="6CEA315C">
      <w:pPr>
        <w:pStyle w:val="5"/>
        <w:spacing w:line="360" w:lineRule="auto"/>
        <w:rPr>
          <w:rFonts w:ascii="思源宋体 CN Light" w:hAnsi="思源宋体 CN Light" w:eastAsia="思源宋体 CN Light" w:cs="思源宋体 CN Light"/>
          <w:sz w:val="30"/>
          <w:szCs w:val="30"/>
        </w:rPr>
      </w:pPr>
      <w:bookmarkStart w:id="4" w:name="_Toc2062"/>
      <w:r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  <w:t>进入标段</w:t>
      </w:r>
      <w:bookmarkEnd w:id="4"/>
    </w:p>
    <w:p w14:paraId="6F748949">
      <w:pPr>
        <w:pStyle w:val="2"/>
        <w:spacing w:line="360" w:lineRule="auto"/>
        <w:ind w:firstLine="420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</w:rPr>
        <w:t>进入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定标</w:t>
      </w:r>
      <w:r>
        <w:rPr>
          <w:rFonts w:hint="eastAsia" w:ascii="思源宋体 CN Light" w:hAnsi="思源宋体 CN Light" w:eastAsia="思源宋体 CN Light" w:cs="思源宋体 CN Light"/>
        </w:rPr>
        <w:t>系统后，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首先展示的是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“</w:t>
      </w:r>
      <w:r>
        <w:rPr>
          <w:rFonts w:hint="eastAsia" w:ascii="思源宋体 CN Light" w:hAnsi="思源宋体 CN Light" w:eastAsia="思源宋体 CN Light" w:cs="思源宋体 CN Light"/>
        </w:rPr>
        <w:t>项目管理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”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页面</w:t>
      </w:r>
      <w:r>
        <w:rPr>
          <w:rFonts w:hint="eastAsia" w:ascii="思源宋体 CN Light" w:hAnsi="思源宋体 CN Light" w:eastAsia="思源宋体 CN Light" w:cs="思源宋体 CN Light"/>
        </w:rPr>
        <w:t>，默认显示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“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今日定标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”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项目</w:t>
      </w:r>
      <w:r>
        <w:rPr>
          <w:rFonts w:hint="eastAsia" w:ascii="思源宋体 CN Light" w:hAnsi="思源宋体 CN Light" w:eastAsia="思源宋体 CN Light" w:cs="思源宋体 CN Light"/>
        </w:rPr>
        <w:t>列表，点击标段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最右侧“操作”列的第一个按钮</w:t>
      </w:r>
      <w:r>
        <w:rPr>
          <w:rFonts w:hint="eastAsia" w:ascii="思源宋体 CN Light" w:hAnsi="思源宋体 CN Light" w:eastAsia="思源宋体 CN Light" w:cs="思源宋体 CN Light"/>
        </w:rPr>
        <w:t>，进入需要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</w:t>
      </w:r>
      <w:r>
        <w:rPr>
          <w:rFonts w:hint="eastAsia" w:ascii="思源宋体 CN Light" w:hAnsi="思源宋体 CN Light" w:eastAsia="思源宋体 CN Light" w:cs="思源宋体 CN Light"/>
        </w:rPr>
        <w:t>标的标段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如下图：</w:t>
      </w:r>
    </w:p>
    <w:p w14:paraId="6C654C30">
      <w:pPr>
        <w:pStyle w:val="2"/>
        <w:spacing w:line="360" w:lineRule="auto"/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点击【今日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定标</w:t>
      </w:r>
      <w:r>
        <w:rPr>
          <w:rFonts w:hint="eastAsia" w:ascii="思源宋体 CN Light" w:hAnsi="思源宋体 CN Light" w:eastAsia="思源宋体 CN Light" w:cs="思源宋体 CN Light"/>
        </w:rPr>
        <w:t>】、【已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定标</w:t>
      </w:r>
      <w:r>
        <w:rPr>
          <w:rFonts w:hint="eastAsia" w:ascii="思源宋体 CN Light" w:hAnsi="思源宋体 CN Light" w:eastAsia="思源宋体 CN Light" w:cs="思源宋体 CN Light"/>
        </w:rPr>
        <w:t>】、【未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定标</w:t>
      </w:r>
      <w:r>
        <w:rPr>
          <w:rFonts w:hint="eastAsia" w:ascii="思源宋体 CN Light" w:hAnsi="思源宋体 CN Light" w:eastAsia="思源宋体 CN Light" w:cs="思源宋体 CN Light"/>
        </w:rPr>
        <w:t>】，可以切换查看不同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定标</w:t>
      </w:r>
      <w:r>
        <w:rPr>
          <w:rFonts w:hint="eastAsia" w:ascii="思源宋体 CN Light" w:hAnsi="思源宋体 CN Light" w:eastAsia="思源宋体 CN Light" w:cs="思源宋体 CN Light"/>
        </w:rPr>
        <w:t>状态下的标段列表。</w:t>
      </w:r>
    </w:p>
    <w:p w14:paraId="57803D14">
      <w:pPr>
        <w:pStyle w:val="2"/>
        <w:spacing w:line="360" w:lineRule="auto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注意：如果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“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今日定标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”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项目</w:t>
      </w:r>
      <w:r>
        <w:rPr>
          <w:rFonts w:hint="eastAsia" w:ascii="思源宋体 CN Light" w:hAnsi="思源宋体 CN Light" w:eastAsia="思源宋体 CN Light" w:cs="思源宋体 CN Light"/>
        </w:rPr>
        <w:t>列表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下未展示当天定标的标段，可以点击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“</w:t>
      </w:r>
      <w:r>
        <w:rPr>
          <w:rFonts w:hint="eastAsia" w:ascii="思源宋体 CN Light" w:hAnsi="思源宋体 CN Light" w:eastAsia="思源宋体 CN Light" w:cs="思源宋体 CN Light"/>
        </w:rPr>
        <w:t>项目管理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”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页面右上方的【同步项目】按钮，以尝试重新同步获取当天定标的标段。</w:t>
      </w:r>
    </w:p>
    <w:p w14:paraId="3A4B013D">
      <w:pPr>
        <w:pStyle w:val="2"/>
        <w:spacing w:line="360" w:lineRule="auto"/>
        <w:ind w:firstLine="0" w:firstLineChars="0"/>
      </w:pPr>
    </w:p>
    <w:p w14:paraId="623AB264">
      <w:pPr>
        <w:pStyle w:val="2"/>
        <w:spacing w:line="360" w:lineRule="auto"/>
        <w:ind w:firstLine="0" w:firstLineChars="0"/>
      </w:pPr>
      <w:r>
        <w:drawing>
          <wp:inline distT="0" distB="0" distL="114300" distR="114300">
            <wp:extent cx="6249670" cy="2948305"/>
            <wp:effectExtent l="0" t="0" r="0" b="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rcRect l="4055"/>
                    <a:stretch>
                      <a:fillRect/>
                    </a:stretch>
                  </pic:blipFill>
                  <pic:spPr>
                    <a:xfrm>
                      <a:off x="0" y="0"/>
                      <a:ext cx="624967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C1D91">
      <w:pPr>
        <w:pStyle w:val="5"/>
        <w:bidi w:val="0"/>
        <w:ind w:left="851" w:leftChars="0" w:hanging="567" w:firstLineChars="0"/>
        <w:rPr>
          <w:lang w:val="en-US" w:eastAsia="zh-CN"/>
        </w:rPr>
      </w:pPr>
      <w:bookmarkStart w:id="5" w:name="_Toc12973"/>
      <w:r>
        <w:rPr>
          <w:rFonts w:hint="eastAsia"/>
          <w:lang w:val="en-US" w:eastAsia="zh-CN"/>
        </w:rPr>
        <w:t>阅读定标纪律</w:t>
      </w:r>
      <w:bookmarkEnd w:id="5"/>
    </w:p>
    <w:p w14:paraId="1F29E622">
      <w:pPr>
        <w:pStyle w:val="2"/>
        <w:spacing w:line="360" w:lineRule="auto"/>
        <w:ind w:firstLine="420" w:firstLineChars="0"/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进入标段后，先点击页面上方的“定标纪律”，如下图：</w:t>
      </w:r>
    </w:p>
    <w:p w14:paraId="1BB28A00">
      <w:pPr>
        <w:pStyle w:val="2"/>
        <w:spacing w:line="360" w:lineRule="auto"/>
        <w:ind w:firstLine="0" w:firstLineChars="0"/>
      </w:pPr>
      <w:r>
        <w:drawing>
          <wp:inline distT="0" distB="0" distL="114300" distR="114300">
            <wp:extent cx="6039485" cy="3200400"/>
            <wp:effectExtent l="0" t="0" r="889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3948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13CA7">
      <w:pPr>
        <w:spacing w:line="360" w:lineRule="auto"/>
        <w:ind w:firstLine="420" w:firstLineChars="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在“定标纪律”页面下方，有个【我已阅读并承诺遵守定标会议纪律】按钮</w:t>
      </w:r>
      <w:r>
        <w:rPr>
          <w:rFonts w:hint="eastAsia" w:ascii="思源宋体 CN Light" w:hAnsi="思源宋体 CN Light" w:eastAsia="思源宋体 CN Light" w:cs="思源宋体 CN Light"/>
        </w:rPr>
        <w:t>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该按钮刚开始为灰色（此时无法点击），10秒钟倒计时结束后变为蓝色（此时可以点击）。请仔细阅读定标会议纪律内容，阅读完成后点击【我已阅读并承诺遵守定标会议纪律】按钮。</w:t>
      </w:r>
    </w:p>
    <w:p w14:paraId="5A22930F">
      <w:pPr>
        <w:pStyle w:val="2"/>
        <w:spacing w:line="360" w:lineRule="auto"/>
        <w:ind w:firstLine="0" w:firstLineChars="0"/>
      </w:pPr>
    </w:p>
    <w:p w14:paraId="7A58F053">
      <w:pPr>
        <w:pStyle w:val="2"/>
        <w:spacing w:line="360" w:lineRule="auto"/>
        <w:ind w:firstLine="0" w:firstLineChars="0"/>
        <w:rPr>
          <w:rFonts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6480175" cy="3022600"/>
            <wp:effectExtent l="0" t="0" r="0" b="0"/>
            <wp:docPr id="4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rcRect t="436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DBAE3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查看项目信息</w:t>
      </w:r>
    </w:p>
    <w:p w14:paraId="4FEF8201">
      <w:pPr>
        <w:pStyle w:val="2"/>
        <w:spacing w:line="360" w:lineRule="auto"/>
        <w:ind w:firstLine="42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完成定标纪律操作后，点击“项目信息”，可查看项目信息。如下图：</w:t>
      </w:r>
    </w:p>
    <w:p w14:paraId="6D5BB561">
      <w:pPr>
        <w:pStyle w:val="2"/>
        <w:spacing w:line="360" w:lineRule="auto"/>
        <w:ind w:firstLine="42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普通评委可点击此页面右上角的【提问】按钮向评委组长进行提问，评委组长可在此页面进行回复，评委组长无【提问】按钮。</w:t>
      </w:r>
    </w:p>
    <w:p w14:paraId="4EEE1C82">
      <w:pPr>
        <w:pStyle w:val="2"/>
        <w:spacing w:line="360" w:lineRule="auto"/>
        <w:ind w:firstLine="420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点击页面右侧【更多】按钮，可查看招标文件、投标文件、评标报告、重置定标流程等（只有评委组长有重置定标流程功能）。</w:t>
      </w:r>
    </w:p>
    <w:p w14:paraId="6BF4E9AD">
      <w:pPr>
        <w:pStyle w:val="2"/>
        <w:spacing w:line="360" w:lineRule="auto"/>
        <w:ind w:left="0" w:leftChars="0" w:firstLine="0" w:firstLineChars="0"/>
      </w:pPr>
    </w:p>
    <w:p w14:paraId="30B89268">
      <w:pPr>
        <w:pStyle w:val="2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6480175" cy="1981835"/>
            <wp:effectExtent l="0" t="0" r="0" b="0"/>
            <wp:docPr id="4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rcRect t="1208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E442E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ind w:left="851" w:hanging="567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评委回避</w:t>
      </w:r>
    </w:p>
    <w:p w14:paraId="631775DF">
      <w:pPr>
        <w:pStyle w:val="2"/>
        <w:spacing w:line="360" w:lineRule="auto"/>
        <w:ind w:firstLine="42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完成“项目信息”操作后，点击“委员回避”，请所有评委仔细查看定标候选人名称和《定标委员会成员回避承诺书》，若无需回避，请点击右侧【提交】按钮即可。</w:t>
      </w:r>
    </w:p>
    <w:p w14:paraId="11AF8D9E">
      <w:pPr>
        <w:pStyle w:val="2"/>
        <w:spacing w:line="360" w:lineRule="auto"/>
        <w:ind w:firstLine="42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若需要回避，请点击“操作”列下的【回避】按钮进行回避，回避后无法进行后续的定标评审。如下图：</w:t>
      </w:r>
    </w:p>
    <w:p w14:paraId="5FFEB0F3">
      <w:pPr>
        <w:pStyle w:val="2"/>
        <w:spacing w:line="360" w:lineRule="auto"/>
        <w:ind w:left="0" w:leftChars="0" w:firstLine="0" w:firstLineChars="0"/>
      </w:pPr>
    </w:p>
    <w:p w14:paraId="11B856E6">
      <w:pPr>
        <w:pStyle w:val="2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6604000" cy="1814830"/>
            <wp:effectExtent l="0" t="0" r="0" b="127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32AB8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ind w:left="851" w:hanging="567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委员核查</w:t>
      </w:r>
    </w:p>
    <w:p w14:paraId="5102C01E">
      <w:pPr>
        <w:pStyle w:val="2"/>
        <w:spacing w:line="360" w:lineRule="auto"/>
        <w:ind w:left="0" w:leftChars="0" w:firstLine="420" w:firstLineChars="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完成“委员回避”操作后，点击“委员核查”，定标委员会应严格按照招标文件中载明的核查内容和方式进行核查，招标文件中没有规定的核查标准和方法不得作为定标核查的依据，不得在定标过程中随意新增定标资格条件和要求。</w:t>
      </w:r>
    </w:p>
    <w:p w14:paraId="70C3C025">
      <w:pPr>
        <w:pStyle w:val="2"/>
        <w:spacing w:line="360" w:lineRule="auto"/>
        <w:ind w:left="0" w:leftChars="0" w:firstLine="420" w:firstLineChars="0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由定标评委组长将核查结果和核查意见录入定标系统中并完成提交。核查结果不通过的投标单位不进入后续定标环节。</w:t>
      </w:r>
    </w:p>
    <w:p w14:paraId="0C769F53">
      <w:pPr>
        <w:pStyle w:val="2"/>
        <w:spacing w:line="360" w:lineRule="auto"/>
        <w:ind w:left="0" w:leftChars="0" w:firstLine="420" w:firstLineChars="0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定标委员会各成员对录入的核查结果和核查意见确认无误后（如下图），可进行下一个“核查报告”环节。</w:t>
      </w:r>
    </w:p>
    <w:p w14:paraId="341FE1CC">
      <w:pPr>
        <w:pStyle w:val="2"/>
        <w:spacing w:line="360" w:lineRule="auto"/>
        <w:ind w:left="0" w:leftChars="0" w:firstLine="0" w:firstLineChars="0"/>
      </w:pPr>
    </w:p>
    <w:p w14:paraId="4137F6D5">
      <w:pPr>
        <w:pStyle w:val="2"/>
        <w:spacing w:line="360" w:lineRule="auto"/>
        <w:ind w:left="0" w:leftChars="0" w:firstLine="0" w:firstLineChars="0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drawing>
          <wp:inline distT="0" distB="0" distL="114300" distR="114300">
            <wp:extent cx="6640195" cy="2002790"/>
            <wp:effectExtent l="0" t="0" r="1905" b="381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99943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ind w:left="851" w:hanging="567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核查报告</w:t>
      </w:r>
    </w:p>
    <w:p w14:paraId="071B27EB">
      <w:pPr>
        <w:pStyle w:val="2"/>
        <w:spacing w:line="360" w:lineRule="auto"/>
        <w:ind w:left="0" w:leftChars="0" w:firstLine="420" w:firstLineChars="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完成“委员核查”操作后，点击“核查报告”，由定标评委组长进行核查报告的编辑调整和保存（如下图）。</w:t>
      </w:r>
    </w:p>
    <w:p w14:paraId="2C6853D0">
      <w:pPr>
        <w:pStyle w:val="2"/>
        <w:spacing w:line="360" w:lineRule="auto"/>
        <w:ind w:left="0" w:leftChars="0" w:firstLine="420" w:firstLineChars="0"/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定标委员会各成员对核查报告内容确认无误后，可进行下一个“开启定标”环节。</w:t>
      </w:r>
    </w:p>
    <w:p w14:paraId="48331CA0">
      <w:pPr>
        <w:pStyle w:val="2"/>
        <w:spacing w:line="360" w:lineRule="auto"/>
        <w:ind w:left="0" w:leftChars="0" w:firstLine="0" w:firstLineChars="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drawing>
          <wp:inline distT="0" distB="0" distL="114300" distR="114300">
            <wp:extent cx="6425565" cy="2551430"/>
            <wp:effectExtent l="0" t="0" r="635" b="127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2556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D9849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ind w:left="851" w:hanging="567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开启定标</w:t>
      </w:r>
    </w:p>
    <w:p w14:paraId="7C215641">
      <w:pPr>
        <w:pStyle w:val="2"/>
        <w:spacing w:line="360" w:lineRule="auto"/>
        <w:ind w:left="0" w:leftChars="0" w:firstLine="0" w:firstLineChars="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ab/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完成“委员回避”操作后，点击“开启定标”进入开启定标页面，仅评委组长需要在此页面上点击【开启定标】按钮，其他评委可查看定标办法名称。</w:t>
      </w:r>
    </w:p>
    <w:p w14:paraId="1E3D2B45">
      <w:pPr>
        <w:pStyle w:val="2"/>
        <w:spacing w:line="360" w:lineRule="auto"/>
        <w:ind w:left="0" w:leftChars="0" w:firstLine="420" w:firstLineChars="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/>
          <w:lang w:val="en-US" w:eastAsia="zh-CN"/>
        </w:rPr>
        <w:t>组长在点击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【开启定标】按钮前，应先确认该页面上的定标办法是否与招标文件（澄清答疑文件）中定标办法一致，确认一致后再点【开启定标】按钮；若不一致，请反馈给交易中心工作人员。</w:t>
      </w:r>
    </w:p>
    <w:p w14:paraId="5D37B3C9">
      <w:pPr>
        <w:pStyle w:val="2"/>
        <w:spacing w:line="360" w:lineRule="auto"/>
        <w:ind w:left="0" w:leftChars="0" w:firstLine="420" w:firstLineChars="0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注意：定标系统中只显示招标代理机构在发布招标文件（答疑澄清文件）时选择的定标办法，并只能按该定标办法进行评审。</w:t>
      </w:r>
    </w:p>
    <w:p w14:paraId="24FDBB90">
      <w:pPr>
        <w:pStyle w:val="2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6668770" cy="3305810"/>
            <wp:effectExtent l="0" t="0" r="11430" b="889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68770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825DA">
      <w:pPr>
        <w:pStyle w:val="3"/>
        <w:bidi w:val="0"/>
        <w:ind w:left="425" w:leftChars="0" w:hanging="425" w:firstLineChars="0"/>
        <w:rPr>
          <w:rFonts w:hint="eastAsia"/>
          <w:lang w:val="en-US" w:eastAsia="zh-CN"/>
        </w:rPr>
      </w:pPr>
      <w:bookmarkStart w:id="6" w:name="_Toc21596"/>
      <w:r>
        <w:rPr>
          <w:rFonts w:hint="eastAsia"/>
          <w:lang w:val="en-US" w:eastAsia="zh-CN"/>
        </w:rPr>
        <w:t>核查随机法</w:t>
      </w:r>
      <w:bookmarkEnd w:id="6"/>
    </w:p>
    <w:p w14:paraId="170F1F2A">
      <w:pPr>
        <w:pStyle w:val="5"/>
        <w:bidi w:val="0"/>
        <w:ind w:left="851" w:leftChars="0" w:hanging="567" w:firstLineChars="0"/>
        <w:rPr>
          <w:lang w:val="en-US" w:eastAsia="zh-CN"/>
        </w:rPr>
      </w:pPr>
      <w:bookmarkStart w:id="7" w:name="_Toc15704"/>
      <w:r>
        <w:rPr>
          <w:rFonts w:hint="eastAsia"/>
          <w:lang w:val="en-US" w:eastAsia="zh-CN"/>
        </w:rPr>
        <w:t>随机抽取</w:t>
      </w:r>
      <w:bookmarkEnd w:id="7"/>
    </w:p>
    <w:p w14:paraId="2BA757C3">
      <w:pPr>
        <w:pStyle w:val="4"/>
        <w:spacing w:line="360" w:lineRule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完成“开启定标”操作后，进入“随机抽取”（默认线下抽取），抽取完成后由定标评委组长在蓝色弹框中选择中标人名次，点击确认结果。如下图：</w:t>
      </w:r>
    </w:p>
    <w:p w14:paraId="06C76B3E">
      <w:pPr>
        <w:pStyle w:val="4"/>
        <w:spacing w:line="360" w:lineRule="auto"/>
        <w:ind w:left="0" w:leftChars="0" w:firstLine="0" w:firstLineChars="0"/>
        <w:rPr>
          <w:rFonts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6693535" cy="1722120"/>
            <wp:effectExtent l="0" t="0" r="12065" b="508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9353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0D74B">
      <w:pPr>
        <w:pStyle w:val="5"/>
        <w:bidi w:val="0"/>
        <w:ind w:left="851" w:leftChars="0" w:hanging="567" w:firstLineChars="0"/>
        <w:rPr>
          <w:lang w:val="en-US" w:eastAsia="zh-CN"/>
        </w:rPr>
      </w:pPr>
      <w:bookmarkStart w:id="8" w:name="_Toc16441"/>
      <w:r>
        <w:rPr>
          <w:rFonts w:hint="eastAsia"/>
          <w:lang w:val="en-US" w:eastAsia="zh-CN"/>
        </w:rPr>
        <w:t>定标报告</w:t>
      </w:r>
      <w:bookmarkEnd w:id="8"/>
    </w:p>
    <w:p w14:paraId="70FD2E4C">
      <w:pPr>
        <w:pStyle w:val="4"/>
        <w:spacing w:line="360" w:lineRule="auto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在“定标报告”页面，系统会自动生成定标报告部分内容，评委组长需仔细核对定标报告内容是否准确完整、符合定标办法相关要求。针对定标报告内容，评委组长可直接进行编辑修改。修改完成后，点击页面左上方【保存】按钮进行保存。保存后所有评委都可以看到评标报告内容。如下图：</w:t>
      </w:r>
    </w:p>
    <w:p w14:paraId="44B38B54">
      <w:pPr>
        <w:pStyle w:val="4"/>
        <w:spacing w:line="360" w:lineRule="auto"/>
        <w:rPr>
          <w:rFonts w:hint="default" w:ascii="思源宋体 CN Light" w:hAnsi="思源宋体 CN Light" w:eastAsia="思源宋体 CN Light" w:cs="思源宋体 CN Light"/>
          <w:lang w:val="en-US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如果发现定标报告内容存在问题，可点击页面左上方【重置】按钮进行重置，重置后可进行修改。</w:t>
      </w:r>
    </w:p>
    <w:p w14:paraId="68D03461">
      <w:pPr>
        <w:pStyle w:val="4"/>
        <w:spacing w:line="360" w:lineRule="auto"/>
        <w:ind w:firstLine="0" w:firstLineChars="0"/>
        <w:rPr>
          <w:rFonts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6480175" cy="2783840"/>
            <wp:effectExtent l="0" t="0" r="9525" b="10160"/>
            <wp:docPr id="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rcRect t="510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A1F9E">
      <w:pPr>
        <w:pStyle w:val="5"/>
        <w:bidi w:val="0"/>
        <w:ind w:left="851" w:leftChars="0" w:hanging="567" w:firstLineChars="0"/>
        <w:rPr>
          <w:lang w:val="en-US" w:eastAsia="zh-CN"/>
        </w:rPr>
      </w:pPr>
      <w:bookmarkStart w:id="9" w:name="_Toc17994"/>
      <w:r>
        <w:rPr>
          <w:rFonts w:hint="eastAsia"/>
          <w:lang w:val="en-US" w:eastAsia="zh-CN"/>
        </w:rPr>
        <w:t>定标委员签章</w:t>
      </w:r>
      <w:bookmarkEnd w:id="9"/>
    </w:p>
    <w:p w14:paraId="7C05AD85">
      <w:pPr>
        <w:pStyle w:val="4"/>
        <w:spacing w:line="360" w:lineRule="auto"/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所有评委需在“定标委员签章”页面进行签章（集体签章）。</w:t>
      </w:r>
    </w:p>
    <w:p w14:paraId="330C9ED5">
      <w:pPr>
        <w:pStyle w:val="4"/>
        <w:spacing w:line="360" w:lineRule="auto"/>
        <w:rPr>
          <w:rFonts w:hint="default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签章操作：点击要签章的报表后面的【查看】按钮，选择CA签章，进行签章。也可点击页面右侧【批量签章】按钮进行批量签章。需要确保所有报表都是“已签章”状态。</w:t>
      </w:r>
    </w:p>
    <w:p w14:paraId="562F635E">
      <w:pPr>
        <w:pStyle w:val="4"/>
        <w:spacing w:line="360" w:lineRule="auto"/>
        <w:ind w:left="0" w:leftChars="0" w:firstLine="0" w:firstLineChars="0"/>
        <w:rPr>
          <w:rFonts w:hint="default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drawing>
          <wp:inline distT="0" distB="0" distL="114300" distR="114300">
            <wp:extent cx="6480175" cy="2056765"/>
            <wp:effectExtent l="0" t="0" r="9525" b="635"/>
            <wp:docPr id="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rcRect t="649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741C4">
      <w:pPr>
        <w:pStyle w:val="4"/>
        <w:ind w:left="0" w:leftChars="0" w:firstLine="0" w:firstLineChars="0"/>
        <w:rPr>
          <w:rFonts w:hint="eastAsia"/>
          <w:lang w:val="en-US" w:eastAsia="zh-CN"/>
        </w:rPr>
      </w:pPr>
    </w:p>
    <w:p w14:paraId="7CFBBFE1">
      <w:pPr>
        <w:pStyle w:val="5"/>
        <w:bidi w:val="0"/>
        <w:ind w:left="851" w:leftChars="0" w:hanging="567" w:firstLineChars="0"/>
        <w:rPr>
          <w:lang w:val="en-US" w:eastAsia="zh-CN"/>
        </w:rPr>
      </w:pPr>
      <w:bookmarkStart w:id="10" w:name="_Toc28524"/>
      <w:r>
        <w:rPr>
          <w:rFonts w:hint="eastAsia"/>
          <w:lang w:val="en-US" w:eastAsia="zh-CN"/>
        </w:rPr>
        <w:t>定标结束</w:t>
      </w:r>
      <w:bookmarkEnd w:id="10"/>
    </w:p>
    <w:p w14:paraId="17382250">
      <w:pPr>
        <w:pStyle w:val="4"/>
        <w:spacing w:line="360" w:lineRule="auto"/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评委组长确认定标报告及相关报表内容无误，且全部完成签章后，点击“定标结束”进入定标结束页面，点击页面下方【定标结束】按钮，结束本标段的定标评审。</w:t>
      </w:r>
    </w:p>
    <w:p w14:paraId="064E77D8">
      <w:pPr>
        <w:pStyle w:val="4"/>
        <w:spacing w:line="360" w:lineRule="auto"/>
        <w:rPr>
          <w:rFonts w:hint="default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备注：</w:t>
      </w:r>
    </w:p>
    <w:p w14:paraId="58DB56D6">
      <w:pPr>
        <w:pStyle w:val="27"/>
        <w:spacing w:before="0" w:beforeAutospacing="0" w:after="0" w:afterAutospacing="0" w:line="360" w:lineRule="auto"/>
      </w:pPr>
      <w:r>
        <w:drawing>
          <wp:inline distT="0" distB="0" distL="114300" distR="114300">
            <wp:extent cx="6480175" cy="2842260"/>
            <wp:effectExtent l="0" t="0" r="9525" b="2540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rcRect t="519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20B0E">
      <w:pPr>
        <w:pStyle w:val="5"/>
        <w:bidi w:val="0"/>
        <w:ind w:left="851" w:leftChars="0" w:hanging="567" w:firstLineChars="0"/>
        <w:rPr>
          <w:rFonts w:hint="eastAsia"/>
          <w:lang w:val="en-US" w:eastAsia="zh-CN"/>
        </w:rPr>
      </w:pPr>
      <w:bookmarkStart w:id="11" w:name="_Toc6360"/>
      <w:bookmarkStart w:id="12" w:name="_Toc19379"/>
      <w:r>
        <w:rPr>
          <w:rFonts w:hint="eastAsia"/>
          <w:lang w:val="en-US" w:eastAsia="zh-CN"/>
        </w:rPr>
        <w:t>注意事项</w:t>
      </w:r>
      <w:bookmarkEnd w:id="11"/>
      <w:bookmarkEnd w:id="12"/>
    </w:p>
    <w:p w14:paraId="59F90FE7">
      <w:pPr>
        <w:pStyle w:val="27"/>
        <w:spacing w:before="0" w:beforeAutospacing="0" w:after="0" w:afterAutospacing="0" w:line="360" w:lineRule="auto"/>
        <w:ind w:firstLine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当前标段评审完成后，所有评委可点击页面上方的【切换标段】按钮，切换进入其他标段进行定标评审。如下图：</w:t>
      </w:r>
    </w:p>
    <w:p w14:paraId="0AA6BFD9">
      <w:pPr>
        <w:pStyle w:val="27"/>
        <w:spacing w:before="0" w:beforeAutospacing="0" w:after="0" w:afterAutospacing="0" w:line="360" w:lineRule="auto"/>
      </w:pPr>
    </w:p>
    <w:p w14:paraId="5CBE894A">
      <w:pPr>
        <w:pStyle w:val="27"/>
        <w:spacing w:before="0" w:beforeAutospacing="0" w:after="0" w:afterAutospacing="0" w:line="360" w:lineRule="auto"/>
      </w:pPr>
      <w:r>
        <w:drawing>
          <wp:inline distT="0" distB="0" distL="114300" distR="114300">
            <wp:extent cx="6480175" cy="1512570"/>
            <wp:effectExtent l="0" t="0" r="9525" b="11430"/>
            <wp:docPr id="6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rcRect t="997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C936E">
      <w:pPr>
        <w:pStyle w:val="27"/>
        <w:spacing w:before="0" w:beforeAutospacing="0" w:after="0" w:afterAutospacing="0" w:line="360" w:lineRule="auto"/>
      </w:pPr>
    </w:p>
    <w:p w14:paraId="7306DD03">
      <w:pPr>
        <w:pStyle w:val="2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6252210" cy="1870075"/>
            <wp:effectExtent l="0" t="0" r="8890" b="9525"/>
            <wp:docPr id="6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rcRect l="3518"/>
                    <a:stretch>
                      <a:fillRect/>
                    </a:stretch>
                  </pic:blipFill>
                  <pic:spPr>
                    <a:xfrm>
                      <a:off x="0" y="0"/>
                      <a:ext cx="6252210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49EC4710">
      <w:pPr>
        <w:pStyle w:val="3"/>
        <w:bidi w:val="0"/>
        <w:ind w:left="425" w:leftChars="0" w:hanging="425" w:firstLineChars="0"/>
        <w:rPr>
          <w:rFonts w:hint="eastAsia"/>
          <w:lang w:val="en-US" w:eastAsia="zh-CN"/>
        </w:rPr>
      </w:pPr>
      <w:bookmarkStart w:id="13" w:name="_Toc21194"/>
      <w:r>
        <w:rPr>
          <w:rFonts w:hint="eastAsia"/>
          <w:lang w:val="en-US" w:eastAsia="zh-CN"/>
        </w:rPr>
        <w:t>票决定标法</w:t>
      </w:r>
      <w:bookmarkEnd w:id="13"/>
    </w:p>
    <w:p w14:paraId="086F12E6">
      <w:pPr>
        <w:pStyle w:val="5"/>
        <w:bidi w:val="0"/>
        <w:ind w:left="851" w:leftChars="0" w:hanging="567" w:firstLineChars="0"/>
      </w:pPr>
      <w:bookmarkStart w:id="14" w:name="_Toc16625"/>
      <w:r>
        <w:rPr>
          <w:rFonts w:hint="eastAsia"/>
          <w:lang w:val="en-US" w:eastAsia="zh-CN"/>
        </w:rPr>
        <w:t>定标委员会评审</w:t>
      </w:r>
      <w:bookmarkEnd w:id="14"/>
    </w:p>
    <w:p w14:paraId="1F6A3263">
      <w:pPr>
        <w:pStyle w:val="4"/>
        <w:spacing w:line="360" w:lineRule="auto"/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完成“开启定标”操作后，评委组长应点击“定标委员会评审”，点击该页面右侧的【开始投票】按钮，然后所有评委才可以进行投票操作。如下图：</w:t>
      </w:r>
    </w:p>
    <w:p w14:paraId="7698B6D6">
      <w:pPr>
        <w:pStyle w:val="4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6663690" cy="2074545"/>
            <wp:effectExtent l="0" t="0" r="3810" b="825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63690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109DF">
      <w:pPr>
        <w:pStyle w:val="4"/>
        <w:spacing w:line="360" w:lineRule="auto"/>
        <w:ind w:left="0" w:leftChars="0" w:firstLine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备注：所有评委可以点击页面右侧的【常用功能】按钮，查看招标文件、投标文件、评标报告等内容，仅评委组长有重置定标流程功能，如下图：</w:t>
      </w:r>
    </w:p>
    <w:p w14:paraId="5A012C97">
      <w:pPr>
        <w:pStyle w:val="4"/>
        <w:spacing w:line="360" w:lineRule="auto"/>
        <w:ind w:left="0" w:leftChars="0" w:firstLine="0" w:firstLineChars="0"/>
        <w:rPr>
          <w:rFonts w:hint="eastAsia"/>
        </w:rPr>
      </w:pPr>
      <w:r>
        <w:drawing>
          <wp:inline distT="0" distB="0" distL="114300" distR="114300">
            <wp:extent cx="6769735" cy="2178685"/>
            <wp:effectExtent l="0" t="0" r="12065" b="5715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76973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BB4F9">
      <w:pPr>
        <w:pStyle w:val="6"/>
        <w:bidi w:val="0"/>
        <w:ind w:left="1135" w:leftChars="0" w:hanging="709" w:firstLineChars="0"/>
      </w:pPr>
      <w:bookmarkStart w:id="15" w:name="_Toc9895"/>
      <w:r>
        <w:rPr>
          <w:rFonts w:hint="eastAsia"/>
        </w:rPr>
        <w:t>评委</w:t>
      </w:r>
      <w:r>
        <w:rPr>
          <w:rFonts w:hint="eastAsia"/>
          <w:lang w:val="en-US" w:eastAsia="zh-CN"/>
        </w:rPr>
        <w:t>投票</w:t>
      </w:r>
      <w:bookmarkEnd w:id="15"/>
    </w:p>
    <w:p w14:paraId="3B2F1A6B">
      <w:pPr>
        <w:pStyle w:val="4"/>
        <w:spacing w:line="360" w:lineRule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所有</w:t>
      </w:r>
      <w:r>
        <w:rPr>
          <w:rFonts w:hint="eastAsia" w:ascii="思源宋体 CN Light" w:hAnsi="思源宋体 CN Light" w:eastAsia="思源宋体 CN Light" w:cs="思源宋体 CN Light"/>
        </w:rPr>
        <w:t>评委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应严格按照定标办法内容及评审标准和要求进行定标评审操作。</w:t>
      </w:r>
    </w:p>
    <w:p w14:paraId="033AC968">
      <w:pPr>
        <w:pStyle w:val="4"/>
        <w:spacing w:line="360" w:lineRule="auto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对于每轮投票，所有评委每人投一票，如果首轮投票后产生得票数过半的定标候选人，则会直接产生第一名（中标人）；若未产生得票数过半的定标候选人，则会进入下一轮投票，直至产生中标人。</w:t>
      </w:r>
    </w:p>
    <w:p w14:paraId="471A5F2B">
      <w:pPr>
        <w:pStyle w:val="4"/>
        <w:spacing w:line="360" w:lineRule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投票操作：在“定标委员会评审”页面，点击被投票的定标候选人最右侧“操作”列的【投票】按钮，在弹出的投票页面上录入理由后，点击下方【确认】按钮，然后点击【提交】按钮，完成投票操作，如下图：</w:t>
      </w:r>
    </w:p>
    <w:p w14:paraId="186DC357">
      <w:pPr>
        <w:pStyle w:val="4"/>
        <w:spacing w:line="360" w:lineRule="auto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备注：如果在“定标委员会评审”页面，投票后发现投错了，点击投错票单位右侧“查看”按钮，点击取消投标。若已点过【提交】则只能由评委组长在【常用功能】中进行重置定标流程。</w:t>
      </w:r>
    </w:p>
    <w:p w14:paraId="3700538C">
      <w:pPr>
        <w:pStyle w:val="4"/>
        <w:spacing w:line="360" w:lineRule="auto"/>
        <w:ind w:firstLine="0" w:firstLineChars="0"/>
      </w:pPr>
      <w:r>
        <w:drawing>
          <wp:inline distT="0" distB="0" distL="114300" distR="114300">
            <wp:extent cx="6480175" cy="1649730"/>
            <wp:effectExtent l="0" t="0" r="0" b="0"/>
            <wp:docPr id="4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rcRect t="1044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01F7F">
      <w:pPr>
        <w:pStyle w:val="4"/>
        <w:spacing w:line="360" w:lineRule="auto"/>
        <w:ind w:firstLine="0" w:firstLineChars="0"/>
      </w:pPr>
      <w:r>
        <w:drawing>
          <wp:inline distT="0" distB="0" distL="114300" distR="114300">
            <wp:extent cx="6637655" cy="2969895"/>
            <wp:effectExtent l="0" t="0" r="4445" b="190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3AB61">
      <w:pPr>
        <w:pStyle w:val="4"/>
        <w:spacing w:line="360" w:lineRule="auto"/>
        <w:ind w:firstLine="0" w:firstLineChars="0"/>
      </w:pPr>
      <w:r>
        <w:drawing>
          <wp:inline distT="0" distB="0" distL="114300" distR="114300">
            <wp:extent cx="6583680" cy="2769870"/>
            <wp:effectExtent l="0" t="0" r="7620" b="1143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1E3B9">
      <w:r>
        <w:br w:type="page"/>
      </w:r>
    </w:p>
    <w:p w14:paraId="51D9FD15">
      <w:pPr>
        <w:pStyle w:val="6"/>
        <w:bidi w:val="0"/>
        <w:ind w:left="1135" w:leftChars="0" w:hanging="709" w:firstLineChars="0"/>
      </w:pPr>
      <w:bookmarkStart w:id="16" w:name="_Toc30128"/>
      <w:r>
        <w:rPr>
          <w:rFonts w:hint="eastAsia"/>
          <w:lang w:val="en-US" w:eastAsia="zh-CN"/>
        </w:rPr>
        <w:t>查看投票结果</w:t>
      </w:r>
      <w:bookmarkEnd w:id="16"/>
    </w:p>
    <w:p w14:paraId="649A9AC1">
      <w:pPr>
        <w:spacing w:line="360" w:lineRule="auto"/>
        <w:ind w:firstLine="420" w:firstLineChars="20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在“定标委员会评审”页面，所有评委都完成投票并提交后，刷新页面后，页面会展示各定标候选人的得票数、投票结果</w:t>
      </w:r>
      <w:r>
        <w:rPr>
          <w:rFonts w:hint="eastAsia" w:ascii="思源宋体 CN Light" w:hAnsi="思源宋体 CN Light" w:eastAsia="思源宋体 CN Light" w:cs="思源宋体 CN Light"/>
        </w:rPr>
        <w:t>。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如下图：</w:t>
      </w:r>
    </w:p>
    <w:p w14:paraId="1A2FCBA9">
      <w:pPr>
        <w:pStyle w:val="4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6480175" cy="1593215"/>
            <wp:effectExtent l="0" t="0" r="0" b="0"/>
            <wp:docPr id="5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6"/>
                    <pic:cNvPicPr>
                      <a:picLocks noChangeAspect="1"/>
                    </pic:cNvPicPr>
                  </pic:nvPicPr>
                  <pic:blipFill>
                    <a:blip r:embed="rId31"/>
                    <a:srcRect t="873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18AFD">
      <w:pPr>
        <w:pStyle w:val="4"/>
        <w:spacing w:line="360" w:lineRule="auto"/>
        <w:ind w:left="0" w:leftChars="0" w:firstLine="0" w:firstLineChars="0"/>
      </w:pPr>
    </w:p>
    <w:p w14:paraId="58969575">
      <w:pPr>
        <w:pStyle w:val="4"/>
        <w:spacing w:line="360" w:lineRule="auto"/>
        <w:ind w:left="0" w:leftChars="0" w:firstLine="0" w:firstLineChars="0"/>
      </w:pPr>
    </w:p>
    <w:p w14:paraId="4B1BF30C">
      <w:pPr>
        <w:pStyle w:val="4"/>
        <w:spacing w:line="360" w:lineRule="auto"/>
        <w:ind w:left="0" w:leftChars="0" w:firstLine="0" w:firstLineChars="0"/>
      </w:pPr>
    </w:p>
    <w:p w14:paraId="36A4DB4D">
      <w:pPr>
        <w:pStyle w:val="4"/>
        <w:spacing w:line="360" w:lineRule="auto"/>
        <w:ind w:firstLine="0" w:firstLineChars="0"/>
      </w:pPr>
    </w:p>
    <w:p w14:paraId="6D7DE8B2">
      <w:r>
        <w:br w:type="page"/>
      </w:r>
    </w:p>
    <w:p w14:paraId="7C38BB68">
      <w:pPr>
        <w:pStyle w:val="5"/>
        <w:bidi w:val="0"/>
        <w:ind w:left="851" w:leftChars="0" w:hanging="567" w:firstLineChars="0"/>
      </w:pPr>
      <w:bookmarkStart w:id="17" w:name="_Toc5639"/>
      <w:r>
        <w:rPr>
          <w:rFonts w:hint="eastAsia"/>
          <w:lang w:val="en-US" w:eastAsia="zh-CN"/>
        </w:rPr>
        <w:t>评审汇总</w:t>
      </w:r>
      <w:bookmarkEnd w:id="17"/>
    </w:p>
    <w:p w14:paraId="5C740166">
      <w:pPr>
        <w:pStyle w:val="27"/>
        <w:spacing w:before="0" w:beforeAutospacing="0" w:after="0" w:afterAutospacing="0" w:line="360" w:lineRule="auto"/>
        <w:ind w:firstLine="420" w:firstLineChars="200"/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</w:rPr>
        <w:t>评委组长</w:t>
      </w: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在“评审汇总”页面，在“推荐中标候选人”列选择中标人。评委组长应招标文件（澄清答疑文件）中实际定标办法内容选择中标人，定标系统支持选择三个中标候选人，也可以只选择一个中标人。</w:t>
      </w:r>
    </w:p>
    <w:p w14:paraId="20F398D1">
      <w:pPr>
        <w:pStyle w:val="27"/>
        <w:spacing w:before="0" w:beforeAutospacing="0" w:after="0" w:afterAutospacing="0" w:line="360" w:lineRule="auto"/>
        <w:ind w:firstLine="420" w:firstLineChars="200"/>
        <w:rPr>
          <w:rFonts w:hint="default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选择完中标人后，点击页面右侧的【确认结果】按钮即可，如下图：</w:t>
      </w:r>
    </w:p>
    <w:p w14:paraId="6ACB3297">
      <w:pPr>
        <w:pStyle w:val="27"/>
        <w:spacing w:before="0" w:beforeAutospacing="0" w:after="0" w:afterAutospacing="0" w:line="360" w:lineRule="auto"/>
        <w:rPr>
          <w:rFonts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6480175" cy="1625600"/>
            <wp:effectExtent l="0" t="0" r="0" b="0"/>
            <wp:docPr id="5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7"/>
                    <pic:cNvPicPr>
                      <a:picLocks noChangeAspect="1"/>
                    </pic:cNvPicPr>
                  </pic:nvPicPr>
                  <pic:blipFill>
                    <a:blip r:embed="rId32"/>
                    <a:srcRect t="992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621E9">
      <w:pPr>
        <w:pStyle w:val="5"/>
        <w:bidi w:val="0"/>
        <w:ind w:left="851" w:leftChars="0" w:hanging="567" w:firstLineChars="0"/>
      </w:pPr>
      <w:bookmarkStart w:id="18" w:name="_Toc8929"/>
      <w:r>
        <w:rPr>
          <w:rFonts w:hint="eastAsia"/>
          <w:lang w:val="en-US" w:eastAsia="zh-CN"/>
        </w:rPr>
        <w:t>定标报告</w:t>
      </w:r>
      <w:bookmarkEnd w:id="18"/>
    </w:p>
    <w:p w14:paraId="4935FD58">
      <w:pPr>
        <w:pStyle w:val="4"/>
        <w:spacing w:line="360" w:lineRule="auto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bookmarkStart w:id="19" w:name="_初步评审打分"/>
      <w:bookmarkEnd w:id="19"/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在“定标报告”页面，系统会自动生成定标报告内容，评委组长需仔细核对定标报告内容是否准确完整、符合定标办法相关要求。若发现需要调整定标报告内容，可直接进行编辑修改。修改完成后，点击页面左上方【保存】按钮进行保存。保存后所有评委都可以看到评标报告内容。如下图：</w:t>
      </w:r>
    </w:p>
    <w:p w14:paraId="1D4DD795">
      <w:pPr>
        <w:pStyle w:val="4"/>
        <w:spacing w:line="360" w:lineRule="auto"/>
        <w:rPr>
          <w:rFonts w:hint="default" w:ascii="思源宋体 CN Light" w:hAnsi="思源宋体 CN Light" w:eastAsia="思源宋体 CN Light" w:cs="思源宋体 CN Light"/>
          <w:lang w:val="en-US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如果发现定标报告内容存在问题，可点击页面左上方【重置】按钮进行重置，重置后可进行修改。</w:t>
      </w:r>
    </w:p>
    <w:p w14:paraId="4F725751">
      <w:pPr>
        <w:pStyle w:val="4"/>
        <w:spacing w:line="360" w:lineRule="auto"/>
        <w:ind w:firstLine="0" w:firstLineChars="0"/>
        <w:rPr>
          <w:rFonts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6480175" cy="2811780"/>
            <wp:effectExtent l="0" t="0" r="0" b="0"/>
            <wp:docPr id="5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8"/>
                    <pic:cNvPicPr>
                      <a:picLocks noChangeAspect="1"/>
                    </pic:cNvPicPr>
                  </pic:nvPicPr>
                  <pic:blipFill>
                    <a:blip r:embed="rId33"/>
                    <a:srcRect t="568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D0B61">
      <w:pPr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br w:type="page"/>
      </w:r>
    </w:p>
    <w:p w14:paraId="3AF70974">
      <w:pPr>
        <w:pStyle w:val="5"/>
        <w:bidi w:val="0"/>
        <w:ind w:left="851" w:leftChars="0" w:hanging="567" w:firstLineChars="0"/>
      </w:pPr>
      <w:bookmarkStart w:id="20" w:name="_Toc12320"/>
      <w:r>
        <w:rPr>
          <w:rFonts w:hint="eastAsia"/>
          <w:lang w:val="en-US" w:eastAsia="zh-CN"/>
        </w:rPr>
        <w:t>定标委员签章</w:t>
      </w:r>
      <w:bookmarkEnd w:id="20"/>
    </w:p>
    <w:p w14:paraId="1F4C90E8">
      <w:pPr>
        <w:pStyle w:val="4"/>
        <w:spacing w:line="360" w:lineRule="auto"/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所有评委需在“定标委员签章”页面进行签章（集体签章和个人签章）。</w:t>
      </w:r>
    </w:p>
    <w:p w14:paraId="1A649D4E">
      <w:pPr>
        <w:pStyle w:val="4"/>
        <w:spacing w:line="360" w:lineRule="auto"/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签章操作：点击要签章的报表后面的【查看】按钮，选择CA签章，进行签章。也可点击页面右侧【批量签章】按钮进行批量签章。需要确保所有报表都是“已签章”状态。</w:t>
      </w:r>
    </w:p>
    <w:p w14:paraId="72C5F634">
      <w:pPr>
        <w:pStyle w:val="4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6480175" cy="2845435"/>
            <wp:effectExtent l="0" t="0" r="0" b="0"/>
            <wp:docPr id="6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1"/>
                    <pic:cNvPicPr>
                      <a:picLocks noChangeAspect="1"/>
                    </pic:cNvPicPr>
                  </pic:nvPicPr>
                  <pic:blipFill>
                    <a:blip r:embed="rId34"/>
                    <a:srcRect t="443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59186">
      <w:pPr>
        <w:pStyle w:val="5"/>
        <w:bidi w:val="0"/>
        <w:ind w:left="851" w:leftChars="0" w:hanging="567" w:firstLineChars="0"/>
        <w:rPr>
          <w:lang w:val="en-US" w:eastAsia="zh-CN"/>
        </w:rPr>
      </w:pPr>
      <w:bookmarkStart w:id="21" w:name="_Toc13481"/>
      <w:r>
        <w:rPr>
          <w:rFonts w:hint="eastAsia"/>
          <w:lang w:val="en-US" w:eastAsia="zh-CN"/>
        </w:rPr>
        <w:t>定标结束</w:t>
      </w:r>
      <w:bookmarkEnd w:id="21"/>
    </w:p>
    <w:p w14:paraId="4B87C88A">
      <w:pPr>
        <w:pStyle w:val="4"/>
        <w:spacing w:line="360" w:lineRule="auto"/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评委组长确认定标报告及相关报表内容无误，且全部完成签章后，点击“定标结束”进入定标结束页面，点击页面下方【定标结束】按钮，结束本标段的定标评审。</w:t>
      </w:r>
    </w:p>
    <w:p w14:paraId="36F29746">
      <w:pPr>
        <w:pStyle w:val="4"/>
        <w:spacing w:line="360" w:lineRule="auto"/>
        <w:rPr>
          <w:rFonts w:hint="default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备注：</w:t>
      </w:r>
    </w:p>
    <w:p w14:paraId="78A23D5D">
      <w:pPr>
        <w:pStyle w:val="27"/>
        <w:spacing w:before="0" w:beforeAutospacing="0" w:after="0" w:afterAutospacing="0" w:line="360" w:lineRule="auto"/>
      </w:pPr>
      <w:r>
        <w:drawing>
          <wp:inline distT="0" distB="0" distL="114300" distR="114300">
            <wp:extent cx="6480175" cy="2866390"/>
            <wp:effectExtent l="0" t="0" r="0" b="0"/>
            <wp:docPr id="6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rcRect t="438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DCE79">
      <w:pPr>
        <w:pStyle w:val="3"/>
        <w:bidi w:val="0"/>
        <w:ind w:left="425" w:leftChars="0" w:hanging="425" w:firstLineChars="0"/>
        <w:rPr>
          <w:rFonts w:hint="eastAsia"/>
          <w:lang w:val="en-US" w:eastAsia="zh-CN"/>
        </w:rPr>
      </w:pPr>
      <w:bookmarkStart w:id="22" w:name="_Toc2863"/>
      <w:r>
        <w:rPr>
          <w:rFonts w:hint="eastAsia"/>
          <w:lang w:val="en-US" w:eastAsia="zh-CN"/>
        </w:rPr>
        <w:t>集体议事法</w:t>
      </w:r>
      <w:bookmarkEnd w:id="22"/>
    </w:p>
    <w:p w14:paraId="7BE05E60">
      <w:pPr>
        <w:pStyle w:val="5"/>
        <w:bidi w:val="0"/>
        <w:ind w:left="851" w:leftChars="0" w:hanging="567" w:firstLineChars="0"/>
        <w:rPr>
          <w:lang w:val="en-US" w:eastAsia="zh-CN"/>
        </w:rPr>
      </w:pPr>
      <w:bookmarkStart w:id="23" w:name="_Toc24686"/>
      <w:r>
        <w:rPr>
          <w:rFonts w:hint="eastAsia"/>
          <w:lang w:val="en-US" w:eastAsia="zh-CN"/>
        </w:rPr>
        <w:t>定标委员会评审</w:t>
      </w:r>
      <w:bookmarkEnd w:id="23"/>
    </w:p>
    <w:p w14:paraId="09AD15A7">
      <w:pPr>
        <w:pStyle w:val="4"/>
        <w:spacing w:line="360" w:lineRule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完成“开启定标”操作后，评委组长应点击“定标委员会评审”，点击该页面右侧的【开启议事】按钮，然后所有评委才可以进行推荐操作。如下图：</w:t>
      </w:r>
    </w:p>
    <w:p w14:paraId="74F5FD21">
      <w:pPr>
        <w:pStyle w:val="4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6885940" cy="1784985"/>
            <wp:effectExtent l="0" t="0" r="1016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8594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7AF11">
      <w:pPr>
        <w:pStyle w:val="4"/>
        <w:spacing w:line="360" w:lineRule="auto"/>
        <w:ind w:left="0" w:leftChars="0" w:firstLine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备注：所有评委可以点击页面右侧的【常用功能】按钮，查看招标文件、投标文件、评标报告等内容，如下图：</w:t>
      </w:r>
    </w:p>
    <w:p w14:paraId="53E284FA">
      <w:pPr>
        <w:pStyle w:val="4"/>
        <w:spacing w:line="360" w:lineRule="auto"/>
        <w:ind w:left="0" w:leftChars="0" w:firstLine="0" w:firstLineChars="0"/>
        <w:rPr>
          <w:rFonts w:hint="eastAsia"/>
        </w:rPr>
      </w:pPr>
      <w:r>
        <w:drawing>
          <wp:inline distT="0" distB="0" distL="114300" distR="114300">
            <wp:extent cx="6687185" cy="1876425"/>
            <wp:effectExtent l="0" t="0" r="5715" b="317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8718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07B5D">
      <w:pPr>
        <w:pStyle w:val="6"/>
        <w:bidi w:val="0"/>
        <w:ind w:left="1135" w:leftChars="0" w:hanging="709" w:firstLineChars="0"/>
        <w:rPr>
          <w:lang w:val="en-US" w:eastAsia="zh-CN"/>
        </w:rPr>
      </w:pPr>
      <w:bookmarkStart w:id="24" w:name="_Toc1708"/>
      <w:r>
        <w:rPr>
          <w:rFonts w:hint="eastAsia"/>
          <w:lang w:val="en-US" w:eastAsia="zh-CN"/>
        </w:rPr>
        <w:t>评委议事</w:t>
      </w:r>
      <w:bookmarkEnd w:id="24"/>
    </w:p>
    <w:p w14:paraId="28E902F2">
      <w:pPr>
        <w:pStyle w:val="4"/>
        <w:spacing w:line="360" w:lineRule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所有</w:t>
      </w:r>
      <w:r>
        <w:rPr>
          <w:rFonts w:hint="eastAsia" w:ascii="思源宋体 CN Light" w:hAnsi="思源宋体 CN Light" w:eastAsia="思源宋体 CN Light" w:cs="思源宋体 CN Light"/>
        </w:rPr>
        <w:t>评委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应严格按照定标办法内容及评审标准和要求进行定标评审操作。</w:t>
      </w:r>
    </w:p>
    <w:p w14:paraId="2593CC66">
      <w:pPr>
        <w:pStyle w:val="4"/>
        <w:spacing w:line="360" w:lineRule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1、定标委员会成员集体商议，各自对通过核查的中标候选人进行投票并且发表推荐意见，最终由定标委员会组长综合各成员意见确定中标人。</w:t>
      </w:r>
    </w:p>
    <w:p w14:paraId="52DFB4B7">
      <w:pPr>
        <w:pStyle w:val="4"/>
        <w:spacing w:line="360" w:lineRule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2、所有定标委员会成员的意见应当作书面记录，并由定标委员会成员签字确认。</w:t>
      </w:r>
    </w:p>
    <w:p w14:paraId="1F6E8B93">
      <w:pPr>
        <w:pStyle w:val="4"/>
        <w:spacing w:line="360" w:lineRule="auto"/>
      </w:pPr>
      <w:r>
        <w:drawing>
          <wp:inline distT="0" distB="0" distL="114300" distR="114300">
            <wp:extent cx="6839585" cy="1757045"/>
            <wp:effectExtent l="0" t="0" r="571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8624D">
      <w:pPr>
        <w:pStyle w:val="4"/>
        <w:spacing w:line="360" w:lineRule="auto"/>
        <w:ind w:firstLine="0" w:firstLineChars="0"/>
      </w:pPr>
    </w:p>
    <w:p w14:paraId="6A059E3E">
      <w:pPr>
        <w:pStyle w:val="4"/>
        <w:spacing w:line="360" w:lineRule="auto"/>
        <w:ind w:firstLine="0" w:firstLineChars="0"/>
      </w:pPr>
    </w:p>
    <w:p w14:paraId="00B8EE36">
      <w:pPr>
        <w:pStyle w:val="6"/>
        <w:bidi w:val="0"/>
        <w:ind w:left="1135" w:leftChars="0" w:hanging="709" w:firstLineChars="0"/>
        <w:rPr>
          <w:lang w:val="en-US" w:eastAsia="zh-CN"/>
        </w:rPr>
      </w:pPr>
      <w:bookmarkStart w:id="25" w:name="_Toc20656"/>
      <w:r>
        <w:rPr>
          <w:rFonts w:hint="eastAsia"/>
          <w:lang w:val="en-US" w:eastAsia="zh-CN"/>
        </w:rPr>
        <w:t>查看议事结果</w:t>
      </w:r>
      <w:bookmarkEnd w:id="25"/>
    </w:p>
    <w:p w14:paraId="0DB49A94">
      <w:pPr>
        <w:spacing w:line="360" w:lineRule="auto"/>
        <w:ind w:firstLine="420" w:firstLineChars="20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在“定标委员会评审”页面，所有评委都完成投票并提交后，刷新页面后，页面会展示各定标候选人的推荐次数及推荐结果</w:t>
      </w:r>
      <w:r>
        <w:rPr>
          <w:rFonts w:hint="eastAsia" w:ascii="思源宋体 CN Light" w:hAnsi="思源宋体 CN Light" w:eastAsia="思源宋体 CN Light" w:cs="思源宋体 CN Light"/>
        </w:rPr>
        <w:t>。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如下图：</w:t>
      </w:r>
    </w:p>
    <w:p w14:paraId="3BAACE16">
      <w:pPr>
        <w:pStyle w:val="4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6950075" cy="1054100"/>
            <wp:effectExtent l="0" t="0" r="9525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950075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D58B9">
      <w:pPr>
        <w:pStyle w:val="5"/>
        <w:bidi w:val="0"/>
        <w:ind w:left="851" w:leftChars="0" w:hanging="567" w:firstLineChars="0"/>
        <w:rPr>
          <w:lang w:val="en-US" w:eastAsia="zh-CN"/>
        </w:rPr>
      </w:pPr>
      <w:bookmarkStart w:id="26" w:name="_Toc28765"/>
      <w:r>
        <w:rPr>
          <w:rFonts w:hint="eastAsia"/>
          <w:lang w:val="en-US" w:eastAsia="zh-CN"/>
        </w:rPr>
        <w:t>评审汇总</w:t>
      </w:r>
      <w:bookmarkEnd w:id="26"/>
    </w:p>
    <w:p w14:paraId="6C3985AC">
      <w:pPr>
        <w:pStyle w:val="27"/>
        <w:spacing w:before="0" w:beforeAutospacing="0" w:after="0" w:afterAutospacing="0" w:line="360" w:lineRule="auto"/>
        <w:ind w:firstLine="420" w:firstLineChars="200"/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</w:rPr>
        <w:t>评委组长</w:t>
      </w: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在“评审汇总”页面，在“确认中标人”列选择中标人。评委组长应招标文件（澄清答疑文件）中实际定标办法内容选择中标人。</w:t>
      </w:r>
    </w:p>
    <w:p w14:paraId="796AE799">
      <w:pPr>
        <w:pStyle w:val="27"/>
        <w:spacing w:before="0" w:beforeAutospacing="0" w:after="0" w:afterAutospacing="0" w:line="360" w:lineRule="auto"/>
        <w:ind w:firstLine="420" w:firstLineChars="20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选择完中标人后，点击页面右侧的【确认结果】按钮即可。</w:t>
      </w:r>
    </w:p>
    <w:p w14:paraId="088B2993">
      <w:pPr>
        <w:pStyle w:val="5"/>
        <w:bidi w:val="0"/>
        <w:ind w:left="851" w:leftChars="0" w:hanging="567" w:firstLineChars="0"/>
        <w:rPr>
          <w:lang w:val="en-US" w:eastAsia="zh-CN"/>
        </w:rPr>
      </w:pPr>
      <w:bookmarkStart w:id="27" w:name="_Toc15444"/>
      <w:r>
        <w:rPr>
          <w:rFonts w:hint="eastAsia"/>
          <w:lang w:val="en-US" w:eastAsia="zh-CN"/>
        </w:rPr>
        <w:t>定标报告</w:t>
      </w:r>
      <w:bookmarkEnd w:id="27"/>
    </w:p>
    <w:p w14:paraId="4C204224">
      <w:pPr>
        <w:pStyle w:val="4"/>
        <w:spacing w:line="360" w:lineRule="auto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在“定标报告”页面，系统会自动生成定标报告内容，评委组长需仔细核对定标报告内容是否准确完整、符合定标办法相关要求。若发现需要调整定标报告内容，可直接进行编辑修改。修改完成后，点击页面左上方【保存】按钮进行保存。保存后所有评委都可以看到评标报告内容。如下图：</w:t>
      </w:r>
    </w:p>
    <w:p w14:paraId="5A02A378">
      <w:pPr>
        <w:pStyle w:val="4"/>
        <w:spacing w:line="360" w:lineRule="auto"/>
        <w:rPr>
          <w:rFonts w:hint="default" w:ascii="思源宋体 CN Light" w:hAnsi="思源宋体 CN Light" w:eastAsia="思源宋体 CN Light" w:cs="思源宋体 CN Light"/>
          <w:lang w:val="en-US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如果发现定标报告内容存在问题，可点击页面左上方【重置】按钮进行重置，重置后可进行修改。</w:t>
      </w:r>
    </w:p>
    <w:p w14:paraId="15915DAE">
      <w:pPr>
        <w:pStyle w:val="4"/>
        <w:spacing w:line="360" w:lineRule="auto"/>
        <w:ind w:firstLine="0" w:firstLineChars="0"/>
        <w:rPr>
          <w:rFonts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6480175" cy="2804795"/>
            <wp:effectExtent l="0" t="0" r="0" b="0"/>
            <wp:docPr id="1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8"/>
                    <pic:cNvPicPr>
                      <a:picLocks noChangeAspect="1"/>
                    </pic:cNvPicPr>
                  </pic:nvPicPr>
                  <pic:blipFill>
                    <a:blip r:embed="rId33"/>
                    <a:srcRect t="592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64F34">
      <w:pPr>
        <w:pStyle w:val="5"/>
        <w:bidi w:val="0"/>
        <w:ind w:left="851" w:leftChars="0" w:hanging="567" w:firstLineChars="0"/>
        <w:rPr>
          <w:lang w:val="en-US" w:eastAsia="zh-CN"/>
        </w:rPr>
      </w:pPr>
      <w:bookmarkStart w:id="28" w:name="_Toc10981"/>
      <w:r>
        <w:rPr>
          <w:rFonts w:hint="eastAsia"/>
          <w:lang w:val="en-US" w:eastAsia="zh-CN"/>
        </w:rPr>
        <w:t>定标委员签章</w:t>
      </w:r>
      <w:bookmarkEnd w:id="28"/>
    </w:p>
    <w:p w14:paraId="005B05B1">
      <w:pPr>
        <w:pStyle w:val="4"/>
        <w:spacing w:line="360" w:lineRule="auto"/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所有评委需在“定标委员签章”页面进行签章（集体签章和个人签章）。</w:t>
      </w:r>
    </w:p>
    <w:p w14:paraId="19AC78D5">
      <w:pPr>
        <w:pStyle w:val="4"/>
        <w:spacing w:line="360" w:lineRule="auto"/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签章操作：点击要签章的报表后面的【查看】按钮，选择CA签章，进行签章。也可点击页面右侧【批量签章】按钮进行批量签章。需要确保所有报表都是“已签章”状态。</w:t>
      </w:r>
    </w:p>
    <w:p w14:paraId="099ED52F">
      <w:pPr>
        <w:pStyle w:val="4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6480175" cy="2830830"/>
            <wp:effectExtent l="0" t="0" r="0" b="0"/>
            <wp:docPr id="1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1"/>
                    <pic:cNvPicPr>
                      <a:picLocks noChangeAspect="1"/>
                    </pic:cNvPicPr>
                  </pic:nvPicPr>
                  <pic:blipFill>
                    <a:blip r:embed="rId34"/>
                    <a:srcRect t="492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5DAA6">
      <w:pPr>
        <w:pStyle w:val="5"/>
        <w:bidi w:val="0"/>
        <w:ind w:left="851" w:leftChars="0" w:hanging="567" w:firstLineChars="0"/>
        <w:rPr>
          <w:lang w:val="en-US" w:eastAsia="zh-CN"/>
        </w:rPr>
      </w:pPr>
      <w:bookmarkStart w:id="29" w:name="_Toc11649"/>
      <w:r>
        <w:rPr>
          <w:rFonts w:hint="eastAsia"/>
          <w:lang w:val="en-US" w:eastAsia="zh-CN"/>
        </w:rPr>
        <w:t>定标结束</w:t>
      </w:r>
      <w:bookmarkEnd w:id="29"/>
    </w:p>
    <w:p w14:paraId="1330793F">
      <w:pPr>
        <w:pStyle w:val="4"/>
        <w:spacing w:line="360" w:lineRule="auto"/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评委组长确认定标报告及相关报表内容无误，且全部完成签章后，点击“定标结束”进入定标结束页面，点击页面下方【定标结束】按钮，结束本标段的定标评审。</w:t>
      </w:r>
    </w:p>
    <w:p w14:paraId="44EE4DFE">
      <w:pPr>
        <w:pStyle w:val="4"/>
        <w:spacing w:line="360" w:lineRule="auto"/>
        <w:rPr>
          <w:rFonts w:hint="default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备注：</w:t>
      </w:r>
    </w:p>
    <w:p w14:paraId="1EDE2A0E">
      <w:pPr>
        <w:pStyle w:val="27"/>
        <w:spacing w:before="0" w:beforeAutospacing="0" w:after="0" w:afterAutospacing="0" w:line="360" w:lineRule="auto"/>
      </w:pPr>
      <w:r>
        <w:drawing>
          <wp:inline distT="0" distB="0" distL="114300" distR="114300">
            <wp:extent cx="6480175" cy="2868930"/>
            <wp:effectExtent l="0" t="0" r="0" b="0"/>
            <wp:docPr id="2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rcRect t="430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B6832">
      <w:pPr>
        <w:pStyle w:val="27"/>
        <w:spacing w:before="0" w:beforeAutospacing="0" w:after="0" w:afterAutospacing="0" w:line="360" w:lineRule="auto"/>
      </w:pPr>
    </w:p>
    <w:sectPr>
      <w:footerReference r:id="rId8" w:type="default"/>
      <w:pgSz w:w="11906" w:h="16838"/>
      <w:pgMar w:top="1440" w:right="850" w:bottom="1440" w:left="850" w:header="851" w:footer="992" w:gutter="0"/>
      <w:pgNumType w:start="1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思源宋体 CN Light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思源黑体 CN Regular">
    <w:altName w:val="黑体"/>
    <w:panose1 w:val="00000000000000000000"/>
    <w:charset w:val="86"/>
    <w:family w:val="swiss"/>
    <w:pitch w:val="default"/>
    <w:sig w:usb0="00000000" w:usb1="00000000" w:usb2="00000016" w:usb3="00000000" w:csb0="00060107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1CFC43">
    <w:pPr>
      <w:pStyle w:val="20"/>
      <w:pBdr>
        <w:top w:val="single" w:color="9BBB59" w:sz="24" w:space="5"/>
      </w:pBd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4357370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F25F79">
                          <w:pPr>
                            <w:pStyle w:val="20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29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3.1pt;margin-top:0pt;height:144pt;width:144pt;mso-position-horizontal-relative:margin;mso-wrap-style:none;z-index:251660288;mso-width-relative:page;mso-height-relative:page;" filled="f" stroked="f" coordsize="21600,21600" o:gfxdata="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EAquUbVAAAACAEAAA8AAAAAAAAAAQAgAAAAIgAAAGRycy9kb3ducmV2LnhtbFBLAQIUABQA&#10;AAAIAIdO4kCeugv7LAIAAFUEAAAOAAAAAAAAAAEAIAAAACQ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3F25F79">
                    <w:pPr>
                      <w:pStyle w:val="20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rFonts w:hint="eastAsia"/>
                      </w:rPr>
                      <w:t>29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416B5E">
    <w:pPr>
      <w:pStyle w:val="20"/>
      <w:ind w:right="360" w:firstLine="2340" w:firstLineChars="1300"/>
      <w:jc w:val="both"/>
    </w:pPr>
    <w:r>
      <w:rPr>
        <w:rFonts w:hint="eastAsia"/>
        <w:lang w:val="zh-CN"/>
      </w:rPr>
      <w:t xml:space="preserve">国泰新点软件股份有限公司0512-58188000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58CC1B">
    <w:pPr>
      <w:pStyle w:val="20"/>
      <w:pBdr>
        <w:top w:val="single" w:color="9BBB59" w:sz="24" w:space="5"/>
      </w:pBdr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01ED9B">
                          <w:pPr>
                            <w:pStyle w:val="20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29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cMibgsAgAAV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FwyJu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601ED9B">
                    <w:pPr>
                      <w:pStyle w:val="20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rFonts w:hint="eastAsia"/>
                      </w:rPr>
                      <w:t>29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eastAsia="思源宋体 CN Light"/>
        <w:color w:val="8C8C8C"/>
      </w:rPr>
      <w:t>国泰新点软件股份有限公司 0512-58188000</w:t>
    </w:r>
    <w:r>
      <w:rPr>
        <w:rFonts w:hint="eastAsia"/>
        <w:lang w:val="zh-CN"/>
      </w:rPr>
      <w:t xml:space="preserve"> 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4F9DBA">
    <w:pPr>
      <w:pStyle w:val="21"/>
      <w:pBdr>
        <w:bottom w:val="thickThinSmallGap" w:color="auto" w:sz="12" w:space="1"/>
      </w:pBdr>
      <w:jc w:val="left"/>
    </w:pPr>
    <w:r>
      <w:rPr>
        <w:rFonts w:hint="eastAsia" w:ascii="思源宋体 CN Light" w:hAnsi="思源宋体 CN Light" w:eastAsia="思源宋体 CN Light" w:cs="思源宋体 CN Light"/>
        <w:lang w:val="en-US" w:eastAsia="zh-CN"/>
      </w:rPr>
      <w:drawing>
        <wp:inline distT="0" distB="0" distL="114300" distR="114300">
          <wp:extent cx="191135" cy="191135"/>
          <wp:effectExtent l="0" t="0" r="12065" b="1206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1135" cy="191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思源宋体 CN Light" w:hAnsi="思源宋体 CN Light" w:eastAsia="思源宋体 CN Light" w:cs="思源宋体 CN Light"/>
        <w:lang w:val="en-US" w:eastAsia="zh-CN"/>
      </w:rPr>
      <w:t>焦作市</w:t>
    </w:r>
    <w:r>
      <w:rPr>
        <w:rFonts w:hint="eastAsia" w:ascii="思源宋体 CN Light" w:hAnsi="思源宋体 CN Light" w:eastAsia="思源宋体 CN Light" w:cs="思源宋体 CN Light"/>
      </w:rPr>
      <w:t>公共资源交易</w:t>
    </w:r>
    <w:r>
      <w:rPr>
        <w:rFonts w:hint="eastAsia" w:ascii="思源宋体 CN Light" w:hAnsi="思源宋体 CN Light" w:eastAsia="思源宋体 CN Light" w:cs="思源宋体 CN Light"/>
        <w:lang w:val="en-US" w:eastAsia="zh-CN"/>
      </w:rPr>
      <w:t>平台定标</w:t>
    </w:r>
    <w:r>
      <w:rPr>
        <w:rFonts w:hint="eastAsia" w:ascii="思源宋体 CN Light" w:hAnsi="思源宋体 CN Light" w:eastAsia="思源宋体 CN Light" w:cs="思源宋体 CN Light"/>
      </w:rPr>
      <w:t>系统操作手册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4D7C74">
    <w:pPr>
      <w:pStyle w:val="21"/>
      <w:pBdr>
        <w:bottom w:val="thickThinSmallGap" w:color="622423" w:sz="24" w:space="1"/>
      </w:pBdr>
      <w:ind w:firstLine="1260" w:firstLineChars="700"/>
      <w:jc w:val="left"/>
      <w:rPr>
        <w:color w:val="000000"/>
      </w:rPr>
    </w:pPr>
    <w:r>
      <w:rPr>
        <w:rFonts w:hint="eastAsia"/>
      </w:rPr>
      <w:t>F9标版评标系统操作手册</w:t>
    </w: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-47625</wp:posOffset>
          </wp:positionH>
          <wp:positionV relativeFrom="paragraph">
            <wp:posOffset>-104140</wp:posOffset>
          </wp:positionV>
          <wp:extent cx="820420" cy="339090"/>
          <wp:effectExtent l="0" t="0" r="0" b="0"/>
          <wp:wrapNone/>
          <wp:docPr id="113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" name="图片 1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0420" cy="339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Cambria" w:hAnsi="Cambria"/>
      </w:rPr>
      <w:t xml:space="preserve">  </w:t>
    </w:r>
  </w:p>
  <w:p w14:paraId="3FAC273D">
    <w:pPr>
      <w:pStyle w:val="21"/>
      <w:tabs>
        <w:tab w:val="left" w:pos="721"/>
        <w:tab w:val="right" w:pos="8432"/>
      </w:tabs>
      <w:jc w:val="left"/>
    </w:pPr>
    <w:r>
      <w:rPr>
        <w:rFonts w:hint="eastAsia"/>
      </w:rPr>
      <w:tab/>
    </w:r>
    <w:r>
      <w:rPr>
        <w:rFonts w:hint="eastAsia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CE8BA1">
    <w:pPr>
      <w:pStyle w:val="21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6857717"/>
    <w:multiLevelType w:val="multilevel"/>
    <w:tmpl w:val="26857717"/>
    <w:lvl w:ilvl="0" w:tentative="0">
      <w:start w:val="1"/>
      <w:numFmt w:val="decimal"/>
      <w:pStyle w:val="3"/>
      <w:lvlText w:val="第%1章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 w:tentative="0">
      <w:start w:val="1"/>
      <w:numFmt w:val="decimal"/>
      <w:pStyle w:val="5"/>
      <w:isLgl/>
      <w:lvlText w:val="%1.%2"/>
      <w:lvlJc w:val="left"/>
      <w:pPr>
        <w:tabs>
          <w:tab w:val="left" w:pos="851"/>
        </w:tabs>
        <w:ind w:left="851" w:hanging="567"/>
      </w:pPr>
      <w:rPr>
        <w:rFonts w:hint="eastAsia"/>
      </w:rPr>
    </w:lvl>
    <w:lvl w:ilvl="2" w:tentative="0">
      <w:start w:val="1"/>
      <w:numFmt w:val="decimal"/>
      <w:pStyle w:val="6"/>
      <w:isLgl/>
      <w:lvlText w:val="%1.%2.%3"/>
      <w:lvlJc w:val="left"/>
      <w:pPr>
        <w:tabs>
          <w:tab w:val="left" w:pos="1135"/>
        </w:tabs>
        <w:ind w:left="1135" w:hanging="709"/>
      </w:pPr>
      <w:rPr>
        <w:rFonts w:hint="eastAsia"/>
      </w:rPr>
    </w:lvl>
    <w:lvl w:ilvl="3" w:tentative="0">
      <w:start w:val="1"/>
      <w:numFmt w:val="decimal"/>
      <w:pStyle w:val="7"/>
      <w:isLgl/>
      <w:lvlText w:val="%1.%2.%3.%4"/>
      <w:lvlJc w:val="left"/>
      <w:pPr>
        <w:tabs>
          <w:tab w:val="left" w:pos="1080"/>
        </w:tabs>
        <w:ind w:left="1481" w:hanging="851"/>
      </w:pPr>
      <w:rPr>
        <w:rFonts w:hint="eastAsia"/>
      </w:rPr>
    </w:lvl>
    <w:lvl w:ilvl="4" w:tentative="0">
      <w:start w:val="1"/>
      <w:numFmt w:val="decimal"/>
      <w:pStyle w:val="8"/>
      <w:isLgl/>
      <w:lvlText w:val="%1.%2.%3.%4.%5"/>
      <w:lvlJc w:val="left"/>
      <w:pPr>
        <w:tabs>
          <w:tab w:val="left" w:pos="1440"/>
        </w:tabs>
        <w:ind w:left="992" w:hanging="992"/>
      </w:pPr>
      <w:rPr>
        <w:rFonts w:hint="eastAsia"/>
      </w:rPr>
    </w:lvl>
    <w:lvl w:ilvl="5" w:tentative="0">
      <w:start w:val="1"/>
      <w:numFmt w:val="decimal"/>
      <w:pStyle w:val="9"/>
      <w:isLgl/>
      <w:lvlText w:val="%1.%2.%3.%4.%5.%6"/>
      <w:lvlJc w:val="left"/>
      <w:pPr>
        <w:tabs>
          <w:tab w:val="left" w:pos="1440"/>
        </w:tabs>
        <w:ind w:left="1134" w:hanging="1134"/>
      </w:pPr>
      <w:rPr>
        <w:rFonts w:hint="eastAsia"/>
      </w:rPr>
    </w:lvl>
    <w:lvl w:ilvl="6" w:tentative="0">
      <w:start w:val="1"/>
      <w:numFmt w:val="decimal"/>
      <w:pStyle w:val="10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pStyle w:val="11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pStyle w:val="12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bordersDoNotSurroundHeader w:val="0"/>
  <w:bordersDoNotSurroundFooter w:val="0"/>
  <w:linkStyles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ViY2JkMjU3NGYzZTEwMzZmMGFkZWViYmNkYWU3NDIifQ=="/>
  </w:docVars>
  <w:rsids>
    <w:rsidRoot w:val="00F53D5F"/>
    <w:rsid w:val="0000175D"/>
    <w:rsid w:val="00006D71"/>
    <w:rsid w:val="00064F21"/>
    <w:rsid w:val="00072FE6"/>
    <w:rsid w:val="000739E2"/>
    <w:rsid w:val="000746F1"/>
    <w:rsid w:val="000761EC"/>
    <w:rsid w:val="0008282D"/>
    <w:rsid w:val="00082D32"/>
    <w:rsid w:val="00091BBC"/>
    <w:rsid w:val="00094E8D"/>
    <w:rsid w:val="000A3553"/>
    <w:rsid w:val="000A3D99"/>
    <w:rsid w:val="00115768"/>
    <w:rsid w:val="00124563"/>
    <w:rsid w:val="0012611B"/>
    <w:rsid w:val="00133374"/>
    <w:rsid w:val="00155A36"/>
    <w:rsid w:val="00182690"/>
    <w:rsid w:val="001837D8"/>
    <w:rsid w:val="00185832"/>
    <w:rsid w:val="0019435A"/>
    <w:rsid w:val="00195C1B"/>
    <w:rsid w:val="001A30E6"/>
    <w:rsid w:val="001A427C"/>
    <w:rsid w:val="001B35C2"/>
    <w:rsid w:val="001C71A8"/>
    <w:rsid w:val="001D6143"/>
    <w:rsid w:val="001D7AAD"/>
    <w:rsid w:val="001E1319"/>
    <w:rsid w:val="001E45E7"/>
    <w:rsid w:val="001E4AC7"/>
    <w:rsid w:val="002068A3"/>
    <w:rsid w:val="00207F6B"/>
    <w:rsid w:val="00210294"/>
    <w:rsid w:val="00212B5E"/>
    <w:rsid w:val="00213CC2"/>
    <w:rsid w:val="0025108D"/>
    <w:rsid w:val="0026104B"/>
    <w:rsid w:val="00263955"/>
    <w:rsid w:val="0028217B"/>
    <w:rsid w:val="0029267E"/>
    <w:rsid w:val="002971D6"/>
    <w:rsid w:val="002A2D86"/>
    <w:rsid w:val="002A611D"/>
    <w:rsid w:val="002B251A"/>
    <w:rsid w:val="002C1B94"/>
    <w:rsid w:val="002C48F3"/>
    <w:rsid w:val="002D0568"/>
    <w:rsid w:val="002D2A58"/>
    <w:rsid w:val="002D5758"/>
    <w:rsid w:val="002E0FB7"/>
    <w:rsid w:val="00306AB3"/>
    <w:rsid w:val="0031345C"/>
    <w:rsid w:val="003312A2"/>
    <w:rsid w:val="0036210F"/>
    <w:rsid w:val="00383BE2"/>
    <w:rsid w:val="00392093"/>
    <w:rsid w:val="00392823"/>
    <w:rsid w:val="003B50DB"/>
    <w:rsid w:val="003B72C7"/>
    <w:rsid w:val="003D008A"/>
    <w:rsid w:val="003D334A"/>
    <w:rsid w:val="003D5EEA"/>
    <w:rsid w:val="003D7E94"/>
    <w:rsid w:val="00405195"/>
    <w:rsid w:val="00411832"/>
    <w:rsid w:val="00420B66"/>
    <w:rsid w:val="00423DB5"/>
    <w:rsid w:val="004354DB"/>
    <w:rsid w:val="0044232B"/>
    <w:rsid w:val="0044362B"/>
    <w:rsid w:val="00461133"/>
    <w:rsid w:val="004765F2"/>
    <w:rsid w:val="00482659"/>
    <w:rsid w:val="00493230"/>
    <w:rsid w:val="00494169"/>
    <w:rsid w:val="004B133F"/>
    <w:rsid w:val="004B3DBF"/>
    <w:rsid w:val="004B5037"/>
    <w:rsid w:val="004C7B6E"/>
    <w:rsid w:val="004C7F8C"/>
    <w:rsid w:val="004F14C6"/>
    <w:rsid w:val="004F2806"/>
    <w:rsid w:val="004F58BF"/>
    <w:rsid w:val="0050519C"/>
    <w:rsid w:val="005254A6"/>
    <w:rsid w:val="00532440"/>
    <w:rsid w:val="005338C4"/>
    <w:rsid w:val="005421F5"/>
    <w:rsid w:val="00563BA4"/>
    <w:rsid w:val="00592330"/>
    <w:rsid w:val="0059691D"/>
    <w:rsid w:val="005A0AD5"/>
    <w:rsid w:val="005B2B61"/>
    <w:rsid w:val="005B6AEF"/>
    <w:rsid w:val="005D389F"/>
    <w:rsid w:val="005D4547"/>
    <w:rsid w:val="00607324"/>
    <w:rsid w:val="006124B5"/>
    <w:rsid w:val="00615B89"/>
    <w:rsid w:val="00634B3E"/>
    <w:rsid w:val="00635C4D"/>
    <w:rsid w:val="00650973"/>
    <w:rsid w:val="00660601"/>
    <w:rsid w:val="00664182"/>
    <w:rsid w:val="00670EB5"/>
    <w:rsid w:val="00694762"/>
    <w:rsid w:val="00696B1A"/>
    <w:rsid w:val="006E47D3"/>
    <w:rsid w:val="00702E37"/>
    <w:rsid w:val="00702E65"/>
    <w:rsid w:val="00713872"/>
    <w:rsid w:val="007320D8"/>
    <w:rsid w:val="00736C9D"/>
    <w:rsid w:val="00741A82"/>
    <w:rsid w:val="007445FA"/>
    <w:rsid w:val="00755D0E"/>
    <w:rsid w:val="00774595"/>
    <w:rsid w:val="007878E3"/>
    <w:rsid w:val="00791290"/>
    <w:rsid w:val="00794509"/>
    <w:rsid w:val="007A2DD2"/>
    <w:rsid w:val="007B350B"/>
    <w:rsid w:val="007D1BFD"/>
    <w:rsid w:val="007E4FCC"/>
    <w:rsid w:val="008005E0"/>
    <w:rsid w:val="0080653A"/>
    <w:rsid w:val="008244BF"/>
    <w:rsid w:val="00825F9B"/>
    <w:rsid w:val="00832B0F"/>
    <w:rsid w:val="00834EE6"/>
    <w:rsid w:val="008746F7"/>
    <w:rsid w:val="008836AC"/>
    <w:rsid w:val="00887083"/>
    <w:rsid w:val="008916E6"/>
    <w:rsid w:val="008939C0"/>
    <w:rsid w:val="008972D4"/>
    <w:rsid w:val="008A0A2F"/>
    <w:rsid w:val="008C3CEF"/>
    <w:rsid w:val="008E2C8C"/>
    <w:rsid w:val="00905BC2"/>
    <w:rsid w:val="00916620"/>
    <w:rsid w:val="0093626F"/>
    <w:rsid w:val="00946997"/>
    <w:rsid w:val="009653C5"/>
    <w:rsid w:val="00966EC5"/>
    <w:rsid w:val="009719BD"/>
    <w:rsid w:val="00993DFA"/>
    <w:rsid w:val="009A2526"/>
    <w:rsid w:val="009C4C73"/>
    <w:rsid w:val="009C6EDA"/>
    <w:rsid w:val="009D17D6"/>
    <w:rsid w:val="009E439D"/>
    <w:rsid w:val="00A0104E"/>
    <w:rsid w:val="00A362EB"/>
    <w:rsid w:val="00A40D6E"/>
    <w:rsid w:val="00A43826"/>
    <w:rsid w:val="00A5399E"/>
    <w:rsid w:val="00A81B7D"/>
    <w:rsid w:val="00A86AF9"/>
    <w:rsid w:val="00A93C6D"/>
    <w:rsid w:val="00AA7843"/>
    <w:rsid w:val="00AC2F2E"/>
    <w:rsid w:val="00AD4A61"/>
    <w:rsid w:val="00AE0863"/>
    <w:rsid w:val="00AE22D8"/>
    <w:rsid w:val="00AE5C93"/>
    <w:rsid w:val="00AE6459"/>
    <w:rsid w:val="00AF1C30"/>
    <w:rsid w:val="00AF32D4"/>
    <w:rsid w:val="00B06899"/>
    <w:rsid w:val="00B11E01"/>
    <w:rsid w:val="00B13C09"/>
    <w:rsid w:val="00B156B2"/>
    <w:rsid w:val="00B550EA"/>
    <w:rsid w:val="00B72EF7"/>
    <w:rsid w:val="00B73E0F"/>
    <w:rsid w:val="00B81AB3"/>
    <w:rsid w:val="00B91DEA"/>
    <w:rsid w:val="00BC0F33"/>
    <w:rsid w:val="00BC5F4C"/>
    <w:rsid w:val="00BE6387"/>
    <w:rsid w:val="00C00AC8"/>
    <w:rsid w:val="00C22ED0"/>
    <w:rsid w:val="00C355A9"/>
    <w:rsid w:val="00C47A31"/>
    <w:rsid w:val="00CC14BC"/>
    <w:rsid w:val="00CC2C08"/>
    <w:rsid w:val="00CC4D84"/>
    <w:rsid w:val="00CC6EC2"/>
    <w:rsid w:val="00CD12E1"/>
    <w:rsid w:val="00CE2E25"/>
    <w:rsid w:val="00CF430B"/>
    <w:rsid w:val="00CF5EF5"/>
    <w:rsid w:val="00D145E0"/>
    <w:rsid w:val="00D1660E"/>
    <w:rsid w:val="00D24C21"/>
    <w:rsid w:val="00D31918"/>
    <w:rsid w:val="00D3519A"/>
    <w:rsid w:val="00D47A8A"/>
    <w:rsid w:val="00D53D24"/>
    <w:rsid w:val="00D55720"/>
    <w:rsid w:val="00D70C11"/>
    <w:rsid w:val="00D738BA"/>
    <w:rsid w:val="00DA4AA3"/>
    <w:rsid w:val="00DB010C"/>
    <w:rsid w:val="00DE621E"/>
    <w:rsid w:val="00E0629D"/>
    <w:rsid w:val="00E1557A"/>
    <w:rsid w:val="00E34355"/>
    <w:rsid w:val="00E43466"/>
    <w:rsid w:val="00E475BC"/>
    <w:rsid w:val="00E50EDF"/>
    <w:rsid w:val="00E514DE"/>
    <w:rsid w:val="00E7290F"/>
    <w:rsid w:val="00E9048D"/>
    <w:rsid w:val="00E90B9D"/>
    <w:rsid w:val="00E965E0"/>
    <w:rsid w:val="00EC1C32"/>
    <w:rsid w:val="00EC66D6"/>
    <w:rsid w:val="00ED5354"/>
    <w:rsid w:val="00ED7A83"/>
    <w:rsid w:val="00EE08E4"/>
    <w:rsid w:val="00EE234E"/>
    <w:rsid w:val="00EE7C68"/>
    <w:rsid w:val="00F009B5"/>
    <w:rsid w:val="00F13015"/>
    <w:rsid w:val="00F3754E"/>
    <w:rsid w:val="00F503DA"/>
    <w:rsid w:val="00F510C5"/>
    <w:rsid w:val="00F528C6"/>
    <w:rsid w:val="00F53D5F"/>
    <w:rsid w:val="00F670EA"/>
    <w:rsid w:val="00F67F79"/>
    <w:rsid w:val="00F70FD1"/>
    <w:rsid w:val="00F72052"/>
    <w:rsid w:val="00F72E2F"/>
    <w:rsid w:val="00F80566"/>
    <w:rsid w:val="00F909D5"/>
    <w:rsid w:val="00F93301"/>
    <w:rsid w:val="00FA6920"/>
    <w:rsid w:val="00FB03E5"/>
    <w:rsid w:val="00FB06C0"/>
    <w:rsid w:val="00FC0F66"/>
    <w:rsid w:val="00FC2733"/>
    <w:rsid w:val="00FE1712"/>
    <w:rsid w:val="00FE5C2E"/>
    <w:rsid w:val="00FF76E9"/>
    <w:rsid w:val="017D31AE"/>
    <w:rsid w:val="01A434AA"/>
    <w:rsid w:val="01BB7833"/>
    <w:rsid w:val="01F11E4C"/>
    <w:rsid w:val="01F9467B"/>
    <w:rsid w:val="02E37DDC"/>
    <w:rsid w:val="02F456F2"/>
    <w:rsid w:val="032A4C70"/>
    <w:rsid w:val="036B62CA"/>
    <w:rsid w:val="038D51FF"/>
    <w:rsid w:val="049931E6"/>
    <w:rsid w:val="05137F6D"/>
    <w:rsid w:val="05C64B04"/>
    <w:rsid w:val="05C93E03"/>
    <w:rsid w:val="05FC5B57"/>
    <w:rsid w:val="060A0EA6"/>
    <w:rsid w:val="06344F7E"/>
    <w:rsid w:val="063876A4"/>
    <w:rsid w:val="06710B66"/>
    <w:rsid w:val="074E4EB4"/>
    <w:rsid w:val="08AA64A3"/>
    <w:rsid w:val="09542264"/>
    <w:rsid w:val="095D624D"/>
    <w:rsid w:val="0A170EA8"/>
    <w:rsid w:val="0A274546"/>
    <w:rsid w:val="0A9554F0"/>
    <w:rsid w:val="0ABB6AF5"/>
    <w:rsid w:val="0B6E3F73"/>
    <w:rsid w:val="0BFE3961"/>
    <w:rsid w:val="0D2560E5"/>
    <w:rsid w:val="0DBB5A1E"/>
    <w:rsid w:val="0DBD4932"/>
    <w:rsid w:val="0F254881"/>
    <w:rsid w:val="107D6751"/>
    <w:rsid w:val="109E4EEF"/>
    <w:rsid w:val="10AF1810"/>
    <w:rsid w:val="11123AEA"/>
    <w:rsid w:val="11991213"/>
    <w:rsid w:val="1274141C"/>
    <w:rsid w:val="12774DC3"/>
    <w:rsid w:val="12FB03D7"/>
    <w:rsid w:val="133B07D3"/>
    <w:rsid w:val="141D6308"/>
    <w:rsid w:val="1552177C"/>
    <w:rsid w:val="168F4BCC"/>
    <w:rsid w:val="16CD3E38"/>
    <w:rsid w:val="172847D0"/>
    <w:rsid w:val="17B119DD"/>
    <w:rsid w:val="17D42FA4"/>
    <w:rsid w:val="18356E45"/>
    <w:rsid w:val="183C74C7"/>
    <w:rsid w:val="18B52DD6"/>
    <w:rsid w:val="19CE23A1"/>
    <w:rsid w:val="1AFA0F74"/>
    <w:rsid w:val="1B193AF0"/>
    <w:rsid w:val="1B3319AC"/>
    <w:rsid w:val="1B357E9C"/>
    <w:rsid w:val="1C0741C7"/>
    <w:rsid w:val="1C304BA3"/>
    <w:rsid w:val="1C3B4DCB"/>
    <w:rsid w:val="1D1327C1"/>
    <w:rsid w:val="1D7E7C3A"/>
    <w:rsid w:val="1DC53ABB"/>
    <w:rsid w:val="1DF3687A"/>
    <w:rsid w:val="1E884867"/>
    <w:rsid w:val="1F642E60"/>
    <w:rsid w:val="1F90754D"/>
    <w:rsid w:val="204E5F93"/>
    <w:rsid w:val="20B80648"/>
    <w:rsid w:val="20D8145E"/>
    <w:rsid w:val="22716E90"/>
    <w:rsid w:val="25372380"/>
    <w:rsid w:val="254C0D1C"/>
    <w:rsid w:val="2560231B"/>
    <w:rsid w:val="26932C86"/>
    <w:rsid w:val="27D24385"/>
    <w:rsid w:val="295B769E"/>
    <w:rsid w:val="2A377FCA"/>
    <w:rsid w:val="2A570191"/>
    <w:rsid w:val="2AA902C1"/>
    <w:rsid w:val="2AAD2C06"/>
    <w:rsid w:val="2ACC0FDE"/>
    <w:rsid w:val="2C6D55AF"/>
    <w:rsid w:val="2C882884"/>
    <w:rsid w:val="2C9F0AEC"/>
    <w:rsid w:val="2CBA6853"/>
    <w:rsid w:val="2D7E2B7A"/>
    <w:rsid w:val="2DC25921"/>
    <w:rsid w:val="2E6D5B2D"/>
    <w:rsid w:val="2EC97183"/>
    <w:rsid w:val="2ED973C6"/>
    <w:rsid w:val="2F155D6A"/>
    <w:rsid w:val="2FCA2F05"/>
    <w:rsid w:val="310224D9"/>
    <w:rsid w:val="31124A3E"/>
    <w:rsid w:val="31686B6C"/>
    <w:rsid w:val="32713212"/>
    <w:rsid w:val="327F01F1"/>
    <w:rsid w:val="32876812"/>
    <w:rsid w:val="33482D6D"/>
    <w:rsid w:val="33BA44E1"/>
    <w:rsid w:val="343F7812"/>
    <w:rsid w:val="34BA3748"/>
    <w:rsid w:val="350F73DF"/>
    <w:rsid w:val="351D1FD7"/>
    <w:rsid w:val="35A00782"/>
    <w:rsid w:val="35C97A69"/>
    <w:rsid w:val="369E4A52"/>
    <w:rsid w:val="36E061C9"/>
    <w:rsid w:val="37D050DF"/>
    <w:rsid w:val="380729ED"/>
    <w:rsid w:val="3845401F"/>
    <w:rsid w:val="38782AA4"/>
    <w:rsid w:val="38E14570"/>
    <w:rsid w:val="395922D9"/>
    <w:rsid w:val="39D844E3"/>
    <w:rsid w:val="3AC4360F"/>
    <w:rsid w:val="3AC84793"/>
    <w:rsid w:val="3BD86C58"/>
    <w:rsid w:val="3BF13876"/>
    <w:rsid w:val="3C0F729C"/>
    <w:rsid w:val="3C371BD0"/>
    <w:rsid w:val="3C3C2286"/>
    <w:rsid w:val="3DA00D34"/>
    <w:rsid w:val="3E131761"/>
    <w:rsid w:val="3EAB7422"/>
    <w:rsid w:val="3FB53538"/>
    <w:rsid w:val="403129F6"/>
    <w:rsid w:val="41220B52"/>
    <w:rsid w:val="42C409C3"/>
    <w:rsid w:val="43DB72E5"/>
    <w:rsid w:val="44C15625"/>
    <w:rsid w:val="45225470"/>
    <w:rsid w:val="458361D0"/>
    <w:rsid w:val="4779309D"/>
    <w:rsid w:val="485070F1"/>
    <w:rsid w:val="48931F3C"/>
    <w:rsid w:val="491D5CAA"/>
    <w:rsid w:val="4A8038E4"/>
    <w:rsid w:val="4AE90E79"/>
    <w:rsid w:val="4B185D9A"/>
    <w:rsid w:val="4B2772B4"/>
    <w:rsid w:val="4B390012"/>
    <w:rsid w:val="4BF821AF"/>
    <w:rsid w:val="4D471547"/>
    <w:rsid w:val="4D513FA5"/>
    <w:rsid w:val="4D704F42"/>
    <w:rsid w:val="4FB629B4"/>
    <w:rsid w:val="4FC14488"/>
    <w:rsid w:val="500228FF"/>
    <w:rsid w:val="50037B8F"/>
    <w:rsid w:val="501C6CBB"/>
    <w:rsid w:val="51266A33"/>
    <w:rsid w:val="51354AB9"/>
    <w:rsid w:val="521A375A"/>
    <w:rsid w:val="52476E5F"/>
    <w:rsid w:val="527A416D"/>
    <w:rsid w:val="529B480F"/>
    <w:rsid w:val="52A04BA2"/>
    <w:rsid w:val="533D7674"/>
    <w:rsid w:val="53EE1A54"/>
    <w:rsid w:val="544664FC"/>
    <w:rsid w:val="553A3451"/>
    <w:rsid w:val="560836D8"/>
    <w:rsid w:val="5816094C"/>
    <w:rsid w:val="581F7959"/>
    <w:rsid w:val="58242BB1"/>
    <w:rsid w:val="59EF36A1"/>
    <w:rsid w:val="5A3F4931"/>
    <w:rsid w:val="5C0351D3"/>
    <w:rsid w:val="5C5F5933"/>
    <w:rsid w:val="5C6B34A4"/>
    <w:rsid w:val="5C6B7B4E"/>
    <w:rsid w:val="5C82259C"/>
    <w:rsid w:val="5EE832F7"/>
    <w:rsid w:val="5F61647A"/>
    <w:rsid w:val="5FB34D9F"/>
    <w:rsid w:val="603D7153"/>
    <w:rsid w:val="60425CF7"/>
    <w:rsid w:val="60771CEC"/>
    <w:rsid w:val="609E596F"/>
    <w:rsid w:val="60F45EE1"/>
    <w:rsid w:val="612C6242"/>
    <w:rsid w:val="626E3587"/>
    <w:rsid w:val="62CF5C7E"/>
    <w:rsid w:val="632641AF"/>
    <w:rsid w:val="641D1699"/>
    <w:rsid w:val="65BF660F"/>
    <w:rsid w:val="66365292"/>
    <w:rsid w:val="66C512CC"/>
    <w:rsid w:val="66E77BCB"/>
    <w:rsid w:val="67254250"/>
    <w:rsid w:val="67465D06"/>
    <w:rsid w:val="67582877"/>
    <w:rsid w:val="678F2440"/>
    <w:rsid w:val="67B54DCE"/>
    <w:rsid w:val="67D07C52"/>
    <w:rsid w:val="687F15A9"/>
    <w:rsid w:val="689C5A6E"/>
    <w:rsid w:val="68E819D9"/>
    <w:rsid w:val="68F117DF"/>
    <w:rsid w:val="6935685F"/>
    <w:rsid w:val="696E0130"/>
    <w:rsid w:val="6A0E7F33"/>
    <w:rsid w:val="6CF97DEE"/>
    <w:rsid w:val="6E333BF5"/>
    <w:rsid w:val="6E48334B"/>
    <w:rsid w:val="6E50493C"/>
    <w:rsid w:val="6F5A4F08"/>
    <w:rsid w:val="7030776F"/>
    <w:rsid w:val="70B76860"/>
    <w:rsid w:val="70E565D3"/>
    <w:rsid w:val="71902C0D"/>
    <w:rsid w:val="725531A4"/>
    <w:rsid w:val="74605CF2"/>
    <w:rsid w:val="74C031EC"/>
    <w:rsid w:val="76981305"/>
    <w:rsid w:val="769838C9"/>
    <w:rsid w:val="76F04A18"/>
    <w:rsid w:val="76F459ED"/>
    <w:rsid w:val="7800051B"/>
    <w:rsid w:val="787B05C8"/>
    <w:rsid w:val="78E26444"/>
    <w:rsid w:val="78E73A5B"/>
    <w:rsid w:val="79215134"/>
    <w:rsid w:val="79264CD1"/>
    <w:rsid w:val="793E2143"/>
    <w:rsid w:val="793F7694"/>
    <w:rsid w:val="79B06543"/>
    <w:rsid w:val="79D00993"/>
    <w:rsid w:val="7AD7365B"/>
    <w:rsid w:val="7AF94F76"/>
    <w:rsid w:val="7B4E1B6F"/>
    <w:rsid w:val="7BE129E3"/>
    <w:rsid w:val="7C4371FA"/>
    <w:rsid w:val="7C5738FA"/>
    <w:rsid w:val="7D2B5226"/>
    <w:rsid w:val="7D501527"/>
    <w:rsid w:val="7E1370A0"/>
    <w:rsid w:val="7E5F4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qFormat="1" w:unhideWhenUsed="0" w:uiPriority="0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name="toc 4"/>
    <w:lsdException w:qFormat="1" w:unhideWhenUsed="0" w:uiPriority="0" w:name="toc 5"/>
    <w:lsdException w:qFormat="1" w:unhideWhenUsed="0" w:uiPriority="0" w:name="toc 6"/>
    <w:lsdException w:qFormat="1" w:unhideWhenUsed="0" w:uiPriority="0" w:semiHidden="0" w:name="toc 7"/>
    <w:lsdException w:qFormat="1" w:unhideWhenUsed="0" w:uiPriority="0" w:name="toc 8"/>
    <w:lsdException w:qFormat="1" w:unhideWhenUsed="0" w:uiPriority="0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name="header"/>
    <w:lsdException w:qFormat="1" w:unhideWhenUsed="0" w:uiPriority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name="Document Map"/>
    <w:lsdException w:uiPriority="99" w:name="Plain Text"/>
    <w:lsdException w:uiPriority="99" w:name="E-mail Signature"/>
    <w:lsdException w:qFormat="1" w:uiPriority="99" w:semiHidden="0" w:name="Normal (Web)"/>
    <w:lsdException w:qFormat="1" w:uiPriority="99" w:semiHidden="0" w:name="HTML Acronym"/>
    <w:lsdException w:uiPriority="99" w:name="HTML Address"/>
    <w:lsdException w:qFormat="1" w:uiPriority="99" w:semiHidden="0" w:name="HTML Cite"/>
    <w:lsdException w:qFormat="1" w:uiPriority="99" w:semiHidden="0" w:name="HTML Code"/>
    <w:lsdException w:qFormat="1" w:uiPriority="99" w:semiHidden="0" w:name="HTML Definition"/>
    <w:lsdException w:qFormat="1" w:uiPriority="99" w:semiHidden="0" w:name="HTML Keyboard"/>
    <w:lsdException w:uiPriority="99" w:name="HTML Preformatted"/>
    <w:lsdException w:qFormat="1" w:uiPriority="99" w:semiHidden="0" w:name="HTML Sample"/>
    <w:lsdException w:qFormat="1" w:uiPriority="99" w:semiHidden="0" w:name="HTML Typewriter"/>
    <w:lsdException w:qFormat="1" w:uiPriority="99" w:semiHidden="0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4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rFonts w:ascii="Arial" w:hAnsi="Arial"/>
      <w:b/>
      <w:bCs/>
      <w:kern w:val="44"/>
      <w:sz w:val="28"/>
      <w:szCs w:val="28"/>
    </w:rPr>
  </w:style>
  <w:style w:type="paragraph" w:styleId="5">
    <w:name w:val="heading 2"/>
    <w:basedOn w:val="1"/>
    <w:next w:val="4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/>
      <w:b/>
      <w:bCs/>
      <w:sz w:val="24"/>
      <w:szCs w:val="32"/>
    </w:rPr>
  </w:style>
  <w:style w:type="paragraph" w:styleId="6">
    <w:name w:val="heading 3"/>
    <w:basedOn w:val="1"/>
    <w:next w:val="4"/>
    <w:link w:val="54"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rFonts w:ascii="Arial" w:hAnsi="Arial"/>
      <w:b/>
      <w:bCs/>
      <w:szCs w:val="18"/>
    </w:rPr>
  </w:style>
  <w:style w:type="paragraph" w:styleId="7">
    <w:name w:val="heading 4"/>
    <w:basedOn w:val="6"/>
    <w:next w:val="1"/>
    <w:link w:val="55"/>
    <w:qFormat/>
    <w:uiPriority w:val="0"/>
    <w:pPr>
      <w:numPr>
        <w:ilvl w:val="3"/>
      </w:numPr>
      <w:outlineLvl w:val="3"/>
    </w:pPr>
  </w:style>
  <w:style w:type="paragraph" w:styleId="8">
    <w:name w:val="heading 5"/>
    <w:basedOn w:val="7"/>
    <w:next w:val="1"/>
    <w:link w:val="47"/>
    <w:qFormat/>
    <w:uiPriority w:val="0"/>
    <w:pPr>
      <w:numPr>
        <w:ilvl w:val="4"/>
      </w:numPr>
      <w:outlineLvl w:val="4"/>
    </w:pPr>
  </w:style>
  <w:style w:type="paragraph" w:styleId="9">
    <w:name w:val="heading 6"/>
    <w:basedOn w:val="8"/>
    <w:next w:val="1"/>
    <w:link w:val="46"/>
    <w:qFormat/>
    <w:uiPriority w:val="0"/>
    <w:pPr>
      <w:numPr>
        <w:ilvl w:val="5"/>
      </w:numPr>
      <w:outlineLvl w:val="5"/>
    </w:pPr>
  </w:style>
  <w:style w:type="paragraph" w:styleId="10">
    <w:name w:val="heading 7"/>
    <w:basedOn w:val="9"/>
    <w:next w:val="1"/>
    <w:link w:val="51"/>
    <w:qFormat/>
    <w:uiPriority w:val="0"/>
    <w:pPr>
      <w:numPr>
        <w:ilvl w:val="6"/>
      </w:numPr>
      <w:outlineLvl w:val="6"/>
    </w:pPr>
  </w:style>
  <w:style w:type="paragraph" w:styleId="11">
    <w:name w:val="heading 8"/>
    <w:basedOn w:val="10"/>
    <w:next w:val="1"/>
    <w:link w:val="52"/>
    <w:qFormat/>
    <w:uiPriority w:val="0"/>
    <w:pPr>
      <w:numPr>
        <w:ilvl w:val="7"/>
      </w:numPr>
      <w:outlineLvl w:val="7"/>
    </w:pPr>
  </w:style>
  <w:style w:type="paragraph" w:styleId="12">
    <w:name w:val="heading 9"/>
    <w:basedOn w:val="11"/>
    <w:next w:val="1"/>
    <w:link w:val="49"/>
    <w:qFormat/>
    <w:uiPriority w:val="0"/>
    <w:pPr>
      <w:numPr>
        <w:ilvl w:val="8"/>
      </w:numPr>
      <w:outlineLvl w:val="8"/>
    </w:pPr>
  </w:style>
  <w:style w:type="character" w:default="1" w:styleId="29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 w:firstLineChars="200"/>
    </w:pPr>
    <w:rPr>
      <w:rFonts w:ascii="Calibri" w:hAnsi="Calibri" w:cs="宋体"/>
      <w:color w:val="000000"/>
      <w:szCs w:val="20"/>
    </w:rPr>
  </w:style>
  <w:style w:type="paragraph" w:customStyle="1" w:styleId="4">
    <w:name w:val="Indent Normal"/>
    <w:basedOn w:val="1"/>
    <w:qFormat/>
    <w:uiPriority w:val="0"/>
    <w:pPr>
      <w:ind w:firstLine="420" w:firstLineChars="200"/>
    </w:pPr>
  </w:style>
  <w:style w:type="paragraph" w:styleId="13">
    <w:name w:val="toc 7"/>
    <w:basedOn w:val="1"/>
    <w:next w:val="1"/>
    <w:qFormat/>
    <w:uiPriority w:val="0"/>
    <w:pPr>
      <w:ind w:left="2520" w:leftChars="1200"/>
    </w:pPr>
  </w:style>
  <w:style w:type="paragraph" w:styleId="14">
    <w:name w:val="Document Map"/>
    <w:basedOn w:val="1"/>
    <w:semiHidden/>
    <w:qFormat/>
    <w:uiPriority w:val="0"/>
    <w:pPr>
      <w:shd w:val="clear" w:color="auto" w:fill="000080"/>
    </w:pPr>
  </w:style>
  <w:style w:type="paragraph" w:styleId="15">
    <w:name w:val="Body Text"/>
    <w:basedOn w:val="1"/>
    <w:link w:val="50"/>
    <w:semiHidden/>
    <w:qFormat/>
    <w:uiPriority w:val="0"/>
    <w:pPr>
      <w:spacing w:after="120" w:line="360" w:lineRule="auto"/>
      <w:ind w:firstLine="200" w:firstLineChars="200"/>
    </w:pPr>
    <w:rPr>
      <w:sz w:val="24"/>
    </w:rPr>
  </w:style>
  <w:style w:type="paragraph" w:styleId="16">
    <w:name w:val="toc 5"/>
    <w:basedOn w:val="1"/>
    <w:next w:val="1"/>
    <w:semiHidden/>
    <w:qFormat/>
    <w:uiPriority w:val="0"/>
    <w:pPr>
      <w:ind w:left="1680" w:leftChars="800"/>
    </w:pPr>
  </w:style>
  <w:style w:type="paragraph" w:styleId="17">
    <w:name w:val="toc 3"/>
    <w:basedOn w:val="1"/>
    <w:next w:val="1"/>
    <w:qFormat/>
    <w:uiPriority w:val="39"/>
    <w:pPr>
      <w:ind w:left="840" w:leftChars="400"/>
    </w:pPr>
  </w:style>
  <w:style w:type="paragraph" w:styleId="18">
    <w:name w:val="toc 8"/>
    <w:basedOn w:val="1"/>
    <w:next w:val="1"/>
    <w:semiHidden/>
    <w:qFormat/>
    <w:uiPriority w:val="0"/>
    <w:pPr>
      <w:ind w:left="2940" w:leftChars="1400"/>
    </w:pPr>
  </w:style>
  <w:style w:type="paragraph" w:styleId="19">
    <w:name w:val="index 3"/>
    <w:basedOn w:val="1"/>
    <w:next w:val="1"/>
    <w:semiHidden/>
    <w:qFormat/>
    <w:uiPriority w:val="0"/>
    <w:pPr>
      <w:ind w:left="400" w:leftChars="400"/>
    </w:pPr>
  </w:style>
  <w:style w:type="paragraph" w:styleId="20">
    <w:name w:val="footer"/>
    <w:basedOn w:val="1"/>
    <w:semiHidden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1">
    <w:name w:val="header"/>
    <w:basedOn w:val="1"/>
    <w:semiHidden/>
    <w:qFormat/>
    <w:uiPriority w:val="0"/>
    <w:pPr>
      <w:pBdr>
        <w:bottom w:val="single" w:color="auto" w:sz="4" w:space="1"/>
      </w:pBdr>
      <w:tabs>
        <w:tab w:val="center" w:pos="4153"/>
        <w:tab w:val="right" w:pos="8306"/>
      </w:tabs>
      <w:snapToGrid w:val="0"/>
      <w:jc w:val="right"/>
    </w:pPr>
    <w:rPr>
      <w:sz w:val="18"/>
      <w:szCs w:val="18"/>
    </w:rPr>
  </w:style>
  <w:style w:type="paragraph" w:styleId="22">
    <w:name w:val="toc 1"/>
    <w:basedOn w:val="1"/>
    <w:next w:val="1"/>
    <w:qFormat/>
    <w:uiPriority w:val="39"/>
    <w:pPr>
      <w:spacing w:before="100" w:beforeLines="100"/>
    </w:pPr>
    <w:rPr>
      <w:b/>
    </w:rPr>
  </w:style>
  <w:style w:type="paragraph" w:styleId="23">
    <w:name w:val="toc 4"/>
    <w:basedOn w:val="1"/>
    <w:next w:val="1"/>
    <w:semiHidden/>
    <w:qFormat/>
    <w:uiPriority w:val="0"/>
    <w:pPr>
      <w:ind w:left="1260" w:leftChars="600"/>
    </w:pPr>
  </w:style>
  <w:style w:type="paragraph" w:styleId="24">
    <w:name w:val="toc 6"/>
    <w:basedOn w:val="1"/>
    <w:next w:val="1"/>
    <w:semiHidden/>
    <w:qFormat/>
    <w:uiPriority w:val="0"/>
    <w:pPr>
      <w:ind w:left="2100" w:leftChars="1000"/>
    </w:pPr>
  </w:style>
  <w:style w:type="paragraph" w:styleId="25">
    <w:name w:val="toc 2"/>
    <w:basedOn w:val="1"/>
    <w:next w:val="1"/>
    <w:qFormat/>
    <w:uiPriority w:val="39"/>
    <w:pPr>
      <w:ind w:left="420" w:leftChars="200"/>
    </w:pPr>
  </w:style>
  <w:style w:type="paragraph" w:styleId="26">
    <w:name w:val="toc 9"/>
    <w:basedOn w:val="1"/>
    <w:next w:val="1"/>
    <w:semiHidden/>
    <w:qFormat/>
    <w:uiPriority w:val="0"/>
    <w:pPr>
      <w:ind w:left="3360" w:leftChars="1600"/>
    </w:pPr>
  </w:style>
  <w:style w:type="paragraph" w:styleId="2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30">
    <w:name w:val="Strong"/>
    <w:basedOn w:val="29"/>
    <w:qFormat/>
    <w:uiPriority w:val="22"/>
    <w:rPr>
      <w:b/>
      <w:bCs/>
    </w:rPr>
  </w:style>
  <w:style w:type="character" w:styleId="31">
    <w:name w:val="page number"/>
    <w:basedOn w:val="29"/>
    <w:semiHidden/>
    <w:qFormat/>
    <w:uiPriority w:val="0"/>
  </w:style>
  <w:style w:type="character" w:styleId="32">
    <w:name w:val="FollowedHyperlink"/>
    <w:basedOn w:val="29"/>
    <w:unhideWhenUsed/>
    <w:qFormat/>
    <w:uiPriority w:val="99"/>
    <w:rPr>
      <w:color w:val="800080"/>
      <w:u w:val="none"/>
    </w:rPr>
  </w:style>
  <w:style w:type="character" w:styleId="33">
    <w:name w:val="Emphasis"/>
    <w:basedOn w:val="29"/>
    <w:qFormat/>
    <w:uiPriority w:val="20"/>
    <w:rPr>
      <w:b/>
    </w:rPr>
  </w:style>
  <w:style w:type="character" w:styleId="34">
    <w:name w:val="HTML Definition"/>
    <w:basedOn w:val="29"/>
    <w:unhideWhenUsed/>
    <w:qFormat/>
    <w:uiPriority w:val="99"/>
  </w:style>
  <w:style w:type="character" w:styleId="35">
    <w:name w:val="HTML Typewriter"/>
    <w:basedOn w:val="29"/>
    <w:unhideWhenUsed/>
    <w:qFormat/>
    <w:uiPriority w:val="99"/>
    <w:rPr>
      <w:rFonts w:ascii="monospace" w:hAnsi="monospace" w:eastAsia="monospace" w:cs="monospace"/>
      <w:sz w:val="20"/>
    </w:rPr>
  </w:style>
  <w:style w:type="character" w:styleId="36">
    <w:name w:val="HTML Acronym"/>
    <w:basedOn w:val="29"/>
    <w:unhideWhenUsed/>
    <w:qFormat/>
    <w:uiPriority w:val="99"/>
  </w:style>
  <w:style w:type="character" w:styleId="37">
    <w:name w:val="HTML Variable"/>
    <w:basedOn w:val="29"/>
    <w:unhideWhenUsed/>
    <w:qFormat/>
    <w:uiPriority w:val="99"/>
  </w:style>
  <w:style w:type="character" w:styleId="38">
    <w:name w:val="Hyperlink"/>
    <w:basedOn w:val="29"/>
    <w:qFormat/>
    <w:uiPriority w:val="99"/>
    <w:rPr>
      <w:color w:val="0000FF"/>
      <w:u w:val="none"/>
    </w:rPr>
  </w:style>
  <w:style w:type="character" w:styleId="39">
    <w:name w:val="HTML Code"/>
    <w:basedOn w:val="29"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40">
    <w:name w:val="HTML Cite"/>
    <w:basedOn w:val="29"/>
    <w:unhideWhenUsed/>
    <w:qFormat/>
    <w:uiPriority w:val="99"/>
  </w:style>
  <w:style w:type="character" w:styleId="41">
    <w:name w:val="HTML Keyboard"/>
    <w:basedOn w:val="29"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42">
    <w:name w:val="HTML Sample"/>
    <w:basedOn w:val="29"/>
    <w:unhideWhenUsed/>
    <w:qFormat/>
    <w:uiPriority w:val="99"/>
    <w:rPr>
      <w:rFonts w:hint="default" w:ascii="monospace" w:hAnsi="monospace" w:eastAsia="monospace" w:cs="monospace"/>
    </w:rPr>
  </w:style>
  <w:style w:type="paragraph" w:styleId="43">
    <w:name w:val="List Paragraph"/>
    <w:basedOn w:val="1"/>
    <w:qFormat/>
    <w:uiPriority w:val="34"/>
    <w:pPr>
      <w:ind w:firstLine="420" w:firstLineChars="200"/>
    </w:pPr>
  </w:style>
  <w:style w:type="paragraph" w:customStyle="1" w:styleId="44">
    <w:name w:val="Subject"/>
    <w:basedOn w:val="1"/>
    <w:qFormat/>
    <w:uiPriority w:val="0"/>
    <w:pPr>
      <w:spacing w:before="2496" w:beforeLines="800"/>
      <w:jc w:val="center"/>
    </w:pPr>
    <w:rPr>
      <w:rFonts w:eastAsia="黑体"/>
      <w:b/>
      <w:sz w:val="48"/>
    </w:rPr>
  </w:style>
  <w:style w:type="paragraph" w:customStyle="1" w:styleId="45">
    <w:name w:val="Code"/>
    <w:basedOn w:val="1"/>
    <w:qFormat/>
    <w:uiPriority w:val="0"/>
    <w:pPr>
      <w:keepLines/>
      <w:widowControl/>
      <w:pBdr>
        <w:top w:val="double" w:color="auto" w:sz="4" w:space="1"/>
        <w:bottom w:val="double" w:color="auto" w:sz="4" w:space="1"/>
      </w:pBdr>
      <w:shd w:val="clear" w:color="auto" w:fill="E6E6E6"/>
      <w:ind w:left="200" w:leftChars="200" w:right="200" w:rightChars="200"/>
      <w:jc w:val="left"/>
    </w:pPr>
    <w:rPr>
      <w:rFonts w:ascii="Courier New" w:hAnsi="Courier New"/>
      <w:sz w:val="18"/>
      <w:szCs w:val="21"/>
    </w:rPr>
  </w:style>
  <w:style w:type="character" w:customStyle="1" w:styleId="46">
    <w:name w:val="标题 6 字符"/>
    <w:basedOn w:val="29"/>
    <w:link w:val="9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47">
    <w:name w:val="标题 5 字符"/>
    <w:basedOn w:val="29"/>
    <w:link w:val="8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48">
    <w:name w:val="mini-tree-nodetext4"/>
    <w:basedOn w:val="29"/>
    <w:qFormat/>
    <w:uiPriority w:val="0"/>
  </w:style>
  <w:style w:type="character" w:customStyle="1" w:styleId="49">
    <w:name w:val="标题 9 字符"/>
    <w:basedOn w:val="29"/>
    <w:link w:val="12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50">
    <w:name w:val="正文文本 字符"/>
    <w:basedOn w:val="29"/>
    <w:link w:val="15"/>
    <w:semiHidden/>
    <w:qFormat/>
    <w:uiPriority w:val="0"/>
    <w:rPr>
      <w:kern w:val="2"/>
      <w:sz w:val="24"/>
      <w:szCs w:val="24"/>
    </w:rPr>
  </w:style>
  <w:style w:type="character" w:customStyle="1" w:styleId="51">
    <w:name w:val="标题 7 字符"/>
    <w:basedOn w:val="29"/>
    <w:link w:val="10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52">
    <w:name w:val="标题 8 字符"/>
    <w:basedOn w:val="29"/>
    <w:link w:val="11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53">
    <w:name w:val="Char Char"/>
    <w:basedOn w:val="29"/>
    <w:qFormat/>
    <w:uiPriority w:val="0"/>
    <w:rPr>
      <w:rFonts w:eastAsia="宋体"/>
      <w:b/>
      <w:bCs/>
      <w:kern w:val="44"/>
      <w:sz w:val="44"/>
      <w:szCs w:val="44"/>
      <w:lang w:val="en-US" w:eastAsia="zh-CN" w:bidi="ar-SA"/>
    </w:rPr>
  </w:style>
  <w:style w:type="character" w:customStyle="1" w:styleId="54">
    <w:name w:val="标题 3 字符"/>
    <w:basedOn w:val="29"/>
    <w:link w:val="6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55">
    <w:name w:val="标题 4 字符"/>
    <w:basedOn w:val="29"/>
    <w:link w:val="7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56">
    <w:name w:val="mini-tree-nodetext5"/>
    <w:basedOn w:val="29"/>
    <w:qFormat/>
    <w:uiPriority w:val="0"/>
  </w:style>
  <w:style w:type="character" w:customStyle="1" w:styleId="57">
    <w:name w:val="hover"/>
    <w:basedOn w:val="29"/>
    <w:qFormat/>
    <w:uiPriority w:val="0"/>
    <w:rPr>
      <w:color w:val="2590EB"/>
    </w:rPr>
  </w:style>
  <w:style w:type="character" w:customStyle="1" w:styleId="58">
    <w:name w:val="hover1"/>
    <w:basedOn w:val="29"/>
    <w:qFormat/>
    <w:uiPriority w:val="0"/>
    <w:rPr>
      <w:color w:val="2590EB"/>
      <w:shd w:val="clear" w:color="auto" w:fill="E9F4FD"/>
    </w:rPr>
  </w:style>
  <w:style w:type="character" w:customStyle="1" w:styleId="59">
    <w:name w:val="hover2"/>
    <w:basedOn w:val="29"/>
    <w:qFormat/>
    <w:uiPriority w:val="0"/>
    <w:rPr>
      <w:color w:val="2590EB"/>
    </w:rPr>
  </w:style>
  <w:style w:type="character" w:customStyle="1" w:styleId="60">
    <w:name w:val="hover3"/>
    <w:basedOn w:val="29"/>
    <w:qFormat/>
    <w:uiPriority w:val="0"/>
  </w:style>
  <w:style w:type="paragraph" w:customStyle="1" w:styleId="61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styleId="62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63">
    <w:name w:val="mini-messagebox-msg"/>
    <w:basedOn w:val="1"/>
    <w:qFormat/>
    <w:uiPriority w:val="0"/>
    <w:pPr>
      <w:wordWrap w:val="0"/>
      <w:spacing w:line="360" w:lineRule="atLeast"/>
      <w:ind w:left="450"/>
      <w:jc w:val="left"/>
    </w:pPr>
    <w:rPr>
      <w:kern w:val="0"/>
      <w:sz w:val="19"/>
      <w:szCs w:val="19"/>
    </w:rPr>
  </w:style>
  <w:style w:type="character" w:customStyle="1" w:styleId="64">
    <w:name w:val="hover4"/>
    <w:basedOn w:val="29"/>
    <w:qFormat/>
    <w:uiPriority w:val="0"/>
    <w:rPr>
      <w:color w:val="2590EB"/>
      <w:shd w:val="clear" w:color="auto" w:fill="E9F4FD"/>
    </w:rPr>
  </w:style>
  <w:style w:type="character" w:customStyle="1" w:styleId="65">
    <w:name w:val="name-2"/>
    <w:basedOn w:val="29"/>
    <w:qFormat/>
    <w:uiPriority w:val="0"/>
  </w:style>
  <w:style w:type="character" w:customStyle="1" w:styleId="66">
    <w:name w:val="name-3"/>
    <w:basedOn w:val="2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2" Type="http://schemas.openxmlformats.org/officeDocument/2006/relationships/fontTable" Target="fontTable.xml"/><Relationship Id="rId41" Type="http://schemas.openxmlformats.org/officeDocument/2006/relationships/customXml" Target="../customXml/item2.xml"/><Relationship Id="rId40" Type="http://schemas.openxmlformats.org/officeDocument/2006/relationships/numbering" Target="numbering.xml"/><Relationship Id="rId4" Type="http://schemas.openxmlformats.org/officeDocument/2006/relationships/header" Target="header2.xml"/><Relationship Id="rId39" Type="http://schemas.openxmlformats.org/officeDocument/2006/relationships/customXml" Target="../customXml/item1.xml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TEMP\&#35780;&#26631;&#31995;&#32479;&#26631;&#20934;&#29256;\&#27169;&#26495;&#20108;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F0A3CC1-2DEE-46B4-904A-A0DE1A6205F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模板二.dot</Template>
  <Company>epoint</Company>
  <Pages>19</Pages>
  <Words>27</Words>
  <Characters>27</Characters>
  <Lines>74</Lines>
  <Paragraphs>20</Paragraphs>
  <TotalTime>0</TotalTime>
  <ScaleCrop>false</ScaleCrop>
  <LinksUpToDate>false</LinksUpToDate>
  <CharactersWithSpaces>29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2004-06-25T00:55:00Z</dcterms:created>
  <dc:creator>wzy</dc:creator>
  <cp:lastModifiedBy>NTKO</cp:lastModifiedBy>
  <cp:lastPrinted>2005-05-10T00:36:00Z</cp:lastPrinted>
  <dcterms:modified xsi:type="dcterms:W3CDTF">2026-01-04T03:26:53Z</dcterms:modified>
  <dc:title>一点智慧辅助评标系统使用说明</dc:title>
  <cp:revision>253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EEF77B149192485D991F1562ABF8BD8D_13</vt:lpwstr>
  </property>
  <property fmtid="{D5CDD505-2E9C-101B-9397-08002B2CF9AE}" pid="4" name="KSOTemplateDocerSaveRecord">
    <vt:lpwstr>eyJoZGlkIjoiMDAxMmUwMzdkNTFjOTRmOTFmNTFiZjJmNGE3MGM4OTgiLCJ1c2VySWQiOiI0MDM3Mzg2ODMifQ==</vt:lpwstr>
  </property>
</Properties>
</file>